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B7E0E" w14:textId="79505CB3" w:rsidR="00D34858" w:rsidRDefault="009D1C3E" w:rsidP="008C6417">
      <w:pPr>
        <w:spacing w:line="480" w:lineRule="auto"/>
        <w:jc w:val="both"/>
        <w:rPr>
          <w:rFonts w:eastAsiaTheme="majorEastAsia" w:cstheme="minorHAnsi"/>
          <w:b/>
          <w:sz w:val="32"/>
          <w:szCs w:val="32"/>
        </w:rPr>
      </w:pPr>
      <w:r>
        <w:rPr>
          <w:rFonts w:eastAsiaTheme="majorEastAsia" w:cstheme="minorHAnsi"/>
          <w:b/>
          <w:sz w:val="32"/>
          <w:szCs w:val="32"/>
        </w:rPr>
        <w:t>C</w:t>
      </w:r>
      <w:r w:rsidR="00B80607">
        <w:rPr>
          <w:rFonts w:eastAsiaTheme="majorEastAsia" w:cstheme="minorHAnsi"/>
          <w:b/>
          <w:sz w:val="32"/>
          <w:szCs w:val="32"/>
        </w:rPr>
        <w:t>hemical isolation</w:t>
      </w:r>
      <w:r w:rsidR="00D02AC4">
        <w:rPr>
          <w:rFonts w:eastAsiaTheme="majorEastAsia" w:cstheme="minorHAnsi"/>
          <w:b/>
          <w:sz w:val="32"/>
          <w:szCs w:val="32"/>
        </w:rPr>
        <w:t xml:space="preserve"> </w:t>
      </w:r>
      <w:r w:rsidR="00CF3E53">
        <w:rPr>
          <w:rFonts w:eastAsiaTheme="majorEastAsia" w:cstheme="minorHAnsi"/>
          <w:b/>
          <w:sz w:val="32"/>
          <w:szCs w:val="32"/>
        </w:rPr>
        <w:t xml:space="preserve">and isotopic analysis </w:t>
      </w:r>
      <w:r w:rsidR="00D02AC4">
        <w:rPr>
          <w:rFonts w:eastAsiaTheme="majorEastAsia" w:cstheme="minorHAnsi"/>
          <w:b/>
          <w:sz w:val="32"/>
          <w:szCs w:val="32"/>
        </w:rPr>
        <w:t xml:space="preserve">of </w:t>
      </w:r>
      <w:r w:rsidR="00E869C7">
        <w:rPr>
          <w:rFonts w:eastAsiaTheme="majorEastAsia" w:cstheme="minorHAnsi"/>
          <w:b/>
          <w:sz w:val="32"/>
          <w:szCs w:val="32"/>
        </w:rPr>
        <w:t>terrigenous</w:t>
      </w:r>
      <w:r w:rsidR="00710FC2" w:rsidRPr="00D34858">
        <w:rPr>
          <w:rFonts w:eastAsiaTheme="majorEastAsia" w:cstheme="minorHAnsi"/>
          <w:b/>
          <w:sz w:val="32"/>
          <w:szCs w:val="32"/>
        </w:rPr>
        <w:t xml:space="preserve"> </w:t>
      </w:r>
      <w:r w:rsidR="00251288">
        <w:rPr>
          <w:rFonts w:eastAsiaTheme="majorEastAsia" w:cstheme="minorHAnsi"/>
          <w:b/>
          <w:sz w:val="32"/>
          <w:szCs w:val="32"/>
        </w:rPr>
        <w:t xml:space="preserve">sediments </w:t>
      </w:r>
      <w:r w:rsidR="00D02AC4">
        <w:rPr>
          <w:rFonts w:eastAsiaTheme="majorEastAsia" w:cstheme="minorHAnsi"/>
          <w:b/>
          <w:sz w:val="32"/>
          <w:szCs w:val="32"/>
        </w:rPr>
        <w:t>with emphasis on</w:t>
      </w:r>
      <w:r>
        <w:rPr>
          <w:rFonts w:eastAsiaTheme="majorEastAsia" w:cstheme="minorHAnsi"/>
          <w:b/>
          <w:sz w:val="32"/>
          <w:szCs w:val="32"/>
        </w:rPr>
        <w:t xml:space="preserve"> </w:t>
      </w:r>
      <w:r w:rsidR="000C5C22">
        <w:rPr>
          <w:rFonts w:eastAsiaTheme="majorEastAsia" w:cstheme="minorHAnsi"/>
          <w:b/>
          <w:sz w:val="32"/>
          <w:szCs w:val="32"/>
        </w:rPr>
        <w:t xml:space="preserve">effective </w:t>
      </w:r>
      <w:r w:rsidR="00251288">
        <w:rPr>
          <w:rFonts w:eastAsiaTheme="majorEastAsia" w:cstheme="minorHAnsi"/>
          <w:b/>
          <w:sz w:val="32"/>
          <w:szCs w:val="32"/>
        </w:rPr>
        <w:t xml:space="preserve">removal of </w:t>
      </w:r>
      <w:r>
        <w:rPr>
          <w:rFonts w:eastAsiaTheme="majorEastAsia" w:cstheme="minorHAnsi"/>
          <w:b/>
          <w:sz w:val="32"/>
          <w:szCs w:val="32"/>
        </w:rPr>
        <w:t xml:space="preserve">contaminating marine phases including </w:t>
      </w:r>
      <w:r w:rsidR="004B69F1">
        <w:rPr>
          <w:rFonts w:eastAsiaTheme="majorEastAsia" w:cstheme="minorHAnsi"/>
          <w:b/>
          <w:sz w:val="32"/>
          <w:szCs w:val="32"/>
        </w:rPr>
        <w:t>barite</w:t>
      </w:r>
      <w:r w:rsidR="000C5C22">
        <w:rPr>
          <w:rFonts w:eastAsiaTheme="majorEastAsia" w:cstheme="minorHAnsi"/>
          <w:b/>
          <w:sz w:val="32"/>
          <w:szCs w:val="32"/>
        </w:rPr>
        <w:t xml:space="preserve"> </w:t>
      </w:r>
    </w:p>
    <w:p w14:paraId="6D4FB2B4" w14:textId="77777777" w:rsidR="002C3AFD" w:rsidRPr="006F3F87" w:rsidRDefault="00F513FC" w:rsidP="008C6417">
      <w:pPr>
        <w:spacing w:line="480" w:lineRule="auto"/>
        <w:jc w:val="both"/>
        <w:rPr>
          <w:rFonts w:cstheme="minorHAnsi"/>
          <w:vertAlign w:val="superscript"/>
        </w:rPr>
      </w:pPr>
      <w:r w:rsidRPr="006F3F87">
        <w:rPr>
          <w:rFonts w:cstheme="minorHAnsi"/>
        </w:rPr>
        <w:t>Amy M. Jewell</w:t>
      </w:r>
      <w:r w:rsidRPr="006F3F87">
        <w:rPr>
          <w:rFonts w:cstheme="minorHAnsi"/>
          <w:vertAlign w:val="superscript"/>
        </w:rPr>
        <w:t>1</w:t>
      </w:r>
      <w:r w:rsidR="0041794F">
        <w:rPr>
          <w:rFonts w:cstheme="minorHAnsi"/>
          <w:vertAlign w:val="superscript"/>
        </w:rPr>
        <w:t>*</w:t>
      </w:r>
      <w:r w:rsidRPr="006F3F87">
        <w:rPr>
          <w:rFonts w:cstheme="minorHAnsi"/>
        </w:rPr>
        <w:t>, Matthew J. Cooper</w:t>
      </w:r>
      <w:r w:rsidRPr="006F3F87">
        <w:rPr>
          <w:rFonts w:cstheme="minorHAnsi"/>
          <w:vertAlign w:val="superscript"/>
        </w:rPr>
        <w:t>1</w:t>
      </w:r>
      <w:r w:rsidRPr="006F3F87">
        <w:rPr>
          <w:rFonts w:cstheme="minorHAnsi"/>
        </w:rPr>
        <w:t>, J. Andrew Milton</w:t>
      </w:r>
      <w:r w:rsidRPr="006F3F87">
        <w:rPr>
          <w:rFonts w:cstheme="minorHAnsi"/>
          <w:vertAlign w:val="superscript"/>
        </w:rPr>
        <w:t>1</w:t>
      </w:r>
      <w:r w:rsidRPr="006F3F87">
        <w:rPr>
          <w:rFonts w:cstheme="minorHAnsi"/>
        </w:rPr>
        <w:t xml:space="preserve">, </w:t>
      </w:r>
      <w:r w:rsidR="008A3689">
        <w:rPr>
          <w:rFonts w:cstheme="minorHAnsi"/>
        </w:rPr>
        <w:t xml:space="preserve">Rachael </w:t>
      </w:r>
      <w:r w:rsidR="009251DF">
        <w:rPr>
          <w:rFonts w:cstheme="minorHAnsi"/>
        </w:rPr>
        <w:t xml:space="preserve">H. </w:t>
      </w:r>
      <w:r w:rsidR="008A3689">
        <w:rPr>
          <w:rFonts w:cstheme="minorHAnsi"/>
        </w:rPr>
        <w:t>James</w:t>
      </w:r>
      <w:r w:rsidR="008A3689" w:rsidRPr="008A3689">
        <w:rPr>
          <w:rFonts w:cstheme="minorHAnsi"/>
          <w:vertAlign w:val="superscript"/>
        </w:rPr>
        <w:t>1</w:t>
      </w:r>
      <w:r w:rsidR="008A3689">
        <w:rPr>
          <w:rFonts w:cstheme="minorHAnsi"/>
        </w:rPr>
        <w:t xml:space="preserve">, </w:t>
      </w:r>
      <w:r w:rsidR="006F3F87" w:rsidRPr="006F3F87">
        <w:rPr>
          <w:rFonts w:cstheme="minorHAnsi"/>
        </w:rPr>
        <w:t xml:space="preserve">Anya </w:t>
      </w:r>
      <w:r w:rsidR="00D34858">
        <w:rPr>
          <w:rFonts w:cstheme="minorHAnsi"/>
        </w:rPr>
        <w:t xml:space="preserve">J. </w:t>
      </w:r>
      <w:r w:rsidR="006F3F87" w:rsidRPr="006F3F87">
        <w:rPr>
          <w:rFonts w:cstheme="minorHAnsi"/>
        </w:rPr>
        <w:t>Crocker</w:t>
      </w:r>
      <w:r w:rsidR="006F3F87" w:rsidRPr="006F3F87">
        <w:rPr>
          <w:rFonts w:cstheme="minorHAnsi"/>
          <w:vertAlign w:val="superscript"/>
        </w:rPr>
        <w:t>1</w:t>
      </w:r>
      <w:r w:rsidR="006F3F87" w:rsidRPr="006F3F87">
        <w:rPr>
          <w:rFonts w:cstheme="minorHAnsi"/>
        </w:rPr>
        <w:t xml:space="preserve">, </w:t>
      </w:r>
      <w:r w:rsidRPr="006F3F87">
        <w:rPr>
          <w:rFonts w:cstheme="minorHAnsi"/>
        </w:rPr>
        <w:t>Paul A. Wilson</w:t>
      </w:r>
      <w:r w:rsidRPr="006F3F87">
        <w:rPr>
          <w:rFonts w:cstheme="minorHAnsi"/>
          <w:vertAlign w:val="superscript"/>
        </w:rPr>
        <w:t>1</w:t>
      </w:r>
    </w:p>
    <w:p w14:paraId="25879881" w14:textId="77777777" w:rsidR="00F513FC" w:rsidRPr="00F216E4" w:rsidRDefault="00F513FC" w:rsidP="008C6417">
      <w:pPr>
        <w:spacing w:line="480" w:lineRule="auto"/>
        <w:jc w:val="both"/>
        <w:rPr>
          <w:rFonts w:cstheme="minorHAnsi"/>
        </w:rPr>
      </w:pPr>
    </w:p>
    <w:p w14:paraId="5DF2631B" w14:textId="77777777" w:rsidR="00B84133" w:rsidRPr="0041794F" w:rsidRDefault="00B84133" w:rsidP="00B84133">
      <w:pPr>
        <w:pStyle w:val="ListParagraph"/>
        <w:numPr>
          <w:ilvl w:val="0"/>
          <w:numId w:val="31"/>
        </w:numPr>
        <w:spacing w:line="480" w:lineRule="auto"/>
        <w:jc w:val="both"/>
        <w:rPr>
          <w:rFonts w:cstheme="minorHAnsi"/>
        </w:rPr>
      </w:pPr>
      <w:r w:rsidRPr="00B84133">
        <w:rPr>
          <w:rFonts w:cstheme="minorHAnsi"/>
          <w:i/>
          <w:iCs/>
        </w:rPr>
        <w:t>University of Southampton</w:t>
      </w:r>
      <w:r w:rsidR="004B11AF">
        <w:rPr>
          <w:rFonts w:cstheme="minorHAnsi"/>
          <w:i/>
          <w:iCs/>
        </w:rPr>
        <w:t>,</w:t>
      </w:r>
      <w:r w:rsidRPr="00B84133">
        <w:rPr>
          <w:rFonts w:cstheme="minorHAnsi"/>
          <w:i/>
          <w:iCs/>
        </w:rPr>
        <w:t xml:space="preserve"> Waterfront Campus, </w:t>
      </w:r>
      <w:r w:rsidR="009251DF" w:rsidRPr="00B84133">
        <w:rPr>
          <w:rFonts w:cstheme="minorHAnsi"/>
          <w:i/>
          <w:iCs/>
        </w:rPr>
        <w:t xml:space="preserve">National </w:t>
      </w:r>
      <w:r w:rsidR="009251DF">
        <w:rPr>
          <w:rFonts w:cstheme="minorHAnsi"/>
          <w:i/>
          <w:iCs/>
        </w:rPr>
        <w:t>Oceanography Centre Southampton,</w:t>
      </w:r>
      <w:r w:rsidRPr="00B84133">
        <w:rPr>
          <w:rFonts w:cstheme="minorHAnsi"/>
          <w:i/>
          <w:iCs/>
        </w:rPr>
        <w:t xml:space="preserve"> SO14 3ZH, UK</w:t>
      </w:r>
    </w:p>
    <w:p w14:paraId="36D0DF45" w14:textId="77777777" w:rsidR="0041794F" w:rsidRPr="0041794F" w:rsidRDefault="0041794F" w:rsidP="0041794F">
      <w:pPr>
        <w:spacing w:line="480" w:lineRule="auto"/>
        <w:ind w:left="360"/>
        <w:jc w:val="both"/>
        <w:rPr>
          <w:rFonts w:cstheme="minorHAnsi"/>
        </w:rPr>
      </w:pPr>
    </w:p>
    <w:p w14:paraId="06123974" w14:textId="77777777" w:rsidR="00D223E0" w:rsidRPr="0041794F" w:rsidRDefault="0041794F" w:rsidP="0041794F">
      <w:pPr>
        <w:spacing w:line="480" w:lineRule="auto"/>
        <w:jc w:val="both"/>
        <w:rPr>
          <w:rFonts w:cstheme="minorHAnsi"/>
        </w:rPr>
      </w:pPr>
      <w:r w:rsidRPr="0041794F">
        <w:rPr>
          <w:rFonts w:cstheme="minorHAnsi"/>
        </w:rPr>
        <w:t>*</w:t>
      </w:r>
      <w:r>
        <w:rPr>
          <w:rFonts w:cstheme="minorHAnsi"/>
        </w:rPr>
        <w:t xml:space="preserve"> </w:t>
      </w:r>
      <w:r w:rsidRPr="0041794F">
        <w:rPr>
          <w:rFonts w:cstheme="minorHAnsi"/>
        </w:rPr>
        <w:t>Corresponding autho</w:t>
      </w:r>
      <w:r>
        <w:rPr>
          <w:rFonts w:cstheme="minorHAnsi"/>
        </w:rPr>
        <w:t>r</w:t>
      </w:r>
    </w:p>
    <w:p w14:paraId="0432D363" w14:textId="77777777" w:rsidR="006F3F87" w:rsidRPr="00725EB8" w:rsidRDefault="00725EB8" w:rsidP="00725EB8">
      <w:pPr>
        <w:pStyle w:val="Heading1"/>
        <w:numPr>
          <w:ilvl w:val="0"/>
          <w:numId w:val="0"/>
        </w:numPr>
        <w:spacing w:line="480" w:lineRule="auto"/>
        <w:ind w:left="1000"/>
      </w:pPr>
      <w:r w:rsidRPr="00725EB8">
        <w:t>Highlights</w:t>
      </w:r>
    </w:p>
    <w:p w14:paraId="2CE431F1" w14:textId="568843E0" w:rsidR="00D93408" w:rsidRDefault="00D0367F" w:rsidP="00725EB8">
      <w:pPr>
        <w:pStyle w:val="ListParagraph"/>
        <w:numPr>
          <w:ilvl w:val="0"/>
          <w:numId w:val="37"/>
        </w:numPr>
        <w:spacing w:line="480" w:lineRule="auto"/>
        <w:jc w:val="both"/>
        <w:rPr>
          <w:rFonts w:cstheme="minorHAnsi"/>
        </w:rPr>
      </w:pPr>
      <w:r>
        <w:t xml:space="preserve">A systematic </w:t>
      </w:r>
      <w:r w:rsidR="00917DEE">
        <w:t>protocol</w:t>
      </w:r>
      <w:r w:rsidR="00917DEE" w:rsidRPr="00783D81">
        <w:t xml:space="preserve"> </w:t>
      </w:r>
      <w:r>
        <w:t>for</w:t>
      </w:r>
      <w:r w:rsidRPr="00783D81">
        <w:t xml:space="preserve"> </w:t>
      </w:r>
      <w:r w:rsidR="00280362">
        <w:t xml:space="preserve">the effective removal of </w:t>
      </w:r>
      <w:r w:rsidR="0093524F">
        <w:t xml:space="preserve">all </w:t>
      </w:r>
      <w:r w:rsidR="00280362">
        <w:t xml:space="preserve">contaminating marine phases from terrigenous sediments </w:t>
      </w:r>
      <w:r>
        <w:t>that can be tailored to</w:t>
      </w:r>
      <w:r w:rsidRPr="00783D81">
        <w:t xml:space="preserve"> site</w:t>
      </w:r>
      <w:r>
        <w:t>-</w:t>
      </w:r>
      <w:r w:rsidR="00DB6666">
        <w:t xml:space="preserve"> and project- </w:t>
      </w:r>
      <w:r w:rsidRPr="00783D81">
        <w:t>specific needs</w:t>
      </w:r>
      <w:r w:rsidR="0093524F">
        <w:rPr>
          <w:rFonts w:cstheme="minorHAnsi"/>
        </w:rPr>
        <w:t xml:space="preserve"> </w:t>
      </w:r>
    </w:p>
    <w:p w14:paraId="495CAE23" w14:textId="44A0DEB0" w:rsidR="00725EB8" w:rsidRDefault="00D223E0" w:rsidP="00725EB8">
      <w:pPr>
        <w:pStyle w:val="ListParagraph"/>
        <w:numPr>
          <w:ilvl w:val="0"/>
          <w:numId w:val="37"/>
        </w:numPr>
        <w:spacing w:line="480" w:lineRule="auto"/>
        <w:jc w:val="both"/>
        <w:rPr>
          <w:rFonts w:cstheme="minorHAnsi"/>
        </w:rPr>
      </w:pPr>
      <w:r>
        <w:rPr>
          <w:rFonts w:cstheme="minorHAnsi"/>
        </w:rPr>
        <w:t>M</w:t>
      </w:r>
      <w:r w:rsidR="00D93408">
        <w:rPr>
          <w:rFonts w:cstheme="minorHAnsi"/>
        </w:rPr>
        <w:t xml:space="preserve">arine barite </w:t>
      </w:r>
      <w:r w:rsidR="00690155">
        <w:rPr>
          <w:rFonts w:cstheme="minorHAnsi"/>
        </w:rPr>
        <w:t>contaminates</w:t>
      </w:r>
      <w:r w:rsidR="00E869C7">
        <w:rPr>
          <w:rFonts w:cstheme="minorHAnsi"/>
        </w:rPr>
        <w:t xml:space="preserve"> </w:t>
      </w:r>
      <w:r w:rsidR="007625D3">
        <w:rPr>
          <w:rFonts w:cstheme="minorHAnsi"/>
        </w:rPr>
        <w:t xml:space="preserve">measured </w:t>
      </w:r>
      <w:r w:rsidR="00E869C7">
        <w:rPr>
          <w:rFonts w:cstheme="minorHAnsi"/>
        </w:rPr>
        <w:t>terrigenous</w:t>
      </w:r>
      <w:r w:rsidR="00D93408">
        <w:rPr>
          <w:rFonts w:cstheme="minorHAnsi"/>
        </w:rPr>
        <w:t xml:space="preserve"> </w:t>
      </w:r>
      <w:r w:rsidR="00D93408" w:rsidRPr="00D93408">
        <w:rPr>
          <w:rFonts w:cstheme="minorHAnsi"/>
          <w:vertAlign w:val="superscript"/>
        </w:rPr>
        <w:t>87</w:t>
      </w:r>
      <w:r w:rsidR="00D93408" w:rsidRPr="00D93408">
        <w:rPr>
          <w:rFonts w:cstheme="minorHAnsi"/>
        </w:rPr>
        <w:t>Sr/</w:t>
      </w:r>
      <w:r w:rsidR="00D93408" w:rsidRPr="00D93408">
        <w:rPr>
          <w:rFonts w:cstheme="minorHAnsi"/>
          <w:vertAlign w:val="superscript"/>
        </w:rPr>
        <w:t>86</w:t>
      </w:r>
      <w:r w:rsidR="00D93408" w:rsidRPr="00D93408">
        <w:rPr>
          <w:rFonts w:cstheme="minorHAnsi"/>
        </w:rPr>
        <w:t>Sr</w:t>
      </w:r>
      <w:r w:rsidR="00D93408">
        <w:rPr>
          <w:rFonts w:cstheme="minorHAnsi"/>
        </w:rPr>
        <w:t xml:space="preserve"> by </w:t>
      </w:r>
      <w:r w:rsidR="007625D3">
        <w:rPr>
          <w:rFonts w:cstheme="minorHAnsi"/>
        </w:rPr>
        <w:t xml:space="preserve">up to </w:t>
      </w:r>
      <w:r w:rsidR="00690155">
        <w:rPr>
          <w:rFonts w:cstheme="minorHAnsi"/>
        </w:rPr>
        <w:t>0.01</w:t>
      </w:r>
      <w:r w:rsidR="00D93408">
        <w:rPr>
          <w:rFonts w:cstheme="minorHAnsi"/>
        </w:rPr>
        <w:t xml:space="preserve"> towards </w:t>
      </w:r>
      <w:r w:rsidR="002C07C5">
        <w:rPr>
          <w:rFonts w:cstheme="minorHAnsi"/>
        </w:rPr>
        <w:t>the s</w:t>
      </w:r>
      <w:r w:rsidR="00D93408">
        <w:rPr>
          <w:rFonts w:cstheme="minorHAnsi"/>
        </w:rPr>
        <w:t>eawater</w:t>
      </w:r>
      <w:r w:rsidR="002C07C5">
        <w:rPr>
          <w:rFonts w:cstheme="minorHAnsi"/>
        </w:rPr>
        <w:t xml:space="preserve"> ratio</w:t>
      </w:r>
      <w:r w:rsidR="0093524F">
        <w:rPr>
          <w:rFonts w:cstheme="minorHAnsi"/>
        </w:rPr>
        <w:t xml:space="preserve"> but is removed by our protocol without compromising </w:t>
      </w:r>
      <w:r w:rsidR="0093524F" w:rsidRPr="004906E8">
        <w:rPr>
          <w:rFonts w:ascii="Symbol" w:hAnsi="Symbol" w:cstheme="minorHAnsi"/>
        </w:rPr>
        <w:t>e</w:t>
      </w:r>
      <w:r w:rsidR="0093524F" w:rsidRPr="004906E8">
        <w:rPr>
          <w:rFonts w:cstheme="minorHAnsi"/>
          <w:vertAlign w:val="subscript"/>
        </w:rPr>
        <w:t>Nd</w:t>
      </w:r>
      <w:r w:rsidR="0093524F">
        <w:rPr>
          <w:rFonts w:cstheme="minorHAnsi"/>
        </w:rPr>
        <w:t xml:space="preserve"> data.</w:t>
      </w:r>
    </w:p>
    <w:p w14:paraId="0BAE1DDA" w14:textId="13076C31" w:rsidR="00F01821" w:rsidRDefault="00762CC8" w:rsidP="00F01821">
      <w:pPr>
        <w:pStyle w:val="ListParagraph"/>
        <w:numPr>
          <w:ilvl w:val="0"/>
          <w:numId w:val="37"/>
        </w:numPr>
        <w:spacing w:line="480" w:lineRule="auto"/>
        <w:jc w:val="both"/>
        <w:rPr>
          <w:rFonts w:cstheme="minorHAnsi"/>
        </w:rPr>
      </w:pPr>
      <w:r>
        <w:rPr>
          <w:rFonts w:cstheme="minorHAnsi"/>
        </w:rPr>
        <w:t>Extent of</w:t>
      </w:r>
      <w:r w:rsidR="0093524F">
        <w:rPr>
          <w:rFonts w:cstheme="minorHAnsi"/>
        </w:rPr>
        <w:t xml:space="preserve"> barite</w:t>
      </w:r>
      <w:r>
        <w:rPr>
          <w:rFonts w:cstheme="minorHAnsi"/>
        </w:rPr>
        <w:t xml:space="preserve"> contamination depends </w:t>
      </w:r>
      <w:r w:rsidR="00D93408">
        <w:rPr>
          <w:rFonts w:cstheme="minorHAnsi"/>
        </w:rPr>
        <w:t xml:space="preserve">on </w:t>
      </w:r>
      <w:r>
        <w:rPr>
          <w:rFonts w:cstheme="minorHAnsi"/>
        </w:rPr>
        <w:t>sedimentary</w:t>
      </w:r>
      <w:r w:rsidR="00D93408">
        <w:rPr>
          <w:rFonts w:cstheme="minorHAnsi"/>
        </w:rPr>
        <w:t xml:space="preserve"> barite content</w:t>
      </w:r>
      <w:r w:rsidR="00D223E0">
        <w:rPr>
          <w:rFonts w:cstheme="minorHAnsi"/>
        </w:rPr>
        <w:t xml:space="preserve"> </w:t>
      </w:r>
      <w:r w:rsidR="00D93408">
        <w:rPr>
          <w:rFonts w:cstheme="minorHAnsi"/>
        </w:rPr>
        <w:t xml:space="preserve">and the offset </w:t>
      </w:r>
      <w:r w:rsidR="00D223E0">
        <w:rPr>
          <w:rFonts w:cstheme="minorHAnsi"/>
        </w:rPr>
        <w:t xml:space="preserve">in </w:t>
      </w:r>
      <w:r w:rsidR="00D223E0" w:rsidRPr="00D223E0">
        <w:rPr>
          <w:rFonts w:cstheme="minorHAnsi"/>
          <w:vertAlign w:val="superscript"/>
        </w:rPr>
        <w:t>87</w:t>
      </w:r>
      <w:r w:rsidR="00D223E0" w:rsidRPr="00D223E0">
        <w:rPr>
          <w:rFonts w:cstheme="minorHAnsi"/>
        </w:rPr>
        <w:t>Sr/</w:t>
      </w:r>
      <w:r w:rsidR="00D223E0" w:rsidRPr="00D223E0">
        <w:rPr>
          <w:rFonts w:cstheme="minorHAnsi"/>
          <w:vertAlign w:val="superscript"/>
        </w:rPr>
        <w:t>86</w:t>
      </w:r>
      <w:r w:rsidR="00D223E0" w:rsidRPr="00D223E0">
        <w:rPr>
          <w:rFonts w:cstheme="minorHAnsi"/>
        </w:rPr>
        <w:t>Sr</w:t>
      </w:r>
      <w:r w:rsidR="00D223E0">
        <w:rPr>
          <w:rFonts w:cstheme="minorHAnsi"/>
        </w:rPr>
        <w:t xml:space="preserve"> </w:t>
      </w:r>
      <w:r w:rsidR="00D93408">
        <w:rPr>
          <w:rFonts w:cstheme="minorHAnsi"/>
        </w:rPr>
        <w:t xml:space="preserve">between </w:t>
      </w:r>
      <w:r w:rsidR="002C07C5">
        <w:rPr>
          <w:rFonts w:cstheme="minorHAnsi"/>
        </w:rPr>
        <w:t xml:space="preserve">the </w:t>
      </w:r>
      <w:r w:rsidR="00E869C7">
        <w:rPr>
          <w:rFonts w:cstheme="minorHAnsi"/>
        </w:rPr>
        <w:t>terrigenous</w:t>
      </w:r>
      <w:r w:rsidR="002C07C5">
        <w:rPr>
          <w:rFonts w:cstheme="minorHAnsi"/>
        </w:rPr>
        <w:t xml:space="preserve"> and </w:t>
      </w:r>
      <w:r w:rsidR="00D93408">
        <w:rPr>
          <w:rFonts w:cstheme="minorHAnsi"/>
        </w:rPr>
        <w:t>s</w:t>
      </w:r>
      <w:r w:rsidR="00D223E0">
        <w:rPr>
          <w:rFonts w:cstheme="minorHAnsi"/>
        </w:rPr>
        <w:t>eawa</w:t>
      </w:r>
      <w:r w:rsidR="00D93408">
        <w:rPr>
          <w:rFonts w:cstheme="minorHAnsi"/>
        </w:rPr>
        <w:t>ter</w:t>
      </w:r>
      <w:r w:rsidR="00D223E0">
        <w:rPr>
          <w:rFonts w:cstheme="minorHAnsi"/>
        </w:rPr>
        <w:t xml:space="preserve"> </w:t>
      </w:r>
      <w:r w:rsidR="002C07C5">
        <w:rPr>
          <w:rFonts w:cstheme="minorHAnsi"/>
        </w:rPr>
        <w:t>ratios</w:t>
      </w:r>
      <w:r w:rsidR="00D223E0">
        <w:rPr>
          <w:rFonts w:cstheme="minorHAnsi"/>
        </w:rPr>
        <w:t>.</w:t>
      </w:r>
    </w:p>
    <w:p w14:paraId="3F510ED5" w14:textId="6CD02699" w:rsidR="00F01821" w:rsidRPr="00F01821" w:rsidRDefault="006B0C31" w:rsidP="00F01821">
      <w:pPr>
        <w:pStyle w:val="ListParagraph"/>
        <w:numPr>
          <w:ilvl w:val="0"/>
          <w:numId w:val="37"/>
        </w:numPr>
        <w:spacing w:line="480" w:lineRule="auto"/>
        <w:jc w:val="both"/>
        <w:rPr>
          <w:rFonts w:cstheme="minorHAnsi"/>
        </w:rPr>
      </w:pPr>
      <w:r>
        <w:rPr>
          <w:rFonts w:cstheme="minorHAnsi"/>
        </w:rPr>
        <w:t>At least o</w:t>
      </w:r>
      <w:r w:rsidR="00F01821">
        <w:rPr>
          <w:rFonts w:cstheme="minorHAnsi"/>
        </w:rPr>
        <w:t xml:space="preserve">ne treatment with DTPA-NaOH to remove marine barite should be applied in most marine investigations of terrigenous </w:t>
      </w:r>
      <w:r w:rsidR="00F01821" w:rsidRPr="00F01821">
        <w:rPr>
          <w:rFonts w:cstheme="minorHAnsi"/>
          <w:vertAlign w:val="superscript"/>
        </w:rPr>
        <w:t>87</w:t>
      </w:r>
      <w:r w:rsidR="00F01821" w:rsidRPr="00F01821">
        <w:rPr>
          <w:rFonts w:cstheme="minorHAnsi"/>
        </w:rPr>
        <w:t>Sr/</w:t>
      </w:r>
      <w:r w:rsidR="00F01821" w:rsidRPr="00F01821">
        <w:rPr>
          <w:rFonts w:cstheme="minorHAnsi"/>
          <w:vertAlign w:val="superscript"/>
        </w:rPr>
        <w:t>86</w:t>
      </w:r>
      <w:r w:rsidR="00F01821" w:rsidRPr="00F01821">
        <w:rPr>
          <w:rFonts w:cstheme="minorHAnsi"/>
        </w:rPr>
        <w:t>Sr</w:t>
      </w:r>
      <w:r w:rsidR="0093524F">
        <w:rPr>
          <w:rFonts w:cstheme="minorHAnsi"/>
        </w:rPr>
        <w:t>.</w:t>
      </w:r>
    </w:p>
    <w:p w14:paraId="7793B9DC" w14:textId="77777777" w:rsidR="00725EB8" w:rsidRDefault="00725EB8" w:rsidP="00725EB8">
      <w:pPr>
        <w:spacing w:line="480" w:lineRule="auto"/>
        <w:jc w:val="both"/>
        <w:rPr>
          <w:rFonts w:cstheme="minorHAnsi"/>
          <w:b/>
          <w:bCs/>
        </w:rPr>
      </w:pPr>
    </w:p>
    <w:p w14:paraId="794E2554" w14:textId="3F9EE9EA" w:rsidR="00725EB8" w:rsidRPr="00725EB8" w:rsidRDefault="00725EB8" w:rsidP="00725EB8">
      <w:pPr>
        <w:spacing w:line="480" w:lineRule="auto"/>
        <w:jc w:val="both"/>
        <w:rPr>
          <w:rFonts w:cstheme="minorHAnsi"/>
        </w:rPr>
      </w:pPr>
      <w:r>
        <w:rPr>
          <w:rFonts w:cstheme="minorHAnsi"/>
          <w:b/>
          <w:bCs/>
        </w:rPr>
        <w:t xml:space="preserve">Keywords: </w:t>
      </w:r>
      <w:r w:rsidRPr="00725EB8">
        <w:rPr>
          <w:rFonts w:cstheme="minorHAnsi"/>
        </w:rPr>
        <w:t xml:space="preserve">Marine barite, </w:t>
      </w:r>
      <w:r w:rsidR="00E869C7">
        <w:rPr>
          <w:rFonts w:cstheme="minorHAnsi"/>
        </w:rPr>
        <w:t>terrigenous</w:t>
      </w:r>
      <w:r w:rsidRPr="00725EB8">
        <w:rPr>
          <w:rFonts w:cstheme="minorHAnsi"/>
        </w:rPr>
        <w:t xml:space="preserve"> fraction</w:t>
      </w:r>
      <w:r>
        <w:rPr>
          <w:rFonts w:cstheme="minorHAnsi"/>
        </w:rPr>
        <w:t xml:space="preserve"> of sediment</w:t>
      </w:r>
      <w:r w:rsidRPr="00725EB8">
        <w:rPr>
          <w:rFonts w:cstheme="minorHAnsi"/>
        </w:rPr>
        <w:t xml:space="preserve">, </w:t>
      </w:r>
      <w:r w:rsidRPr="00725EB8">
        <w:rPr>
          <w:rFonts w:cstheme="minorHAnsi"/>
          <w:vertAlign w:val="superscript"/>
        </w:rPr>
        <w:t>87</w:t>
      </w:r>
      <w:r w:rsidRPr="00725EB8">
        <w:rPr>
          <w:rFonts w:cstheme="minorHAnsi"/>
        </w:rPr>
        <w:t>Sr/</w:t>
      </w:r>
      <w:r w:rsidRPr="00725EB8">
        <w:rPr>
          <w:rFonts w:cstheme="minorHAnsi"/>
          <w:vertAlign w:val="superscript"/>
        </w:rPr>
        <w:t>86</w:t>
      </w:r>
      <w:r w:rsidRPr="00725EB8">
        <w:rPr>
          <w:rFonts w:cstheme="minorHAnsi"/>
        </w:rPr>
        <w:t>Sr, ε</w:t>
      </w:r>
      <w:r w:rsidRPr="00725EB8">
        <w:rPr>
          <w:rFonts w:cstheme="minorHAnsi"/>
          <w:vertAlign w:val="subscript"/>
        </w:rPr>
        <w:t>Nd</w:t>
      </w:r>
      <w:r w:rsidRPr="00725EB8">
        <w:rPr>
          <w:rFonts w:cstheme="minorHAnsi"/>
        </w:rPr>
        <w:t>.</w:t>
      </w:r>
    </w:p>
    <w:p w14:paraId="45FB03D2" w14:textId="77777777" w:rsidR="00725EB8" w:rsidRDefault="00725EB8" w:rsidP="00D20286">
      <w:pPr>
        <w:spacing w:line="480" w:lineRule="auto"/>
        <w:jc w:val="both"/>
        <w:rPr>
          <w:rFonts w:cstheme="minorHAnsi"/>
        </w:rPr>
      </w:pPr>
    </w:p>
    <w:p w14:paraId="49CE7651" w14:textId="77777777" w:rsidR="00342621" w:rsidRDefault="00342621" w:rsidP="00D20286">
      <w:pPr>
        <w:spacing w:line="480" w:lineRule="auto"/>
        <w:jc w:val="both"/>
        <w:rPr>
          <w:rFonts w:cstheme="minorHAnsi"/>
        </w:rPr>
      </w:pPr>
    </w:p>
    <w:p w14:paraId="109DD1E7" w14:textId="77777777" w:rsidR="00342621" w:rsidRPr="00D20286" w:rsidRDefault="00342621" w:rsidP="00D20286">
      <w:pPr>
        <w:spacing w:line="480" w:lineRule="auto"/>
        <w:jc w:val="both"/>
        <w:rPr>
          <w:rFonts w:cstheme="minorHAnsi"/>
        </w:rPr>
      </w:pPr>
    </w:p>
    <w:p w14:paraId="118A418B" w14:textId="77777777" w:rsidR="001C2ACD" w:rsidRDefault="002C3AFD" w:rsidP="0027456C">
      <w:pPr>
        <w:pStyle w:val="Heading1"/>
        <w:numPr>
          <w:ilvl w:val="0"/>
          <w:numId w:val="0"/>
        </w:numPr>
        <w:spacing w:line="480" w:lineRule="auto"/>
        <w:ind w:left="1000"/>
      </w:pPr>
      <w:r w:rsidRPr="00D20286">
        <w:t>Abstract</w:t>
      </w:r>
    </w:p>
    <w:p w14:paraId="000134F0" w14:textId="0C9E6925" w:rsidR="00E003BF" w:rsidRPr="006030A1" w:rsidRDefault="001748F8" w:rsidP="00E003BF">
      <w:pPr>
        <w:spacing w:line="480" w:lineRule="auto"/>
        <w:jc w:val="both"/>
        <w:rPr>
          <w:rFonts w:ascii="AppleSystemUIFont" w:hAnsi="AppleSystemUIFont" w:cs="AppleSystemUIFont"/>
        </w:rPr>
      </w:pPr>
      <w:r>
        <w:t>The radiogenic isotope composition (</w:t>
      </w:r>
      <w:r w:rsidR="00C766A1">
        <w:t xml:space="preserve">e.g. </w:t>
      </w:r>
      <w:r w:rsidRPr="00B652B3">
        <w:rPr>
          <w:vertAlign w:val="superscript"/>
        </w:rPr>
        <w:t>87</w:t>
      </w:r>
      <w:r w:rsidRPr="00B652B3">
        <w:t>Sr/</w:t>
      </w:r>
      <w:r w:rsidRPr="00B652B3">
        <w:rPr>
          <w:vertAlign w:val="superscript"/>
        </w:rPr>
        <w:t>86</w:t>
      </w:r>
      <w:r w:rsidRPr="00B652B3">
        <w:t>Sr</w:t>
      </w:r>
      <w:r>
        <w:t xml:space="preserve"> and </w:t>
      </w:r>
      <w:r w:rsidRPr="00257555">
        <w:t>ε</w:t>
      </w:r>
      <w:r w:rsidRPr="00257555">
        <w:rPr>
          <w:vertAlign w:val="subscript"/>
        </w:rPr>
        <w:t>Nd</w:t>
      </w:r>
      <w:r>
        <w:t xml:space="preserve">) of the </w:t>
      </w:r>
      <w:r w:rsidR="00E869C7">
        <w:t>terrigenous</w:t>
      </w:r>
      <w:r>
        <w:t xml:space="preserve"> fraction is commonly used to determine the provenance and transport history of sediments. In </w:t>
      </w:r>
      <w:r w:rsidR="00422BF7">
        <w:t>ocean</w:t>
      </w:r>
      <w:r>
        <w:t xml:space="preserve"> sediments, the </w:t>
      </w:r>
      <w:r w:rsidR="00E003BF">
        <w:t xml:space="preserve">terrigenous </w:t>
      </w:r>
      <w:r>
        <w:t xml:space="preserve">fraction must be isolated prior to analysis </w:t>
      </w:r>
      <w:r w:rsidR="00E003BF">
        <w:t xml:space="preserve">to avoid </w:t>
      </w:r>
      <w:r w:rsidR="00FA744A">
        <w:t>contamination</w:t>
      </w:r>
      <w:r w:rsidR="00E003BF">
        <w:t xml:space="preserve"> by marine phases</w:t>
      </w:r>
      <w:r>
        <w:t>. While the removal of</w:t>
      </w:r>
      <w:r w:rsidR="00E003BF">
        <w:t xml:space="preserve"> </w:t>
      </w:r>
      <w:r>
        <w:t xml:space="preserve">calcium carbonate, organic matter, biogenic opal, authigenic coatings and adsorbed cations is </w:t>
      </w:r>
      <w:r w:rsidR="00B314B1">
        <w:t>widely advised</w:t>
      </w:r>
      <w:r w:rsidR="006C7608">
        <w:t>, steps</w:t>
      </w:r>
      <w:r w:rsidR="008A7B8D">
        <w:t xml:space="preserve"> to remove all</w:t>
      </w:r>
      <w:r w:rsidR="00984CE4">
        <w:t xml:space="preserve"> </w:t>
      </w:r>
      <w:r w:rsidR="008A7B8D">
        <w:t>these phases</w:t>
      </w:r>
      <w:r w:rsidR="006C7608">
        <w:t xml:space="preserve"> </w:t>
      </w:r>
      <w:r w:rsidR="008A7B8D">
        <w:t>are</w:t>
      </w:r>
      <w:r w:rsidR="006C7608">
        <w:t xml:space="preserve"> not </w:t>
      </w:r>
      <w:r w:rsidR="00550355">
        <w:t xml:space="preserve">consistently </w:t>
      </w:r>
      <w:r w:rsidR="006C7608">
        <w:t>employed</w:t>
      </w:r>
      <w:r>
        <w:t>,</w:t>
      </w:r>
      <w:r w:rsidR="006C7608">
        <w:t xml:space="preserve"> and</w:t>
      </w:r>
      <w:r>
        <w:t xml:space="preserve"> </w:t>
      </w:r>
      <w:r w:rsidR="00E003BF">
        <w:t xml:space="preserve">there is no standard procedure for </w:t>
      </w:r>
      <w:r w:rsidR="00550355">
        <w:t xml:space="preserve">the effective </w:t>
      </w:r>
      <w:r w:rsidR="00E003BF">
        <w:t>remov</w:t>
      </w:r>
      <w:r w:rsidR="00550355">
        <w:t>al of</w:t>
      </w:r>
      <w:r w:rsidR="00E003BF">
        <w:t xml:space="preserve"> marine barite</w:t>
      </w:r>
      <w:r>
        <w:t xml:space="preserve">. Marine barite is </w:t>
      </w:r>
      <w:r w:rsidR="00E003BF">
        <w:t>found throughout the world’s oceans, particularly in regions of high export</w:t>
      </w:r>
      <w:r w:rsidR="00DB6666">
        <w:t xml:space="preserve"> production</w:t>
      </w:r>
      <w:r w:rsidR="00E003BF">
        <w:t xml:space="preserve">, is highly enriched in </w:t>
      </w:r>
      <w:r w:rsidR="00EC160D">
        <w:t xml:space="preserve">strontium </w:t>
      </w:r>
      <w:r w:rsidR="00E003BF">
        <w:t xml:space="preserve">(Sr) </w:t>
      </w:r>
      <w:r w:rsidR="006030A1">
        <w:t>and therefore has</w:t>
      </w:r>
      <w:r w:rsidR="008A07D4">
        <w:t xml:space="preserve"> the potential to</w:t>
      </w:r>
      <w:r w:rsidR="00E003BF">
        <w:t xml:space="preserve"> bias measurements of </w:t>
      </w:r>
      <w:r w:rsidR="00E869C7">
        <w:t>terrigenous</w:t>
      </w:r>
      <w:r w:rsidR="003F40DD">
        <w:t xml:space="preserve"> </w:t>
      </w:r>
      <w:r w:rsidR="00E003BF" w:rsidRPr="00B652B3">
        <w:rPr>
          <w:vertAlign w:val="superscript"/>
        </w:rPr>
        <w:t>87</w:t>
      </w:r>
      <w:r w:rsidR="00E003BF" w:rsidRPr="00B652B3">
        <w:t>Sr/</w:t>
      </w:r>
      <w:r w:rsidR="00E003BF" w:rsidRPr="00B652B3">
        <w:rPr>
          <w:vertAlign w:val="superscript"/>
        </w:rPr>
        <w:t>86</w:t>
      </w:r>
      <w:r w:rsidR="00E003BF" w:rsidRPr="00B652B3">
        <w:t>Sr</w:t>
      </w:r>
      <w:r w:rsidR="00E003BF">
        <w:t xml:space="preserve"> towards seawater. Here we present results from </w:t>
      </w:r>
      <w:r w:rsidR="00E003BF" w:rsidRPr="00E003BF">
        <w:t xml:space="preserve">sequential </w:t>
      </w:r>
      <w:r w:rsidR="00851078">
        <w:t>leaching</w:t>
      </w:r>
      <w:r w:rsidR="006C7608" w:rsidRPr="00E003BF">
        <w:t xml:space="preserve"> </w:t>
      </w:r>
      <w:r w:rsidR="00E003BF" w:rsidRPr="00E003BF">
        <w:t>experiments on marine sediments from the Atlantic and the Pacific Oceans</w:t>
      </w:r>
      <w:r w:rsidR="00EE16FF">
        <w:t xml:space="preserve"> to </w:t>
      </w:r>
      <w:r w:rsidR="00E003BF">
        <w:t>quantitative</w:t>
      </w:r>
      <w:r w:rsidR="00DD5A0C">
        <w:t>ly determine</w:t>
      </w:r>
      <w:r w:rsidR="00E003BF">
        <w:t xml:space="preserve"> the</w:t>
      </w:r>
      <w:r w:rsidR="00EE16FF">
        <w:t xml:space="preserve"> </w:t>
      </w:r>
      <w:r w:rsidR="00E869C7">
        <w:t xml:space="preserve">contaminating </w:t>
      </w:r>
      <w:r w:rsidR="00EE16FF">
        <w:t xml:space="preserve">effect on </w:t>
      </w:r>
      <w:r w:rsidR="00E003BF" w:rsidRPr="00B652B3">
        <w:rPr>
          <w:vertAlign w:val="superscript"/>
        </w:rPr>
        <w:t>87</w:t>
      </w:r>
      <w:r w:rsidR="00E003BF" w:rsidRPr="00B652B3">
        <w:t>Sr/</w:t>
      </w:r>
      <w:r w:rsidR="00E003BF" w:rsidRPr="00B652B3">
        <w:rPr>
          <w:vertAlign w:val="superscript"/>
        </w:rPr>
        <w:t>86</w:t>
      </w:r>
      <w:r w:rsidR="00E003BF" w:rsidRPr="00B652B3">
        <w:t>Sr</w:t>
      </w:r>
      <w:r w:rsidR="00E003BF">
        <w:t xml:space="preserve"> </w:t>
      </w:r>
      <w:r w:rsidR="00EE16FF">
        <w:t xml:space="preserve">and </w:t>
      </w:r>
      <w:r w:rsidR="00EE16FF" w:rsidRPr="006030A1">
        <w:rPr>
          <w:rFonts w:ascii="Symbol" w:hAnsi="Symbol"/>
        </w:rPr>
        <w:t></w:t>
      </w:r>
      <w:r w:rsidR="00EE16FF" w:rsidRPr="006030A1">
        <w:rPr>
          <w:vertAlign w:val="subscript"/>
        </w:rPr>
        <w:t>Nd</w:t>
      </w:r>
      <w:r w:rsidR="00EE16FF">
        <w:t xml:space="preserve"> exerted by the presence </w:t>
      </w:r>
      <w:r w:rsidR="00DD5A0C">
        <w:t xml:space="preserve">of </w:t>
      </w:r>
      <w:r w:rsidR="00EE16FF">
        <w:t>barite</w:t>
      </w:r>
      <w:r w:rsidR="00DD5A0C">
        <w:t xml:space="preserve"> </w:t>
      </w:r>
      <w:r w:rsidR="00E003BF">
        <w:t xml:space="preserve">and </w:t>
      </w:r>
      <w:r w:rsidR="00DD5A0C">
        <w:t xml:space="preserve">develop a </w:t>
      </w:r>
      <w:r w:rsidR="00E003BF">
        <w:t xml:space="preserve">protocol </w:t>
      </w:r>
      <w:r w:rsidR="00EE16FF">
        <w:t xml:space="preserve">to </w:t>
      </w:r>
      <w:r w:rsidR="00E003BF">
        <w:t>successfully isolat</w:t>
      </w:r>
      <w:r w:rsidR="00EE16FF">
        <w:t>e</w:t>
      </w:r>
      <w:r w:rsidR="00E003BF">
        <w:t xml:space="preserve"> the terrigenous fraction.</w:t>
      </w:r>
      <w:r w:rsidR="00673FFF">
        <w:t xml:space="preserve"> Our results</w:t>
      </w:r>
      <w:r w:rsidR="00673FFF">
        <w:rPr>
          <w:rFonts w:ascii="AppleSystemUIFont" w:hAnsi="AppleSystemUIFont" w:cs="AppleSystemUIFont"/>
        </w:rPr>
        <w:t xml:space="preserve"> </w:t>
      </w:r>
      <w:r w:rsidR="00D0367F">
        <w:rPr>
          <w:rFonts w:ascii="AppleSystemUIFont" w:hAnsi="AppleSystemUIFont" w:cs="AppleSystemUIFont"/>
        </w:rPr>
        <w:t>show</w:t>
      </w:r>
      <w:r w:rsidR="00673FFF">
        <w:rPr>
          <w:rFonts w:ascii="AppleSystemUIFont" w:hAnsi="AppleSystemUIFont" w:cs="AppleSystemUIFont"/>
        </w:rPr>
        <w:t xml:space="preserve"> that marine barite can skew </w:t>
      </w:r>
      <w:r w:rsidR="002C2F9F">
        <w:rPr>
          <w:rFonts w:ascii="AppleSystemUIFont" w:hAnsi="AppleSystemUIFont" w:cs="AppleSystemUIFont"/>
        </w:rPr>
        <w:t xml:space="preserve">measurements of </w:t>
      </w:r>
      <w:r w:rsidR="00E869C7">
        <w:rPr>
          <w:rFonts w:ascii="AppleSystemUIFont" w:hAnsi="AppleSystemUIFont" w:cs="AppleSystemUIFont"/>
        </w:rPr>
        <w:t>terrigenous</w:t>
      </w:r>
      <w:r w:rsidR="00673FFF">
        <w:rPr>
          <w:rFonts w:ascii="AppleSystemUIFont" w:hAnsi="AppleSystemUIFont" w:cs="AppleSystemUIFont"/>
        </w:rPr>
        <w:t xml:space="preserve"> </w:t>
      </w:r>
      <w:r w:rsidR="00673FFF" w:rsidRPr="00673FFF">
        <w:rPr>
          <w:rFonts w:ascii="AppleSystemUIFont" w:hAnsi="AppleSystemUIFont" w:cs="AppleSystemUIFont"/>
          <w:vertAlign w:val="superscript"/>
        </w:rPr>
        <w:t>87</w:t>
      </w:r>
      <w:r w:rsidR="00673FFF" w:rsidRPr="00673FFF">
        <w:rPr>
          <w:rFonts w:ascii="AppleSystemUIFont" w:hAnsi="AppleSystemUIFont" w:cs="AppleSystemUIFont"/>
        </w:rPr>
        <w:t>Sr/</w:t>
      </w:r>
      <w:r w:rsidR="00673FFF" w:rsidRPr="00673FFF">
        <w:rPr>
          <w:rFonts w:ascii="AppleSystemUIFont" w:hAnsi="AppleSystemUIFont" w:cs="AppleSystemUIFont"/>
          <w:vertAlign w:val="superscript"/>
        </w:rPr>
        <w:t>86</w:t>
      </w:r>
      <w:r w:rsidR="00673FFF" w:rsidRPr="00673FFF">
        <w:rPr>
          <w:rFonts w:ascii="AppleSystemUIFont" w:hAnsi="AppleSystemUIFont" w:cs="AppleSystemUIFont"/>
        </w:rPr>
        <w:t>Sr</w:t>
      </w:r>
      <w:r w:rsidR="00673FFF">
        <w:rPr>
          <w:rFonts w:ascii="AppleSystemUIFont" w:hAnsi="AppleSystemUIFont" w:cs="AppleSystemUIFont"/>
        </w:rPr>
        <w:t xml:space="preserve"> by &gt; 0.01 </w:t>
      </w:r>
      <w:r w:rsidR="004F4C5D">
        <w:rPr>
          <w:rFonts w:ascii="AppleSystemUIFont" w:hAnsi="AppleSystemUIFont" w:cs="AppleSystemUIFont"/>
        </w:rPr>
        <w:t xml:space="preserve">towards the </w:t>
      </w:r>
      <w:r w:rsidR="004F4C5D" w:rsidRPr="004F4C5D">
        <w:rPr>
          <w:rFonts w:ascii="AppleSystemUIFont" w:hAnsi="AppleSystemUIFont" w:cs="AppleSystemUIFont"/>
          <w:vertAlign w:val="superscript"/>
        </w:rPr>
        <w:t>87</w:t>
      </w:r>
      <w:r w:rsidR="004F4C5D" w:rsidRPr="004F4C5D">
        <w:rPr>
          <w:rFonts w:ascii="AppleSystemUIFont" w:hAnsi="AppleSystemUIFont" w:cs="AppleSystemUIFont"/>
        </w:rPr>
        <w:t>Sr/</w:t>
      </w:r>
      <w:r w:rsidR="004F4C5D" w:rsidRPr="004F4C5D">
        <w:rPr>
          <w:rFonts w:ascii="AppleSystemUIFont" w:hAnsi="AppleSystemUIFont" w:cs="AppleSystemUIFont"/>
          <w:vertAlign w:val="superscript"/>
        </w:rPr>
        <w:t>86</w:t>
      </w:r>
      <w:r w:rsidR="004F4C5D" w:rsidRPr="004F4C5D">
        <w:rPr>
          <w:rFonts w:ascii="AppleSystemUIFont" w:hAnsi="AppleSystemUIFont" w:cs="AppleSystemUIFont"/>
        </w:rPr>
        <w:t>Sr</w:t>
      </w:r>
      <w:r w:rsidR="004F4C5D">
        <w:rPr>
          <w:rFonts w:ascii="AppleSystemUIFont" w:hAnsi="AppleSystemUIFont" w:cs="AppleSystemUIFont"/>
        </w:rPr>
        <w:t xml:space="preserve"> </w:t>
      </w:r>
      <w:r w:rsidR="007876EB">
        <w:rPr>
          <w:rFonts w:ascii="AppleSystemUIFont" w:hAnsi="AppleSystemUIFont" w:cs="AppleSystemUIFont"/>
        </w:rPr>
        <w:t xml:space="preserve">value </w:t>
      </w:r>
      <w:r w:rsidR="004F4C5D">
        <w:rPr>
          <w:rFonts w:ascii="AppleSystemUIFont" w:hAnsi="AppleSystemUIFont" w:cs="AppleSystemUIFont"/>
        </w:rPr>
        <w:t xml:space="preserve">of seawater, </w:t>
      </w:r>
      <w:r w:rsidR="00673FFF">
        <w:rPr>
          <w:rFonts w:ascii="AppleSystemUIFont" w:hAnsi="AppleSystemUIFont" w:cs="AppleSystemUIFont"/>
        </w:rPr>
        <w:t xml:space="preserve">and </w:t>
      </w:r>
      <w:r w:rsidR="004F4C5D">
        <w:rPr>
          <w:rFonts w:ascii="AppleSystemUIFont" w:hAnsi="AppleSystemUIFont" w:cs="AppleSystemUIFont"/>
        </w:rPr>
        <w:t xml:space="preserve">we </w:t>
      </w:r>
      <w:r w:rsidR="00746B05">
        <w:t>highlight</w:t>
      </w:r>
      <w:r w:rsidR="00673FFF">
        <w:t xml:space="preserve"> the importance of assessing the location-specific impact of barite contamination</w:t>
      </w:r>
      <w:r w:rsidR="004F4C5D">
        <w:t xml:space="preserve"> on </w:t>
      </w:r>
      <w:r w:rsidR="00E869C7">
        <w:t>terrigenous</w:t>
      </w:r>
      <w:r w:rsidR="004F4C5D">
        <w:t xml:space="preserve"> </w:t>
      </w:r>
      <w:r w:rsidR="004F4C5D" w:rsidRPr="00B652B3">
        <w:rPr>
          <w:vertAlign w:val="superscript"/>
        </w:rPr>
        <w:t>87</w:t>
      </w:r>
      <w:r w:rsidR="004F4C5D" w:rsidRPr="00B652B3">
        <w:t>Sr/</w:t>
      </w:r>
      <w:r w:rsidR="004F4C5D" w:rsidRPr="00B652B3">
        <w:rPr>
          <w:vertAlign w:val="superscript"/>
        </w:rPr>
        <w:t>86</w:t>
      </w:r>
      <w:r w:rsidR="004F4C5D" w:rsidRPr="00B652B3">
        <w:t>Sr</w:t>
      </w:r>
      <w:r w:rsidR="00673FFF">
        <w:t>.</w:t>
      </w:r>
      <w:r w:rsidR="00BD0BE7">
        <w:t xml:space="preserve"> Our </w:t>
      </w:r>
      <w:r w:rsidR="00B950B2">
        <w:t>results show</w:t>
      </w:r>
      <w:r w:rsidR="00BD0BE7">
        <w:t xml:space="preserve"> that marine barite </w:t>
      </w:r>
      <w:r w:rsidR="00B950B2">
        <w:t>can severely</w:t>
      </w:r>
      <w:r w:rsidR="00BD0BE7">
        <w:t xml:space="preserve"> contaminate </w:t>
      </w:r>
      <w:r w:rsidR="00757AC7">
        <w:t xml:space="preserve">terrigenous </w:t>
      </w:r>
      <w:r w:rsidR="00BD0BE7" w:rsidRPr="00B652B3">
        <w:rPr>
          <w:vertAlign w:val="superscript"/>
        </w:rPr>
        <w:t>87</w:t>
      </w:r>
      <w:r w:rsidR="00BD0BE7" w:rsidRPr="00B652B3">
        <w:t>Sr/</w:t>
      </w:r>
      <w:r w:rsidR="00BD0BE7" w:rsidRPr="00B652B3">
        <w:rPr>
          <w:vertAlign w:val="superscript"/>
        </w:rPr>
        <w:t>86</w:t>
      </w:r>
      <w:r w:rsidR="00BD0BE7" w:rsidRPr="00B652B3">
        <w:t>Sr</w:t>
      </w:r>
      <w:r w:rsidR="002B0190">
        <w:t>,</w:t>
      </w:r>
      <w:r w:rsidR="00BD0BE7">
        <w:t xml:space="preserve"> </w:t>
      </w:r>
      <w:r w:rsidR="00B950B2">
        <w:t>even whe</w:t>
      </w:r>
      <w:r w:rsidR="001E417E">
        <w:t>re</w:t>
      </w:r>
      <w:r w:rsidR="00B950B2">
        <w:t xml:space="preserve"> </w:t>
      </w:r>
      <w:r w:rsidR="00991DC5">
        <w:t xml:space="preserve">marine </w:t>
      </w:r>
      <w:r w:rsidR="00550355">
        <w:t xml:space="preserve">barite accumulation rates </w:t>
      </w:r>
      <w:r w:rsidR="00991DC5">
        <w:t>are</w:t>
      </w:r>
      <w:r w:rsidR="00B950B2">
        <w:t xml:space="preserve"> modest (</w:t>
      </w:r>
      <w:r w:rsidR="006D1C0E">
        <w:t xml:space="preserve">&lt; </w:t>
      </w:r>
      <w:r w:rsidR="004D3672">
        <w:t xml:space="preserve">~5 </w:t>
      </w:r>
      <w:r w:rsidR="006D1C0E">
        <w:t>mg/m</w:t>
      </w:r>
      <w:r w:rsidR="006D1C0E" w:rsidRPr="00E44CD0">
        <w:rPr>
          <w:vertAlign w:val="superscript"/>
        </w:rPr>
        <w:t>3</w:t>
      </w:r>
      <w:r w:rsidR="006D1C0E">
        <w:t xml:space="preserve">/yr </w:t>
      </w:r>
      <w:r w:rsidR="006D1C0E" w:rsidRPr="006D1C0E">
        <w:t xml:space="preserve">and </w:t>
      </w:r>
      <w:r w:rsidR="006D1C0E">
        <w:t xml:space="preserve">&lt; </w:t>
      </w:r>
      <w:r w:rsidR="004D3672">
        <w:t>~</w:t>
      </w:r>
      <w:r w:rsidR="001E417E">
        <w:t>2</w:t>
      </w:r>
      <w:r w:rsidR="004D3672">
        <w:t>0</w:t>
      </w:r>
      <w:r w:rsidR="004D3672" w:rsidRPr="006D1C0E">
        <w:t xml:space="preserve"> </w:t>
      </w:r>
      <w:r w:rsidR="00B950B2" w:rsidRPr="006D1C0E">
        <w:t>g</w:t>
      </w:r>
      <w:r w:rsidR="006D1C0E" w:rsidRPr="00E44CD0">
        <w:t xml:space="preserve"> C</w:t>
      </w:r>
      <w:r w:rsidR="00B950B2" w:rsidRPr="006D1C0E">
        <w:t>/</w:t>
      </w:r>
      <w:r w:rsidR="006D1C0E" w:rsidRPr="00E44CD0">
        <w:t>m</w:t>
      </w:r>
      <w:r w:rsidR="006D1C0E" w:rsidRPr="00E44CD0">
        <w:rPr>
          <w:vertAlign w:val="superscript"/>
        </w:rPr>
        <w:t>2</w:t>
      </w:r>
      <w:r w:rsidR="006D1C0E" w:rsidRPr="00E44CD0">
        <w:t>/yr</w:t>
      </w:r>
      <w:r w:rsidR="00991DC5">
        <w:t>, respectively</w:t>
      </w:r>
      <w:r w:rsidR="00B950B2">
        <w:t>)</w:t>
      </w:r>
      <w:r w:rsidR="00BD0BE7">
        <w:t xml:space="preserve">. </w:t>
      </w:r>
      <w:r w:rsidR="00673FFF">
        <w:t xml:space="preserve">Barite contains </w:t>
      </w:r>
      <w:r w:rsidR="00D0367F">
        <w:t xml:space="preserve">Nd in </w:t>
      </w:r>
      <w:r w:rsidR="00673FFF">
        <w:t>very low concentrations</w:t>
      </w:r>
      <w:r w:rsidR="00D0367F">
        <w:t xml:space="preserve"> so </w:t>
      </w:r>
      <w:r w:rsidR="00DB6666">
        <w:t>barite</w:t>
      </w:r>
      <w:r w:rsidR="00D0367F">
        <w:t xml:space="preserve"> contaminat</w:t>
      </w:r>
      <w:r w:rsidR="00DB6666">
        <w:t xml:space="preserve">ion of </w:t>
      </w:r>
      <w:r w:rsidR="00E869C7">
        <w:t>terrigenous</w:t>
      </w:r>
      <w:r w:rsidR="006030A1">
        <w:t xml:space="preserve"> </w:t>
      </w:r>
      <w:r w:rsidR="006030A1" w:rsidRPr="00257555">
        <w:t>ε</w:t>
      </w:r>
      <w:r w:rsidR="006030A1" w:rsidRPr="00257555">
        <w:rPr>
          <w:vertAlign w:val="subscript"/>
        </w:rPr>
        <w:t>Nd</w:t>
      </w:r>
      <w:r w:rsidR="006030A1">
        <w:t xml:space="preserve"> </w:t>
      </w:r>
      <w:r w:rsidR="00DB6666">
        <w:t xml:space="preserve">is not a major concern </w:t>
      </w:r>
      <w:r w:rsidR="00D0367F">
        <w:t xml:space="preserve">but an important aspect of our </w:t>
      </w:r>
      <w:r w:rsidR="00BD0BE7">
        <w:t xml:space="preserve">protocol </w:t>
      </w:r>
      <w:r w:rsidR="00D0367F">
        <w:t xml:space="preserve">is that it </w:t>
      </w:r>
      <w:r w:rsidR="00673FFF">
        <w:t xml:space="preserve">has minimal effect on </w:t>
      </w:r>
      <w:r w:rsidR="00E869C7">
        <w:t>terrigenous</w:t>
      </w:r>
      <w:r w:rsidR="00673FFF">
        <w:t xml:space="preserve"> </w:t>
      </w:r>
      <w:r w:rsidR="00673FFF" w:rsidRPr="00257555">
        <w:t>ε</w:t>
      </w:r>
      <w:r w:rsidR="00673FFF" w:rsidRPr="00257555">
        <w:rPr>
          <w:vertAlign w:val="subscript"/>
        </w:rPr>
        <w:t>Nd</w:t>
      </w:r>
      <w:r w:rsidR="006030A1">
        <w:rPr>
          <w:vertAlign w:val="subscript"/>
        </w:rPr>
        <w:t>,</w:t>
      </w:r>
      <w:r w:rsidR="00D0367F">
        <w:t xml:space="preserve"> allowing </w:t>
      </w:r>
      <w:r w:rsidR="00D0367F" w:rsidRPr="00B652B3">
        <w:rPr>
          <w:vertAlign w:val="superscript"/>
        </w:rPr>
        <w:t>87</w:t>
      </w:r>
      <w:r w:rsidR="00D0367F" w:rsidRPr="00B652B3">
        <w:t>Sr/</w:t>
      </w:r>
      <w:r w:rsidR="00D0367F" w:rsidRPr="00B652B3">
        <w:rPr>
          <w:vertAlign w:val="superscript"/>
        </w:rPr>
        <w:t>86</w:t>
      </w:r>
      <w:r w:rsidR="00D0367F" w:rsidRPr="00B652B3">
        <w:t>Sr</w:t>
      </w:r>
      <w:r w:rsidR="00D0367F">
        <w:t xml:space="preserve"> and</w:t>
      </w:r>
      <w:r w:rsidR="006030A1">
        <w:t xml:space="preserve"> </w:t>
      </w:r>
      <w:r w:rsidR="006030A1" w:rsidRPr="00257555">
        <w:t>ε</w:t>
      </w:r>
      <w:r w:rsidR="006030A1" w:rsidRPr="00257555">
        <w:rPr>
          <w:vertAlign w:val="subscript"/>
        </w:rPr>
        <w:t>Nd</w:t>
      </w:r>
      <w:r w:rsidR="006030A1">
        <w:t xml:space="preserve"> </w:t>
      </w:r>
      <w:r w:rsidR="00D0367F">
        <w:t xml:space="preserve">to </w:t>
      </w:r>
      <w:r w:rsidR="008F37D3">
        <w:t xml:space="preserve">be </w:t>
      </w:r>
      <w:r w:rsidR="00D0367F">
        <w:t xml:space="preserve">analysed on </w:t>
      </w:r>
      <w:r w:rsidR="006030A1">
        <w:t xml:space="preserve">identically cleaned </w:t>
      </w:r>
      <w:r w:rsidR="00D0367F">
        <w:t>aliquots.</w:t>
      </w:r>
      <w:r w:rsidR="00673FFF">
        <w:t xml:space="preserve"> Our systematic graduated approach </w:t>
      </w:r>
      <w:r w:rsidR="00746B05">
        <w:t xml:space="preserve">will help standardise </w:t>
      </w:r>
      <w:r w:rsidR="00746B05" w:rsidRPr="00B652B3">
        <w:rPr>
          <w:vertAlign w:val="superscript"/>
        </w:rPr>
        <w:t>87</w:t>
      </w:r>
      <w:r w:rsidR="00746B05" w:rsidRPr="00B652B3">
        <w:t>Sr/</w:t>
      </w:r>
      <w:r w:rsidR="00746B05" w:rsidRPr="00B652B3">
        <w:rPr>
          <w:vertAlign w:val="superscript"/>
        </w:rPr>
        <w:t>86</w:t>
      </w:r>
      <w:r w:rsidR="00746B05" w:rsidRPr="00B652B3">
        <w:t>Sr</w:t>
      </w:r>
      <w:r w:rsidR="00746B05">
        <w:t xml:space="preserve"> data, allow for robust comparisons between sites, </w:t>
      </w:r>
      <w:r w:rsidR="00746B05">
        <w:lastRenderedPageBreak/>
        <w:t xml:space="preserve">and will </w:t>
      </w:r>
      <w:r w:rsidR="00D0367F">
        <w:t xml:space="preserve">contribute to an </w:t>
      </w:r>
      <w:r w:rsidR="00746B05">
        <w:t>improve</w:t>
      </w:r>
      <w:r w:rsidR="00D0367F">
        <w:t>d</w:t>
      </w:r>
      <w:r w:rsidR="00746B05">
        <w:t xml:space="preserve"> understanding</w:t>
      </w:r>
      <w:r w:rsidR="008A07D4">
        <w:t xml:space="preserve"> of </w:t>
      </w:r>
      <w:r w:rsidR="00EE16FF">
        <w:t xml:space="preserve">the provenance, transport and weathering histories of windblown continental </w:t>
      </w:r>
      <w:r w:rsidR="008A07D4">
        <w:t xml:space="preserve">dust </w:t>
      </w:r>
      <w:r w:rsidR="00EE16FF">
        <w:t>and riverine sediments</w:t>
      </w:r>
      <w:r w:rsidR="003015F0">
        <w:t>.</w:t>
      </w:r>
    </w:p>
    <w:p w14:paraId="49587A95" w14:textId="77777777" w:rsidR="00B9044F" w:rsidRPr="005C15D6" w:rsidRDefault="00B9044F" w:rsidP="005C15D6"/>
    <w:p w14:paraId="62638417" w14:textId="77777777" w:rsidR="00DB724C" w:rsidRPr="00A630A5" w:rsidRDefault="003F746D" w:rsidP="008561B9">
      <w:pPr>
        <w:pStyle w:val="Heading1"/>
        <w:numPr>
          <w:ilvl w:val="1"/>
          <w:numId w:val="48"/>
        </w:numPr>
        <w:spacing w:line="480" w:lineRule="auto"/>
      </w:pPr>
      <w:r w:rsidRPr="000E6594">
        <w:t>Introduction</w:t>
      </w:r>
    </w:p>
    <w:p w14:paraId="1ECF4584" w14:textId="2CBBED01" w:rsidR="00254698" w:rsidRPr="00AB739C" w:rsidRDefault="008F6547" w:rsidP="008C6417">
      <w:pPr>
        <w:spacing w:line="480" w:lineRule="auto"/>
        <w:jc w:val="both"/>
      </w:pPr>
      <w:r w:rsidRPr="00AB739C">
        <w:t xml:space="preserve">Geochemical characterisation of </w:t>
      </w:r>
      <w:r w:rsidR="00E869C7">
        <w:t>terrigenous</w:t>
      </w:r>
      <w:r w:rsidRPr="00AB739C">
        <w:t xml:space="preserve"> sediment</w:t>
      </w:r>
      <w:r w:rsidR="008D65D0">
        <w:t>s</w:t>
      </w:r>
      <w:r w:rsidRPr="00AB739C">
        <w:t xml:space="preserve"> </w:t>
      </w:r>
      <w:r w:rsidR="00B82810">
        <w:t>is fundamental to determining</w:t>
      </w:r>
      <w:r w:rsidR="001B6C04">
        <w:t xml:space="preserve"> </w:t>
      </w:r>
      <w:r w:rsidR="00B82810">
        <w:t xml:space="preserve">sedimentary </w:t>
      </w:r>
      <w:r w:rsidR="00E217EC" w:rsidRPr="00AB739C">
        <w:t>provenanc</w:t>
      </w:r>
      <w:r w:rsidR="008D65D0">
        <w:t xml:space="preserve">e, </w:t>
      </w:r>
      <w:r w:rsidR="00E217EC" w:rsidRPr="00AB739C">
        <w:t xml:space="preserve">transport </w:t>
      </w:r>
      <w:r w:rsidR="008D65D0" w:rsidRPr="00AB739C">
        <w:t>histor</w:t>
      </w:r>
      <w:r w:rsidR="00D02AC4">
        <w:t>ies</w:t>
      </w:r>
      <w:r w:rsidR="008D65D0">
        <w:t xml:space="preserve"> and</w:t>
      </w:r>
      <w:r w:rsidR="00B82810">
        <w:t xml:space="preserve"> </w:t>
      </w:r>
      <w:r w:rsidR="008D65D0">
        <w:t>palaeo</w:t>
      </w:r>
      <w:r w:rsidR="00B82810">
        <w:t>environmental change</w:t>
      </w:r>
      <w:r w:rsidR="001B0307" w:rsidRPr="00AB739C">
        <w:t>. S</w:t>
      </w:r>
      <w:r w:rsidR="00350A16">
        <w:t>trontium (Sr)</w:t>
      </w:r>
      <w:r w:rsidR="001B0307" w:rsidRPr="00AB739C">
        <w:t xml:space="preserve"> and </w:t>
      </w:r>
      <w:r w:rsidR="00EC160D">
        <w:t xml:space="preserve">neodymium </w:t>
      </w:r>
      <w:r w:rsidR="00350A16">
        <w:t>(</w:t>
      </w:r>
      <w:r w:rsidR="001B0307" w:rsidRPr="00AB739C">
        <w:t>Nd</w:t>
      </w:r>
      <w:r w:rsidR="00350A16">
        <w:t>)</w:t>
      </w:r>
      <w:r w:rsidR="001B0307" w:rsidRPr="00AB739C">
        <w:t xml:space="preserve"> </w:t>
      </w:r>
      <w:r w:rsidR="00990AC2" w:rsidRPr="00AB739C">
        <w:t xml:space="preserve">isotopes </w:t>
      </w:r>
      <w:r w:rsidR="001B0307" w:rsidRPr="00AB739C">
        <w:t>are common</w:t>
      </w:r>
      <w:r w:rsidR="00EF1B3E">
        <w:t xml:space="preserve">ly </w:t>
      </w:r>
      <w:r w:rsidR="00742D0D">
        <w:t>used</w:t>
      </w:r>
      <w:r w:rsidR="00742D0D" w:rsidRPr="00AB739C">
        <w:t xml:space="preserve"> </w:t>
      </w:r>
      <w:r w:rsidR="001B0307" w:rsidRPr="00AB739C">
        <w:t xml:space="preserve">to </w:t>
      </w:r>
      <w:r w:rsidR="00D34858">
        <w:t>determine</w:t>
      </w:r>
      <w:r w:rsidR="001B0307" w:rsidRPr="00AB739C">
        <w:t xml:space="preserve"> the provenance </w:t>
      </w:r>
      <w:r w:rsidR="00DC0A89">
        <w:t xml:space="preserve">of </w:t>
      </w:r>
      <w:r w:rsidR="00DF0153">
        <w:t xml:space="preserve">terrigenous </w:t>
      </w:r>
      <w:r w:rsidR="00DC0A89">
        <w:t>material</w:t>
      </w:r>
      <w:r w:rsidR="00990AC2">
        <w:t xml:space="preserve"> </w:t>
      </w:r>
      <w:r w:rsidR="00D34858">
        <w:t>by compari</w:t>
      </w:r>
      <w:r w:rsidR="003974FB">
        <w:t>son</w:t>
      </w:r>
      <w:r w:rsidR="00D34858">
        <w:t xml:space="preserve"> to continental isotope endmembers </w:t>
      </w:r>
      <w:r w:rsidR="001B0307" w:rsidRPr="00AB739C">
        <w:t xml:space="preserve">(e.g. </w:t>
      </w:r>
      <w:r w:rsidR="00E903C4" w:rsidRPr="00AB739C">
        <w:fldChar w:fldCharType="begin" w:fldLock="1"/>
      </w:r>
      <w:r w:rsidR="003060A9">
        <w:instrText>ADDIN CSL_CITATION {"citationItems":[{"id":"ITEM-1","itemData":{"DOI":"10.1016/j.epsl.2008.12.011","ISBN":"0012-821X","ISSN":"0012821X","abstract":"During the African Humid Period (AHP), much of the modern hyperarid Saharan desert was vegetated and covered with numerous lakes. In marine sediments off northwestern Africa, the AHP is represented by markedly reduced siliciclastic sediment flux between ~ 12.3 and 5.5 ka. Changes in the origin of this terrigenous sediment fraction can be constrained by sediment chemistry and radiogenic isotope tracers. At Ocean Drilling Program (ODP) Site 658, Hole C (20°44.95′N, 18°34.85′W, 2263 mbsl), the neodymium (Nd) isotope composition of terrigenous detritus shows little variability throughout the last 25 kyr, indicating that the contributing geological terranes have not changed appreciably since the last glacial period. In contrast, there were large and abrupt changes in strontium (Sr) isotope ratios and chemical compositions associated with the AHP, during which87Sr/86Sr ratios were markedly less radiogenic, and sediments show higher chemical indices of alteration. We show that sediment geochemical changes during the AHP cannot be attributed to changes in the source terranes, physical sorting, or intensity of chemical weathering. The low87Sr/86Sr and high Sr concentrations of AHP-age samples also conflict with the interpretation of increased fine-grained, fluvially derived sediments. We propose that the most significant compositional changes at ODP 658C are due to the addition of an aluminosilicate component that has a highly altered major element signature but is enriched in soluble elements like Sr and magnesium (Mg) compared to aluminum (Al) and has low87Sr/86Sr relative to local terrigenous source areas. We interpret these characteristics to reflect authigenic sediment supply from extensive North African paleolake basins that were prevalent during the AHP. © 2008 Elsevier B.V. All rights reserved.","author":[{"dropping-particle":"","family":"Cole","given":"Jennifer M.","non-dropping-particle":"","parse-names":false,"suffix":""},{"dropping-particle":"","family":"Goldstein","given":"Steven L.","non-dropping-particle":"","parse-names":false,"suffix":""},{"dropping-particle":"","family":"DeMenocal","given":"Peter B.","non-dropping-particle":"","parse-names":false,"suffix":""},{"dropping-particle":"","family":"Hemming","given":"Sidney R.","non-dropping-particle":"","parse-names":false,"suffix":""},{"dropping-particle":"","family":"Grousset","given":"Francis E.","non-dropping-particle":"","parse-names":false,"suffix":""}],"container-title":"Earth and Planetary Science Letters","id":"ITEM-1","issue":"3-4","issued":{"date-parts":[["2009"]]},"note":"Possible study for Louis MGeol student?\n\nRach did a sample in the middle and did not see the excursion- perhaps it is a barite problem? (it is an upwelling site!)","page":"257-266","title":"Contrasting compositions of Saharan dust in the eastern Atlantic Ocean during the last deglaciation and African Humid Period","type":"article-journal","volume":"278"},"uris":["http://www.mendeley.com/documents/?uuid=d3dc288f-6023-3c50-ac33-9ddfbc0c0d06"]},{"id":"ITEM-2","itemData":{"DOI":"10.1016/j.epsl.2011.11.014","ISSN":"0012821X","abstract":"The provenance of eolian dust supplied to deep-sea sediments has the potential to offer insights into changes in past atmospheric circulation. Specifically, measuring temporal changes in dust provenance can shed light on changes in the mean position of the Intertropical Convergence Zone (ITCZ), a region acting as a barrier separating wind-blown material derived from northern versus southern hemisphere sources. Here we have analyzed Nd, Sr, and Pb isotope ratios in the operationally-defined detrital component extracted from deep-sea sediments in the eastern equatorial Pacific (EEP) along a meridional transect at 110°W from 3°S to 7°N (ODP Leg 138, sites 848-853).Sr isotope results show that barite Sr has a significant influence on87Sr/86Sr isotope ratios of samples in the upwelling zone of the EEP. However, sites located &gt;3° or more away from the equator (sites 852 and 853) are believed to not be affected by barite Sr and provide useful detrital Sr signals.208Pb/206Pb and207Pb/206Pb ratios in all cores fall into the Pb-isotope space of five potential dust sources (Asia, North and Central/South America, Sahara, and Australia), with no distinct isotopic fingerprinting of the dominant source(s). εNdvalues were most valuable for discerning detrital source provenance, and their values at all sites, ranging from -5.46 to -3.25, were more unradiogenic for sediments deposited during the last glacial than for those deposited during the Holocene. There are distinct latitudinal trends in the εNdvalues, with more radiogenic values further south and less radiogenic values further north, excluding site 848. This distinction holds true for both Holocene and last glacial periods. For the most southerly site, 848, we invoke, for the first time, a distinct southern hemisphere Australian source as being responsible for the unradiogenic Nd isotope ratios. Both average last glacial and Holocene εNdvalues show similar sharp gradients along the transect between 5.29°N and 2.77°N, suggesting little movement of the glacial ITCZ in the EEP. However, during the deglacial, this gradient is stronger and shifted further north between 5.29°N and 7.21°N, suggesting a more northerly, possibly stronger, deglacial ITCZ. © 2011 Elsevier B.V.","author":[{"dropping-particle":"","family":"Xie","given":"Ruifang C.","non-dropping-particle":"","parse-names":false,"suffix":""},{"dropping-particle":"","family":"Marcantonio","given":"Franco","non-dropping-particle":"","parse-names":false,"suffix":""}],"container-title":"Earth and Planetary Science Letters","id":"ITEM-2","issued":{"date-parts":[["2012"]]},"page":"386-395","publisher":"Elsevier B.V.","title":"Deglacial dust provenance changes in the Eastern Equatorial Pacific and implications for ITCZ movement","type":"article-journal","volume":"317-318"},"uris":["http://www.mendeley.com/documents/?uuid=98561796-5d02-4d0a-96f9-f9d9ddb93ec6"]},{"id":"ITEM-3","itemData":{"DOI":"10.1016/j.quascirev.2014.04.005","ISBN":"0277-3791","ISSN":"02773791","abstract":"We present Plio-Pleistocene records of sediment color, %CaCO3, foraminifer fragmentation, benthic carbon isotopes (δ13C) and radiogenic isotopes (Sr, Nd, Pb) of the terrigenous component from IODP Site U1313, a reoccupation of benchmark subtropical North Atlantic Ocean DSDP Site 607. We show that (inter)glacial cycles in sediment color and %CaCO3pre-date major northern hemisphere glaciation and are unambiguously and consistently correlated to benthic oxygen isotopes back to 3.3 million years ago (Ma) and intermittently so probably back to the Miocene/Pliocene boundary. We show these lithological cycles to be driven by enhanced glacial fluxes of terrigenous material (eolian dust), not carbonate dissolution (the classic interpretation). Our radiogenic isotope data indicate a North American source for this dust (~3.3-2.4Ma) in keeping with the interpreted source of terrestrial plant wax-derived biomarkers deposited at Site U1313. Yet our data indicate a mid latitude provenance regardless of (inter)glacial state, a finding that is inconsistent with the biomarker-inferred importance of glaciogenic mechanisms of dust production and transport. Moreover, we find that the relation between the biomarker and lithogenic components of dust accumulation is distinctly non-linear. Both records show a jump in glacial rates of accumulation from Marine Isotope Stage, MIS, G6 (2.72Ma) onwards but the amplitude of this signal is about 3-8 times greater for biomarkers than for dust and particularly extreme during MIS 100 (2.52Ma). We conclude that North America shifted abruptly to a distinctly more arid glacial regime from MIS G6, but major shifts in glacial North American vegetation biomes and regional wind fields (exacerbated by the growth of a large Laurentide Ice Sheet during MIS 100) likely explain amplification of this signal in the biomarker records. Our findings are consistent with wetter-than-modern reconstructions of North American continental climate under the warm high CO2conditions of the Early Pliocene but contrast with most model predictions for the response of the hydrological cycle to anthropogenic warming over the coming 50 years (poleward expansion of the subtropical dry zones). © 2014 Elsevier Ltd.","author":[{"dropping-particle":"","family":"Lang","given":"David C.","non-dropping-particle":"","parse-names":false,"suffix":""},{"dropping-particle":"","family":"Bailey","given":"Ian","non-dropping-particle":"","parse-names":false,"suffix":""},{"dropping-particle":"","family":"Wilson","given":"Paul A.","non-dropping-particle":"","parse-names":false,"suffix":""},{"dropping-particle":"","family":"Beer","given":"Christopher J.","non-dropping-particle":"","parse-names":false,"suffix":""},{"dropping-particle":"","family":"Bolton","given":"Clara T.","non-dropping-particle":"","parse-names":false,"suffix":""},{"dropping-particle":"","family":"Friedrich","given":"Oliver","non-dropping-particle":"","parse-names":false,"suffix":""},{"dropping-particle":"","family":"Newsam","given":"Cherry","non-dropping-particle":"","parse-names":false,"suffix":""},{"dropping-particle":"","family":"Spencer","given":"Megan R.","non-dropping-particle":"","parse-names":false,"suffix":""},{"dropping-particle":"","family":"Gutjahr","given":"Marcus","non-dropping-particle":"","parse-names":false,"suffix":""},{"dropping-particle":"","family":"Foster","given":"Gavin L.","non-dropping-particle":"","parse-names":false,"suffix":""},{"dropping-particle":"","family":"Cooper","given":"Matthew J.","non-dropping-particle":"","parse-names":false,"suffix":""},{"dropping-particle":"","family":"Milton","given":"J. Andrew","non-dropping-particle":"","parse-names":false,"suffix":""}],"container-title":"Quaternary Science Reviews","id":"ITEM-3","issued":{"date-parts":[["2014"]]},"note":"Do buffer","page":"125-141","publisher":"Elsevier Ltd","title":"The transition on North America from the warm humid Pliocene to the glaciated Quaternary traced by eolian dust deposition at a benchmark North Atlantic Ocean drill site","type":"article-journal","volume":"93"},"uris":["http://www.mendeley.com/documents/?uuid=b5de900b-d62e-4033-8c9f-b737a200ac58"]},{"id":"ITEM-4","itemData":{"author":[{"dropping-particle":"","family":"Grousset","given":"F E","non-dropping-particle":"","parse-names":false,"suffix":""},{"dropping-particle":"","family":"Parra","given":"M","non-dropping-particle":"","parse-names":false,"suffix":""},{"dropping-particle":"","family":"Bory","given":"A","non-dropping-particle":"","parse-names":false,"suffix":""},{"dropping-particle":"","family":"Martinez","given":"P","non-dropping-particle":"","parse-names":false,"suffix":""},{"dropping-particle":"","family":"Bertrand","given":"P","non-dropping-particle":"","parse-names":false,"suffix":""},{"dropping-particle":"","family":"Shimmield","given":"G","non-dropping-particle":"","parse-names":false,"suffix":""},{"dropping-particle":"","family":"Ellam","given":"R M","non-dropping-particle":"","parse-names":false,"suffix":""}],"container-title":"Quaternary Science Reviews","id":"ITEM-4","issue":"97","issued":{"date-parts":[["1998"]]},"note":"Received from Tereza Feb 2019","page":"395-409","title":"Saharan Wind Regimes Traced by the Sr-Nd Isotopic Composition of Subtropical Atlantic Sediments: Last Glacial Maximum vs Today","type":"article-journal","volume":"17"},"uris":["http://www.mendeley.com/documents/?uuid=c5495da1-e5f9-4082-a5f4-1dc993a63480"]},{"id":"ITEM-5","itemData":{"DOI":"10.1038/s41586-018-0501-8","ISSN":"14764687","PMID":"30232420","abstract":"Understanding ice sheet behaviour in the geological past is essential for evaluating the role of the cryosphere in the climate system and for projecting rates and magnitudes of sea level rise in future warming scenarios1–4. Although both geological data5–7 and ice sheet models3,8 indicate that marine-based sectors of the East Antarctic Ice Sheet were unstable during Pliocene warm intervals, the ice sheet dynamics during late Pleistocene interglacial intervals are highly uncertain3,9,10. Here we provide evidence from marine sedimentological and geochemical records for ice margin retreat or thinning in the vicinity of the Wilkes Subglacial Basin of East Antarctica during warm late Pleistocene interglacial intervals. The most extreme changes in sediment provenance, recording changes in the locus of glacial erosion, occurred during marine isotope stages 5, 9, and 11, when Antarctic air temperatures11 were at least two degrees Celsius warmer than pre-industrial temperatures for 2,500 years or more. Hence, our study indicates a close link between extended Antarctic warmth and ice loss from the Wilkes Subglacial Basin, providing ice-proximal data to support a contribution to sea level from a reduced East Antarctic Ice Sheet during warm interglacial intervals. While the behaviour of other regions of the East Antarctic Ice Sheet remains to be assessed, it appears that modest future warming may be sufficient to cause ice loss from the Wilkes Subglacial Basin.","author":[{"dropping-particle":"","family":"Wilson","given":"David J.","non-dropping-particle":"","parse-names":false,"suffix":""},{"dropping-particle":"","family":"Bertram","given":"Rachel A.","non-dropping-particle":"","parse-names":false,"suffix":""},{"dropping-particle":"","family":"Needham","given":"Emma F.","non-dropping-particle":"","parse-names":false,"suffix":""},{"dropping-particle":"","family":"Flierdt","given":"Tina","non-dropping-particle":"van de","parse-names":false,"suffix":""},{"dropping-particle":"","family":"Welsh","given":"Kevin J.","non-dropping-particle":"","parse-names":false,"suffix":""},{"dropping-particle":"","family":"McKay","given":"Robert M.","non-dropping-particle":"","parse-names":false,"suffix":""},{"dropping-particle":"","family":"Mazumder","given":"Anannya","non-dropping-particle":"","parse-names":false,"suffix":""},{"dropping-particle":"","family":"Riesselman","given":"Christina R.","non-dropping-particle":"","parse-names":false,"suffix":""},{"dropping-particle":"","family":"Jimenez-Espejo","given":"Francisco J.","non-dropping-particle":"","parse-names":false,"suffix":""},{"dropping-particle":"","family":"Escutia","given":"Carlota","non-dropping-particle":"","parse-names":false,"suffix":""}],"container-title":"Nature","id":"ITEM-5","issue":"7723","issued":{"date-parts":[["2018"]]},"page":"383-386","title":"Ice loss from the East Antarctic Ice Sheet during late Pleistocene interglacials","type":"article-journal","volume":"561"},"uris":["http://www.mendeley.com/documents/?uuid=eb103987-8751-4853-8f71-1f9a899b9cba"]},{"id":"ITEM-6","itemData":{"DOI":"10.1029/2019PA003563","ISSN":"25724525","abstract":"Earth's climate transitioned from a warm unglaciated state to a colder glaciated “icehouse” state during the Cenozoic. Extensive ice sheets were first sustained on Antarctica at the Eocene-Oligocene Transition (EOT, ~34 Ma), but there is intense debate over whether Northern Hemisphere ice sheets developed simultaneously at this time or tens of millions of years later. Here we report on EOT-age sediments that contain detrital sand from Integrated Ocean Drilling Program Sites U1406 and U1411 on the Newfoundland margin. These sites are ideally located to test competing hypotheses of the extent of Arctic glaciation, being situated in the North Atlantic's “iceberg alley” where icebergs, calved from both the Greenland Ice Sheet today, and the Laurentide Ice Sheet during the Pleistocene, are concentrated by the Labrador Current and deposit continentally derived detritus. Here we show that detrital sand grains present in these EOT-aged sediments from the Newfoundland margin, initially interpreted to represent ice rafting, were sourced from the midlatitudes of North America. We find that these grains were transported to the western North Atlantic by fluvial and downslope processes, not icebergs, and were subsequently reworked and deposited by deep-water contour currents on the Newfoundland margin. Our findings are inconsistent with the presence of extensive ice sheets on southern and western Greenland and the northeastern Canadian Arctic. This contradicts extensive bipolar glaciation at the EOT. The unipolar icehouse arose because of contrasting latitudinal continental configurations at the poles, requiring more intense Cenozoic climatic deterioration to trigger extensive Northern Hemisphere glaciation.","author":[{"dropping-particle":"","family":"Spray","given":"James F","non-dropping-particle":"","parse-names":false,"suffix":""},{"dropping-particle":"","family":"Bohaty","given":"Steven M","non-dropping-particle":"","parse-names":false,"suffix":""},{"dropping-particle":"","family":"Davies","given":"Andrew","non-dropping-particle":"","parse-names":false,"suffix":""},{"dropping-particle":"","family":"Bailey","given":"Ian","non-dropping-particle":"","parse-names":false,"suffix":""},{"dropping-particle":"","family":"Romans","given":"Brian W.","non-dropping-particle":"","parse-names":false,"suffix":""},{"dropping-particle":"","family":"Cooper","given":"Matthew J","non-dropping-particle":"","parse-names":false,"suffix":""},{"dropping-particle":"","family":"Milton","given":"James A","non-dropping-particle":"","parse-names":false,"suffix":""},{"dropping-particle":"","family":"Wilson","given":"Paul A","non-dropping-particle":"","parse-names":false,"suffix":""}],"container-title":"Paleoceanography and Paleoclimatology","id":"ITEM-6","issue":"7","issued":{"date-parts":[["2019"]]},"page":"1124-1138","title":"North Atlantic Evidence for a Unipolar Icehouse Climate State at the Eocene-Oligocene Transition","type":"article-journal","volume":"34"},"uris":["http://www.mendeley.com/documents/?uuid=3ead5936-99c3-4ac0-b296-5b4051bff59f"]},{"id":"ITEM-7","itemData":{"DOI":"10.5194/essd-2018-109","abstract":"Abstract. The database presented here contains radiogenic neodymium and strontium isotope ratios measured on both terrestrial and marine sediments. The main purpose of this dataset is to help assessing sediment provenance and transport processes for various time intervals. This can be achieved by either mapping sediment isotopic signature and/or fingerprinting source areas using statistical tools. The database has been built by incorporating data from the literature and the SedDB database and harmonizing the metadata, especially units and geographical coordinates. The original data were processed in three steps. Firstly, a specific attention has been devoted to provide geographical coordinates to each sample in order to be able to map the data. When available, the original geographical coordinates from the reference (generally DMS coordinates) were transferred into the decimal degrees system. When coordinates were not provided, an approximate location was derived from available information in the original publication. Secondly, all samples were assigned a set of standardized criteria that help splitting the dataset in specific categories. For instance, samples were discriminated according to their location Region, Sub-region and Location that relate to location at continental to city/river scale) or the sample type (terrestrial samples &amp;ndash; aerosols, soil sediments, river sediments &amp;ndash; or marine samples &amp;ndash; marine sediment or trap sample). Finally, samples were distinguished according to their deposition age, which allowed to compute average values for specific time intervals. Graphical examples illustrating the functionality of the database are presented and the validity of the process was tested by comparing the results with published data. The dataset will be updated bi-annually and might be extended to reach a global geographical extent and/or add other type of samples. It is publicly available (under CC4.0-BY Licence) on the GFZ data management service at http://doi.org/10.5880/GFZ.5.2.2018.001.","author":[{"dropping-particle":"","family":"Blanchet","given":"Cécile L.","non-dropping-particle":"","parse-names":false,"suffix":""}],"container-title":"Earth System Science Data","id":"ITEM-7","issued":{"date-parts":[["2019"]]},"note":"Paper from Nick Drake, during meeting at Kings College London, on 5th July 2019. \n\nNeed to combine their cvompilation with ours to ensure we have all the published data available.\n\nCould rank data 1, 2 or 3 depending on its reliability/relevance (i.e. treatment, sample type)","page":"742-759","title":"A database of marine and terrestrial radiogenic Nd and Sr isotopes for tracing earth-surface processes","type":"article-journal","volume":"11"},"uris":["http://www.mendeley.com/documents/?uuid=7404bd8c-9ac0-4ea0-a04f-55dc87de47f5"]},{"id":"ITEM-8","itemData":{"DOI":"10.1016/j.epsl.2020.116645","ISSN":"0012821X","abstract":"North Africa produces more than half of the world's atmospheric dust load. Once entrained into the atmosphere, this dust poses a human health hazard locally. It also modifies the radiative budget regionally, and supplies nutrients that fuel primary productivity across the North Atlantic Ocean and as far afield as the Amazonian Basin. Dust accumulation in deep sea and lacustrine sediments also provides a means to study changes in palaeoclimate, particularly those associated with rainfall climate change. Systematic analysis of satellite imagery has greatly improved our understanding of the trajectories of long-range North African dust plumes, but our knowledge of the dust-producing source regions and our ability to fingerprint their contribution to these export routes is surprisingly limited. Here we report new radiogenic isotope (Sr and Nd) data for sediment samples from known dust-producing substrates (dried river and lake beds), integrate them with published isotope data and weight them for dust source activation. We define three isotopically distinct preferential dust source areas (PSAs): a Western, a Central and an Eastern North African PSA. More data are needed, particularly from the Western PSA, but our results show a change in PSA dust source composition to more radiogenic Nd- and less radiogenic Sr-isotope values from west to east, in line with the overall decreasing age of the underlying bedrock. Our data reveal extreme isotopic heterogeneity within the Chadian region of the Central PSA, including an extremely distinctive geochemical fingerprint feeding the Bodélé Depression, the most active dust source on Earth. Our new analysis significantly improves the reliability by which windblown dust deposits can be geochemically fingerprinted to their distant source regions.","author":[{"dropping-particle":"","family":"Jewell","given":"Amy M.","non-dropping-particle":"","parse-names":false,"suffix":""},{"dropping-particle":"","family":"Drake","given":"Nick","non-dropping-particle":"","parse-names":false,"suffix":""},{"dropping-particle":"","family":"Crocker","given":"Anya J.","non-dropping-particle":"","parse-names":false,"suffix":""},{"dropping-particle":"","family":"Bakker","given":"Natalie L.","non-dropping-particle":"","parse-names":false,"suffix":""},{"dropping-particle":"","family":"Kunkelova","given":"Tereza","non-dropping-particle":"","parse-names":false,"suffix":""},{"dropping-particle":"","family":"Bristow","given":"Charlie S.","non-dropping-particle":"","parse-names":false,"suffix":""},{"dropping-particle":"","family":"Cooper","given":"Matthew J.","non-dropping-particle":"","parse-names":false,"suffix":""},{"dropping-particle":"","family":"Milton","given":"J. Andrew","non-dropping-particle":"","parse-names":false,"suffix":""},{"dropping-particle":"","family":"Breeze","given":"Paul S.","non-dropping-particle":"","parse-names":false,"suffix":""},{"dropping-particle":"","family":"Wilson","given":"Paul A.","non-dropping-particle":"","parse-names":false,"suffix":""}],"container-title":"Earth and Planetary Science Letters","id":"ITEM-8","issued":{"date-parts":[["2020"]]},"page":"116645","publisher":"Elsevier B.V.","title":"Three North African dust source areas and their geochemical fingerprint","type":"article-journal","volume":"554"},"uris":["http://www.mendeley.com/documents/?uuid=a3dbfb1a-0382-4c07-aebd-14eb93a0e849"]},{"id":"ITEM-9","itemData":{"author":[{"dropping-particle":"","family":"Jardine","given":"G E","non-dropping-particle":"","parse-names":false,"suffix":""},{"dropping-particle":"","family":"Crocker","given":"A J","non-dropping-particle":"","parse-names":false,"suffix":""},{"dropping-particle":"","family":"Bailey","given":"I","non-dropping-particle":"","parse-names":false,"suffix":""},{"dropping-particle":"","family":"Cooper","given":"M J","non-dropping-particle":"","parse-names":false,"suffix":""},{"dropping-particle":"","family":"Milton","given":"J A","non-dropping-particle":"","parse-n</w:instrText>
      </w:r>
      <w:r w:rsidR="003060A9" w:rsidRPr="001E417E">
        <w:rPr>
          <w:lang w:val="fr-FR"/>
        </w:rPr>
        <w:instrText>ames":false,"suffix":""},{"dropping-particle":"","family":"Wilson","given":"P A","non-dropping-particle":"","parse-names":false,"suffix":""}],"container-title":"Quaternary Science Reviews","id":"ITEM-9","issued":{"date-parts":[["2021"]]},"title":"The imprint of windblown dust from the North American Southwest on the California Channel Islands and Paci fic Ocean sediments","type":"article-journal","volume":"261"},"uris":["http://www.mendeley.com/documents/?uuid=deb35f7e-fca9-42f3-820e-d7fec913df52"]}],"mendeley":{"formattedCitation":"(Blanchet, 2019; Cole et al., 2009; Grousset et al., 1998; Jardine et al., 2021; Jewell et al., 2020; Lang et al., 2014; Spray et al., 2019; Wilson et al., 2018; Xie and Marcantonio, 2012)","manualFormatting":"Blanchet, 2019; Cole et al., 2009; Grousset et al., 1998; Jardine et al., 2021; Jewell et al., 2020; Lang et al., 2014; Spray et al., 2019; Wilson et al., 2018; Xie and Marcantonio, 2012)","plainTextFormattedCitation":"(Blanchet, 2019; Cole et al., 2009; Grousset et al., 1998; Jardine et al., 2021; Jewell et al., 2020; Lang et al., 2014; Spray et al., 2019; Wilson et al., 2018; Xie and Marcantonio, 2012)","previouslyFormattedCitation":"(Blanchet, 2019; Cole et al., 2009; Grousset et al., 1998; Jardine et al., 2021; Jewell et al., 2020; Lang et al., 2014; Spray et al., 2019; Wilson et al., 2018; Xie and Marcantonio, 2012)"},"properties":{"noteIndex":0},"schema":"https://github.com/citation-style-language/schema/raw/master/csl-citation.json"}</w:instrText>
      </w:r>
      <w:r w:rsidR="00E903C4" w:rsidRPr="00AB739C">
        <w:fldChar w:fldCharType="separate"/>
      </w:r>
      <w:r w:rsidR="004B11AF" w:rsidRPr="001E417E">
        <w:rPr>
          <w:noProof/>
          <w:lang w:val="fr-FR"/>
        </w:rPr>
        <w:t>Blanchet, 2019; Cole et al., 2009; Grousset et al., 1998; Jardine et al., 2021; Jewell et al., 2020; Lang et al., 2014; Spray et al., 2019; Wilson et al., 2018; Xie and Marcantonio, 2012)</w:t>
      </w:r>
      <w:r w:rsidR="00E903C4" w:rsidRPr="00AB739C">
        <w:fldChar w:fldCharType="end"/>
      </w:r>
      <w:r w:rsidR="001B0307" w:rsidRPr="001E417E">
        <w:rPr>
          <w:lang w:val="fr-FR"/>
        </w:rPr>
        <w:t xml:space="preserve">. </w:t>
      </w:r>
      <w:r w:rsidR="00A630A5">
        <w:t>Several studies have investigated the effective</w:t>
      </w:r>
      <w:r w:rsidR="00D02AC4">
        <w:t>ness of different</w:t>
      </w:r>
      <w:r w:rsidR="00A630A5">
        <w:t xml:space="preserve"> </w:t>
      </w:r>
      <w:r w:rsidR="001B6C04">
        <w:t xml:space="preserve">sample preparation </w:t>
      </w:r>
      <w:r w:rsidR="00CE782C">
        <w:t>protocol</w:t>
      </w:r>
      <w:r w:rsidR="00D02AC4">
        <w:t xml:space="preserve">s </w:t>
      </w:r>
      <w:r w:rsidR="00DC0A89">
        <w:t xml:space="preserve">for isotopic analysis </w:t>
      </w:r>
      <w:r w:rsidR="00A630A5">
        <w:t xml:space="preserve">(e.g. </w:t>
      </w:r>
      <w:r w:rsidR="00A630A5">
        <w:fldChar w:fldCharType="begin" w:fldLock="1"/>
      </w:r>
      <w:r w:rsidR="00A630A5">
        <w:instrText>ADDIN CSL_CITATION {"citationItems":[{"id":"ITEM-1","itemData":{"DOI":"10.1016/S0009-2541(01)00416-8","ISBN":"0009-2541","ISSN":"00092541","abstract":"The radiogenic isotopic composition of both detrital and Fe-Mn fractions in marine sediments can be used in paleoceanography to infer changes of bottom-water circulation. We have examined various chemical techniques for the analysis of Sr and Nd isotope ratios in these fractions and present a robust method that can be used to separate both the Fe-Mn oxides and the detrital fraction from a marine sediment sample for isotopic analysis. Our sequential leaching procedure involves the use of 10% acetic acid, followed by 1 M hydroxylamine hydrochloride in 25% acetic acid to remove the carbonate component and the Fe-Mn oxide fraction, respectively. The applicability of our chemical procedure is illustrated with examples from a marine sediment core raised from the northern Cape Basin, southeast Atlantic Ocean. © 2002 Elsevier Science B.V. All rights reserved.","author":[{"dropping-particle":"","family":"Bayon","given":"G.","non-dropping-particle":"","parse-names":false,"suffix":""},{"dropping-particle":"","family":"German","given":"C. R.","non-dropping-particle":"","parse-names":false,"suffix":""},{"dropping-particle":"","family":"Boella","given":"R. M.","non-dropping-particle":"","parse-names":false,"suffix":""},{"dropping-particle":"","family":"Milton","given":"J. A.","non-dropping-particle":"","parse-names":false,"suffix":""},{"dropping-particle":"","family":"Taylor","given":"R. N.","non-dropping-particle":"","parse-names":false,"suffix":""},{"dropping-particle":"","family":"Nesbitt","given":"R. W.","non-dropping-particle":"","parse-names":false,"suffix":""}],"container-title":"Chemical Geology","id":"ITEM-1","issue":"3-4","issued":{"date-parts":[["2002"]]},"note":"Gives a statement to justify not buffering. \nAlso gives Sr and Nd values at each cleaning step. The Nd changes very little after each step, (inc. the acetic acid step) (relative to provenance changes).\nTHis shows that the buffering is not essential. \nThis is probably by best evidence for not buffering.","page":"179-199","title":"An improved method for extracting marine sediment fractions and its application to Sr and Nd isotopic analysis","type":"article-journal","volume":"187"},"uris":["http://www.mendeley.com/documents/?uuid=b204936c-7304-47eb-b8fe-81ab795dfade"]},{"id":"ITEM-2","itemData":{"DOI":"10.1016/j.chemgeo.2019.119449","ISSN":"00092541","abstract":"The geochemical and isotopic composition of terrigenous clays from marine sediments can provide important information on the sources and pathways of sediments. International Ocean Discovery Program Expedition 361 drilled sites along the eastern margin of southern Africa that potentially provide archives of rainfall on the continent as well as dispersal in the Agulhas Current. We used standard methods to remove carbonate and ferromanganese oxides and Stokes settling to isolate the clay fractions. In comparison to most previous studies that aimed to extract the detrital signal from marine sediments, we additionally applied a cation exchange wash using CsCl as a final step in the sample preparation. The motivation behind the extra step, not frequently applied, is to remove ions that are gained on the clay surface due to adsorption of authigenic trace metals in the ocean or during the leaching procedure. Either would alter the composition of the detrital fraction if no cation exchange was applied. Moreover, using CsCl will provide an additional measure of the cation exchange capacity (CEC) of the samples. However, no study so far has evaluated the potential and the limitations of such a targeted protocol for marine sediments. Here, we explore the effects of removing and replacing adsorbed cations on the clay surfaces with Cs+, conducting measurements of the chemical compositions, and radiogenic isotopes on a set of eight clay sample pairs. Both sets of samples underwent the same full leaching procedure except that one batch was treated with a final CsCl wash step. In this study, organic matter was not leached because sediments at IODP Site U1478 have relatively low organic content. However, in general, we recommend including that step in the leaching procedure. As expected, significant portions of elements with high concentrations in seawater were replaced by Cs+ (2SD 2.8%.) from the wash, including 75% of the sodium and approximately 25% of the calcium, 10% of the magnesium, and 8% of the potassium. Trace metals such as Sr and Nd, whose isotopes are used for provenance studies, are also found to be in lower concentrations in the samples after the exchange wash. The exchange wash affected the radiogenic isotope compositions of the samples. Neodymium isotope ratios are slightly less radiogenic in all the washed samples. Strontium and Pb isotopes showed significant deviations to either more or less radiogenic values in different samples. The radiogenic isotop…","author":[{"dropping-particle":"","family":"Simon","given":"Margit H.","non-dropping-particle":"","parse-names":false,"suffix":""},{"dropping-particle":"","family":"Babin","given":"Daniel P.","non-dropping-particle":"","parse-names":false,"suffix":""},{"dropping-particle":"","family":"Goldstein","given":"Steven L.","non-dropping-particle":"","parse-names":false,"suffix":""},{"dropping-particle":"","family":"Cai","given":"Merry Yue","non-dropping-particle":"","parse-names":false,"suffix":""},{"dropping-particle":"","family":"Liu","given":"Tanzhuo","non-dropping-particle":"","parse-names":false,"suffix":""},{"dropping-particle":"","family":"Han","given":"Xibin","non-dropping-particle":"","parse-names":false,"suffix":""},{"dropping-particle":"","family":"Haws","given":"Anne A.","non-dropping-particle":"","parse-names":false,"suffix":""},{"dropping-particle":"","family":"Johns","given":"Matthew","non-dropping-particle":"","parse-names":false,"suffix":""},{"dropping-particle":"","family":"Lear","given":"Caroline","non-dropping-particle":"","parse-names":false,"suffix":""},{"dropping-particle":"","family":"Hemming","given":"Sidney R.","non-dropping-particle":"","parse-names":false,"suffix":""}],"container-title":"Chemical Geology","id":"ITEM-2","issue":"December","issued":{"date-parts":[["2020"]]},"note":"Sent from Vicki Feb 2020 - development of a leaching process to remove asorbed ions (implemented at the very end of sample prep, even after grain size separation?)\n\nNot written super clearly, some confusing passages/justifications....\n\nE.g. the removal of &amp;quot;seawater&amp;quot; Sr doesn't lead to more radiogenic values in most of their samples, but they say it must give more reliable data because it correlates better with the data from differernt isotope systems ont he same sample...not sure how legit this is? \n\nDefintely shows the need for my MgCl wash step, but will need to think about justification of the order of my leaching steps....","title":"Development of a protocol to obtain the composition of terrigenous detritus in marine sediments -a pilot study from International Ocean Discovery Program Expedition 361","type":"article-journal","volume":"535"},"uris":["http://www.mendeley.com/documents/?uuid=788daece-e9ec-4639-9aef-434ee9e215ac"]},{"id":"ITEM-3","itemData":{"DOI":"10.1002/lom3.10013","ISSN":"15415856","abstract":"The lithogenic fraction in marine sediments can be a key proxy to reconstruct past changes in atmospheric circulation, river runoff among other sedimentary processes. But, accurate isolation of the lithic component within biogenic-rich sediments can be particularly challenging in areas of high marine productivity. We present an experiment to isolate and characterize this lithogenic fraction that ensures the full elimination of biogenic and authigenic components. This experiment demonstrates that standard procedures used in most of the studies of terrigenous fraction in marine sediments, are inadequate to remove efficiently most of the biogenic components in sediments from high productivity regions such as the Eastern Equatorial Pacific. The experiment reviews each of the procedure steps designed for the removal of organic matter, carbonate, Fe-Mn oxides, and biogenic silica. The most critical steps were the removal of organic matter incorporated in fecal pellets, and the elimination of the biogenic silica. The continuous monitoring of the grain-size distribution of the samples along the experiment steps allows evaluating the impact that an inadequate procedure can induce on the grain size. Finally, lithic grain-size distributions were characterized using k-means statistical technique providing objective information for climate interpretation. The proposed approach ensures the quality of the results and allows magnifying the information provided by the lithic fraction in marine sediments.","author":[{"dropping-particle":"","family":"Povea","given":"Patricia","non-dropping-particle":"","parse-names":false,"suffix":""},{"dropping-particle":"","family":"Cacho","given":"Isabel","non-dropping-particle":"","parse-names":false,"suffix":""},{"dropping-particle":"","family":"Moreno","given":"Ana","non-dropping-particle":"","parse-names":false,"suffix":""},{"dropping-particle":"","family":"Menéndez","given":"Melisa","non-dropping-particle":"","parse-names":false,"suffix":""},{"dropping-particle":"","family":"Méndez","given":"Fernando J.","non-dropping-particle":"","parse-names":false,"suffix":""}],"container-title":"Limnology and Oceanography: Methods","id":"ITEM-3","issue":"3","issued":{"date-parts":[["2015"]]},"note":"do buffer, and very low acid. \nBut have to repeat lots.","page":"127-137","title":"A new procedure for the lithic fraction characterization in marine sediments from high productivity areas: Optimization of analytical and statistical procedures","type":"article-journal","volume":"13"},"uris":["http://www.mendeley.com/documents/?uuid=b7ecad56-ad95-4adf-b806-74e5209c63d0"]}],"mendeley":{"formattedCitation":"(Bayon et al., 2002; Povea et al., 2015; Simon et al., 2020)","manualFormatting":"Bayon et al., 2002; Povea et al., 2015; Simon et al., 2020)","plainTextFormattedCitation":"(Bayon et al., 2002; Povea et al., 2015; Simon et al., 2020)","previouslyFormattedCitation":"(Bayon et al., 2002; Povea et al., 2015; Simon et al., 2020)"},"properties":{"noteIndex":0},"schema":"https://github.com/citation-style-language/schema/raw/master/csl-citation.json"}</w:instrText>
      </w:r>
      <w:r w:rsidR="00A630A5">
        <w:fldChar w:fldCharType="separate"/>
      </w:r>
      <w:r w:rsidR="00A630A5" w:rsidRPr="00A630A5">
        <w:rPr>
          <w:noProof/>
        </w:rPr>
        <w:t>Bayon et al., 2002; Povea et al., 2015; Simon et al., 2020)</w:t>
      </w:r>
      <w:r w:rsidR="00A630A5">
        <w:fldChar w:fldCharType="end"/>
      </w:r>
      <w:r w:rsidR="00A630A5">
        <w:t xml:space="preserve">, yet </w:t>
      </w:r>
      <w:r w:rsidR="002C0E2F">
        <w:t xml:space="preserve">there is currently no </w:t>
      </w:r>
      <w:r w:rsidR="002C0E2F" w:rsidRPr="00A7316E">
        <w:t xml:space="preserve">standard accepted approach, making comparison between datasets </w:t>
      </w:r>
      <w:r w:rsidR="003974FB">
        <w:t>less than straightforward</w:t>
      </w:r>
      <w:r w:rsidR="00A630A5" w:rsidRPr="00A7316E">
        <w:t xml:space="preserve">. </w:t>
      </w:r>
      <w:r w:rsidR="009D2D08" w:rsidRPr="00A7316E">
        <w:t>Analysis</w:t>
      </w:r>
      <w:r w:rsidR="002C0E2F" w:rsidRPr="00A7316E">
        <w:t xml:space="preserve"> of the </w:t>
      </w:r>
      <w:r w:rsidR="00E869C7">
        <w:t>terrigenous</w:t>
      </w:r>
      <w:r w:rsidR="002C0E2F" w:rsidRPr="00A7316E">
        <w:t xml:space="preserve"> fraction </w:t>
      </w:r>
      <w:r w:rsidR="003974FB">
        <w:t xml:space="preserve">hosted </w:t>
      </w:r>
      <w:r w:rsidR="00701EAE">
        <w:t>in</w:t>
      </w:r>
      <w:r w:rsidR="00701EAE" w:rsidRPr="00A7316E">
        <w:t xml:space="preserve"> </w:t>
      </w:r>
      <w:r w:rsidR="002C0E2F" w:rsidRPr="00A7316E">
        <w:t xml:space="preserve">marine sediments </w:t>
      </w:r>
      <w:r w:rsidR="003974FB">
        <w:t xml:space="preserve">is </w:t>
      </w:r>
      <w:r w:rsidR="001B6C04">
        <w:t xml:space="preserve">further </w:t>
      </w:r>
      <w:r w:rsidR="002C0E2F" w:rsidRPr="00A7316E">
        <w:t>complicat</w:t>
      </w:r>
      <w:r w:rsidR="007C0B38">
        <w:t>ed</w:t>
      </w:r>
      <w:r w:rsidR="002C0E2F" w:rsidRPr="00A7316E">
        <w:t xml:space="preserve"> </w:t>
      </w:r>
      <w:r w:rsidR="003974FB">
        <w:t>because</w:t>
      </w:r>
      <w:r w:rsidR="002C0E2F" w:rsidRPr="00A7316E">
        <w:t xml:space="preserve"> </w:t>
      </w:r>
      <w:r w:rsidR="003974FB">
        <w:t>some</w:t>
      </w:r>
      <w:r w:rsidR="002C0E2F" w:rsidRPr="00A7316E">
        <w:t xml:space="preserve"> marine phases, if not removed effectively, have the potential to strongly </w:t>
      </w:r>
      <w:r w:rsidR="00C74B6A">
        <w:t>bias</w:t>
      </w:r>
      <w:r w:rsidR="002C0E2F" w:rsidRPr="00A7316E">
        <w:t xml:space="preserve"> results. </w:t>
      </w:r>
      <w:r w:rsidR="003974FB">
        <w:t>S</w:t>
      </w:r>
      <w:r w:rsidR="002C0E2F" w:rsidRPr="00A7316E">
        <w:t xml:space="preserve">tandard </w:t>
      </w:r>
      <w:r w:rsidR="0008590A">
        <w:t>protocols</w:t>
      </w:r>
      <w:r w:rsidR="0008590A" w:rsidRPr="00A7316E">
        <w:t xml:space="preserve"> </w:t>
      </w:r>
      <w:r w:rsidR="003974FB">
        <w:t xml:space="preserve">have been developed </w:t>
      </w:r>
      <w:r w:rsidR="002C0E2F" w:rsidRPr="00A7316E">
        <w:t xml:space="preserve">to remove </w:t>
      </w:r>
      <w:r w:rsidR="001B6C04" w:rsidRPr="00A7316E">
        <w:t>calcium carbonate (CaCO</w:t>
      </w:r>
      <w:r w:rsidR="001B6C04" w:rsidRPr="00A7316E">
        <w:rPr>
          <w:vertAlign w:val="subscript"/>
        </w:rPr>
        <w:t>3</w:t>
      </w:r>
      <w:r w:rsidR="001B6C04" w:rsidRPr="00A7316E">
        <w:t>), organic matter, biogenic opal</w:t>
      </w:r>
      <w:r w:rsidR="007C0B38">
        <w:t>, adsorbed cations</w:t>
      </w:r>
      <w:r w:rsidR="001B6C04" w:rsidRPr="00A7316E">
        <w:t xml:space="preserve"> and authigenic coatings</w:t>
      </w:r>
      <w:r w:rsidR="003974FB">
        <w:t xml:space="preserve"> </w:t>
      </w:r>
      <w:r w:rsidR="00DB33B1" w:rsidRPr="00BB74C9">
        <w:rPr>
          <w:rFonts w:cstheme="minorHAnsi"/>
        </w:rPr>
        <w:fldChar w:fldCharType="begin" w:fldLock="1"/>
      </w:r>
      <w:r w:rsidR="00F35B98">
        <w:rPr>
          <w:rFonts w:cstheme="minorHAnsi"/>
        </w:rPr>
        <w:instrText>ADDIN CSL_CITATION {"citationItems":[{"id":"ITEM-1","itemData":{"DOI":"10.1016/j.chemgeo.2019.119449","ISSN":"00092541","abstract":"The geochemical and isotopic composition of terrigenous clays from marine sediments can provide important information on the sources and pathways of sediments. International Ocean Discovery Program Expedition 361 drilled sites along the eastern margin of southern Africa that potentially provide archives of rainfall on the continent as well as dispersal in the Agulhas Current. We used standard methods to remove carbonate and ferromanganese oxides and Stokes settling to isolate the clay fractions. In comparison to most previous studies that aimed to extract the detrital signal from marine sediments, we additionally applied a cation exchange wash using CsCl as a final step in the sample preparation. The motivation behind the extra step, not frequently applied, is to remove ions that are gained on the clay surface due to adsorption of authigenic trace metals in the ocean or during the leaching procedure. Either would alter the composition of the detrital fraction if no cation exchange was applied. Moreover, using CsCl will provide an additional measure of the cation exchange capacity (CEC) of the samples. However, no study so far has evaluated the potential and the limitations of such a targeted protocol for marine sediments. Here, we explore the effects of removing and replacing adsorbed cations on the clay surfaces with Cs+, conducting measurements of the chemical compositions, and radiogenic isotopes on a set of eight clay sample pairs. Both sets of samples underwent the same full leaching procedure except that one batch was treated with a final CsCl wash step. In this study, organic matter was not leached because sediments at IODP Site U1478 have relatively low organic content. However, in general, we recommend including that step in the leaching procedure. As expected, significant portions of elements with high concentrations in seawater were replaced by Cs+ (2SD 2.8%.) from the wash, including 75% of the sodium and approximately 25% of the calcium, 10% of the magnesium, and 8% of the potassium. Trace metals such as Sr and Nd, whose isotopes are used for provenance studies, are also found to be in lower concentrations in the samples after the exchange wash. The exchange wash affected the radiogenic isotope compositions of the samples. Neodymium isotope ratios are slightly less radiogenic in all the washed samples. Strontium and Pb isotopes showed significant deviations to either more or less radiogenic values in different samples. The radiogenic isotop…","author":[{"dropping-particle":"","family":"Simon","given":"Margit H.","non-dropping-particle":"","parse-names":false,"suffix":""},{"dropping-particle":"","family":"Babin","given":"Daniel P.","non-dropping-particle":"","parse-names":false,"suffix":""},{"dropping-particle":"","family":"Goldstein","given":"Steven L.","non-dropping-particle":"","parse-names":false,"suffix":""},{"dropping-particle":"","family":"Cai","given":"Merry Yue","non-dropping-particle":"","parse-names":false,"suffix":""},{"dropping-particle":"","family":"Liu","given":"Tanzhuo","non-dropping-particle":"","parse-names":false,"suffix":""},{"dropping-particle":"","family":"Han","given":"Xibin","non-dropping-particle":"","parse-names":false,"suffix":""},{"dropping-particle":"","family":"Haws","given":"Anne A.","non-dropping-particle":"","parse-names":false,"suffix":""},{"dropping-particle":"","family":"Johns","given":"Matthew","non-dropping-particle":"","parse-names":false,"suffix":""},{"dropping-particle":"","family":"Lear","given":"Caroline","non-dropping-particle":"","parse-names":false,"suffix":""},{"dropping-particle":"","family":"Hemming","given":"Sidney R.","non-dropping-particle":"","parse-names":false,"suffix":""}],"container-title":"Chemical Geology","id":"ITEM-1","issue":"December","issued":{"date-parts":[["2020"]]},"note":"Sent from Vicki Feb 2020 - development of a leaching process to remove asorbed ions (implemented at the very end of sample prep, even after grain size separation?)\n\nNot written super clearly, some confusing passages/justifications....\n\nE.g. the removal of &amp;quot;seawater&amp;quot; Sr doesn't lead to more radiogenic values in most of their samples, but they say it must give more reliable data because it correlates better with the data from differernt isotope systems ont he same sample...not sure how legit this is? \n\nDefintely shows the need for my MgCl wash step, but will need to think about justification of the order of my leaching steps....","title":"Development of a protocol to obtain the composition of terrigenous detritus in marine sediments -a pilot study from International Ocean Discovery Program Expedition 361","type":"article-journal","volume":"535"},"uris":["http://www.mendeley.com/documents/?uuid=788daece-e9ec-4639-9aef-434ee9e215ac"]},{"id":"ITEM-2","itemData":{"DOI":"10.1002/lom3.10013","ISSN":"15415856","abstract":"The lithogenic fraction in marine sediments can be a key proxy to reconstruct past changes in atmospheric circulation, river runoff among other sedimentary processes. But, accurate isolation of the lithic component within biogenic-rich sediments can be particularly challenging in areas of high marine productivity. We present an experiment to isolate and characterize this lithogenic fraction that ensures the full elimination of biogenic and authigenic components. This experiment demonstrates that standard procedures used in most of the studies of terrigenous fraction in marine sediments, are inadequate to remove efficiently most of the biogenic components in sediments from high productivity regions such as the Eastern Equatorial Pacific. The experiment reviews each of the procedure steps designed for the removal of organic matter, carbonate, Fe-Mn oxides, and biogenic silica. The most critical steps were the removal of organic matter incorporated in fecal pellets, and the elimination of the biogenic silica. The continuous monitoring of the grain-size distribution of the samples along the experiment steps allows evaluating the impact that an inadequate procedure can induce on the grain size. Finally, lithic grain-size distributions were characterized using k-means statistical technique providing objective information for climate interpretation. The proposed approach ensures the quality of the results and allows magnifying the information provided by the lithic fraction in marine sediments.","author":[{"dropping-particle":"","family":"Povea","given":"Patricia","non-dropping-particle":"","parse-names":false,"suffix":""},{"dropping-particle":"","family":"Cacho","given":"Isabel","non-dropping-particle":"","parse-names":false,"suffix":""},{"dropping-particle":"","family":"Moreno","given":"Ana","non-dropping-particle":"","parse-names":false,"suffix":""},{"dropping-particle":"","family":"Menéndez","given":"Melisa","non-dropping-particle":"","parse-names":false,"suffix":""},{"dropping-particle":"","family":"Méndez","given":"Fernando J.","non-dropping-particle":"","parse-names":false,"suffix":""}],"container-title":"Limnology and Oceanography: Methods","id":"ITEM-2","issue":"3","issued":{"date-parts":[["2015"]]},"note":"do buffer, and very low acid. \nBut have to repeat lots.","page":"127-137","title":"A new procedure for the lithic fraction characterization in marine sediments from high productivity areas: Optimization of analytical and statistical procedures","type":"article-journal","volume":"13"},"uris":["http://www.mendeley.com/documents/?uuid=b7ecad56-ad95-4adf-b806-74e5209c63d0"]},{"id":"ITEM-3","itemData":{"DOI":"10.1016/S0009-2541(01)00416-8","ISBN":"0009-2541","ISSN":"00092541","abstract":"The radiogenic isotopic composition of both detrital and Fe-Mn fractions in marine sediments can be used in paleoceanography to infer changes of bottom-water circulation. We have examined various chemical techniques for the analysis of Sr and Nd isotope ratios in these fractions and present a robust method that can be used to separate both the Fe-Mn oxides and the detrital fraction from a marine sediment sample for isotopic analysis. Our sequential leaching procedure involves the use of 10% acetic acid, followed by 1 M hydroxylamine hydrochloride in 25% acetic acid to remove the carbonate component and the Fe-Mn oxide fraction, respectively. The applicability of our chemical procedure is illustrated with examples from a marine sediment core raised from the northern Cape Basin, southeast Atlantic Ocean. © 2002 Elsevier Science B.V. All rights reserved.","author":[{"dropping-particle":"","family":"Bayon","given":"G.","non-dropping-particle":"","parse-names":false,"suffix":""},{"dropping-particle":"","family":"German","given":"C. R.","non-dropping-particle":"","parse-names":false,"suffix":""},{"dropping-particle":"","family":"Boella","given":"R. M.","non-dropping-particle":"","parse-names":false,"suffix":""},{"dropping-particle":"","family":"Milton","given":"J. A.","non-dropping-particle":"","parse-names":false,"suffix":""},{"dropping-particle":"","family":"Taylor","given":"R. N.","non-dropping-particle":"","parse-names":false,"suffix":""},{"dropping-particle":"","family":"Nesbitt","given":"R. W.","non-dropping-particle":"","parse-names":false,"suffix":""}],"container-title":"Chemical Geology","id":"ITEM-3","issue":"3-4","issued":{"date-parts":[["2002"]]},"note":"Gives a statement to justify not buffering. \nAlso gives Sr and Nd values at each cleaning step. The Nd changes very little after each step, (inc. the acetic acid step) (relative to provenance changes).\nTHis shows that the buffering is not essential. \nThis is probably by best evidence for not buffering.","page":"179-199","title":"An improved method for extracting marine sediment fractions and its application to Sr and Nd isotopic analysis","type":"article-journal","volume":"187"},"uris":["http://www.mendeley.com/documents/?uuid=b204936c-7304-47eb-b8fe-81ab795dfade"]},{"id":"ITEM-4","itemData":{"DOI":"10.1016/j.quascirev.2014.04.005","ISBN":"0277-3791","ISSN":"02773791","abstract":"We present Plio-Pleistocene records of sediment color, %CaCO3, foraminifer fragmentation, benthic carbon isotopes (δ13C) and radiogenic isotopes (Sr, Nd, Pb) of the terrigenous component from IODP Site U1313, a reoccupation of benchmark subtropical North Atlantic Ocean DSDP Site 607. We show that (inter)glacial cycles in sediment color and %CaCO3pre-date major northern hemisphere glaciation and are unambiguously and consistently correlated to benthic oxygen isotopes back to 3.3 million years ago (Ma) and intermittently so probably back to the Miocene/Pliocene boundary. We show these lithological cycles to be driven by enhanced glacial fluxes of terrigenous material (eolian dust), not carbonate dissolution (the classic interpretation). Our radiogenic isotope data indicate a North American source for this dust (~3.3-2.4Ma) in keeping with the interpreted source of terrestrial plant wax-derived biomarkers deposited at Site U1313. Yet our data indicate a mid latitude provenance regardless of (inter)glacial state, a finding that is inconsistent with the biomarker-inferred importance of glaciogenic mechanisms of dust production and transport. Moreover, we find that the relation between the biomarker and lithogenic components of dust accumulation is distinctly non-linear. Both records show a jump in glacial rates of accumulation from Marine Isotope Stage, MIS, G6 (2.72Ma) onwards but the amplitude of this signal is about 3-8 times greater for biomarkers than for dust and particularly extreme during MIS 100 (2.52Ma). We conclude that North America shifted abruptly to a distinctly more arid glacial regime from MIS G6, but major shifts in glacial North American vegetation biomes and regional wind fields (exacerbated by the growth of a large Laurentide Ice Sheet during MIS 100) likely explain amplification of this signal in the biomarker records. Our findings are consistent with wetter-than-modern reconstructions of North American continental climate under the warm high CO2conditions of the Early Pliocene but contrast with most model predictions for the response of the hydrological cycle to anthropogenic warming over the coming 50 years (poleward expansion of the subtropical dry zones). © 2014 Elsevier Ltd.","author":[{"dropping-particle":"","family":"Lang","given":"David C.","non-dropping-particle":"","parse-names":false,"suffix":""},{"dropping-particle":"","family":"Bailey","given":"Ian","non-dropping-particle":"","parse-names":false,"suffix":""},{"dropping-particle":"","family":"Wilson","given":"Paul A.","non-dropping-particle":"","parse-names":false,"suffix":""},{"dropping-particle":"","family":"Beer","given":"Christopher J.","non-dropping-particle":"","parse-names":false,"suffix":""},{"dropping-particle":"","family":"Bolton","given":"Clara T.","non-dropping-particle":"","parse-names":false,"suffix":""},{"dropping-particle":"","family":"Friedrich","given":"Oliver","non-dropping-particle":"","parse-names":false,"suffix":""},{"dropping-particle":"","family":"Newsam","given":"Cherry","non-dropping-particle":"","parse-names":false,"suffix":""},{"dropping-particle":"","family":"Spencer","given":"Megan R.","non-dropping-particle":"","parse-names":false,"suffix":""},{"dropping-particle":"","family":"Gutjahr","given":"Marcus","non-dropping-particle":"","parse-names":false,"suffix":""},{"dropping-particle":"","family":"Foster","given":"Gavin L.","non-dropping-particle":"","parse-names":false,"suffix":""},{"dropping-particle":"","family":"Cooper","given":"Matthew J.","non-dropping-particle":"","parse-names":false,"suffix":""},{"dropping-particle":"","family":"Milton","given":"J. Andrew","non-dropping-particle":"","parse-names":false,"suffix":""}],"container-title":"Quaternary Science Reviews","id":"ITEM-4","issued":{"date-parts":[["2014"]]},"note":"Do buffer","page":"125-141","publisher":"Elsevier Ltd","title":"The transition on North America from the warm humid Pliocene to the glaciated Quaternary traced by eolian dust deposition at a benchmark North Atlantic Ocean drill site","type":"article-journal","volume":"93"},"uris":["http://www.mendeley.com/documents/?uuid=b5de900b-d62e-4033-8c9f-b737a200ac58"]}],"mendeley":{"formattedCitation":"(Bayon et al., 2002; Lang et al., 2014; Povea et al., 2015; Simon et al., 2020)","manualFormatting":"(e.g Bayon et al., 2002; Lang et al., 2014; Povea et al., 2015; Simon et al., 2020)","plainTextFormattedCitation":"(Bayon et al., 2002; Lang et al., 2014; Povea et al., 2015; Simon et al., 2020)","previouslyFormattedCitation":"(Bayon et al., 2002; Lang et al., 2014; Povea et al., 2015; Simon et al., 2020)"},"properties":{"noteIndex":0},"schema":"https://github.com/citation-style-language/schema/raw/master/csl-citation.json"}</w:instrText>
      </w:r>
      <w:r w:rsidR="00DB33B1" w:rsidRPr="00BB74C9">
        <w:rPr>
          <w:rFonts w:cstheme="minorHAnsi"/>
        </w:rPr>
        <w:fldChar w:fldCharType="separate"/>
      </w:r>
      <w:r w:rsidR="00DB33B1" w:rsidRPr="00C620E6">
        <w:rPr>
          <w:rFonts w:cstheme="minorHAnsi"/>
          <w:noProof/>
        </w:rPr>
        <w:t>(</w:t>
      </w:r>
      <w:r w:rsidR="00350164">
        <w:rPr>
          <w:rFonts w:cstheme="minorHAnsi"/>
          <w:noProof/>
        </w:rPr>
        <w:t xml:space="preserve">e.g </w:t>
      </w:r>
      <w:r w:rsidR="00DB33B1" w:rsidRPr="00C620E6">
        <w:rPr>
          <w:rFonts w:cstheme="minorHAnsi"/>
          <w:noProof/>
        </w:rPr>
        <w:t>Bayon et al., 2002; Lang et al., 2014; Povea et al., 2015; Simon et al., 2020)</w:t>
      </w:r>
      <w:r w:rsidR="00DB33B1" w:rsidRPr="00BB74C9">
        <w:rPr>
          <w:rFonts w:cstheme="minorHAnsi"/>
        </w:rPr>
        <w:fldChar w:fldCharType="end"/>
      </w:r>
      <w:r w:rsidR="00DB33B1">
        <w:rPr>
          <w:rFonts w:cstheme="minorHAnsi"/>
        </w:rPr>
        <w:t xml:space="preserve"> </w:t>
      </w:r>
      <w:r w:rsidR="003974FB">
        <w:t>but</w:t>
      </w:r>
      <w:r w:rsidR="00757AC7">
        <w:t xml:space="preserve"> some steps are often excluded, and</w:t>
      </w:r>
      <w:r w:rsidR="003974FB">
        <w:t xml:space="preserve"> </w:t>
      </w:r>
      <w:r w:rsidR="00A630A5" w:rsidRPr="00A7316E">
        <w:t>the removal of barite</w:t>
      </w:r>
      <w:r w:rsidR="003974FB">
        <w:t xml:space="preserve"> prior</w:t>
      </w:r>
      <w:r w:rsidR="003974FB" w:rsidRPr="00A7316E">
        <w:t xml:space="preserve"> </w:t>
      </w:r>
      <w:r w:rsidR="003974FB">
        <w:t>to</w:t>
      </w:r>
      <w:r w:rsidR="003974FB" w:rsidRPr="00A7316E">
        <w:t xml:space="preserve"> Sr and Nd isotope analysis </w:t>
      </w:r>
      <w:r w:rsidR="003974FB">
        <w:t>has received little attention</w:t>
      </w:r>
      <w:r w:rsidR="00A630A5" w:rsidRPr="00A7316E">
        <w:t xml:space="preserve">. </w:t>
      </w:r>
    </w:p>
    <w:p w14:paraId="10AAA6A8" w14:textId="77777777" w:rsidR="00157CEB" w:rsidRDefault="00157CEB" w:rsidP="008C6417">
      <w:pPr>
        <w:spacing w:line="480" w:lineRule="auto"/>
        <w:jc w:val="both"/>
        <w:rPr>
          <w:highlight w:val="yellow"/>
        </w:rPr>
      </w:pPr>
    </w:p>
    <w:p w14:paraId="7DC83C5E" w14:textId="33EFBFCE" w:rsidR="0012455D" w:rsidRDefault="00254698" w:rsidP="008C6417">
      <w:pPr>
        <w:spacing w:line="480" w:lineRule="auto"/>
        <w:jc w:val="both"/>
        <w:rPr>
          <w:rFonts w:cstheme="minorHAnsi"/>
        </w:rPr>
      </w:pPr>
      <w:r w:rsidRPr="0012455D">
        <w:t>Marine barite</w:t>
      </w:r>
      <w:r w:rsidR="00267710">
        <w:t xml:space="preserve"> </w:t>
      </w:r>
      <w:r w:rsidR="00267710">
        <w:rPr>
          <w:rFonts w:cstheme="minorHAnsi"/>
        </w:rPr>
        <w:t>(BaSO</w:t>
      </w:r>
      <w:r w:rsidR="00267710" w:rsidRPr="00267710">
        <w:rPr>
          <w:rFonts w:cstheme="minorHAnsi"/>
          <w:vertAlign w:val="subscript"/>
        </w:rPr>
        <w:t>4</w:t>
      </w:r>
      <w:r w:rsidR="00267710">
        <w:rPr>
          <w:rFonts w:cstheme="minorHAnsi"/>
        </w:rPr>
        <w:t>)</w:t>
      </w:r>
      <w:r w:rsidRPr="0012455D">
        <w:t xml:space="preserve"> </w:t>
      </w:r>
      <w:r w:rsidR="00267710">
        <w:rPr>
          <w:rFonts w:cstheme="minorHAnsi"/>
        </w:rPr>
        <w:t xml:space="preserve">is found </w:t>
      </w:r>
      <w:r w:rsidR="00663AEB">
        <w:rPr>
          <w:rFonts w:cstheme="minorHAnsi"/>
        </w:rPr>
        <w:t xml:space="preserve">in sinking particulate matter </w:t>
      </w:r>
      <w:r w:rsidR="00267710">
        <w:rPr>
          <w:rFonts w:cstheme="minorHAnsi"/>
        </w:rPr>
        <w:t>throughout the world’s oceans, and</w:t>
      </w:r>
      <w:r w:rsidR="00267710" w:rsidRPr="0012455D">
        <w:t xml:space="preserve"> </w:t>
      </w:r>
      <w:r w:rsidR="00267710">
        <w:t xml:space="preserve">occurs </w:t>
      </w:r>
      <w:r w:rsidR="006928B2">
        <w:t>as</w:t>
      </w:r>
      <w:r w:rsidR="006928B2" w:rsidRPr="0012455D">
        <w:t xml:space="preserve"> </w:t>
      </w:r>
      <w:r w:rsidR="0012455D" w:rsidRPr="0012455D">
        <w:t xml:space="preserve">dense, insoluble, </w:t>
      </w:r>
      <w:r w:rsidR="00442696">
        <w:t xml:space="preserve">typically </w:t>
      </w:r>
      <w:r w:rsidR="0012455D" w:rsidRPr="0012455D">
        <w:t>ovoid crystals</w:t>
      </w:r>
      <w:r w:rsidR="004B11AF">
        <w:t xml:space="preserve"> </w:t>
      </w:r>
      <w:r w:rsidR="0012455D" w:rsidRPr="0012455D">
        <w:t xml:space="preserve">approximately 2 - 5 </w:t>
      </w:r>
      <w:r w:rsidR="0012455D" w:rsidRPr="0012455D">
        <w:rPr>
          <w:rFonts w:cstheme="minorHAnsi"/>
        </w:rPr>
        <w:t xml:space="preserve">μm in </w:t>
      </w:r>
      <w:r w:rsidR="0012455D" w:rsidRPr="005D5C1A">
        <w:rPr>
          <w:rFonts w:cstheme="minorHAnsi"/>
        </w:rPr>
        <w:t xml:space="preserve">diameter </w:t>
      </w:r>
      <w:r w:rsidR="005D5C1A" w:rsidRPr="005D5C1A">
        <w:rPr>
          <w:rFonts w:cstheme="minorHAnsi"/>
        </w:rPr>
        <w:fldChar w:fldCharType="begin" w:fldLock="1"/>
      </w:r>
      <w:r w:rsidR="00DC46C4">
        <w:rPr>
          <w:rFonts w:cstheme="minorHAnsi"/>
        </w:rPr>
        <w:instrText>ADDIN CSL_CITATION {"citationItems":[{"id":"ITEM-1","itemData":{"author":[{"dropping-particle":"","family":"Paytan","given":"A","non-dropping-particle":"","parse-names":false,"suffix":""},{"dropping-particle":"","family":"Kastner","given":"M","non-dropping-particle":"","parse-names":false,"suffix":""},{"dropping-particle":"","family":"Martin","given":"E","non-dropping-particle":"","parse-names":false,"suffix":""},{"dropping-particle":"","family":"Macdougall","given":"J. D.","non-dropping-particle":"","parse-names":false,"suffix":""},{"dropping-particle":"","family":"Herbert","given":"T","non-dropping-particle":"","parse-names":false,"suffix":""}],"container-title":"Nature","id":"ITEM-1","issued":{"date-parts":[["1993"]]},"page":"445-449","title":"Marine barite as a monitor of seawater strontium isotope composition","type":"article-journal","volume":"366"},"uris":["http://www.mendeley.com/documents/?uuid=a0442e1a-fe25-45a8-8f51-fb2133392fea"]},{"id":"ITEM-2","itemData":{"DOI":"10.1130/0091-7613(2002)030&lt;0747:OOMBDS&gt;2.0.CO;2","ISSN":"00917613","abstract":"Barite can precipitate in microenvironments in the water column (marine barite), from supersaturated pore fluids at the oxic-anoxic boundary within marine sediments and where Ba-rich pore fluids are expelled and come into contact with sulfate-rich seawater (diagenetic barite), or from hydrothermal solutions (hydrothermal barite). Barite is relatively resistant to alteration after burial and has been used in paleoceanographic studies to reconstruct seawater chemistry and productivity through time. For such applications it is very important to determine the origin of the barite used, because both diagenetic and hydrothermal barite deposits may not accurately record the open-ocean contemporaneous seawater chemistry and productivity. We show here that it is possible to distinguish between the different types of barite by using Sr and S isotopes along with crystal morphology and size characteristics.","author":[{"dropping-particle":"","family":"Paytan","given":"Adina","non-dropping-particle":"","parse-names":false,"suffix":""},{"dropping-particle":"","family":"Mearon","given":"Sarah","non-dropping-particle":"","parse-names":false,"suffix":""},{"dropping-particle":"","family":"Cobb","given":"Kim","non-dropping-particle":"","parse-names":false,"suffix":""},{"dropping-particle":"","family":"Kastner","given":"Miriam","non-dropping-particle":"","parse-names":false,"suffix":""}],"container-title":"Geology","id":"ITEM-2","issue":"8","issued":{"date-parts":[["2002"]]},"page":"747-750","title":"Origin of marine barite deposits: Sr and S isotope characterization","type":"article-journal","volume":"30"},"uris":["http://www.mendeley.com/documents/?uuid=d5ff8d6e-b18a-4c15-9512-d73ae0e9a9d9"]},{"id":"ITEM-3","itemData":{"DOI":"10.1016/0016-7037(95)00049-6","ISBN":"0016-7037\\rISI:A1995QT16600013","ISSN":"00167037","abstract":"Strontium and neodymium isotopic data are reported for barite samples chemically separated from Late Miocene to Pliocene sediments from the eastern equatorial Pacific. At a site within a region of very high productivity close to the equator,87Sr/86Sr ratios in the barite separates are indistinguishable from those of foraminifera and fish teeth from the same samples. However, at two sites north of the productivity maximum barite separates have slightly, but consistently lower (averaging 62 × 10-6) ratios than the coexisting phases, although values still fall within the total range of published values for the contemporaneous seawater strontium isotope curve. We examine possible causes for this offset including recrystallization of the foraminifera, fish teeth or barite, the presence of non-barite contaminants, or incorporation of older, reworked deep-sea barite; the inclusion of a small amount of hydrothermal barite in the sediments seems most consistent with our data, although there are difficulties associated with adequate production and transportation of this phase. Barite is unlikely to replace calcite as a preferred tracer of seawater strontium isotopes in carbonate-rich sediments, but may prove a useful substitute in cases where calcite is rare or strongly affected by diagenesis. In contrast to the case for strontium, neodymium isotopic ratios in the barite separates are far from expected values for contemporary seawater, and appear to be dominated by an (unobserved) eolian component with high neodymium concentration and low143Nd/144Nd. These results suggest that the true potential of barite as an indicator of paleocean neodymium isotopic ratios and REE patterns will be realized only when a more selective separation procedure is developed. © 1995.","author":[{"dropping-particle":"","family":"Martin","given":"E. E.","non-dropping-particle":"","parse-names":false,"suffix":""},{"dropping-particle":"","family":"Macdougall","given":"J. D.","non-dropping-particle":"","parse-names":false,"suffix":""},{"dropping-particle":"","family":"Herbert","given":"T. D.","non-dropping-particle":"","parse-names":false,"suffix":""},{"dropping-particle":"","family":"Paytan","given":"A.","non-dropping-particle":"","parse-names":false,"suffix":""},{"dropping-particle":"","family":"Kastner","given":"M.","non-dropping-particle":"","parse-names":false,"suffix":""}],"container-title":"Geochimica et Cosmochimica Acta","id":"ITEM-3","issue":"7","issued":{"date-parts":[["1995"]]},"note":"Read this as it descirbes howto dissolve Barite..... (\nBarite could interfere with Sr (woul dhave taken up seawater Sr).","page":"1353-1361","title":"Strontium and neodymium isotopic analyses of marine barite separates","type":"article-journal","volume":"59"},"uris":["http://www.mendeley.com/documents/?uuid=7db6e603-d2a3-4e6b-8ed5-f1369946675f"]},{"id":"ITEM-4","itemData":{"DOI":"10.1111/j.1365-3091.2012.01327.x","ISSN":"00370746","abstract":"The mineral barite (BaSO4) can precipitate in a variety of oceanic settings: in the water column, on the sea floor and within marine sediments. The geological setting where barite forms ultimately determines the geochemistry of the precipitated mineral and its usefulness for various applications. Specifically, the isotopic and elemental composition of major and trace elements in barite carry information about the solution(s) from which it precipitated. Barite precipitated in the water column (marine or pelagic barite) can be used as a recorder of changes in sea water chemistry through time. Barite formed within sediments or at the sea floor from pore water fluids (diagenetic or cold seeps barite) can aid in understanding fluid flow and sedimentary redox processes, and barite formed in association with hydrothermal activity (hydrothermal barite) provides information about conditions of crust alteration around hydrothermal vents. The accumulation rate of marine barite in oxic-pelagic sediments can also be used to reconstruct past changes in ocean productivity. Some key areas for future work on the occurrence and origin of barite include: fully characterizing the mechanisms of precipitation of marine barite in the water column; understanding the role and potential significance of bacteria in barite precipitation; quantifying parameters controlling barite preservation in sediments; determining the influence of diagenesis on barite geochemistry; and investigating the utility of additional trace components in barite.","author":[{"dropping-particle":"","family":"Griffith","given":"Elizabeth M.","non-dropping-particle":"","parse-names":false,"suffix":""},{"dropping-particle":"","family":"Paytan","given":"Adina","non-dropping-particle":"","parse-names":false,"suffix":""}],"container-title":"Sedimentology","id":"ITEM-4","issue":"6","issued":{"date-parts":[["2012"]]},"page":"1817-1835","title":"Barite in</w:instrText>
      </w:r>
      <w:r w:rsidR="00DC46C4" w:rsidRPr="001E417E">
        <w:rPr>
          <w:rFonts w:cstheme="minorHAnsi"/>
          <w:lang w:val="fr-FR"/>
        </w:rPr>
        <w:instrText xml:space="preserve"> the ocean - occurrence, geochemistry and palaeoceanographic applications","type":"article-journal","volume":"59"},"uris":["http://www.mendeley.com/documents/?uuid=7d87c128-e96d-4bfe-8157-1b1d2d4d5d94"]},{"id":"ITEM-5","itemData":{"DOI":"10.1017/9781108847162","ISBN":"9781108847162","author":[{"dropping-particle":"","family":"Yao","given":"Weiqi","non-dropping-particle":"","parse-names":false,"suffix":""},{"dropping-particle":"","family":"Griffith","given":"Elizabeth","non-dropping-particle":"","parse-names":false,"suffix":""},{"dropping-particle":"","family":"Paytan","given":"Adina","non-dropping-particle":"","parse-names":false,"suffix":""}],"container-title":"Pelagic Barite","id":"ITEM-5","issued":{"date-parts":[["2021"]]},"note":"Sent by Paul March 2021.\n\nGives a good overall barite summary. Should include in methods paper.","title":"Pelagic Barite","type":"article-journal","volume":"7027"},"uris":["http://www.mendeley.com/documents/?uuid=6055165b-ac5d-45b5-bd79-2eb97814b6fa"]}],"mendeley":{"formattedCitation":"(Griffith and Paytan, 2012; Martin et al., 1995; Paytan et al., 2002, 1993; Yao et al., 2021)","plainTextFormattedCitation":"(Griffith and Paytan, 2012; Martin et al., 1995; Paytan et al., 2002, 1993; Yao et al., 2021)","previouslyFormattedCitation":"(Griffith and Paytan, 2012; Martin et al., 1995; Paytan et al., 2002, 1993; Yao et al., 2021)"},"properties":{"noteIndex":0},"schema":"https://github.com/citation-style-language/schema/raw/master/csl-citation.json"}</w:instrText>
      </w:r>
      <w:r w:rsidR="005D5C1A" w:rsidRPr="005D5C1A">
        <w:rPr>
          <w:rFonts w:cstheme="minorHAnsi"/>
        </w:rPr>
        <w:fldChar w:fldCharType="separate"/>
      </w:r>
      <w:r w:rsidR="00DC46C4" w:rsidRPr="001E417E">
        <w:rPr>
          <w:rFonts w:cstheme="minorHAnsi"/>
          <w:noProof/>
          <w:lang w:val="fr-FR"/>
        </w:rPr>
        <w:t>(Griffith and Paytan, 2012; Martin et al., 1995; Paytan et al., 2002, 1993; Yao et al., 2021)</w:t>
      </w:r>
      <w:r w:rsidR="005D5C1A" w:rsidRPr="005D5C1A">
        <w:rPr>
          <w:rFonts w:cstheme="minorHAnsi"/>
        </w:rPr>
        <w:fldChar w:fldCharType="end"/>
      </w:r>
      <w:r w:rsidR="0012455D" w:rsidRPr="001E417E">
        <w:rPr>
          <w:rFonts w:cstheme="minorHAnsi"/>
          <w:lang w:val="fr-FR"/>
        </w:rPr>
        <w:t xml:space="preserve">. </w:t>
      </w:r>
      <w:r w:rsidR="00FB277B">
        <w:rPr>
          <w:rFonts w:cstheme="minorHAnsi"/>
        </w:rPr>
        <w:t xml:space="preserve">Excluding </w:t>
      </w:r>
      <w:r w:rsidR="009B284C">
        <w:rPr>
          <w:rFonts w:cstheme="minorHAnsi"/>
        </w:rPr>
        <w:t xml:space="preserve">surface waters in </w:t>
      </w:r>
      <w:r w:rsidR="00FB277B">
        <w:rPr>
          <w:rFonts w:cstheme="minorHAnsi"/>
        </w:rPr>
        <w:t xml:space="preserve">specific regions of </w:t>
      </w:r>
      <w:r w:rsidR="003C7144">
        <w:rPr>
          <w:rFonts w:cstheme="minorHAnsi"/>
        </w:rPr>
        <w:t xml:space="preserve">the </w:t>
      </w:r>
      <w:r w:rsidR="00FB277B">
        <w:rPr>
          <w:rFonts w:cstheme="minorHAnsi"/>
        </w:rPr>
        <w:t xml:space="preserve">Southern Ocean, intermediate depths in the Pacific </w:t>
      </w:r>
      <w:r w:rsidR="0008590A">
        <w:rPr>
          <w:rFonts w:cstheme="minorHAnsi"/>
        </w:rPr>
        <w:t xml:space="preserve">Ocean </w:t>
      </w:r>
      <w:r w:rsidR="00FB277B">
        <w:rPr>
          <w:rFonts w:cstheme="minorHAnsi"/>
        </w:rPr>
        <w:t xml:space="preserve">and </w:t>
      </w:r>
      <w:r w:rsidR="0008590A">
        <w:rPr>
          <w:rFonts w:cstheme="minorHAnsi"/>
        </w:rPr>
        <w:t xml:space="preserve">deep waters </w:t>
      </w:r>
      <w:r w:rsidR="009B284C">
        <w:rPr>
          <w:rFonts w:cstheme="minorHAnsi"/>
        </w:rPr>
        <w:t xml:space="preserve">of </w:t>
      </w:r>
      <w:r w:rsidR="0008590A">
        <w:rPr>
          <w:rFonts w:cstheme="minorHAnsi"/>
        </w:rPr>
        <w:t xml:space="preserve">the </w:t>
      </w:r>
      <w:r w:rsidR="00FB277B">
        <w:rPr>
          <w:rFonts w:cstheme="minorHAnsi"/>
        </w:rPr>
        <w:t xml:space="preserve">Gulf of Bengal, </w:t>
      </w:r>
      <w:r w:rsidR="00FA444F">
        <w:rPr>
          <w:rFonts w:cstheme="minorHAnsi"/>
        </w:rPr>
        <w:t>the global ocean is undersaturated with respect to barite</w:t>
      </w:r>
      <w:r w:rsidR="00461E3A">
        <w:rPr>
          <w:rFonts w:cstheme="minorHAnsi"/>
        </w:rPr>
        <w:t xml:space="preserve"> </w:t>
      </w:r>
      <w:r w:rsidR="00461E3A">
        <w:rPr>
          <w:rFonts w:cstheme="minorHAnsi"/>
        </w:rPr>
        <w:fldChar w:fldCharType="begin" w:fldLock="1"/>
      </w:r>
      <w:r w:rsidR="00FD1392">
        <w:rPr>
          <w:rFonts w:cstheme="minorHAnsi"/>
        </w:rPr>
        <w:instrText>ADDIN CSL_CITATION {"citationItems":[{"id":"ITEM-1","itemData":{"DOI":"10.1016/S0304-4203(99)00016-X","ISSN":"03044203","abstract":"This paper addresses the question of the eventual control of barium concentration in seawater by an equilibrium with barite. For this, we have used a new thermodynamic model to compute the barite saturation index of ocean waters, mainly from GEOSECS data. Our results show that equilibrium between barite and seawater is reached in a number of places: cold surface waters of the Southern Ocean, waters at intermediate depths (2000-3500 m) in the Pacific, deep waters (2000-3500 m) of the Gulf of Bengal. The only samples for which a slight barite supersaturation is found are the surface waters at GEOSECS station G89 in the Weddell Gyre. Besides these locations, the rest of the world's oceans is undersaturated, as was established by Church and Wolgemuth [Church, T.M., Wolgemuth, K., 1972. Marine barite saturation, Earth Planet. Sci. Lett. 15 35-44,]. There is a return to undersaturation of the water column at depths of about 3500 m in the Pacific and of about 2500 m in the Southern Ocean. The reverse is found for GEOSECS station 446 in the Gulf of Bengal for which the highest Ba concentrations can be found at depth: surface waters are undersaturated and equilibrium is reached below 2000 m. Finally, we briefly discuss the role of biogenic and inorganic processes on barite formation in the ocean as well as the influence of strontium substitution in marine barites.","author":[{"dropping-particle":"","family":"Monnin","given":"Christophe","non-dropping-particle":"","parse-names":false,"suffix":""},{"dropping-particle":"","family":"Jeandel","given":"Catherine","non-dropping-particle":"","parse-names":false,"suffix":""},{"dropping-particle":"","family":"Cattaldo","given":"Thierry","non-dropping-particle":"","parse-names":false,"suffix":""},{"dropping-particle":"","family":"Dehairs","given":"Frank","non-dropping-particle":"","parse-names":false,"suffix":""}],"container-title":"Marine Chemistry","id":"ITEM-1","issue":"3-4","issued":{"date-parts":[["1999"]]},"page":"253-261","title":"The marine barite saturation state of the world's oceans","type":"article-journal","volume":"65"},"uris":["http://www.mendeley.com/documents/?uuid=34701e1d-fa7e-4934-85ec-3315b5ba83a7"]}],"mendeley":{"formattedCitation":"(Monnin et al., 1999)","plainTextFormattedCitation":"(Monnin et al., 1999)","previouslyFormattedCitation":"(Monnin et al., 1999)"},"properties":{"noteIndex":0},"schema":"https://github.com/citation-style-language/schema/raw/master/csl-citation.json"}</w:instrText>
      </w:r>
      <w:r w:rsidR="00461E3A">
        <w:rPr>
          <w:rFonts w:cstheme="minorHAnsi"/>
        </w:rPr>
        <w:fldChar w:fldCharType="separate"/>
      </w:r>
      <w:r w:rsidR="00461E3A" w:rsidRPr="00461E3A">
        <w:rPr>
          <w:rFonts w:cstheme="minorHAnsi"/>
          <w:noProof/>
        </w:rPr>
        <w:t>(Monnin et al., 1999)</w:t>
      </w:r>
      <w:r w:rsidR="00461E3A">
        <w:rPr>
          <w:rFonts w:cstheme="minorHAnsi"/>
        </w:rPr>
        <w:fldChar w:fldCharType="end"/>
      </w:r>
      <w:r w:rsidR="00FB277B">
        <w:rPr>
          <w:rFonts w:cstheme="minorHAnsi"/>
        </w:rPr>
        <w:t xml:space="preserve">. </w:t>
      </w:r>
      <w:r w:rsidR="00FB277B">
        <w:rPr>
          <w:rFonts w:cstheme="minorHAnsi"/>
        </w:rPr>
        <w:lastRenderedPageBreak/>
        <w:t>T</w:t>
      </w:r>
      <w:r w:rsidR="00054B2B">
        <w:rPr>
          <w:rFonts w:cstheme="minorHAnsi"/>
        </w:rPr>
        <w:t>he mechanism</w:t>
      </w:r>
      <w:r w:rsidR="00106690">
        <w:rPr>
          <w:rFonts w:cstheme="minorHAnsi"/>
        </w:rPr>
        <w:t>s</w:t>
      </w:r>
      <w:r w:rsidR="00054B2B">
        <w:rPr>
          <w:rFonts w:cstheme="minorHAnsi"/>
        </w:rPr>
        <w:t xml:space="preserve"> </w:t>
      </w:r>
      <w:r w:rsidR="00106690">
        <w:rPr>
          <w:rFonts w:cstheme="minorHAnsi"/>
        </w:rPr>
        <w:t xml:space="preserve">by </w:t>
      </w:r>
      <w:r w:rsidR="00054B2B">
        <w:rPr>
          <w:rFonts w:cstheme="minorHAnsi"/>
        </w:rPr>
        <w:t xml:space="preserve">which </w:t>
      </w:r>
      <w:r w:rsidR="003974FB">
        <w:rPr>
          <w:rFonts w:cstheme="minorHAnsi"/>
        </w:rPr>
        <w:t xml:space="preserve">barite </w:t>
      </w:r>
      <w:r w:rsidR="00742D0D">
        <w:rPr>
          <w:rFonts w:cstheme="minorHAnsi"/>
        </w:rPr>
        <w:t>forms</w:t>
      </w:r>
      <w:r w:rsidR="00054B2B">
        <w:rPr>
          <w:rFonts w:cstheme="minorHAnsi"/>
        </w:rPr>
        <w:t xml:space="preserve"> </w:t>
      </w:r>
      <w:r w:rsidR="00106690">
        <w:rPr>
          <w:rFonts w:cstheme="minorHAnsi"/>
        </w:rPr>
        <w:t xml:space="preserve">are </w:t>
      </w:r>
      <w:r w:rsidR="007C0864">
        <w:rPr>
          <w:rFonts w:cstheme="minorHAnsi"/>
        </w:rPr>
        <w:t>not fully understood</w:t>
      </w:r>
      <w:r w:rsidR="00FB277B">
        <w:rPr>
          <w:rFonts w:cstheme="minorHAnsi"/>
        </w:rPr>
        <w:t>, but</w:t>
      </w:r>
      <w:r w:rsidR="00106690">
        <w:rPr>
          <w:rFonts w:cstheme="minorHAnsi"/>
        </w:rPr>
        <w:t xml:space="preserve"> biomineralization in the water column is </w:t>
      </w:r>
      <w:r w:rsidR="003974FB">
        <w:rPr>
          <w:rFonts w:cstheme="minorHAnsi"/>
        </w:rPr>
        <w:t xml:space="preserve">suggested and </w:t>
      </w:r>
      <w:r w:rsidR="007C0B38">
        <w:rPr>
          <w:rFonts w:cstheme="minorHAnsi"/>
        </w:rPr>
        <w:t xml:space="preserve">is </w:t>
      </w:r>
      <w:r w:rsidR="007037AB">
        <w:rPr>
          <w:rFonts w:cstheme="minorHAnsi"/>
        </w:rPr>
        <w:t>likely</w:t>
      </w:r>
      <w:r w:rsidR="00461E3A">
        <w:rPr>
          <w:rFonts w:cstheme="minorHAnsi"/>
        </w:rPr>
        <w:t xml:space="preserve"> metabolic</w:t>
      </w:r>
      <w:r w:rsidR="00106690">
        <w:rPr>
          <w:rFonts w:cstheme="minorHAnsi"/>
        </w:rPr>
        <w:t>ally</w:t>
      </w:r>
      <w:r w:rsidR="00461E3A">
        <w:rPr>
          <w:rFonts w:cstheme="minorHAnsi"/>
        </w:rPr>
        <w:t xml:space="preserve"> mediat</w:t>
      </w:r>
      <w:r w:rsidR="00106690">
        <w:rPr>
          <w:rFonts w:cstheme="minorHAnsi"/>
        </w:rPr>
        <w:t>ed</w:t>
      </w:r>
      <w:r w:rsidR="00461E3A">
        <w:rPr>
          <w:rFonts w:cstheme="minorHAnsi"/>
        </w:rPr>
        <w:t xml:space="preserve"> </w:t>
      </w:r>
      <w:r w:rsidR="00106690">
        <w:rPr>
          <w:rFonts w:cstheme="minorHAnsi"/>
        </w:rPr>
        <w:t>by marine bacteria (</w:t>
      </w:r>
      <w:r w:rsidR="00106690">
        <w:rPr>
          <w:rFonts w:cstheme="minorHAnsi"/>
        </w:rPr>
        <w:fldChar w:fldCharType="begin" w:fldLock="1"/>
      </w:r>
      <w:r w:rsidR="00FD1392">
        <w:rPr>
          <w:rFonts w:cstheme="minorHAnsi"/>
        </w:rPr>
        <w:instrText>ADDIN CSL_CITATION {"citationItems":[{"id":"ITEM-1","itemData":{"DOI":"10.1130/G33006.1","ISSN":"00917613","abstract":"Barite (BaSO4) is found throughout the ocean, yet seawater is undersaturated with respect to barite, and organisms that could account for the abundance of barite have not yet been identified. The mechanism for barite formation in seawater is not fully understood. Here we show that marine bacteria have the ability to precipitate barite through a metabolically mediated biomineralization process. We precipitated barite in laboratory experiments in the presence of several strains of marine bacteria grown on yeast media enriched with barium (Ba); barite did not precipitate under identical conditions in killed-bacteria controls. The crystals develop from amorphous, phosphorous-rich spherical precursors with fibrous internal textures, common in bacterial mineral precipitation. Bacterial mediation of barite precipitation can explain the distribution of barite in the water column and the occurrence of barite crystals in organic-rich sinking aggregates where bacteria are concentrated. This finding has implications for the use of barite and Ba proxies in paleoceanographic research. © 2012 Geological Society of America.","author":[{"dropping-particle":"","family":"Gonzalez-Muñoz","given":"M. T.","non-dropping-particle":"","parse-names":false,"suffix":""},{"dropping-particle":"","family":"Martinez-Ruiz","given":"F.","non-dropping-particle":"","parse-names":false,"suffix":""},{"dropping-particle":"","family":"Morcillo","given":"F.","non-dropping-particle":"","parse-names":false,"suffix":""},{"dropping-particle":"","family":"Martin-Ramos","given":"J. D.","non-dropping-particle":"","parse-names":false,"suffix":""},{"dropping-particle":"","family":"Paytan","given":"A.","non-dropping-particle":"","parse-names":false,"suffix":""}],"container-title":"Geology","id":"ITEM-1","issue":"8","issued":{"date-parts":[["2012"]]},"page":"675-678","title":"Precipitation of barite by marine bacteria: A possible mechanism for marine barite formation","type":"article-journal","volume":"40"},"uris":["http://www.mendeley.com/documents/?uuid=36d21d98-7fbd-4533-a478-8aceac76869a"]}],"mendeley":{"formattedCitation":"(Gonzalez-Muñoz et al., 2012)","manualFormatting":"Gonzalez-Muñoz et al., 2012)","plainTextFormattedCitation":"(Gonzalez-Muñoz et al., 2012)","previouslyFormattedCitation":"(Gonzalez-Muñoz et al., 2012)"},"properties":{"noteIndex":0},"schema":"https://github.com/citation-style-language/schema/raw/master/csl-citation.json"}</w:instrText>
      </w:r>
      <w:r w:rsidR="00106690">
        <w:rPr>
          <w:rFonts w:cstheme="minorHAnsi"/>
        </w:rPr>
        <w:fldChar w:fldCharType="separate"/>
      </w:r>
      <w:r w:rsidR="00106690" w:rsidRPr="00461E3A">
        <w:rPr>
          <w:rFonts w:cstheme="minorHAnsi"/>
          <w:noProof/>
        </w:rPr>
        <w:t>Gonzalez-Muñoz et al., 2012)</w:t>
      </w:r>
      <w:r w:rsidR="00106690">
        <w:rPr>
          <w:rFonts w:cstheme="minorHAnsi"/>
        </w:rPr>
        <w:fldChar w:fldCharType="end"/>
      </w:r>
      <w:r w:rsidR="00461E3A">
        <w:rPr>
          <w:rFonts w:cstheme="minorHAnsi"/>
        </w:rPr>
        <w:t xml:space="preserve">. </w:t>
      </w:r>
      <w:r w:rsidR="009E3EF6">
        <w:rPr>
          <w:rFonts w:cstheme="minorHAnsi"/>
        </w:rPr>
        <w:t>B</w:t>
      </w:r>
      <w:r w:rsidR="00106690">
        <w:rPr>
          <w:rFonts w:cstheme="minorHAnsi"/>
        </w:rPr>
        <w:t xml:space="preserve">arium </w:t>
      </w:r>
      <w:r w:rsidR="006B2540">
        <w:rPr>
          <w:rFonts w:cstheme="minorHAnsi"/>
        </w:rPr>
        <w:t xml:space="preserve">release during the degradation of organic matter </w:t>
      </w:r>
      <w:r w:rsidR="00106690">
        <w:rPr>
          <w:rFonts w:cstheme="minorHAnsi"/>
        </w:rPr>
        <w:t xml:space="preserve">plays an important role, creating </w:t>
      </w:r>
      <w:r w:rsidR="006B2540">
        <w:rPr>
          <w:rFonts w:cstheme="minorHAnsi"/>
        </w:rPr>
        <w:t xml:space="preserve">microenvironments </w:t>
      </w:r>
      <w:r w:rsidR="00106690">
        <w:rPr>
          <w:rFonts w:cstheme="minorHAnsi"/>
        </w:rPr>
        <w:t xml:space="preserve">within </w:t>
      </w:r>
      <w:r w:rsidR="006B2540">
        <w:rPr>
          <w:rFonts w:cstheme="minorHAnsi"/>
        </w:rPr>
        <w:t xml:space="preserve">the upper water </w:t>
      </w:r>
      <w:r w:rsidR="006B2540" w:rsidRPr="001F0364">
        <w:rPr>
          <w:rFonts w:cstheme="minorHAnsi"/>
        </w:rPr>
        <w:t>column</w:t>
      </w:r>
      <w:r w:rsidR="006B2540">
        <w:rPr>
          <w:rFonts w:cstheme="minorHAnsi"/>
        </w:rPr>
        <w:t xml:space="preserve"> that </w:t>
      </w:r>
      <w:r w:rsidR="00106690">
        <w:rPr>
          <w:rFonts w:cstheme="minorHAnsi"/>
        </w:rPr>
        <w:t xml:space="preserve">become </w:t>
      </w:r>
      <w:r w:rsidR="006B2540">
        <w:rPr>
          <w:rFonts w:cstheme="minorHAnsi"/>
        </w:rPr>
        <w:t xml:space="preserve">supersaturated </w:t>
      </w:r>
      <w:r w:rsidR="00106690">
        <w:rPr>
          <w:rFonts w:cstheme="minorHAnsi"/>
        </w:rPr>
        <w:t xml:space="preserve">with respect to </w:t>
      </w:r>
      <w:r w:rsidR="006B2540">
        <w:rPr>
          <w:rFonts w:cstheme="minorHAnsi"/>
        </w:rPr>
        <w:t>barite</w:t>
      </w:r>
      <w:r w:rsidR="007037AB">
        <w:rPr>
          <w:rFonts w:cstheme="minorHAnsi"/>
        </w:rPr>
        <w:t>,</w:t>
      </w:r>
      <w:r w:rsidR="006B2540">
        <w:rPr>
          <w:rFonts w:cstheme="minorHAnsi"/>
        </w:rPr>
        <w:t xml:space="preserve"> instigat</w:t>
      </w:r>
      <w:r w:rsidR="00106690">
        <w:rPr>
          <w:rFonts w:cstheme="minorHAnsi"/>
        </w:rPr>
        <w:t>ing</w:t>
      </w:r>
      <w:r w:rsidR="006B2540">
        <w:rPr>
          <w:rFonts w:cstheme="minorHAnsi"/>
        </w:rPr>
        <w:t xml:space="preserve"> its precipitation </w:t>
      </w:r>
      <w:r w:rsidR="006B2540">
        <w:rPr>
          <w:rFonts w:cstheme="minorHAnsi"/>
        </w:rPr>
        <w:fldChar w:fldCharType="begin" w:fldLock="1"/>
      </w:r>
      <w:r w:rsidR="00EA1588">
        <w:rPr>
          <w:rFonts w:cstheme="minorHAnsi"/>
        </w:rPr>
        <w:instrText>ADDIN CSL_CITATION {"citationItems":[{"id":"ITEM-1","itemData":{"DOI":"10.1111/j.1365-3091.2012.01327.x","ISSN":"00370746","abstract":"The mineral barite (BaSO4) can precipitate in a variety of oceanic settings: in the water column, on the sea floor and within marine sediments. The geological setting where barite forms ultimately determines the geochemistry of the precipitated mineral and its usefulness for various applications. Specifically, the isotopic and elemental composition of major and trace elements in barite carry information about the solution(s) from which it precipitated. Barite precipitated in the water column (marine or pelagic barite) can be used as a recorder of changes in sea water chemistry through time. Barite formed within sediments or at the sea floor from pore water fluids (diagenetic or cold seeps barite) can aid in understanding fluid flow and sedimentary redox processes, and barite formed in association with hydrothermal activity (hydrothermal barite) provides information about conditions of crust alteration around hydrothermal vents. The accumulation rate of marine barite in oxic-pelagic sediments can also be used to reconstruct past changes in ocean productivity. Some key areas for future work on the occurrence and origin of barite include: fully characterizing the mechanisms of precipitation of marine barite in the water column; understanding the role and potential significance of bacteria in barite precipitation; quantifying parameters controlling barite preservation in sediments; determining the influence of diagenesis on barite geochemistry; and investigating the utility of additional trace components in barite.","author":[{"dropping-particle":"","family":"Griffith","given":"Elizabeth M.","non-dropping-particle":"","parse-names":false,"suffix":""},{"dropping-particle":"","family":"Paytan","given":"Adina","non-dropping-particle":"","parse-names":false,"suffix":""}],"container-title":"Sedimentology","id":"ITEM-1","issue":"6","issued":{"date-parts":[["2012"]]},"page":"1817-1835","title":"Barite in the ocean - occurrence, geochemistry and palaeoceanographic applications","type":"article-journal","volume":"59"},"uris":["http://www.mendeley.com/documents/?uuid=7d87c128-e96d-4bfe-8157-1b1d2d4d5d94"]},{"id":"ITEM-2","itemData":{"DOI":"10.1016/S0016-7037(03)00164-9","ISSN":"00167037","abstract":"We report results from time-series decay and sequential leaching experiments of laboratory cultured and coastal plankton to elucidate the mechanisms controlling barite formation in seawater. Batch-cultured diatoms ( Stephanopyxis palmerina ) and coccolithophorids (Emiliania huxleyi) were let to decay in the dark for 8-10 weeks, suspended in aerated seawater. The development of barite crystals was monitored by Scanning Electron Microscopy (SEM). A similar experiment was conducted with plankton collected during the spring-bloom in Vineyard Sound (MA). In addition to SEM, suspended particles were sequentially leached for Ba (distilled water rinse; 10% (v/v) HNO3 rinse at room temperature; 30% (v/v) HCl at 80°C overnight; 50% (v/v) HNO3 at 80°C overnight) immediately after collection, and after 10-week decay in seawater, in seawater poisoned with HgCl2, and in seawater spiked with 135Ba. Both experiments showed an increase in the number of barite crystals during decay. The spring-bloom plankton had initially a large pool of labile Ba, soluble in distilled water and cold dilute HNO3 that was lost from the plankton after 10-week decay in both axenic and nonaxenic conditions. In contrast, Ba in the decayed plankton samples was predominantly in forms extracted by hot HCl and hot HNO3 acids, which were attributed to presence of barite Ba and refractory organic Ba respectively. The increase in barite crystal counts under a Scanning Electron Microscope (SEM), the increase in HCl extractable Ba relative to organic carbon, and the loss of a large fraction of Ba during plankton decay suggest that living plankton consists of a relatively large pool of labile Ba, which is rapidly released during plankton decomposition and acts as the main source of Ba for barite formation in supersaturated microenvironments. Since mass balance indicates that only a small proportion (2 to 4%) of the labile-Ba pool is converted to barite, the availability of microenvironments that could locally concentrate Ba released by plankton decay seems to be the main limiting factor in barite precipitation. © 2003 Elsevier Science Ltd.","author":[{"dropping-particle":"","family":"Ganeshram","given":"Raja S.","non-dropping-particle":"","parse-names":false,"suffix":""},{"dropping-particle":"","family":"François","given":"Roger","non-dropping-particle":"","parse-names":false,"suffix":""},{"dropping-particle":"","family":"Commeau","given":"Judy","non-dropping-particle":"","parse-names":false,"suffix":""},{"dropping-particle":"","family":"Brown-Leger","given":"Susan L.","non-dropping-particle":"","parse-names":false,"suffix":""}],"container-title":"Geochimica et Cosmochimica Acta","id":"ITEM-2","issue":"14","issued":{"date-parts":[["2003"]]},"page":"2599-2605","title":"An experimental investigation of barite formation in seawater","type":"article-journal","volume":"67"},"uris":["http://www.mendeley.com/documents/?uuid=0cecab8c-7fd0-46dc-9b6b-928c6c8714db"]}],"mendeley":{"formattedCitation":"(Ganeshram et al., 2003; Griffith and Paytan, 2012)","plainTextFormattedCitation":"(Ganeshram et al., 2003; Griffith and Paytan, 2012)","previouslyFormattedCitation":"(Ganeshram et al., 2003; Griffith and Paytan, 2012)"},"properties":{"noteIndex":0},"schema":"https://github.com/citation-style-language/schema/raw/master/csl-citation.json"}</w:instrText>
      </w:r>
      <w:r w:rsidR="006B2540">
        <w:rPr>
          <w:rFonts w:cstheme="minorHAnsi"/>
        </w:rPr>
        <w:fldChar w:fldCharType="separate"/>
      </w:r>
      <w:r w:rsidR="00EC7B14" w:rsidRPr="00EC7B14">
        <w:rPr>
          <w:rFonts w:cstheme="minorHAnsi"/>
          <w:noProof/>
        </w:rPr>
        <w:t>(Ganeshram et al., 2003; Griffith and Paytan, 2012)</w:t>
      </w:r>
      <w:r w:rsidR="006B2540">
        <w:rPr>
          <w:rFonts w:cstheme="minorHAnsi"/>
        </w:rPr>
        <w:fldChar w:fldCharType="end"/>
      </w:r>
      <w:r w:rsidR="006B2540">
        <w:rPr>
          <w:rFonts w:cstheme="minorHAnsi"/>
        </w:rPr>
        <w:t xml:space="preserve">. </w:t>
      </w:r>
      <w:r w:rsidR="003A2DD2">
        <w:rPr>
          <w:rFonts w:cstheme="minorHAnsi"/>
        </w:rPr>
        <w:t>Barite production</w:t>
      </w:r>
      <w:r w:rsidR="00241527">
        <w:rPr>
          <w:rFonts w:cstheme="minorHAnsi"/>
        </w:rPr>
        <w:t>,</w:t>
      </w:r>
      <w:r w:rsidR="003A2DD2">
        <w:rPr>
          <w:rFonts w:cstheme="minorHAnsi"/>
        </w:rPr>
        <w:t xml:space="preserve"> and </w:t>
      </w:r>
      <w:r w:rsidR="004D2DB9">
        <w:rPr>
          <w:rFonts w:cstheme="minorHAnsi"/>
        </w:rPr>
        <w:t xml:space="preserve">therefore </w:t>
      </w:r>
      <w:r w:rsidR="003974FB">
        <w:rPr>
          <w:rFonts w:cstheme="minorHAnsi"/>
        </w:rPr>
        <w:t xml:space="preserve">its </w:t>
      </w:r>
      <w:r w:rsidR="003A2DD2">
        <w:rPr>
          <w:rFonts w:cstheme="minorHAnsi"/>
        </w:rPr>
        <w:t>e</w:t>
      </w:r>
      <w:r w:rsidR="009E3EF6">
        <w:rPr>
          <w:rFonts w:cstheme="minorHAnsi"/>
        </w:rPr>
        <w:t xml:space="preserve">xport to </w:t>
      </w:r>
      <w:r w:rsidR="00663AEB">
        <w:rPr>
          <w:rFonts w:cstheme="minorHAnsi"/>
        </w:rPr>
        <w:t xml:space="preserve">underlying </w:t>
      </w:r>
      <w:r w:rsidR="009E3EF6">
        <w:rPr>
          <w:rFonts w:cstheme="minorHAnsi"/>
        </w:rPr>
        <w:t>ocean sediments</w:t>
      </w:r>
      <w:r w:rsidR="00241527">
        <w:rPr>
          <w:rFonts w:cstheme="minorHAnsi"/>
        </w:rPr>
        <w:t>,</w:t>
      </w:r>
      <w:r w:rsidR="00EC7B14">
        <w:rPr>
          <w:rFonts w:cstheme="minorHAnsi"/>
        </w:rPr>
        <w:t xml:space="preserve"> </w:t>
      </w:r>
      <w:r w:rsidR="00EA1588">
        <w:rPr>
          <w:rFonts w:cstheme="minorHAnsi"/>
        </w:rPr>
        <w:t>is</w:t>
      </w:r>
      <w:r w:rsidR="00EC7B14">
        <w:rPr>
          <w:rFonts w:cstheme="minorHAnsi"/>
        </w:rPr>
        <w:t xml:space="preserve"> </w:t>
      </w:r>
      <w:r w:rsidR="00757AC7">
        <w:rPr>
          <w:rFonts w:cstheme="minorHAnsi"/>
        </w:rPr>
        <w:t>directly related to</w:t>
      </w:r>
      <w:r w:rsidR="003A2DD2">
        <w:rPr>
          <w:rFonts w:cstheme="minorHAnsi"/>
        </w:rPr>
        <w:t xml:space="preserve"> primary producti</w:t>
      </w:r>
      <w:r w:rsidR="004D2DB9">
        <w:rPr>
          <w:rFonts w:cstheme="minorHAnsi"/>
        </w:rPr>
        <w:t>vity</w:t>
      </w:r>
      <w:r w:rsidR="003A2DD2">
        <w:rPr>
          <w:rFonts w:cstheme="minorHAnsi"/>
        </w:rPr>
        <w:t xml:space="preserve"> and </w:t>
      </w:r>
      <w:r w:rsidR="00FD34CD">
        <w:rPr>
          <w:rFonts w:cstheme="minorHAnsi"/>
        </w:rPr>
        <w:t>export production</w:t>
      </w:r>
      <w:r w:rsidR="007F3E97">
        <w:rPr>
          <w:rFonts w:cstheme="minorHAnsi"/>
        </w:rPr>
        <w:t xml:space="preserve"> </w:t>
      </w:r>
      <w:r w:rsidR="00EC7B14" w:rsidRPr="00054B2B">
        <w:rPr>
          <w:rFonts w:cstheme="minorHAnsi"/>
          <w:highlight w:val="yellow"/>
        </w:rPr>
        <w:t>﻿</w:t>
      </w:r>
      <w:r w:rsidR="00EC7B14" w:rsidRPr="00EA1588">
        <w:rPr>
          <w:rFonts w:cstheme="minorHAnsi"/>
        </w:rPr>
        <w:fldChar w:fldCharType="begin" w:fldLock="1"/>
      </w:r>
      <w:r w:rsidR="00487DEF">
        <w:rPr>
          <w:rFonts w:cstheme="minorHAnsi"/>
        </w:rPr>
        <w:instrText>ADDIN CSL_CITATION {"citationItems":[{"id":"ITEM-1","itemData":{"DOI":"10.1016/0016-7037(95)00049-6","ISBN":"0016-7037\\rISI:A1995QT16600013","ISSN":"00167037","abstract":"Strontium and neodymium isotopic data are reported for barite samples chemically separated from Late Miocene to Pliocene sediments from the eastern equatorial Pacific. At a site within a region of very high productivity close to the equator,87Sr/86Sr ratios in the barite separates are indistinguishable from those of foraminifera and fish teeth from the same samples. However, at two sites north of the productivity maximum barite separates have slightly, but consistently lower (averaging 62 × 10-6) ratios than the coexisting phases, although values still fall within the total range of published values for the contemporaneous seawater strontium isotope curve. We examine possible causes for this offset including recrystallization of the foraminifera, fish teeth or barite, the presence of non-barite contaminants, or incorporation of older, reworked deep-sea barite; the inclusion of a small amount of hydrothermal barite in the sediments seems most consistent with our data, although there are difficulties associated with adequate production and transportation of this phase. Barite is unlikely to replace calcite as a preferred tracer of seawater strontium isotopes in carbonate-rich sediments, but may prove a useful substitute in cases where calcite is rare or strongly affected by diagenesis. In contrast to the case for strontium, neodymium isotopic ratios in the barite separates are far from expected values for contemporary seawater, and appear to be dominated by an (unobserved) eolian component with high neodymium concentration and low143Nd/144Nd. These results suggest that the true potential of barite as an indicator of paleocean neodymium isotopic ratios and REE patterns will be realized only when a more selective separation procedure is developed. © 1995.","author":[{"dropping-particle":"","family":"Martin","given":"E. E.","non-dropping-particle":"","parse-names":false,"suffix":""},{"dropping-particle":"","family":"Macdougall","given":"J. D.","non-dropping-particle":"","parse-names":false,"suffix":""},{"dropping-particle":"","family":"Herbert","given":"T. D.","non-dropping-particle":"","parse-names":false,"suffix":""},{"dropping-particle":"","family":"Paytan","given":"A.","non-dropping-particle":"","parse-names":false,"suffix":""},{"dropping-particle":"","family":"Kastner","given":"M.","non-dropping-particle":"","parse-names":false,"suffix":""}],"container-title":"Geochimica et Cosmochimica Acta","id":"ITEM-1","issue":"7","issued":{"date-parts":[["1995"]]},"note":"Read this as it descirbes howto dissolve Barite..... (\nBarite could interfere with Sr (woul dhave taken up seawater Sr).","page":"1353-1361","title":"Strontium and neodymium isotopic analyses of marine barite separates","type":"article-journal","volume":"59"},"uris":["http://www.mendeley.com/documents/?uuid=7db6e603-d2a3-4e6b-8ed5-f1369946675f"]},{"id":"ITEM-2","itemData":{"DOI":"10.1038/332341a0","ISSN":"00280836","abstract":"Barite particles 0.5-5 μm in size are ubiquitous in the ocean and their formation, sinking and dissolution is a major part of the marine barium cycle1,2. Barite formation appears to be caused by biological activity in the upper water column, but the exact mechanism is unknown. Analysis of 1-53 μm and &gt;53 μm sized particles obtained by large volume in situ filtration in the Atlantic suggests that barites are formed in the &gt;53 fxm fraction in near-surface waters and released into the 1-53 μm fraction at depths below the euphotic zone. Scanning electron microscopy and energy dispersive X-ray fluorescence analysis of both size fractions shows first, that barites are formed almost exclusively in microenvironments containing decaying organic matter and the remains of siliceous plankton, and second that barites do not appear to be actively formed by the planktonic organism sampled. This explains the origin of suspended barite, and the similarity of dissolved Si and Ba distributions in the ocean. Suspended and sedimented barite may indicate the intensity of organic matter regeneration in the water column. © 1988 Nature Publishing Group.","author":[{"dropping-particle":"","family":"Bishop","given":"James K.B.","non-dropping-particle":"","parse-names":false,"suffix":""}],"container-title":"Nature","id":"ITEM-2","issue":"6162","issued":{"date-parts":[["1988"]]},"page":"341-343","title":"The barite-opal-organic carbon association in oceanic particulate matter","type":"article-journal","volume":"332"},"uris":["http://www.mendeley.com/documents/?uuid=d73852fa-0184-40d8-b1b2-90af356e8034"]},{"id":"ITEM-3","itemData":{"DOI":"10.1016/j.dsr2.2007.01.007","ISSN":"09670645","abstract":"Marine barite (BaSO4) is produced in the water column in association with decaying organic matter; its distribution in the water column and in core-top sediments closely corresponds with the organic carbon flux from the surface ocean to the deep ocean (export production). Barite preservation in non-sulfate-reducing sediments is high, compared to other proxies used to reconstruct both export carbon fluxes (export production) and carbon burial rates. Thus the accumulation rate of marine barite is one of the most promising methods (or proxy variables) for export production and has been used to understand and reconstruct past biogeochemical processes in the ocean, including export productivity. Like any other paleoceanographic proxy, there are assumptions and complications associated with the application of barite accumulation rates in reconstructing export production. Specifically, because barite constitutes only a small fraction of the total sediment (&lt;1%), computing precise barite accumulation rates depends on accurate estimates of bulk sediment mass accumulation rates which are hard to determine, particularly at high temporal resolution. Moreover, the significance of variable barite preservation depends on seawater saturation levels with respect to barite and sedimentation rates, which have not yet been fully investigated. Several studies have demonstrated the utility of this proxy, and if used wisely, marine barite accumulation rates in marine sediments can provide valuable information about changes in carbon export to depth and the response of the carbon cycle to climate perturbations in the geological record. Ideally, to achieve higher confidence in paleo-reconstructions of export production, several independent proxies should be applied simultaneously at any given site or time interval. © 2007 Elsevier Ltd. All rights reserved.","author":[{"dropping-particle":"","family":"Paytan","given":"Adina","non-dropping-particle":"","parse-names":false,"suffix":""},{"dropping-particle":"","family":"Griffith","given":"Elizabeth M.","non-dropping-particle":"","parse-names":false,"suffix":""}],"container-title":"Deep-Sea Research Part II: Topical Studies in Oceanography","id":"ITEM-3","issue":"5-7","issued":{"date-parts":[["2007"]]},"page":"687-705","title":"Marine barite: Recorder of variations in ocean export productivity","type":"article-journal","volume":"54"},"uris":["http://www.mendeley.com/documents/?uuid=23b11634-2676-4f5f-8d7a-56668eeb5b06"]},{"id":"ITEM-4","itemData":{"DOI":"10.1126/science.274.5291.1355","ISSN":"00368075","abstract":"An empirical correlation between marine barite (BaSO4) accumulation rate in core-top sediment samples from two equatorial Pacific transects (at 140°W and 110°W) and the estimated primary productivity of the overlying water column were used to evaluate glacial to interglacial changes in productivity. Fluctuations in barite accumulation rates down-core indicate that during glacial periods of the past 450,000 years, the productivity in the central and eastern equatorial Pacific was about two times that during intervening interglacial periods. This result is consistent with other evidence that productivity was high in the eastern and central equatorial Pacific during the last glacial.","author":[{"dropping-particle":"","family":"Paytan","given":"A.","non-dropping-particle":"","parse-names":false,"suffix":""},{"dropping-particle":"","family":"Kastner","given":"M.","non-dropping-particle":"","parse-names":false,"suffix":""},{"dropping-particle":"","family":"Chavez","given":"F. P.","non-dropping-particle":"","parse-names":false,"suffix":""}],"container-title":"Science","id":"ITEM-4","issue":"5291","issued":{"date-parts":[["1996"]]},"page":"1355-1357","title":"Glacial to interglacial fluctuations in productivity in the equatorial pacific as indicated by marine barite","type":"article-journal","volume":"274"},"uris":["http://www.mendeley.com/documents/?uuid=c2fcb904-4d3d-4e1c-ab70-eaed1aa8cfea"]},{"id":"ITEM-5","itemData":{"DOI":"10.1029/2002pa000793","ISSN":"08838305","abstract":"Since Dymond et al. [1992] proposed the paleoproductivity algorithm based on \"Bio-Ba,\" which relies on a strong correlation between Ba and organic carbon fluxes in sediment traps, this proxy has been applied in many paleoproductivity studies. Barite, the main carrier of particulate barium in the water column and the phase associated with carbon export, has also been suggested as a reliable paleoproductivity proxy in some locations. We demonstrate that Baexcess (total barium minus the fraction associated with terrigenous material) frequently overestimates Babarite (barium associated with the mineral barite), most likely due to the inclusion of barium from phases other than barite and terrigenous silicates (e.g., carbonate, organic matter, opal, Fe-Mn oxides, and hydroxides). A comparison between overlying oceanic carbon export and carbon export derived from Baexcess shows that the Dymond et al. [1992] algorithm frequently underestimates carbon export but is still a useful carbon export indicator if all caveats are considered before the algorithm is applied. Babarite accumulation rates from a wide range of core top sediments from different oceanic settings are highly correlated to surface ocean 14C and Chlorophyll a measurements of primary production. This relationship varies by ocean basin, but with the application of the appropriate f ratio to 14C and Chlorophyll a primary production estimates, the plot of Babarite accumulation and carbon export for the equatorial Pacific, Atlantic, and Southern Ocean converges to a global relationship that can be used to reconstruct paleo carbon export.","author":[{"dropping-particle":"","family":"Eagle","given":"Meagan","non-dropping-particle":"","parse-names":false,"suffix":""},{"dropping-particle":"","family":"Paytan","given":"Adina","non-dropping-particle":"","parse-names":false,"suffix":""},{"dropping-particle":"","family":"Arrigo","given":"Kevin R.","non-dropping-particle":"","parse-names":false,"suffix":""},{"dropping-particle":"","family":"Dijken","given":"Gert","non-dropping-particle":"van","parse-names":false,"suffix":""},{"dropping-particle":"","family":"Murray","given":"Richard W.","non-dropping-particle":"","parse-names":false,"suffix":""}],"container-title":"Paleoceanography","id":"ITEM-5","issue":"1","issued":{"date-parts":[["2003"]]},"note":"Downloaded 26/8/21. Useful comparison of C export and barite accumulation. Might be useful when extrapolatoing our data frmo Site 662, to show how much barite accumulates arond the world, and where barite removal is required.","page":"1-13","title":"A comparison between excess barium and barite as indicators of carbon export","type":"article-journal","volume":"18"},"uris":["http://www.mendeley.com/documents/?uuid=1dbadd8a-466e-4959-82a8-66504acc74f6"]}],"mendeley":{"formattedCitation":"(Bishop, 1988; Eagle et al., 2003; Martin et al., 1995; Paytan et al., 1996; Paytan and Griffith, 2007)","plainTextFormattedCitation":"(Bishop, 1988; Eagle et al., 2003; Martin et al., 1995; Paytan et al., 1996; Paytan and Griffith, 2007)","previouslyFormattedCitation":"(Bishop, 1988; Eagle et al., 2003; Martin et al., 1995; Paytan et al., 1996; Paytan and Griffith, 2007)"},"properties":{"noteIndex":0},"schema":"https://github.com/citation-style-language/schema/raw/master/csl-citation.json"}</w:instrText>
      </w:r>
      <w:r w:rsidR="00EC7B14" w:rsidRPr="00EA1588">
        <w:rPr>
          <w:rFonts w:cstheme="minorHAnsi"/>
        </w:rPr>
        <w:fldChar w:fldCharType="separate"/>
      </w:r>
      <w:r w:rsidR="006B5727" w:rsidRPr="006B5727">
        <w:rPr>
          <w:rFonts w:cstheme="minorHAnsi"/>
          <w:noProof/>
        </w:rPr>
        <w:t>(Bishop, 1988; Eagle et al., 2003; Martin et al., 1995; Paytan et al., 1996; Paytan and Griffith, 2007)</w:t>
      </w:r>
      <w:r w:rsidR="00EC7B14" w:rsidRPr="00EA1588">
        <w:rPr>
          <w:rFonts w:cstheme="minorHAnsi"/>
        </w:rPr>
        <w:fldChar w:fldCharType="end"/>
      </w:r>
      <w:r w:rsidR="00757AC7">
        <w:rPr>
          <w:rFonts w:cstheme="minorHAnsi"/>
        </w:rPr>
        <w:t xml:space="preserve"> (Figure 1)</w:t>
      </w:r>
      <w:r w:rsidR="00EC7B14" w:rsidRPr="00EA1588">
        <w:rPr>
          <w:rFonts w:cstheme="minorHAnsi"/>
        </w:rPr>
        <w:t>.</w:t>
      </w:r>
      <w:r w:rsidR="00054B2B" w:rsidRPr="00EA1588">
        <w:rPr>
          <w:rFonts w:cstheme="minorHAnsi"/>
        </w:rPr>
        <w:t xml:space="preserve"> </w:t>
      </w:r>
      <w:r w:rsidR="007C0864" w:rsidRPr="00EA1588">
        <w:rPr>
          <w:rFonts w:cstheme="minorHAnsi"/>
        </w:rPr>
        <w:t>In high productivity</w:t>
      </w:r>
      <w:r w:rsidR="007C0864" w:rsidRPr="0012455D">
        <w:rPr>
          <w:rFonts w:cstheme="minorHAnsi"/>
        </w:rPr>
        <w:t xml:space="preserve"> environments</w:t>
      </w:r>
      <w:r w:rsidR="003A2DD2">
        <w:rPr>
          <w:rFonts w:cstheme="minorHAnsi"/>
        </w:rPr>
        <w:t xml:space="preserve"> </w:t>
      </w:r>
      <w:r w:rsidR="007C0864" w:rsidRPr="0012455D">
        <w:rPr>
          <w:rFonts w:cstheme="minorHAnsi"/>
        </w:rPr>
        <w:t xml:space="preserve">such </w:t>
      </w:r>
      <w:r w:rsidR="007C0864" w:rsidRPr="00177B2B">
        <w:rPr>
          <w:rFonts w:cstheme="minorHAnsi"/>
        </w:rPr>
        <w:t>as zones of equatorial upwelling</w:t>
      </w:r>
      <w:r w:rsidR="00D45B96">
        <w:rPr>
          <w:rFonts w:cstheme="minorHAnsi"/>
        </w:rPr>
        <w:t xml:space="preserve"> (Figure 1)</w:t>
      </w:r>
      <w:r w:rsidR="007C0864" w:rsidRPr="00177B2B">
        <w:rPr>
          <w:rFonts w:cstheme="minorHAnsi"/>
        </w:rPr>
        <w:t xml:space="preserve">, </w:t>
      </w:r>
      <w:r w:rsidR="00B52FD7">
        <w:rPr>
          <w:rFonts w:cstheme="minorHAnsi"/>
        </w:rPr>
        <w:t>barite</w:t>
      </w:r>
      <w:r w:rsidR="007C0864" w:rsidRPr="00177B2B">
        <w:rPr>
          <w:rFonts w:cstheme="minorHAnsi"/>
        </w:rPr>
        <w:t xml:space="preserve"> </w:t>
      </w:r>
      <w:r w:rsidR="00F5520B">
        <w:rPr>
          <w:rFonts w:cstheme="minorHAnsi"/>
        </w:rPr>
        <w:t xml:space="preserve">can </w:t>
      </w:r>
      <w:r w:rsidR="00F5520B" w:rsidRPr="00177B2B">
        <w:rPr>
          <w:rFonts w:cstheme="minorHAnsi"/>
        </w:rPr>
        <w:t>constitute</w:t>
      </w:r>
      <w:r w:rsidR="00F5520B">
        <w:rPr>
          <w:rFonts w:cstheme="minorHAnsi"/>
        </w:rPr>
        <w:t xml:space="preserve"> up to</w:t>
      </w:r>
      <w:r w:rsidR="00F5520B" w:rsidRPr="00177B2B">
        <w:rPr>
          <w:rFonts w:cstheme="minorHAnsi"/>
        </w:rPr>
        <w:t xml:space="preserve"> </w:t>
      </w:r>
      <w:r w:rsidR="007C0864" w:rsidRPr="00177B2B">
        <w:rPr>
          <w:rFonts w:cstheme="minorHAnsi"/>
        </w:rPr>
        <w:t>1</w:t>
      </w:r>
      <w:r w:rsidR="00350164">
        <w:rPr>
          <w:rFonts w:cstheme="minorHAnsi"/>
        </w:rPr>
        <w:t xml:space="preserve"> </w:t>
      </w:r>
      <w:r w:rsidR="007C0864" w:rsidRPr="00177B2B">
        <w:rPr>
          <w:rFonts w:cstheme="minorHAnsi"/>
        </w:rPr>
        <w:t>-</w:t>
      </w:r>
      <w:r w:rsidR="00350164">
        <w:rPr>
          <w:rFonts w:cstheme="minorHAnsi"/>
        </w:rPr>
        <w:t xml:space="preserve"> </w:t>
      </w:r>
      <w:r w:rsidR="007C0864" w:rsidRPr="00177B2B">
        <w:rPr>
          <w:rFonts w:cstheme="minorHAnsi"/>
        </w:rPr>
        <w:t>2 wt% of the carbonate/opal free fraction</w:t>
      </w:r>
      <w:r w:rsidR="00241527">
        <w:rPr>
          <w:rFonts w:cstheme="minorHAnsi"/>
        </w:rPr>
        <w:t xml:space="preserve"> </w:t>
      </w:r>
      <w:r w:rsidR="003974FB">
        <w:rPr>
          <w:rFonts w:cstheme="minorHAnsi"/>
        </w:rPr>
        <w:t xml:space="preserve">in </w:t>
      </w:r>
      <w:r w:rsidR="00860D01">
        <w:rPr>
          <w:rFonts w:cstheme="minorHAnsi"/>
        </w:rPr>
        <w:t xml:space="preserve">open ocean </w:t>
      </w:r>
      <w:r w:rsidR="00241527">
        <w:rPr>
          <w:rFonts w:cstheme="minorHAnsi"/>
        </w:rPr>
        <w:t>marine sediment</w:t>
      </w:r>
      <w:r w:rsidR="003974FB">
        <w:rPr>
          <w:rFonts w:cstheme="minorHAnsi"/>
        </w:rPr>
        <w:t>s</w:t>
      </w:r>
      <w:r w:rsidR="007C0864" w:rsidRPr="00177B2B">
        <w:rPr>
          <w:rFonts w:cstheme="minorHAnsi"/>
        </w:rPr>
        <w:t xml:space="preserve"> </w:t>
      </w:r>
      <w:r w:rsidR="00177B2B" w:rsidRPr="00177B2B">
        <w:rPr>
          <w:rFonts w:cstheme="minorHAnsi"/>
        </w:rPr>
        <w:fldChar w:fldCharType="begin" w:fldLock="1"/>
      </w:r>
      <w:r w:rsidR="006B2540">
        <w:rPr>
          <w:rFonts w:cstheme="minorHAnsi"/>
        </w:rPr>
        <w:instrText>ADDIN CSL_CITATION {"citationItems":[{"id":"ITEM-1","itemData":{"author":[{"dropping-particle":"","family":"Paytan","given":"A","non-dropping-particle":"","parse-names":false,"suffix":""},{"dropping-particle":"","family":"Kastner","given":"M","non-dropping-particle":"","parse-names":false,"suffix":""},{"dropping-particle":"","family":"Martin","given":"E","non-dropping-particle":"","parse-names":false,"suffix":""},{"dropping-particle":"","family":"Macdougall","given":"J. D.","non-dropping-particle":"","parse-names":false,"suffix":""},{"dropping-particle":"","family":"Herbert","given":"T","non-dropping-particle":"","parse-names":false,"suffix":""}],"container-title":"Nature","id":"ITEM-1","issued":{"date-parts":[["1993"]]},"page":"445-449","title":"Marine barite as a monitor of seawater strontium isotope composition","type":"article-journal","volume":"366"},"uris":["http://www.mendeley.com/documents/?uuid=a0442e1a-fe25-45a8-8f51-fb2133392fea"]}],"mendeley":{"formattedCitation":"(Paytan et al., 1993)","plainTextFormattedCitation":"(Paytan et al., 1993)","previouslyFormattedCitation":"(Paytan et al., 1993)"},"properties":{"noteIndex":0},"schema":"https://github.com/citation-style-language/schema/raw/master/csl-citation.json"}</w:instrText>
      </w:r>
      <w:r w:rsidR="00177B2B" w:rsidRPr="00177B2B">
        <w:rPr>
          <w:rFonts w:cstheme="minorHAnsi"/>
        </w:rPr>
        <w:fldChar w:fldCharType="separate"/>
      </w:r>
      <w:r w:rsidR="00177B2B" w:rsidRPr="00177B2B">
        <w:rPr>
          <w:rFonts w:cstheme="minorHAnsi"/>
          <w:noProof/>
        </w:rPr>
        <w:t>(Paytan et al., 1993)</w:t>
      </w:r>
      <w:r w:rsidR="00177B2B" w:rsidRPr="00177B2B">
        <w:rPr>
          <w:rFonts w:cstheme="minorHAnsi"/>
        </w:rPr>
        <w:fldChar w:fldCharType="end"/>
      </w:r>
      <w:r w:rsidR="007C0864" w:rsidRPr="00177B2B">
        <w:rPr>
          <w:rFonts w:cstheme="minorHAnsi"/>
        </w:rPr>
        <w:t xml:space="preserve">. </w:t>
      </w:r>
      <w:r w:rsidR="004C2D9A">
        <w:rPr>
          <w:rFonts w:cstheme="minorHAnsi"/>
        </w:rPr>
        <w:t>B</w:t>
      </w:r>
      <w:r w:rsidR="0012455D">
        <w:rPr>
          <w:rFonts w:cstheme="minorHAnsi"/>
        </w:rPr>
        <w:t xml:space="preserve">arite </w:t>
      </w:r>
      <w:r w:rsidR="001C023A">
        <w:rPr>
          <w:rFonts w:cstheme="minorHAnsi"/>
        </w:rPr>
        <w:t>content is also affected by diagenesis</w:t>
      </w:r>
      <w:r w:rsidR="00742D0D">
        <w:rPr>
          <w:rFonts w:cstheme="minorHAnsi"/>
        </w:rPr>
        <w:t xml:space="preserve">, </w:t>
      </w:r>
      <w:r w:rsidR="001C023A">
        <w:rPr>
          <w:rFonts w:cstheme="minorHAnsi"/>
        </w:rPr>
        <w:t xml:space="preserve">forming </w:t>
      </w:r>
      <w:r w:rsidR="00186776">
        <w:rPr>
          <w:rFonts w:cstheme="minorHAnsi"/>
        </w:rPr>
        <w:t>either in shallow settings within marine sediments from supersaturated pore fluids at the oxic-anoxic boundary</w:t>
      </w:r>
      <w:r w:rsidR="004D0C72">
        <w:rPr>
          <w:rFonts w:cstheme="minorHAnsi"/>
        </w:rPr>
        <w:t xml:space="preserve"> </w:t>
      </w:r>
      <w:r w:rsidR="00EC160D">
        <w:rPr>
          <w:rFonts w:cstheme="minorHAnsi"/>
        </w:rPr>
        <w:t>where sulphide is oxidised to sul</w:t>
      </w:r>
      <w:r w:rsidR="00622C12">
        <w:rPr>
          <w:rFonts w:cstheme="minorHAnsi"/>
        </w:rPr>
        <w:t>f</w:t>
      </w:r>
      <w:r w:rsidR="00EC160D">
        <w:rPr>
          <w:rFonts w:cstheme="minorHAnsi"/>
        </w:rPr>
        <w:t>ate</w:t>
      </w:r>
      <w:r w:rsidR="00186776">
        <w:rPr>
          <w:rFonts w:cstheme="minorHAnsi"/>
        </w:rPr>
        <w:t xml:space="preserve">, or in deeper settings </w:t>
      </w:r>
      <w:r w:rsidR="007E18E8">
        <w:rPr>
          <w:rFonts w:cstheme="minorHAnsi"/>
        </w:rPr>
        <w:t xml:space="preserve">such as those associated with submarine hydrothermal activity, or </w:t>
      </w:r>
      <w:r w:rsidR="00186776">
        <w:rPr>
          <w:rFonts w:cstheme="minorHAnsi"/>
        </w:rPr>
        <w:t xml:space="preserve">where Ba-rich pore fluids are expelled </w:t>
      </w:r>
      <w:r w:rsidR="00DB7D6B">
        <w:rPr>
          <w:rFonts w:cstheme="minorHAnsi"/>
        </w:rPr>
        <w:t xml:space="preserve">from seeps or fractures </w:t>
      </w:r>
      <w:r w:rsidR="00186776">
        <w:rPr>
          <w:rFonts w:cstheme="minorHAnsi"/>
        </w:rPr>
        <w:t>and come into contact with sulphate-rich seawater</w:t>
      </w:r>
      <w:r w:rsidR="007E18E8">
        <w:rPr>
          <w:rFonts w:cstheme="minorHAnsi"/>
        </w:rPr>
        <w:t xml:space="preserve"> </w:t>
      </w:r>
      <w:r w:rsidR="00D671BD">
        <w:rPr>
          <w:rFonts w:cstheme="minorHAnsi"/>
        </w:rPr>
        <w:fldChar w:fldCharType="begin" w:fldLock="1"/>
      </w:r>
      <w:r w:rsidR="00EF6B3C">
        <w:rPr>
          <w:rFonts w:cstheme="minorHAnsi"/>
        </w:rPr>
        <w:instrText xml:space="preserve">ADDIN CSL_CITATION {"citationItems":[{"id":"ITEM-1","itemData":{"author":[{"dropping-particle":"","family":"Paytan","given":"A","non-dropping-particle":"","parse-names":false,"suffix":""},{"dropping-particle":"","family":"Kastner","given":"M","non-dropping-particle":"","parse-names":false,"suffix":""},{"dropping-particle":"","family":"Martin","given":"E","non-dropping-particle":"","parse-names":false,"suffix":""},{"dropping-particle":"","family":"Macdougall","given":"J. D.","non-dropping-particle":"","parse-names":false,"suffix":""},{"dropping-particle":"","family":"Herbert","given":"T","non-dropping-particle":"","parse-names":false,"suffix":""}],"container-title":"Nature","id":"ITEM-1","issued":{"date-parts":[["1993"]]},"page":"445-449","title":"Marine barite as a monitor of seawater strontium isotope composition","type":"article-journal","volume":"366"},"uris":["http://www.mendeley.com/documents/?uuid=a0442e1a-fe25-45a8-8f51-fb2133392fea"]},{"id":"ITEM-2","itemData":{"DOI":"10.2138/rmg.2000.40.4","author":[{"dropping-particle":"","family":"Hanor","given":"Jeffrey S.","non-dropping-particle":"","parse-names":false,"suffix":""}],"container-title":"Reviews in Mineralogy and Geochemistry","id":"ITEM-2","issue":"1","issued":{"date-parts":[["2000"]]},"note":"Very confused by this.... uses too many geological terms for me...... Not sure how it link sinto Adina Paytan's simple &amp;quot;hydrothermal &amp;amp; diagenetic&amp;quot; explanation...","page":"193-275","title":"Barite-celestine geochemistry and environments of formation","type":"article-journal","volume":"40"},"uris":["http://www.mendeley.com/documents/?uuid=5d07f6f4-2670-4572-a076-5ff12c796df2"]},{"id":"ITEM-3","itemData":{"DOI":"10.1017/9781108847162","ISBN":"9781108847162","author":[{"dropping-particle":"","family":"Yao","given":"Weiqi","non-dropping-particle":"","parse-names":false,"suffix":""},{"dropping-particle":"","family":"Griffith","given":"Elizabeth","non-dropping-particle":"","parse-names":false,"suffix":""},{"dropping-particle":"","family":"Paytan","given":"Adina","non-dropping-particle":"","parse-names":false,"suffix":""}],"container-title":"Pelagic Barite","id":"ITEM-3","issued":{"date-parts":[["2021"]]},"note":"Sent by Paul March 2021.\n\nGives a good overall barite summary. Should include in methods paper.","title":"Pelagic Barite","type":"article-journal","volume":"7027"},"uris":["http://www.mendeley.com/documents/?uuid=6055165b-ac5d-45b5-bd79-2eb97814b6fa"]},{"id":"ITEM-4","itemData":{"DOI":"10.1016/0009-2541(95)00090-9","ISSN":"00092541","abstract":"Micro-crystalline barites recovered by deep-sea drilling from Site 684 on the Peru margin and Site 799 in the Japan Sea are highly enriched in the heavy sulfur isotope relative to seawater (δ34S up to +84‰). This isotopic composition is consistent with remobilization of biogenic barite triggered by sulfate reduction, and subsequent reprecipitation as a diagenetic barite front. The high levels of barium sulfate in these deposits (10-50%) cannot be explained by a diffusive transport model in sediments experiencing a constant rate of sedimentation. When sedimentation rates change radically, the barite front will remain at a given depth interval leading to large accumulations of barium sulfate. Such conditions may have generated the barite deposits at Site 799. At Site 684, on the other hand, there is evidence that the barite deposits are a result of </w:instrText>
      </w:r>
      <w:r w:rsidR="00EF6B3C" w:rsidRPr="001E417E">
        <w:rPr>
          <w:rFonts w:cstheme="minorHAnsi"/>
          <w:lang w:val="fr-FR"/>
        </w:rPr>
        <w:instrText>the tectonically-driven advection of sulfate-bearing fluids through the sediment column.","author":[{"dropping-particle":"","family":"Torres","given":"M. E.","non-dropping-particle":"","parse-names":false,"suffix":""},{"dropping-particle":"","family":"Brumsack","given":"H. J.","non-dropping-particle":"","parse-names":false,"suffix":""},{"dropping-particle":"","family":"Bohrmann","given":"G.","non-dropping-particle":"","parse-names":false,"suffix":""},{"dropping-particle":"","family":"Emeis","given":"K. C.","non-dropping-particle":"","parse-names":false,"suffix":""}],"container-title":"Chemical Geology","id":"ITEM-4","issue":"1-3","issued":{"date-parts":[["1996"]]},"note":"Paul said to add Brumsack to Methods paper citation","page":"125-139","title":"Barite fronts in continental margin sediments: A new look at barium remobilization in the zone of sulfate reduction and formation of heavy barites in diagenetic fronts","type":"article-journal","volume":"127"},"uris":["http://www.mendeley.com/documents/?uuid=39782c7a-2b7c-499a-8fba-af2e1d3492cb"]}],"mendeley":{"formattedCitation":"(Hanor, 2000; Paytan et al., 1993; Torres et al., 1996; Yao et al., 2021)","plainTextFormattedCitation":"(Hanor, 2000; Paytan et al., 1993; Torres et al., 1996; Yao et al., 2021)","previouslyFormattedCitation":"(Hanor, 2000; Paytan et al., 1993; Torres et al., 1996; Yao et al., 2021)"},"properties":{"noteIndex":0},"schema":"https://github.com/citation-style-language/schema/raw/master/csl-citation.json"}</w:instrText>
      </w:r>
      <w:r w:rsidR="00D671BD">
        <w:rPr>
          <w:rFonts w:cstheme="minorHAnsi"/>
        </w:rPr>
        <w:fldChar w:fldCharType="separate"/>
      </w:r>
      <w:r w:rsidR="00EF5B05" w:rsidRPr="001E417E">
        <w:rPr>
          <w:rFonts w:cstheme="minorHAnsi"/>
          <w:noProof/>
          <w:lang w:val="fr-FR"/>
        </w:rPr>
        <w:t>(Hanor, 2000; Paytan et al., 1993; Torres et al., 1996; Yao et al., 2021)</w:t>
      </w:r>
      <w:r w:rsidR="00D671BD">
        <w:rPr>
          <w:rFonts w:cstheme="minorHAnsi"/>
        </w:rPr>
        <w:fldChar w:fldCharType="end"/>
      </w:r>
      <w:r w:rsidR="00186776" w:rsidRPr="001E417E">
        <w:rPr>
          <w:rFonts w:cstheme="minorHAnsi"/>
          <w:lang w:val="fr-FR"/>
        </w:rPr>
        <w:t xml:space="preserve">. </w:t>
      </w:r>
      <w:r w:rsidR="00EF6B3C">
        <w:rPr>
          <w:rFonts w:cstheme="minorHAnsi"/>
        </w:rPr>
        <w:t>T</w:t>
      </w:r>
      <w:r w:rsidR="006C0B39">
        <w:rPr>
          <w:rFonts w:cstheme="minorHAnsi"/>
        </w:rPr>
        <w:t xml:space="preserve">hese </w:t>
      </w:r>
      <w:r w:rsidR="000A3013">
        <w:rPr>
          <w:rFonts w:cstheme="minorHAnsi"/>
        </w:rPr>
        <w:t xml:space="preserve">precipitates </w:t>
      </w:r>
      <w:r w:rsidR="006C0B39">
        <w:rPr>
          <w:rFonts w:cstheme="minorHAnsi"/>
        </w:rPr>
        <w:t xml:space="preserve">can be distinguished </w:t>
      </w:r>
      <w:r w:rsidR="00EE2173">
        <w:rPr>
          <w:rFonts w:cstheme="minorHAnsi"/>
        </w:rPr>
        <w:t>from</w:t>
      </w:r>
      <w:r w:rsidR="00186776">
        <w:rPr>
          <w:rFonts w:cstheme="minorHAnsi"/>
        </w:rPr>
        <w:t xml:space="preserve"> pelagic</w:t>
      </w:r>
      <w:r w:rsidR="00636485">
        <w:rPr>
          <w:rFonts w:cstheme="minorHAnsi"/>
        </w:rPr>
        <w:t xml:space="preserve"> </w:t>
      </w:r>
      <w:r w:rsidR="00EE2173">
        <w:rPr>
          <w:rFonts w:cstheme="minorHAnsi"/>
        </w:rPr>
        <w:t xml:space="preserve">marine barite </w:t>
      </w:r>
      <w:r w:rsidR="00636485">
        <w:rPr>
          <w:rFonts w:cstheme="minorHAnsi"/>
        </w:rPr>
        <w:t xml:space="preserve">morphologically and geochemically </w:t>
      </w:r>
      <w:r w:rsidR="006C0B39">
        <w:rPr>
          <w:rFonts w:cstheme="minorHAnsi"/>
        </w:rPr>
        <w:fldChar w:fldCharType="begin" w:fldLock="1"/>
      </w:r>
      <w:r w:rsidR="00D671BD">
        <w:rPr>
          <w:rFonts w:cstheme="minorHAnsi"/>
        </w:rPr>
        <w:instrText>ADDIN CSL_CITATION {"citationItems":[{"id":"ITEM-1","itemData":{"DOI":"10.1130/0091-7613(2002)030&lt;0747:OOMBDS&gt;2.0.CO;2","ISSN":"00917613","abstract":"Barite can precipitate in microenvironments in the water column (marine barite), from supersaturated pore fluids at the oxic-anoxic boundary within marine sediments and where Ba-rich pore fluids are expelled and come into contact with sulfate-rich seawater (diagenetic barite), or from hydrothermal solutions (hydrothermal barite). Barite is relatively resistant to alteration after burial and has been used in paleoceanographic studies to reconstruct seawater chemistry and productivity through time. For such applications it is very important to determine the origin of the barite used, because both diagenetic and hydrothermal barite deposits may not accurately record the open-ocean contemporaneous seawater chemistry and productivity. We show here that it is possible to distinguish between the different types of barite by using Sr and S isotopes along with crystal morphology and size characteristics.","author":[{"dropping-particle":"","family":"Paytan","given":"Adina","non-dropping-particle":"","parse-names":false,"suffix":""},{"dropping-particle":"","family":"Mearon","given":"Sarah","non-dropping-particle":"","parse-names":false,"suffix":""},{"dropping-particle":"","family":"Cobb","given":"Kim","non-dropping-particle":"","parse-names":false,"suffix":""},{"dropping-particle":"","family":"Kastner","given":"Miriam","non-dropping-particle":"","parse-names":false,"suffix":""}],"container-title":"Geology","id":"ITEM-1","issue":"8","issued":{"date-parts":[["2002"]]},"page":"747-750","title":"Origin of marine barite deposits: Sr and S isotope characterization","type":"article-journal","volume":"30"},"uris":["http://www.mendeley.com/documents/?uuid=d5ff8d6e-b18a-4c15-9512-d73ae0e9a9d9"]}],"mendeley":{"formattedCitation":"(Paytan et al., 2002)","plainTextFormattedCitation":"(Paytan et al., 2002)","previouslyFormattedCitation":"(Paytan et al., 2002)"},"properties":{"noteIndex":0},"schema":"https://github.com/citation-style-language/schema/raw/master/csl-citation.json"}</w:instrText>
      </w:r>
      <w:r w:rsidR="006C0B39">
        <w:rPr>
          <w:rFonts w:cstheme="minorHAnsi"/>
        </w:rPr>
        <w:fldChar w:fldCharType="separate"/>
      </w:r>
      <w:r w:rsidR="00D671BD" w:rsidRPr="00D671BD">
        <w:rPr>
          <w:rFonts w:cstheme="minorHAnsi"/>
          <w:noProof/>
        </w:rPr>
        <w:t>(Paytan et al., 2002)</w:t>
      </w:r>
      <w:r w:rsidR="006C0B39">
        <w:rPr>
          <w:rFonts w:cstheme="minorHAnsi"/>
        </w:rPr>
        <w:fldChar w:fldCharType="end"/>
      </w:r>
      <w:r w:rsidR="006C0B39">
        <w:rPr>
          <w:rFonts w:cstheme="minorHAnsi"/>
        </w:rPr>
        <w:t xml:space="preserve">. </w:t>
      </w:r>
    </w:p>
    <w:p w14:paraId="05C0CAFA" w14:textId="77777777" w:rsidR="0055530D" w:rsidRPr="00EA1588" w:rsidRDefault="0055530D" w:rsidP="008C6417">
      <w:pPr>
        <w:spacing w:line="480" w:lineRule="auto"/>
        <w:jc w:val="both"/>
        <w:rPr>
          <w:rFonts w:cstheme="minorHAnsi"/>
          <w:highlight w:val="yellow"/>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0"/>
      </w:tblGrid>
      <w:tr w:rsidR="0055530D" w14:paraId="7EBA8985" w14:textId="77777777" w:rsidTr="004906E8">
        <w:tc>
          <w:tcPr>
            <w:tcW w:w="9730" w:type="dxa"/>
          </w:tcPr>
          <w:p w14:paraId="503790CB" w14:textId="77777777" w:rsidR="0055530D" w:rsidRPr="009C302D" w:rsidRDefault="0055530D" w:rsidP="00C72DF1">
            <w:pPr>
              <w:jc w:val="center"/>
              <w:rPr>
                <w:b/>
              </w:rPr>
            </w:pPr>
            <w:r>
              <w:rPr>
                <w:b/>
                <w:noProof/>
                <w:lang w:val="en-US"/>
              </w:rPr>
              <w:lastRenderedPageBreak/>
              <w:drawing>
                <wp:inline distT="0" distB="0" distL="0" distR="0" wp14:anchorId="0203210F" wp14:editId="5501A5C0">
                  <wp:extent cx="4888352" cy="378884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a:fillRect/>
                          </a:stretch>
                        </pic:blipFill>
                        <pic:spPr bwMode="auto">
                          <a:xfrm>
                            <a:off x="0" y="0"/>
                            <a:ext cx="4888352" cy="37888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55530D" w14:paraId="5455C6C1" w14:textId="77777777" w:rsidTr="004906E8">
        <w:tc>
          <w:tcPr>
            <w:tcW w:w="9730" w:type="dxa"/>
          </w:tcPr>
          <w:p w14:paraId="553AA1FC" w14:textId="77777777" w:rsidR="00F87DAF" w:rsidRDefault="00F87DAF" w:rsidP="00C72DF1">
            <w:pPr>
              <w:jc w:val="both"/>
              <w:rPr>
                <w:b/>
                <w:bCs/>
                <w:sz w:val="22"/>
                <w:szCs w:val="22"/>
              </w:rPr>
            </w:pPr>
          </w:p>
          <w:p w14:paraId="45652553" w14:textId="107EE61F" w:rsidR="0055530D" w:rsidRPr="00FC50A8" w:rsidRDefault="0055530D" w:rsidP="00C72DF1">
            <w:pPr>
              <w:jc w:val="both"/>
              <w:rPr>
                <w:sz w:val="22"/>
                <w:szCs w:val="22"/>
              </w:rPr>
            </w:pPr>
            <w:r w:rsidRPr="00FC50A8">
              <w:rPr>
                <w:b/>
                <w:bCs/>
                <w:sz w:val="22"/>
                <w:szCs w:val="22"/>
              </w:rPr>
              <w:t xml:space="preserve">Figure 1 - Study sites </w:t>
            </w:r>
            <w:r w:rsidR="003015F0">
              <w:rPr>
                <w:b/>
                <w:bCs/>
                <w:sz w:val="22"/>
                <w:szCs w:val="22"/>
              </w:rPr>
              <w:t>and their relationship to global variability in</w:t>
            </w:r>
            <w:r w:rsidR="008561B9">
              <w:rPr>
                <w:b/>
                <w:bCs/>
                <w:sz w:val="22"/>
                <w:szCs w:val="22"/>
              </w:rPr>
              <w:t xml:space="preserve"> annual carbon export</w:t>
            </w:r>
            <w:r w:rsidR="003015F0">
              <w:rPr>
                <w:b/>
                <w:bCs/>
                <w:sz w:val="22"/>
                <w:szCs w:val="22"/>
              </w:rPr>
              <w:t xml:space="preserve"> </w:t>
            </w:r>
            <w:r w:rsidR="00F87DAF">
              <w:rPr>
                <w:b/>
                <w:bCs/>
                <w:sz w:val="22"/>
                <w:szCs w:val="22"/>
              </w:rPr>
              <w:t xml:space="preserve">(ACE) </w:t>
            </w:r>
            <w:r w:rsidR="003015F0">
              <w:rPr>
                <w:b/>
                <w:bCs/>
                <w:sz w:val="22"/>
                <w:szCs w:val="22"/>
              </w:rPr>
              <w:t xml:space="preserve">from the surface ocean (an indicator of barite </w:t>
            </w:r>
            <w:r w:rsidR="00F87DAF">
              <w:rPr>
                <w:b/>
                <w:bCs/>
                <w:sz w:val="22"/>
                <w:szCs w:val="22"/>
              </w:rPr>
              <w:t xml:space="preserve">accumulation rate at sites where ACE ≤ </w:t>
            </w:r>
            <w:r w:rsidR="001C023A">
              <w:rPr>
                <w:b/>
                <w:bCs/>
                <w:sz w:val="22"/>
                <w:szCs w:val="22"/>
              </w:rPr>
              <w:t>7</w:t>
            </w:r>
            <w:r w:rsidR="00F87DAF">
              <w:rPr>
                <w:b/>
                <w:bCs/>
                <w:sz w:val="22"/>
                <w:szCs w:val="22"/>
              </w:rPr>
              <w:t>0g C m</w:t>
            </w:r>
            <w:r w:rsidR="00F87DAF" w:rsidRPr="00E44CD0">
              <w:rPr>
                <w:b/>
                <w:bCs/>
                <w:sz w:val="22"/>
                <w:szCs w:val="22"/>
                <w:vertAlign w:val="superscript"/>
              </w:rPr>
              <w:t>-2</w:t>
            </w:r>
            <w:r w:rsidR="00F87DAF">
              <w:rPr>
                <w:b/>
                <w:bCs/>
                <w:sz w:val="22"/>
                <w:szCs w:val="22"/>
              </w:rPr>
              <w:t xml:space="preserve"> a</w:t>
            </w:r>
            <w:r w:rsidR="00F87DAF" w:rsidRPr="00E44CD0">
              <w:rPr>
                <w:b/>
                <w:bCs/>
                <w:sz w:val="22"/>
                <w:szCs w:val="22"/>
                <w:vertAlign w:val="superscript"/>
              </w:rPr>
              <w:t>-1</w:t>
            </w:r>
            <w:r w:rsidR="003015F0">
              <w:rPr>
                <w:b/>
                <w:bCs/>
                <w:sz w:val="22"/>
                <w:szCs w:val="22"/>
              </w:rPr>
              <w:t>)</w:t>
            </w:r>
            <w:r w:rsidRPr="00FC50A8">
              <w:rPr>
                <w:b/>
                <w:bCs/>
                <w:sz w:val="22"/>
                <w:szCs w:val="22"/>
              </w:rPr>
              <w:t xml:space="preserve">. </w:t>
            </w:r>
            <w:r w:rsidR="008561B9">
              <w:rPr>
                <w:b/>
                <w:bCs/>
                <w:sz w:val="22"/>
                <w:szCs w:val="22"/>
              </w:rPr>
              <w:t xml:space="preserve">A) </w:t>
            </w:r>
            <w:r w:rsidR="005D074C" w:rsidRPr="004906E8">
              <w:rPr>
                <w:sz w:val="22"/>
                <w:szCs w:val="22"/>
              </w:rPr>
              <w:t xml:space="preserve">Figure adapted from </w:t>
            </w:r>
            <w:r w:rsidR="005D074C">
              <w:rPr>
                <w:sz w:val="22"/>
                <w:szCs w:val="22"/>
              </w:rPr>
              <w:fldChar w:fldCharType="begin" w:fldLock="1"/>
            </w:r>
            <w:r w:rsidR="005D074C">
              <w:rPr>
                <w:sz w:val="22"/>
                <w:szCs w:val="22"/>
              </w:rPr>
              <w:instrText>ADDIN CSL_CITATION {"citationItems":[{"id":"ITEM-1","itemData":{"DOI":"10.1126/science.281.5374.200","ISSN":"00368075","PMID":"9660741","abstract":"Changes in oceanic primary production, linked to changes in the network of global biogeochemical cycles, have profoundly influenced the geochemistry of Earth for over 3 billion years. In the contemporary ocean, photosynthetic carbon fixation by marine phytoplankton leads to formation of ~45 gigatons of organic carbon per annum, of which 16 gigatons are exported to the ocean interior. Changes in the magnitude of total and export production can strongly influence atmospheric CO2 levels (and hence climate) on geological time scales, as well as set upper bounds for sustainable fisheries harvest. The two fluxes are critically dependent on geophysical processes that determine mixed-layer depth, nutrient fluxes to and within the ocean, and food-web structure. Because the average turnover time of phytoplankton carbon in the ocean is on the order of a week or less, total and export production are extremely sensitive to external forcing and consequently are seldom in steady state. Elucidating the biogeochemical controls and feedbacks on primary production is essential to understanding how oceanic biota responded to and affected natural climatic variability in the geological past, and will respond to anthropogenically influenced changes in coming decades. One of the most crucial feedbacks results from changes in radiative forcing on the hydrological cycle, which influences the aeolian iron flux and, in turn, affects nitrogen fixation and primary production in the oceans.","author":[{"dropping-particle":"","family":"Falkowski","given":"Paul G.","non-dropping-particle":"","parse-names":false,"suffix":""},{"dropping-particle":"","family":"Barber","given":"Richard T.","non-dropping-particle":"","parse-names":false,"suffix":""},{"dropping-particle":"","family":"Smetacek","given":"Victor","non-dropping-particle":"","parse-names":false,"suffix":""}],"container-title":"Science","id":"ITEM-1","issue":"5374","issued":{"date-parts":[["1998"]]},"note":"Great figure showing C export - useful for methods paper Barite removal calcs","page":"200-206","title":"Biogeochemical controls and feedbacks on ocean primary production","type":"article-journal","volume":"281"},"uris":["http://www.mendeley.com/documents/?uuid=78e51afd-826f-4f22-90f4-801efa19b2ff"]}],"mendeley":{"formattedCitation":"(Falkowski et al., 1998)","manualFormatting":"Falkowski et al. (1998)","plainTextFormattedCitation":"(Falkowski et al., 1998)","previouslyFormattedCitation":"(Falkowski et al., 1998)"},"properties":{"noteIndex":0},"schema":"https://github.com/citation-style-language/schema/raw/master/csl-citation.json"}</w:instrText>
            </w:r>
            <w:r w:rsidR="005D074C">
              <w:rPr>
                <w:sz w:val="22"/>
                <w:szCs w:val="22"/>
              </w:rPr>
              <w:fldChar w:fldCharType="separate"/>
            </w:r>
            <w:r w:rsidR="005D074C" w:rsidRPr="008561B9">
              <w:rPr>
                <w:noProof/>
                <w:sz w:val="22"/>
                <w:szCs w:val="22"/>
              </w:rPr>
              <w:t xml:space="preserve">Falkowski et al. </w:t>
            </w:r>
            <w:r w:rsidR="005D074C">
              <w:rPr>
                <w:noProof/>
                <w:sz w:val="22"/>
                <w:szCs w:val="22"/>
              </w:rPr>
              <w:t>(</w:t>
            </w:r>
            <w:r w:rsidR="005D074C" w:rsidRPr="008561B9">
              <w:rPr>
                <w:noProof/>
                <w:sz w:val="22"/>
                <w:szCs w:val="22"/>
              </w:rPr>
              <w:t>1998)</w:t>
            </w:r>
            <w:r w:rsidR="005D074C">
              <w:rPr>
                <w:sz w:val="22"/>
                <w:szCs w:val="22"/>
              </w:rPr>
              <w:fldChar w:fldCharType="end"/>
            </w:r>
            <w:r w:rsidR="005D074C">
              <w:rPr>
                <w:sz w:val="22"/>
                <w:szCs w:val="22"/>
              </w:rPr>
              <w:t xml:space="preserve">. </w:t>
            </w:r>
            <w:r w:rsidR="00F87DAF">
              <w:rPr>
                <w:sz w:val="22"/>
                <w:szCs w:val="22"/>
              </w:rPr>
              <w:t xml:space="preserve">Colours (see </w:t>
            </w:r>
            <w:r w:rsidR="00C72DF1">
              <w:rPr>
                <w:sz w:val="22"/>
                <w:szCs w:val="22"/>
              </w:rPr>
              <w:t xml:space="preserve">vertical </w:t>
            </w:r>
            <w:r w:rsidR="00F87DAF">
              <w:rPr>
                <w:sz w:val="22"/>
                <w:szCs w:val="22"/>
              </w:rPr>
              <w:t xml:space="preserve">bar) show </w:t>
            </w:r>
            <w:r w:rsidR="00AB119D">
              <w:rPr>
                <w:sz w:val="22"/>
                <w:szCs w:val="22"/>
              </w:rPr>
              <w:t xml:space="preserve">marine </w:t>
            </w:r>
            <w:r w:rsidR="00F87DAF">
              <w:rPr>
                <w:sz w:val="22"/>
                <w:szCs w:val="22"/>
              </w:rPr>
              <w:t>annual carbon export (g C/m</w:t>
            </w:r>
            <w:r w:rsidR="00F87DAF" w:rsidRPr="000D14AC">
              <w:rPr>
                <w:sz w:val="22"/>
                <w:szCs w:val="22"/>
                <w:vertAlign w:val="superscript"/>
              </w:rPr>
              <w:t>2</w:t>
            </w:r>
            <w:r w:rsidR="00F87DAF">
              <w:rPr>
                <w:sz w:val="22"/>
                <w:szCs w:val="22"/>
              </w:rPr>
              <w:t xml:space="preserve">). </w:t>
            </w:r>
            <w:r w:rsidR="006E71D2">
              <w:rPr>
                <w:sz w:val="22"/>
                <w:szCs w:val="22"/>
              </w:rPr>
              <w:t>A</w:t>
            </w:r>
            <w:r w:rsidR="008570AD">
              <w:rPr>
                <w:sz w:val="22"/>
                <w:szCs w:val="22"/>
              </w:rPr>
              <w:t xml:space="preserve">ccumulation </w:t>
            </w:r>
            <w:r w:rsidR="000D14AC">
              <w:rPr>
                <w:sz w:val="22"/>
                <w:szCs w:val="22"/>
              </w:rPr>
              <w:t xml:space="preserve">rate </w:t>
            </w:r>
            <w:r w:rsidR="00B311C0">
              <w:rPr>
                <w:sz w:val="22"/>
                <w:szCs w:val="22"/>
              </w:rPr>
              <w:t xml:space="preserve">of </w:t>
            </w:r>
            <w:r w:rsidR="00991DC5">
              <w:rPr>
                <w:sz w:val="22"/>
                <w:szCs w:val="22"/>
              </w:rPr>
              <w:t>marine barite</w:t>
            </w:r>
            <w:r w:rsidR="00B311C0">
              <w:rPr>
                <w:sz w:val="22"/>
                <w:szCs w:val="22"/>
              </w:rPr>
              <w:t xml:space="preserve"> </w:t>
            </w:r>
            <w:r w:rsidR="0097747B">
              <w:rPr>
                <w:sz w:val="22"/>
                <w:szCs w:val="22"/>
              </w:rPr>
              <w:t>(Ba</w:t>
            </w:r>
            <w:r w:rsidR="0097747B" w:rsidRPr="000D14AC">
              <w:rPr>
                <w:sz w:val="22"/>
                <w:szCs w:val="22"/>
                <w:vertAlign w:val="subscript"/>
              </w:rPr>
              <w:t>Barite</w:t>
            </w:r>
            <w:r w:rsidR="000D14AC" w:rsidRPr="000D14AC">
              <w:rPr>
                <w:sz w:val="22"/>
                <w:szCs w:val="22"/>
              </w:rPr>
              <w:t xml:space="preserve"> AR</w:t>
            </w:r>
            <w:r w:rsidR="0097747B">
              <w:rPr>
                <w:sz w:val="22"/>
                <w:szCs w:val="22"/>
              </w:rPr>
              <w:t xml:space="preserve">) </w:t>
            </w:r>
            <w:r w:rsidR="006E71D2">
              <w:rPr>
                <w:sz w:val="22"/>
                <w:szCs w:val="22"/>
              </w:rPr>
              <w:t xml:space="preserve">estimated </w:t>
            </w:r>
            <w:r w:rsidR="0097747B">
              <w:rPr>
                <w:sz w:val="22"/>
                <w:szCs w:val="22"/>
              </w:rPr>
              <w:t xml:space="preserve">for sites of moderate </w:t>
            </w:r>
            <w:r w:rsidR="00991DC5">
              <w:rPr>
                <w:sz w:val="22"/>
                <w:szCs w:val="22"/>
              </w:rPr>
              <w:t xml:space="preserve">annual </w:t>
            </w:r>
            <w:r w:rsidR="0097747B">
              <w:rPr>
                <w:sz w:val="22"/>
                <w:szCs w:val="22"/>
              </w:rPr>
              <w:t xml:space="preserve">carbon export </w:t>
            </w:r>
            <w:r w:rsidR="000D14AC">
              <w:rPr>
                <w:sz w:val="22"/>
                <w:szCs w:val="22"/>
              </w:rPr>
              <w:t>(</w:t>
            </w:r>
            <w:r w:rsidR="0097747B">
              <w:rPr>
                <w:sz w:val="22"/>
                <w:szCs w:val="22"/>
              </w:rPr>
              <w:t xml:space="preserve">where relationship </w:t>
            </w:r>
            <w:r w:rsidR="00F87DAF">
              <w:rPr>
                <w:sz w:val="22"/>
                <w:szCs w:val="22"/>
              </w:rPr>
              <w:t>to</w:t>
            </w:r>
            <w:r w:rsidR="00991DC5">
              <w:rPr>
                <w:sz w:val="22"/>
                <w:szCs w:val="22"/>
              </w:rPr>
              <w:t xml:space="preserve"> Ba</w:t>
            </w:r>
            <w:r w:rsidR="00991DC5" w:rsidRPr="000D14AC">
              <w:rPr>
                <w:sz w:val="22"/>
                <w:szCs w:val="22"/>
                <w:vertAlign w:val="subscript"/>
              </w:rPr>
              <w:t>Barite</w:t>
            </w:r>
            <w:r w:rsidR="00991DC5" w:rsidRPr="000D14AC">
              <w:rPr>
                <w:sz w:val="22"/>
                <w:szCs w:val="22"/>
              </w:rPr>
              <w:t xml:space="preserve"> AR</w:t>
            </w:r>
            <w:r w:rsidR="00991DC5">
              <w:rPr>
                <w:sz w:val="22"/>
                <w:szCs w:val="22"/>
              </w:rPr>
              <w:t xml:space="preserve"> </w:t>
            </w:r>
            <w:r w:rsidR="0097747B">
              <w:rPr>
                <w:sz w:val="22"/>
                <w:szCs w:val="22"/>
              </w:rPr>
              <w:t>is linear</w:t>
            </w:r>
            <w:r w:rsidR="000D14AC">
              <w:rPr>
                <w:sz w:val="22"/>
                <w:szCs w:val="22"/>
              </w:rPr>
              <w:t>)</w:t>
            </w:r>
            <w:r w:rsidR="00DC3ADD">
              <w:rPr>
                <w:sz w:val="22"/>
                <w:szCs w:val="22"/>
              </w:rPr>
              <w:t xml:space="preserve"> </w:t>
            </w:r>
            <w:r w:rsidR="006E71D2">
              <w:rPr>
                <w:sz w:val="22"/>
                <w:szCs w:val="22"/>
              </w:rPr>
              <w:t xml:space="preserve">is also </w:t>
            </w:r>
            <w:r w:rsidR="00DC3ADD">
              <w:rPr>
                <w:sz w:val="22"/>
                <w:szCs w:val="22"/>
              </w:rPr>
              <w:t>indicated on scale bar</w:t>
            </w:r>
            <w:r w:rsidR="0097747B">
              <w:rPr>
                <w:sz w:val="22"/>
                <w:szCs w:val="22"/>
              </w:rPr>
              <w:t xml:space="preserve">. In very high productivity zones, </w:t>
            </w:r>
            <w:r w:rsidR="00991DC5">
              <w:rPr>
                <w:sz w:val="22"/>
                <w:szCs w:val="22"/>
              </w:rPr>
              <w:t>th</w:t>
            </w:r>
            <w:r w:rsidR="00DC3ADD">
              <w:rPr>
                <w:sz w:val="22"/>
                <w:szCs w:val="22"/>
              </w:rPr>
              <w:t>e relationship between carbon export and barite accumulation</w:t>
            </w:r>
            <w:r w:rsidR="0097747B">
              <w:rPr>
                <w:sz w:val="22"/>
                <w:szCs w:val="22"/>
              </w:rPr>
              <w:t xml:space="preserve"> breaks down </w:t>
            </w:r>
            <w:r w:rsidR="00991DC5">
              <w:rPr>
                <w:sz w:val="22"/>
                <w:szCs w:val="22"/>
              </w:rPr>
              <w:t>because of the</w:t>
            </w:r>
            <w:r w:rsidR="0097747B">
              <w:rPr>
                <w:sz w:val="22"/>
                <w:szCs w:val="22"/>
              </w:rPr>
              <w:t xml:space="preserve"> influence of sul</w:t>
            </w:r>
            <w:r w:rsidR="00622C12">
              <w:rPr>
                <w:sz w:val="22"/>
                <w:szCs w:val="22"/>
              </w:rPr>
              <w:t>f</w:t>
            </w:r>
            <w:r w:rsidR="0097747B">
              <w:rPr>
                <w:sz w:val="22"/>
                <w:szCs w:val="22"/>
              </w:rPr>
              <w:t>ate reduction</w:t>
            </w:r>
            <w:r w:rsidR="00991DC5">
              <w:rPr>
                <w:sz w:val="22"/>
                <w:szCs w:val="22"/>
              </w:rPr>
              <w:t xml:space="preserve">-led diagenetic </w:t>
            </w:r>
            <w:r w:rsidR="001C023A">
              <w:rPr>
                <w:sz w:val="22"/>
                <w:szCs w:val="22"/>
              </w:rPr>
              <w:t>remobilization</w:t>
            </w:r>
            <w:r w:rsidR="0097747B">
              <w:rPr>
                <w:sz w:val="22"/>
                <w:szCs w:val="22"/>
              </w:rPr>
              <w:t xml:space="preserve">. </w:t>
            </w:r>
            <w:r w:rsidR="001C5019">
              <w:rPr>
                <w:sz w:val="22"/>
                <w:szCs w:val="22"/>
              </w:rPr>
              <w:t xml:space="preserve">Location of </w:t>
            </w:r>
            <w:r w:rsidR="001C5019" w:rsidRPr="00FC50A8">
              <w:rPr>
                <w:sz w:val="22"/>
                <w:szCs w:val="22"/>
              </w:rPr>
              <w:t xml:space="preserve">ODP </w:t>
            </w:r>
            <w:r w:rsidR="001C5019">
              <w:rPr>
                <w:sz w:val="22"/>
                <w:szCs w:val="22"/>
              </w:rPr>
              <w:t>sites</w:t>
            </w:r>
            <w:r w:rsidR="001C5019" w:rsidRPr="00FC50A8">
              <w:rPr>
                <w:sz w:val="22"/>
                <w:szCs w:val="22"/>
              </w:rPr>
              <w:t xml:space="preserve"> 1016 </w:t>
            </w:r>
            <w:r w:rsidR="00C72DF1">
              <w:rPr>
                <w:sz w:val="22"/>
                <w:szCs w:val="22"/>
              </w:rPr>
              <w:t>(</w:t>
            </w:r>
            <w:r w:rsidR="00C72DF1" w:rsidRPr="00FC50A8">
              <w:rPr>
                <w:sz w:val="22"/>
                <w:szCs w:val="22"/>
              </w:rPr>
              <w:t>this study</w:t>
            </w:r>
            <w:r w:rsidR="00C72DF1">
              <w:rPr>
                <w:sz w:val="22"/>
                <w:szCs w:val="22"/>
              </w:rPr>
              <w:t xml:space="preserve">, red circle), </w:t>
            </w:r>
            <w:r w:rsidR="001C5019" w:rsidRPr="00FC50A8">
              <w:rPr>
                <w:sz w:val="22"/>
                <w:szCs w:val="22"/>
              </w:rPr>
              <w:t>662 (this study</w:t>
            </w:r>
            <w:r w:rsidR="001F02D6">
              <w:rPr>
                <w:sz w:val="22"/>
                <w:szCs w:val="22"/>
              </w:rPr>
              <w:t xml:space="preserve">, </w:t>
            </w:r>
            <w:r w:rsidR="00C72DF1">
              <w:rPr>
                <w:sz w:val="22"/>
                <w:szCs w:val="22"/>
              </w:rPr>
              <w:t>blue circle</w:t>
            </w:r>
            <w:r w:rsidR="001C5019" w:rsidRPr="00FC50A8">
              <w:rPr>
                <w:sz w:val="22"/>
                <w:szCs w:val="22"/>
              </w:rPr>
              <w:t>)</w:t>
            </w:r>
            <w:r w:rsidR="00C72DF1">
              <w:rPr>
                <w:sz w:val="22"/>
                <w:szCs w:val="22"/>
              </w:rPr>
              <w:t xml:space="preserve">, </w:t>
            </w:r>
            <w:r w:rsidR="001C5019" w:rsidRPr="00FC50A8">
              <w:rPr>
                <w:sz w:val="22"/>
                <w:szCs w:val="22"/>
              </w:rPr>
              <w:t xml:space="preserve">851 and 849 </w:t>
            </w:r>
            <w:r w:rsidR="001C5019" w:rsidRPr="00FC50A8">
              <w:rPr>
                <w:sz w:val="22"/>
                <w:szCs w:val="22"/>
              </w:rPr>
              <w:fldChar w:fldCharType="begin" w:fldLock="1"/>
            </w:r>
            <w:r w:rsidR="00C72DF1">
              <w:rPr>
                <w:sz w:val="22"/>
                <w:szCs w:val="22"/>
              </w:rPr>
              <w:instrText>ADDIN CSL_CITATION {"citationItems":[{"id":"ITEM-1","itemData":{"DOI":"10.1016/j.epsl.2011.11.014","ISSN":"0012821X","abstract":"The provenance of eolian dust supplied to deep-sea sediments has the potential to offer insights into changes in past atmospheric circulation. Specifically, measuring temporal changes in dust provenance can shed light on changes in the mean position of the Intertropical Convergence Zone (ITCZ), a region acting as a barrier separating wind-blown material derived from northern versus southern hemisphere sources. Here we have analyzed Nd, Sr, and Pb isotope ratios in the operationally-defined detrital component extracted from deep-sea sediments in the eastern equatorial Pacific (EEP) along a meridional transect at 110°W from 3°S to 7°N (ODP Leg 138, sites 848-853).Sr isotope results show that barite Sr has a significant influence on87Sr/86Sr isotope ratios of samples in the upwelling zone of the EEP. However, sites located &gt;3° or more away from the equator (sites 852 and 853) are believed to not be affected by barite Sr and provide useful detrital Sr signals.208Pb/206Pb and207Pb/206Pb ratios in all cores fall into the Pb-isotope space of five potential dust sources (Asia, North and Central/South America, Sahara, and Australia), with no distinct isotopic fingerprinting of the dominant source(s). εNdvalues were most valuable for discerning detrital source provenance, and their values at all sites, ranging from -5.46 to -3.25, were more unradiogenic for sediments deposited during the last glacial than for those deposited during the Holocene. There are distinct latitudinal trends in the εNdvalues, with more radiogenic values further south and less radiogenic values further north, excluding site 848. This distinction holds true for both Holocene and last glacial periods. For the most southerly site, 848, we invoke, for the first time, a distinct southern hemisphere Australian source as being responsible for the unradiogenic Nd isotope ratios. Both average last glacial and Holocene εNdvalues show similar sharp gradients along the transect between 5.29°N and 2.77°N, suggesting little movement of the glacial ITCZ in the EEP. However, during the deglacial, this gradient is stronger and shifted further north between 5.29°N and 7.21°N, suggesting a more northerly, possibly stronger, deglacial ITCZ. © 2011 Elsevier B.V.","author":[{"dropping-particle":"","family":"Xie","given":"Ruifang C.","non-dropping-particle":"","parse-names":false,"suffix":""},{"dropping-particle":"","family":"Marcantonio","given":"Franco","non-dropping-particle":"","parse-names":false,"suffix":""}],"container-title":"Earth and Planetary Science Letters","id":"ITEM-1","issued":{"date-parts":[["2012"]]},"page":"386-395","publisher":"Elsevier B.V.","title":"Deglacial dust provenance changes in the Eastern Equatorial Pacific and implications for ITCZ movement","type":"article-journal","volume":"317-318"},"uris":["http://www.mendeley.com/documents/?uuid=98561796-5d02-4d0a-96f9-f9d9ddb93ec6"]}],"mendeley":{"formattedCitation":"(Xie and Marcantonio, 2012)","manualFormatting":"(Xie and Marcantonio, 2012, white squares)","plainTextFormattedCitation":"(Xie and Marcantonio, 2012)","previouslyFormattedCitation":"(Xie and Marcantonio, 2012)"},"properties":{"noteIndex":0},"schema":"https://github.com/citation-style-language/schema/raw/master/csl-citation.json"}</w:instrText>
            </w:r>
            <w:r w:rsidR="001C5019" w:rsidRPr="00FC50A8">
              <w:rPr>
                <w:sz w:val="22"/>
                <w:szCs w:val="22"/>
              </w:rPr>
              <w:fldChar w:fldCharType="separate"/>
            </w:r>
            <w:r w:rsidR="001C5019" w:rsidRPr="00FC50A8">
              <w:rPr>
                <w:noProof/>
                <w:sz w:val="22"/>
                <w:szCs w:val="22"/>
              </w:rPr>
              <w:t>(Xie and Marcantonio, 2012</w:t>
            </w:r>
            <w:r w:rsidR="001F02D6">
              <w:rPr>
                <w:noProof/>
                <w:sz w:val="22"/>
                <w:szCs w:val="22"/>
              </w:rPr>
              <w:t xml:space="preserve">, </w:t>
            </w:r>
            <w:r w:rsidR="00C72DF1">
              <w:rPr>
                <w:noProof/>
                <w:sz w:val="22"/>
                <w:szCs w:val="22"/>
              </w:rPr>
              <w:t xml:space="preserve">white </w:t>
            </w:r>
            <w:r w:rsidR="001F02D6">
              <w:rPr>
                <w:noProof/>
                <w:sz w:val="22"/>
                <w:szCs w:val="22"/>
              </w:rPr>
              <w:t>squares</w:t>
            </w:r>
            <w:r w:rsidR="001C5019" w:rsidRPr="00FC50A8">
              <w:rPr>
                <w:noProof/>
                <w:sz w:val="22"/>
                <w:szCs w:val="22"/>
              </w:rPr>
              <w:t>)</w:t>
            </w:r>
            <w:r w:rsidR="001C5019" w:rsidRPr="00FC50A8">
              <w:rPr>
                <w:sz w:val="22"/>
                <w:szCs w:val="22"/>
              </w:rPr>
              <w:fldChar w:fldCharType="end"/>
            </w:r>
            <w:r w:rsidR="001C5019" w:rsidRPr="00FC50A8">
              <w:rPr>
                <w:sz w:val="22"/>
                <w:szCs w:val="22"/>
              </w:rPr>
              <w:t xml:space="preserve"> </w:t>
            </w:r>
            <w:r w:rsidR="001C5019">
              <w:rPr>
                <w:sz w:val="22"/>
                <w:szCs w:val="22"/>
              </w:rPr>
              <w:t>indicated</w:t>
            </w:r>
            <w:r w:rsidR="001C5019" w:rsidRPr="00FC50A8">
              <w:rPr>
                <w:sz w:val="22"/>
                <w:szCs w:val="22"/>
              </w:rPr>
              <w:t xml:space="preserve"> by</w:t>
            </w:r>
            <w:r w:rsidR="00C72DF1">
              <w:rPr>
                <w:sz w:val="22"/>
                <w:szCs w:val="22"/>
              </w:rPr>
              <w:t xml:space="preserve"> </w:t>
            </w:r>
            <w:r w:rsidR="001F02D6">
              <w:rPr>
                <w:sz w:val="22"/>
                <w:szCs w:val="22"/>
              </w:rPr>
              <w:t>symbols</w:t>
            </w:r>
            <w:r w:rsidR="001C5019" w:rsidRPr="00FC50A8">
              <w:rPr>
                <w:sz w:val="22"/>
                <w:szCs w:val="22"/>
              </w:rPr>
              <w:t xml:space="preserve">. </w:t>
            </w:r>
            <w:r w:rsidR="008561B9" w:rsidRPr="004906E8">
              <w:rPr>
                <w:b/>
                <w:sz w:val="22"/>
                <w:szCs w:val="22"/>
              </w:rPr>
              <w:t>B)</w:t>
            </w:r>
            <w:r w:rsidR="008561B9">
              <w:rPr>
                <w:sz w:val="22"/>
                <w:szCs w:val="22"/>
              </w:rPr>
              <w:t xml:space="preserve"> Relationship between </w:t>
            </w:r>
            <w:r w:rsidR="00991DC5">
              <w:rPr>
                <w:sz w:val="22"/>
                <w:szCs w:val="22"/>
              </w:rPr>
              <w:t>c</w:t>
            </w:r>
            <w:r w:rsidR="008561B9">
              <w:rPr>
                <w:sz w:val="22"/>
                <w:szCs w:val="22"/>
              </w:rPr>
              <w:t>arbon export and Ba</w:t>
            </w:r>
            <w:r w:rsidR="008561B9" w:rsidRPr="000D14AC">
              <w:rPr>
                <w:sz w:val="22"/>
                <w:szCs w:val="22"/>
                <w:vertAlign w:val="subscript"/>
              </w:rPr>
              <w:t>Barite</w:t>
            </w:r>
            <w:r w:rsidR="008561B9">
              <w:rPr>
                <w:sz w:val="22"/>
                <w:szCs w:val="22"/>
              </w:rPr>
              <w:t xml:space="preserve"> </w:t>
            </w:r>
            <w:r w:rsidR="00225667">
              <w:rPr>
                <w:sz w:val="22"/>
                <w:szCs w:val="22"/>
              </w:rPr>
              <w:t xml:space="preserve">AR </w:t>
            </w:r>
            <w:r w:rsidR="008561B9">
              <w:rPr>
                <w:sz w:val="22"/>
                <w:szCs w:val="22"/>
              </w:rPr>
              <w:t>from Eagle et al. (2003).</w:t>
            </w:r>
            <w:r w:rsidR="00FC59BA">
              <w:rPr>
                <w:sz w:val="22"/>
                <w:szCs w:val="22"/>
              </w:rPr>
              <w:t xml:space="preserve"> </w:t>
            </w:r>
            <w:r w:rsidR="001C5019">
              <w:rPr>
                <w:sz w:val="22"/>
                <w:szCs w:val="22"/>
              </w:rPr>
              <w:t>Colour of the d</w:t>
            </w:r>
            <w:r w:rsidR="00991DC5">
              <w:rPr>
                <w:sz w:val="22"/>
                <w:szCs w:val="22"/>
              </w:rPr>
              <w:t>ata p</w:t>
            </w:r>
            <w:r w:rsidR="00FC59BA">
              <w:rPr>
                <w:sz w:val="22"/>
                <w:szCs w:val="22"/>
              </w:rPr>
              <w:t xml:space="preserve">oints </w:t>
            </w:r>
            <w:r w:rsidR="001C5019">
              <w:rPr>
                <w:sz w:val="22"/>
                <w:szCs w:val="22"/>
              </w:rPr>
              <w:t>corresponds to the</w:t>
            </w:r>
            <w:r w:rsidR="00FC59BA">
              <w:rPr>
                <w:sz w:val="22"/>
                <w:szCs w:val="22"/>
              </w:rPr>
              <w:t xml:space="preserve"> carbon export </w:t>
            </w:r>
            <w:r w:rsidR="00991DC5">
              <w:rPr>
                <w:sz w:val="22"/>
                <w:szCs w:val="22"/>
              </w:rPr>
              <w:t xml:space="preserve">values </w:t>
            </w:r>
            <w:r w:rsidR="001C5019">
              <w:rPr>
                <w:sz w:val="22"/>
                <w:szCs w:val="22"/>
              </w:rPr>
              <w:t>shown in panel A</w:t>
            </w:r>
            <w:r w:rsidR="00FC59BA">
              <w:rPr>
                <w:sz w:val="22"/>
                <w:szCs w:val="22"/>
              </w:rPr>
              <w:t xml:space="preserve">. </w:t>
            </w:r>
            <w:r w:rsidR="000D14AC">
              <w:rPr>
                <w:sz w:val="22"/>
                <w:szCs w:val="22"/>
              </w:rPr>
              <w:t>Estimated Ba</w:t>
            </w:r>
            <w:r w:rsidR="000D14AC" w:rsidRPr="000D14AC">
              <w:rPr>
                <w:sz w:val="22"/>
                <w:szCs w:val="22"/>
                <w:vertAlign w:val="subscript"/>
              </w:rPr>
              <w:t>Barite</w:t>
            </w:r>
            <w:r w:rsidR="008561B9">
              <w:rPr>
                <w:sz w:val="22"/>
                <w:szCs w:val="22"/>
              </w:rPr>
              <w:t xml:space="preserve"> </w:t>
            </w:r>
            <w:r w:rsidR="000D14AC">
              <w:rPr>
                <w:sz w:val="22"/>
                <w:szCs w:val="22"/>
              </w:rPr>
              <w:t>AR</w:t>
            </w:r>
            <w:r w:rsidRPr="00FC50A8">
              <w:rPr>
                <w:sz w:val="22"/>
                <w:szCs w:val="22"/>
              </w:rPr>
              <w:t xml:space="preserve"> </w:t>
            </w:r>
            <w:r w:rsidR="000D14AC">
              <w:rPr>
                <w:sz w:val="22"/>
                <w:szCs w:val="22"/>
              </w:rPr>
              <w:t>from sites 662 (</w:t>
            </w:r>
            <w:r w:rsidR="00C72DF1">
              <w:rPr>
                <w:sz w:val="22"/>
                <w:szCs w:val="22"/>
              </w:rPr>
              <w:t>blue</w:t>
            </w:r>
            <w:r w:rsidR="000D14AC">
              <w:rPr>
                <w:sz w:val="22"/>
                <w:szCs w:val="22"/>
              </w:rPr>
              <w:t>) and 1016</w:t>
            </w:r>
            <w:r w:rsidR="00C72DF1">
              <w:rPr>
                <w:sz w:val="22"/>
                <w:szCs w:val="22"/>
              </w:rPr>
              <w:t xml:space="preserve"> (red)</w:t>
            </w:r>
            <w:r w:rsidR="000D14AC">
              <w:rPr>
                <w:sz w:val="22"/>
                <w:szCs w:val="22"/>
              </w:rPr>
              <w:t xml:space="preserve"> shown by line</w:t>
            </w:r>
            <w:r w:rsidR="003178D9">
              <w:rPr>
                <w:sz w:val="22"/>
                <w:szCs w:val="22"/>
              </w:rPr>
              <w:t>s</w:t>
            </w:r>
            <w:r w:rsidR="000D14AC">
              <w:rPr>
                <w:sz w:val="22"/>
                <w:szCs w:val="22"/>
              </w:rPr>
              <w:t xml:space="preserve"> (this study, see section 3.1). </w:t>
            </w:r>
            <w:r w:rsidR="006E26C7" w:rsidRPr="004906E8">
              <w:rPr>
                <w:b/>
                <w:sz w:val="22"/>
                <w:szCs w:val="22"/>
              </w:rPr>
              <w:t>C)</w:t>
            </w:r>
            <w:r w:rsidR="006E26C7">
              <w:rPr>
                <w:sz w:val="22"/>
                <w:szCs w:val="22"/>
              </w:rPr>
              <w:t xml:space="preserve"> Cumulative probability density of </w:t>
            </w:r>
            <w:r w:rsidR="000C4825">
              <w:rPr>
                <w:sz w:val="22"/>
                <w:szCs w:val="22"/>
              </w:rPr>
              <w:t>measurements of</w:t>
            </w:r>
            <w:r w:rsidR="006E26C7">
              <w:rPr>
                <w:sz w:val="22"/>
                <w:szCs w:val="22"/>
              </w:rPr>
              <w:t xml:space="preserve"> Ba</w:t>
            </w:r>
            <w:r w:rsidR="006E26C7" w:rsidRPr="000D14AC">
              <w:rPr>
                <w:sz w:val="22"/>
                <w:szCs w:val="22"/>
                <w:vertAlign w:val="subscript"/>
              </w:rPr>
              <w:t>Barite</w:t>
            </w:r>
            <w:r w:rsidR="006E26C7">
              <w:rPr>
                <w:sz w:val="22"/>
                <w:szCs w:val="22"/>
              </w:rPr>
              <w:t xml:space="preserve"> AR </w:t>
            </w:r>
            <w:r w:rsidR="000C4825">
              <w:rPr>
                <w:sz w:val="22"/>
                <w:szCs w:val="22"/>
              </w:rPr>
              <w:t xml:space="preserve">from sites across the globe </w:t>
            </w:r>
            <w:r w:rsidR="006E26C7">
              <w:rPr>
                <w:sz w:val="22"/>
                <w:szCs w:val="22"/>
              </w:rPr>
              <w:t>(Hayes et al., 2021</w:t>
            </w:r>
            <w:r w:rsidR="002B2A13">
              <w:rPr>
                <w:sz w:val="22"/>
                <w:szCs w:val="22"/>
              </w:rPr>
              <w:t>, black</w:t>
            </w:r>
            <w:r w:rsidR="006E26C7">
              <w:rPr>
                <w:sz w:val="22"/>
                <w:szCs w:val="22"/>
              </w:rPr>
              <w:t>). Vertical lines show Ba</w:t>
            </w:r>
            <w:r w:rsidR="006E26C7" w:rsidRPr="000D14AC">
              <w:rPr>
                <w:sz w:val="22"/>
                <w:szCs w:val="22"/>
                <w:vertAlign w:val="subscript"/>
              </w:rPr>
              <w:t>Barite</w:t>
            </w:r>
            <w:r w:rsidR="006E26C7">
              <w:rPr>
                <w:sz w:val="22"/>
                <w:szCs w:val="22"/>
              </w:rPr>
              <w:t xml:space="preserve"> AR in samples from Site 1016 (red) and 662 (blue)</w:t>
            </w:r>
            <w:r w:rsidR="009C5D64">
              <w:rPr>
                <w:sz w:val="22"/>
                <w:szCs w:val="22"/>
              </w:rPr>
              <w:t xml:space="preserve"> </w:t>
            </w:r>
            <w:r w:rsidR="005A50A7">
              <w:rPr>
                <w:sz w:val="22"/>
                <w:szCs w:val="22"/>
              </w:rPr>
              <w:t xml:space="preserve">calculated in section 3.1. </w:t>
            </w:r>
            <w:r w:rsidR="00206285">
              <w:rPr>
                <w:sz w:val="22"/>
                <w:szCs w:val="22"/>
              </w:rPr>
              <w:softHyphen/>
            </w:r>
            <w:r w:rsidR="004D07BA">
              <w:rPr>
                <w:sz w:val="22"/>
                <w:szCs w:val="22"/>
              </w:rPr>
              <w:t>Bold lines show youngest sample from each site.</w:t>
            </w:r>
          </w:p>
        </w:tc>
      </w:tr>
    </w:tbl>
    <w:p w14:paraId="79B6BFA3" w14:textId="77777777" w:rsidR="0012455D" w:rsidRDefault="0012455D" w:rsidP="008C6417">
      <w:pPr>
        <w:spacing w:line="480" w:lineRule="auto"/>
        <w:jc w:val="both"/>
        <w:rPr>
          <w:highlight w:val="yellow"/>
        </w:rPr>
      </w:pPr>
    </w:p>
    <w:p w14:paraId="72E2D523" w14:textId="6218662F" w:rsidR="005B256F" w:rsidRDefault="00AA3993" w:rsidP="008C6417">
      <w:pPr>
        <w:spacing w:line="480" w:lineRule="auto"/>
        <w:jc w:val="both"/>
      </w:pPr>
      <w:r>
        <w:t>Marine barite contains Nd and other rare earth elements (R</w:t>
      </w:r>
      <w:r w:rsidR="00860D01">
        <w:t>E</w:t>
      </w:r>
      <w:r>
        <w:t>Es)</w:t>
      </w:r>
      <w:r w:rsidR="00036F6F">
        <w:t xml:space="preserve"> only in very low concentrations </w:t>
      </w:r>
      <w:r>
        <w:fldChar w:fldCharType="begin" w:fldLock="1"/>
      </w:r>
      <w:r w:rsidR="004D2706">
        <w:instrText>ADDIN CSL_CITATION {"citationItems":[{"id":"ITEM-1","itemData":{"DOI":"10.1016/0016-7037(95)00049-6","ISBN":"0016-7037\\rISI:A1995QT16600013","ISSN":"00167037","abstract":"Strontium and neodymium isotopic data are reported for barite samples chemically separated from Late Miocene to Pliocene sediments from the eastern equatorial Pacific. At a site within a region of very high productivity close to the equator,87Sr/86Sr ratios in the barite separates are indistinguishable from those of foraminifera and fish teeth from the same samples. However, at two sites north of the productivity maximum barite separates have slightly, but consistently lower (averaging 62 × 10-6) ratios than the coexisting phases, although values still fall within the total range of published values for the contemporaneous seawater strontium isotope curve. We examine possible causes for this offset including recrystallization of the foraminifera, fish teeth or barite, the presence of non-barite contaminants, or incorporation of older, reworked deep-sea barite; the inclusion of a small amount of hydrothermal barite in the sediments seems most consistent with our data, although there are difficulties associated with adequate production and transportation of this phase. Barite is unlikely to replace calcite as a preferred tracer of seawater strontium isotopes in carbonate-rich sediments, but may prove a useful substitute in cases where calcite is rare or strongly affected by diagenesis. In contrast to the case for strontium, neodymium isotopic ratios in the barite separates are far from expected values for contemporary seawater, and appear to be dominated by an (unobserved) eolian component with high neodymium concentration and low143Nd/144Nd. These results suggest that the true potential of barite as an indicator of paleocean neodymium isotopic ratios and REE patterns will be realized only when a more selective separation procedure is developed. © 1995.","author":[{"dropping-particle":"","family":"Martin","given":"E. E.","non-dropping-particle":"","parse-names":false,"suffix":""},{"dropping-particle":"","family":"Macdougall","given":"J. D.","non-dropping-particle":"","parse-names":false,"suffix":""},{"dropping-particle":"","family":"Herbert","given":"T. D.","non-dropping-particle":"","parse-names":false,"suffix":""},{"dropping-particle":"","family":"Paytan","given":"A.","non-dropping-particle":"","parse-names":false,"suffix":""},{"dropping-particle":"","family":"Kastner","given":"M.","non-dropping-particle":"","parse-names":false,"suffix":""}],"container-title":"Geochimica et Cosmochimica Acta","id":"ITEM-1","issue":"7","issued":{"date-parts":[["1995"]]},"note":"Read this as it descirbes howto dissolve Barite..... (\nBarite could interfere with Sr (woul dhave taken up seawater Sr).","page":"1353-1361","title":"Strontium and neodymium isotopic analyses of marine barite separates","type":"article-journal","volume":"59"},"uris":["http://www.mendeley.com/documents/?uuid=7db6e603-d2a3-4e6b-8ed5-f1369946675f"]}],"mendeley":{"formattedCitation":"(Martin et al., 1995)","manualFormatting":"(likely (likely &lt;2 ppm; Martin et al., 1995)","plainTextFormattedCitation":"(Martin et al., 1995)","previouslyFormattedCitation":"(Martin et al., 1995)"},"properties":{"noteIndex":0},"schema":"https://github.com/citation-style-language/schema/raw/master/csl-citation.json"}</w:instrText>
      </w:r>
      <w:r>
        <w:fldChar w:fldCharType="separate"/>
      </w:r>
      <w:r w:rsidRPr="006B09AF">
        <w:rPr>
          <w:noProof/>
        </w:rPr>
        <w:t>(</w:t>
      </w:r>
      <w:r w:rsidR="004D2706">
        <w:rPr>
          <w:noProof/>
        </w:rPr>
        <w:t xml:space="preserve">likely &lt;2 ppm; </w:t>
      </w:r>
      <w:r w:rsidRPr="006B09AF">
        <w:rPr>
          <w:noProof/>
        </w:rPr>
        <w:t>Martin et al., 1995)</w:t>
      </w:r>
      <w:r>
        <w:fldChar w:fldCharType="end"/>
      </w:r>
      <w:r>
        <w:t xml:space="preserve">, so its presence is not </w:t>
      </w:r>
      <w:r w:rsidR="00036F6F">
        <w:t xml:space="preserve">suggested </w:t>
      </w:r>
      <w:r>
        <w:t xml:space="preserve">to influence the </w:t>
      </w:r>
      <w:r w:rsidRPr="00257555">
        <w:t>ε</w:t>
      </w:r>
      <w:r w:rsidRPr="00257555">
        <w:rPr>
          <w:vertAlign w:val="subscript"/>
        </w:rPr>
        <w:t>Nd</w:t>
      </w:r>
      <w:r>
        <w:t xml:space="preserve"> signature of the </w:t>
      </w:r>
      <w:r w:rsidR="00E869C7">
        <w:t>terrigenous</w:t>
      </w:r>
      <w:r>
        <w:t xml:space="preserve"> fraction. However, </w:t>
      </w:r>
      <w:r w:rsidR="00036F6F">
        <w:t>barite</w:t>
      </w:r>
      <w:r w:rsidR="00036F6F" w:rsidRPr="005A1817">
        <w:t xml:space="preserve"> </w:t>
      </w:r>
      <w:r w:rsidR="00036F6F">
        <w:t>is typically extremely rich</w:t>
      </w:r>
      <w:r w:rsidR="00E13D78" w:rsidRPr="005A1817">
        <w:t xml:space="preserve"> </w:t>
      </w:r>
      <w:r w:rsidR="00036F6F">
        <w:t xml:space="preserve">in </w:t>
      </w:r>
      <w:r w:rsidR="00E13D78" w:rsidRPr="005A1817">
        <w:t>Sr (</w:t>
      </w:r>
      <w:r w:rsidR="006A2776">
        <w:t>~ 3mol%</w:t>
      </w:r>
      <w:r w:rsidR="00E13D78" w:rsidRPr="005A1817">
        <w:t xml:space="preserve">) </w:t>
      </w:r>
      <w:r w:rsidR="006A2776">
        <w:fldChar w:fldCharType="begin" w:fldLock="1"/>
      </w:r>
      <w:r w:rsidR="00A97ED1">
        <w:instrText>ADDIN CSL_CITATION {"citationItems":[{"id":"ITEM-1","itemData":{"DOI":"10.1016/j.gca.2006.04.002","ISSN":"00167037","abstract":"Barite is commonly found in suspended matter in ocean waters and in marine sediments. The calculation of the barite saturation index of the world's ocean waters has shown that the vast majority of the oceans are undersaturated with respect to pure barium sulfate, equilibrium being reached at a few locations like the Southern Ocean surface waters, deep waters of the Bay of Bengal or intermediate waters of the Pacific [Monnin, C., Jeandel, C., Cattaldo, T., Dehairs, F., 1999. The marine barite saturation state of the world's oceans. Mar. Chem. 65 (3-4), 253-261.]. It is thus paradoxical to commonly find barite in a globally undersaturated ocean. Strontium is the most common impurity in natural barite. It is often suggested that the Ba content of ocean waters is controlled by equilibrium with Sr-substituted barite, and not with pure BaSO4. In order to address this problem, we have used the GEOSECS data (49 stations, 1404 data points) to calculate the saturation index of substituted barite in the world's ocean using Lippmann's description of thermodynamic equilibrium between a solid solution and an aqueous solution for the (Ba,Sr)SO4 system. Recent studies indicate that the (Ba,Sr)SO4 solid solution is most likely regular and continuous. The calculated saturation indices of the regular solid solution (with the interaction parameter A0 equal to 1.6) are closer to those of pure barite than those calculated for the ideal solid solution. Conclusions previously reached for the pure barite case are not changed: the saturation state of ocean waters with respect to a regular solid solution is very close to that of pure barite. Sr-substitution for Ba in barium sulfate does not bring barite at equilibrium. When equilibrium is reached, the degree of Sr substitution of Ba amounts to only a few mole percent of Sr. Equilibrium values of the Sr content of the solid solutions in the intermediate (0.2-0.8) range are found for ocean surface waters where the Ba/Sr ratio is low, but as these waters are undersaturated, such solids are not stable in the water column. This provides another reason for the bimodal distribution of (Ba,Sr)SO4 solid solutions in nature, on top of that induced by the large ratio of the end member solubility products. Equilibrium is found for cold waters (i.e. for temperatures below 5 °C) having a Ba content greater than about 70 nmol/kg. The distribution coefficient of Sr in barite can be calculated from the Ba and Sr concentrations of these samples an…","author":[{"dropping-particle":"","family":"Monnin","given":"Christophe","non-dropping-particle":"","parse-names":false,"suffix":""},{"dropping-particle":"","family":"Cividini","given":"Damien","non-dropping-particle":"","parse-names":false,"suffix":""}],"container-title":"Geochimica et Cosmochimica Acta","id":"ITEM-1","issue":"13","issued":{"date-parts":[["2006"]]},"note":"Discusses solubility of barite (with incoportation of Sr)\n\nConfusing, very in depth chemistry... I don't follow completely\n\nThey seem to throw some shade at teh Averyt and Payton 2003 paper, saying that their notation is ambiguous....","page":"3290-3298","title":"The saturation state of the world's ocean with respect to (Ba,Sr)SO4 solid solutions","type":"article-journal","volume":"70"},"uris":["http://www.mendeley.com/documents/?uuid=aa2c6237-6a18-4829-8e5b-ae03e5ef649a"]}],"mendeley":{"formattedCitation":"(Monnin and Cividini, 2006)","plainTextFormattedCitation":"(Monnin and Cividini, 2006)","previouslyFormattedCitation":"(Monnin and Cividini, 2006)"},"properties":{"noteIndex":0},"schema":"https://github.com/citation-style-language/schema/raw/master/csl-citation.json"}</w:instrText>
      </w:r>
      <w:r w:rsidR="006A2776">
        <w:fldChar w:fldCharType="separate"/>
      </w:r>
      <w:r w:rsidR="006A2776" w:rsidRPr="006A2776">
        <w:rPr>
          <w:noProof/>
        </w:rPr>
        <w:t>(Monnin and Cividini, 2006)</w:t>
      </w:r>
      <w:r w:rsidR="006A2776">
        <w:fldChar w:fldCharType="end"/>
      </w:r>
      <w:r w:rsidR="006A2776">
        <w:t xml:space="preserve"> </w:t>
      </w:r>
      <w:r w:rsidR="001F7B77">
        <w:t xml:space="preserve">and </w:t>
      </w:r>
      <w:r w:rsidR="00742D0D">
        <w:t xml:space="preserve">it </w:t>
      </w:r>
      <w:r w:rsidR="00036F6F">
        <w:t xml:space="preserve">has </w:t>
      </w:r>
      <w:r w:rsidR="007F3E97">
        <w:t xml:space="preserve">even </w:t>
      </w:r>
      <w:r w:rsidR="00C54F59">
        <w:t>be</w:t>
      </w:r>
      <w:r w:rsidR="004C2D9A">
        <w:t>en</w:t>
      </w:r>
      <w:r w:rsidR="00C54F59">
        <w:t xml:space="preserve"> </w:t>
      </w:r>
      <w:r w:rsidR="007F3E97">
        <w:t xml:space="preserve">used </w:t>
      </w:r>
      <w:r w:rsidR="001F7B77">
        <w:t xml:space="preserve">to undertake </w:t>
      </w:r>
      <w:r w:rsidR="007F3E97">
        <w:t xml:space="preserve">Sr isotope stratigraphy in carbonate-free </w:t>
      </w:r>
      <w:r w:rsidR="006C0C03">
        <w:t xml:space="preserve">marine </w:t>
      </w:r>
      <w:r w:rsidR="007F3E97">
        <w:t>sediments</w:t>
      </w:r>
      <w:r w:rsidR="001F7B77">
        <w:t xml:space="preserve"> because </w:t>
      </w:r>
      <w:r w:rsidR="00EC160D">
        <w:t xml:space="preserve">barite </w:t>
      </w:r>
      <w:r w:rsidR="00EC160D" w:rsidRPr="00EF6B3C">
        <w:rPr>
          <w:vertAlign w:val="superscript"/>
        </w:rPr>
        <w:t>87</w:t>
      </w:r>
      <w:r w:rsidR="00EC160D">
        <w:t>Sr/</w:t>
      </w:r>
      <w:r w:rsidR="00EC160D" w:rsidRPr="00EF6B3C">
        <w:rPr>
          <w:vertAlign w:val="superscript"/>
        </w:rPr>
        <w:t>86</w:t>
      </w:r>
      <w:r w:rsidR="00EC160D">
        <w:t>Sr values are aligned</w:t>
      </w:r>
      <w:r w:rsidR="00254698">
        <w:t xml:space="preserve"> with </w:t>
      </w:r>
      <w:r w:rsidR="00EC160D">
        <w:t>values measured</w:t>
      </w:r>
      <w:r w:rsidR="001F7B77">
        <w:t xml:space="preserve"> on foraminiferal calcite and </w:t>
      </w:r>
      <w:r w:rsidRPr="00AA3993">
        <w:t>hydroxyapatite</w:t>
      </w:r>
      <w:r>
        <w:t xml:space="preserve"> from</w:t>
      </w:r>
      <w:r w:rsidR="001F7B77">
        <w:t xml:space="preserve"> </w:t>
      </w:r>
      <w:r w:rsidR="00254698">
        <w:t xml:space="preserve">fish </w:t>
      </w:r>
      <w:r w:rsidR="001F7B77">
        <w:t>debris</w:t>
      </w:r>
      <w:r w:rsidR="00DC69E2">
        <w:t xml:space="preserve"> which </w:t>
      </w:r>
      <w:r w:rsidR="00350164">
        <w:t xml:space="preserve">both </w:t>
      </w:r>
      <w:r w:rsidR="00DC69E2">
        <w:t>preserve a seawater signature</w:t>
      </w:r>
      <w:r>
        <w:t xml:space="preserve"> </w:t>
      </w:r>
      <w:r w:rsidR="0008496F">
        <w:fldChar w:fldCharType="begin" w:fldLock="1"/>
      </w:r>
      <w:r w:rsidR="003A3E04">
        <w:instrText>ADDIN CSL_CITATION {"citationItems":[{"id":"ITEM-1","itemData":{"DOI":"10.1130/0091-7613(2003)031&lt;0015:CSISUM&gt;2.0.CO;2","ISSN":"00917613","abstract":"The strontium isotope ratios (87Sr/86Sr) of marine barite microcrystals separated from Cretaceous sedimentary deposits from Ocean Drilling Program and Deep Sea Drilling Project sites from the Pacific and Indian Oceans have been compared to the composite Sr isotope curve of McArthur et al. The barite in these cores accurately recorded the seawater 87Sr/86Sr ratio, thereby reaffirming the composite Cretaceous strontium curve. Moreover, marine barite is a more reliable recorder of 87Sr/86Sr than is carbonate in sedimentary deposits with high clay content, thereby providing an opportunity for Sr isotope stratigraphy and dating in carbonate-poor or diagenetically altered sections. We have used the barite-derived Sr isotope record to refine the biostratigraphic age models of the sites investigated.","author":[{"dropping-particle":"","family":"Mearon","given":"Sarah","non-dropping-particle":"","parse-names":false,"suffix":""},{"dropping-particle":"","family":"Paytan","given":"Adina","non-dropping-particle":"","parse-names":false,"suffix":""},{"dropping-particle":"","family":"Bralower","given":"Timothy J.","non-dropping-particle":"","parse-names":false,"suffix":""}],"container-title":"Geology","id":"ITEM-1","issue":"1","issued":{"date-parts":[["2003"]]},"page":"15-18","title":"Cretaceous strontium isotope stratigraphy using marine barite","type":"article-journal","volume":"31"},"uris":["http://www.mendeley.com/documents/?uuid=cf1fcf7f-ee2b-44b5-9f99-b70008409f56"]},{"id":"ITEM-2","itemData":{"author":[{"dropping-particle":"","family":"Paytan","given":"A","non-dropping-particle":"","parse-names":false,"suffix":""},{"dropping-particle":"","family":"Kastner","given":"M","non-dropping-particle":"","parse-names":false,"suffix":""},{"dropping-particle":"","family":"Martin","given":"E","non-dropping-particle":"","parse-names":false,"suffix":""},{"dropping-particle":"","family":"Macdougall","given":"J. D.","non-dropping-particle":"","parse-names":false,"suffix":""},{"dropping-particle":"","family":"Herbert","given":"T","non-dropping-particle":"","parse-names":false,"suffix":""}],"container-title":"Nature","id":"ITEM-2","issued":{"date-parts":[["1993"]]},"page":"445-449","title":"Marine barite as a monitor of seawater strontium isotope composition","type":"article-journal","volume":"366"},"uris":["http://www.mendeley.com/documents/?uuid=a0442e1a-fe25-45a8-8f51-fb2133392fea"]},{"id":"ITEM-3","itemData":{"DOI":"10.1016/0016-7037(95)00049-6","ISBN":"0016-7037\\rISI:A1995QT16600013","ISSN":"00167037","abstract":"Strontium and neodymium isotopic data are reported for barite samples chemically separated from Late Miocene to Pliocene sediments from the eastern equatorial Pacific. At a site within a region of very high productivity close to the equator,87Sr/86Sr ratios in the barite separates are indistinguishable from those of foraminifera and fish teeth from the same samples. However, at two sites north of the productivity maximum barite separates have slightly, but consistently lower (averaging 62 × 10-6) ratios than the coexisting phases, although values still fall within the total range of published values for the contemporaneous seawater strontium isotope curve. We examine possible causes for this offset including recrystallization of the foraminifera, fish teeth or barite, the presence of non-barite contaminants, or incorporation of older, reworked deep-sea barite; the inclusion of a small amount of hydrothermal barite in the sediments seems most consistent with our data, although there are difficulties associated with adequate production and transportation of this phase. Barite is unlikely to replace calcite as a preferred tracer of seawater strontium isotopes in carbonate-rich sediments, but may prove a useful substitute in cases where calcite is rare or strongly affected by diagenesis. In contrast to the case for strontium, neodymium isotopic ratios in the barite separates are far from expected values for contemporary seawater, and appear to be dominated by an (unobserved) eolian component with high neodymium concentration and low143Nd/144Nd. These results suggest that the true potential of barite as an indicator of paleocean neodymium isotopic ratios and REE patterns will be realized only when a more selective separation procedure is developed. © 1995.","author":[{"dropping-particle":"","family":"Martin","given":"E. E.","non-dropping-particle":"","parse-names":false,"suffix":""},{"dropping-particle":"","family":"Macdougall","given":"J. D.","non-dropping-particle":"","parse-names":false,"suffix":""},{"dropping-particle":"","family":"Herbert","given":"T. D.","non-dropping-particle":"","parse-names":false,"suffix":""},{"dropping-particle":"","family":"Paytan","given":"A.","non-dropping-particle":"","parse-names":false,"suffix":""},{"dropping-particle":"","family":"Kastner","given":"M.","non-dropping-particle":"","parse-names":false,"suffix":""}],"container-title":"Geochimica et Cosmochimica Acta","id":"ITEM-3","issue":"7","issued":{"date-parts":[["1995"]]},"note":"Read this as it descirbes howto dissolve Barite..... (\nBarite could interfere with Sr (woul dhave taken up seawater Sr).","page":"1353-1361","title":"Strontium and neodymium isotopic analyses of marine barite separates","type":"article-journal","volume":"59"},"uris":["http://www.mendeley.com/documents/?uuid=7db6e603-d2a3-4e6b-8ed5-f1369946675f"]}],"mendeley":{"formattedCitation":"(Martin et al., 1995; Mearon et al., 2003; Paytan et al., 1993)","plainTextFormattedCitation":"(Martin et al., 1995; Mearon et al., 2003; Paytan et al., 1993)","previouslyFormattedCitation":"(Martin et al., 1995; Mearon et al., 2003; Paytan et al., 1993)"},"properties":{"noteIndex":0},"schema":"https://github.com/citation-style-language/schema/raw/master/csl-citation.json"}</w:instrText>
      </w:r>
      <w:r w:rsidR="0008496F">
        <w:fldChar w:fldCharType="separate"/>
      </w:r>
      <w:r w:rsidR="0008496F" w:rsidRPr="0008496F">
        <w:rPr>
          <w:noProof/>
        </w:rPr>
        <w:t xml:space="preserve">(Martin et al., </w:t>
      </w:r>
      <w:r w:rsidR="0008496F" w:rsidRPr="0008496F">
        <w:rPr>
          <w:noProof/>
        </w:rPr>
        <w:lastRenderedPageBreak/>
        <w:t>1995; Mearon et al., 2003; Paytan et al., 1993)</w:t>
      </w:r>
      <w:r w:rsidR="0008496F">
        <w:fldChar w:fldCharType="end"/>
      </w:r>
      <w:r w:rsidR="00FE2D88">
        <w:t>.</w:t>
      </w:r>
      <w:r w:rsidR="00254698">
        <w:t xml:space="preserve"> </w:t>
      </w:r>
      <w:r w:rsidR="00036F6F">
        <w:t>H</w:t>
      </w:r>
      <w:r w:rsidR="0092258B">
        <w:t xml:space="preserve">igh </w:t>
      </w:r>
      <w:r w:rsidR="00175F10">
        <w:t xml:space="preserve">Sr </w:t>
      </w:r>
      <w:r w:rsidR="0092258B">
        <w:t>concentration</w:t>
      </w:r>
      <w:r w:rsidR="00036F6F">
        <w:t>s</w:t>
      </w:r>
      <w:r w:rsidR="0092258B">
        <w:t xml:space="preserve"> </w:t>
      </w:r>
      <w:r w:rsidR="00175F10">
        <w:t>and</w:t>
      </w:r>
      <w:r w:rsidR="005305BD">
        <w:t xml:space="preserve"> the large </w:t>
      </w:r>
      <w:r w:rsidRPr="00B652B3">
        <w:rPr>
          <w:vertAlign w:val="superscript"/>
        </w:rPr>
        <w:t>87</w:t>
      </w:r>
      <w:r w:rsidRPr="00B652B3">
        <w:t>Sr/</w:t>
      </w:r>
      <w:r w:rsidRPr="00B652B3">
        <w:rPr>
          <w:vertAlign w:val="superscript"/>
        </w:rPr>
        <w:t>86</w:t>
      </w:r>
      <w:r w:rsidRPr="00B652B3">
        <w:t>Sr</w:t>
      </w:r>
      <w:r>
        <w:t xml:space="preserve"> </w:t>
      </w:r>
      <w:r w:rsidR="005305BD">
        <w:t xml:space="preserve">offset </w:t>
      </w:r>
      <w:r w:rsidR="006C0C03">
        <w:t xml:space="preserve">between seawater and </w:t>
      </w:r>
      <w:r w:rsidR="005305BD">
        <w:t xml:space="preserve">the continental crust (Figure </w:t>
      </w:r>
      <w:r w:rsidR="00B50AA6">
        <w:t>2</w:t>
      </w:r>
      <w:r w:rsidR="005305BD">
        <w:t xml:space="preserve">) </w:t>
      </w:r>
      <w:r>
        <w:t xml:space="preserve">mean that </w:t>
      </w:r>
      <w:r w:rsidR="0092258B">
        <w:t xml:space="preserve">even </w:t>
      </w:r>
      <w:r>
        <w:t xml:space="preserve">minor </w:t>
      </w:r>
      <w:r w:rsidR="0092258B">
        <w:t xml:space="preserve">barite contamination </w:t>
      </w:r>
      <w:r>
        <w:t xml:space="preserve">has the potential to </w:t>
      </w:r>
      <w:r w:rsidR="00C74B6A">
        <w:t>bias</w:t>
      </w:r>
      <w:r w:rsidR="0092258B">
        <w:t xml:space="preserve"> the isotopic signature</w:t>
      </w:r>
      <w:r w:rsidR="005305BD">
        <w:t xml:space="preserve"> of the terrigenous fraction </w:t>
      </w:r>
      <w:r w:rsidR="006C0C03">
        <w:t xml:space="preserve">of marine sediment </w:t>
      </w:r>
      <w:r w:rsidR="005305BD">
        <w:t xml:space="preserve">towards </w:t>
      </w:r>
      <w:r w:rsidR="00B50AA6" w:rsidRPr="00B652B3">
        <w:rPr>
          <w:vertAlign w:val="superscript"/>
        </w:rPr>
        <w:t>87</w:t>
      </w:r>
      <w:r w:rsidR="00B50AA6" w:rsidRPr="00B652B3">
        <w:t>Sr/</w:t>
      </w:r>
      <w:r w:rsidR="00B50AA6" w:rsidRPr="00B652B3">
        <w:rPr>
          <w:vertAlign w:val="superscript"/>
        </w:rPr>
        <w:t>86</w:t>
      </w:r>
      <w:r w:rsidR="00B50AA6" w:rsidRPr="00B652B3">
        <w:t>Sr</w:t>
      </w:r>
      <w:r w:rsidR="005305BD" w:rsidRPr="00B50AA6">
        <w:rPr>
          <w:vertAlign w:val="subscript"/>
        </w:rPr>
        <w:t>seawater</w:t>
      </w:r>
      <w:r w:rsidR="005305BD">
        <w:t xml:space="preserve"> (</w:t>
      </w:r>
      <w:r w:rsidR="00036F6F">
        <w:t xml:space="preserve">today, </w:t>
      </w:r>
      <w:r w:rsidR="005305BD">
        <w:t>0.709175</w:t>
      </w:r>
      <w:r w:rsidR="00EF6B3C">
        <w:t xml:space="preserve"> </w:t>
      </w:r>
      <w:r w:rsidR="00EF6B3C">
        <w:fldChar w:fldCharType="begin" w:fldLock="1"/>
      </w:r>
      <w:r w:rsidR="00C529BB">
        <w:instrText>ADDIN CSL_CITATION {"citationItems":[{"id":"ITEM-1","itemData":{"author":[{"dropping-particle":"","family":"Paytan","given":"A","non-dropping-particle":"","parse-names":false,"suffix":""},{"dropping-particle":"","family":"Kastner","given":"M","non-dropping-particle":"","parse-names":false,"suffix":""},{"dropping-particle":"","family":"Martin","given":"E","non-dropping-particle":"","parse-names":false,"suffix":""},{"dropping-particle":"","family":"Macdougall","given":"J. D.","non-dropping-particle":"","parse-names":false,"suffix":""},{"dropping-particle":"","family":"Herbert","given":"T","non-dropping-particle":"","parse-names":false,"suffix":""}],"container-title":"Nature","id":"ITEM-1","issued":{"date-parts":[["1993"]]},"page":"445-449","title":"Marine barite as a monitor of seawater strontium isotope composition","type":"article-journal","volume":"366"},"uris":["http://www.mendeley.com/documents/?uuid=a0442e1a-fe25-45a8-8f51-fb2133392fea"]}],"mendeley":{"formattedCitation":"(Paytan et al., 1993)","plainTextFormattedCitation":"(Paytan et al., 1993)","previouslyFormattedCitation":"(Paytan et al., 1993)"},"properties":{"noteIndex":0},"schema":"https://github.com/citation-style-language/schema/raw/master/csl-citation.json"}</w:instrText>
      </w:r>
      <w:r w:rsidR="00EF6B3C">
        <w:fldChar w:fldCharType="separate"/>
      </w:r>
      <w:r w:rsidR="00EF6B3C" w:rsidRPr="00EF6B3C">
        <w:rPr>
          <w:noProof/>
        </w:rPr>
        <w:t>(Paytan et al., 1993)</w:t>
      </w:r>
      <w:r w:rsidR="00EF6B3C">
        <w:fldChar w:fldCharType="end"/>
      </w:r>
      <w:r w:rsidR="005305BD">
        <w:t>)</w:t>
      </w:r>
      <w:r w:rsidR="0092258B">
        <w:t xml:space="preserve">. </w:t>
      </w:r>
      <w:r>
        <w:t xml:space="preserve">Yet, despite </w:t>
      </w:r>
      <w:r w:rsidR="00796C98">
        <w:t xml:space="preserve">a </w:t>
      </w:r>
      <w:r w:rsidR="005305BD">
        <w:t>longstanding recognition of the Sr-rich nature of marine barite</w:t>
      </w:r>
      <w:r w:rsidR="005305BD" w:rsidRPr="00721471">
        <w:t xml:space="preserve"> </w:t>
      </w:r>
      <w:r w:rsidR="005305BD" w:rsidRPr="00721471">
        <w:fldChar w:fldCharType="begin" w:fldLock="1"/>
      </w:r>
      <w:r w:rsidR="005305BD">
        <w:instrText>ADDIN CSL_CITATION {"citationItems":[{"id":"ITEM-1","itemData":{"DOI":"10.1016/0016-7037(69)90145-8","ISSN":"00167037","abstract":"Uranium, thorium and strontium concentrations and strontium and sulphur isotopic ratios have been determined on a group of barites. The isotopic analyses and the uranium and thorium concentrations appear to be especially diagnostic in distinguishing between marine and continental origins of the mineral. These critiques have been applied to some barites recovered off the California coast. © 1969.","author":[{"dropping-particle":"","family":"Goldberg","given":"Edward D.","non-dropping-particle":"","parse-names":false,"suffix":""},{"dropping-particle":"","family":"Somayajulu","given":"B. L.K.","non-dropping-particle":"","parse-names":false,"suffix":""},{"dropping-particle":"","family":"Galloway","given":"James","non-dropping-particle":"","parse-names":false,"suffix":""},{"dropping-particle":"","family":"Kaplan","given":"I. R.","non-dropping-particle":"","parse-names":false,"suffix":""},{"dropping-particle":"","family":"Faure","given":"Gunter","non-dropping-particle":"","parse-names":false,"suffix":""}],"container-title":"Geochimica et Cosmochimica Acta","id":"ITEM-1","issue":"2","issued":{"date-parts":[["1969"]]},"note":"first to find Sr isotope composition of marine barites is wihtin error of seawater Sr value... (very largel limits....but a good start!)","page":"287-289","title":"Differences between barites of marine and continental origins","type":"article-journal","volume":"33"},"uris":["http://www.mendeley.com/documents/?uuid=c9c3f908-80db-4f27-be03-b92aa9943cbc"]},{"id":"ITEM-2","itemData":{"DOI":"10.1016/0016-7037(95)00049-6","ISBN":"0016-7037\\rISI:A1995QT16600013","ISSN":"00167037","abstract":"Strontium and neodymium isotopic data are reported for barite samples chemically separated from Late Miocene to Pliocene sediments from the eastern equatorial Pacific. At a site within a region of very high productivity close to the equator,87Sr/86Sr ratios in the barite separates are indistinguishable from those of foraminifera and fish teeth from the same samples. However, at two sites north of the productivity maximum barite separates have slightly, but consistently lower (averaging 62 × 10-6) ratios than the coexisting phases, although values still fall within the total range of published values for the contemporaneous seawater strontium isotope curve. We examine possible causes for this offset including recrystallization of the foraminifera, fish teeth or barite, the presence of non-barite contaminants, or incorporation of older, reworked deep-sea barite; the inclusion of a small amount of hydrothermal barite in the sediments seems most consistent with our data, although there are difficulties associated with adequate production and transportation of this phase. Barite is unlikely to replace calcite as a preferred tracer of seawater strontium isotopes in carbonate-rich sediments, but may prove a useful substitute in cases where calcite is rare or strongly affected by diagenesis. In contrast to the case for strontium, neodymium isotopic ratios in the barite separates are far from expected values for contemporary seawater, and appear to be dominated by an (unobserved) eolian component with high neodymium concentration and low143Nd/144Nd. These results suggest that the true potential of barite as an indicator of paleocean neodymium isotopic ratios and REE patterns will be realized only when a more selective separation procedure is developed. © 1995.","author":[{"dropping-particle":"","family":"Martin","given":"E. E.","non-dropping-particle":"","parse-names":false,"suffix":""},{"dropping-particle":"","family":"Macdougall","given":"J. D.","non-dropping-particle":"","parse-names":false,"suffix":""},{"dropping-particle":"","family":"Herbert","given":"T. D.","non-dropping-particle":"","parse-names":false,"suffix":""},{"dropping-particle":"","family":"Paytan","given":"A.","non-dropping-particle":"","parse-names":false,"suffix":""},{"dropping-particle":"","family":"Kastner","given":"M.","non-dropping-particle":"","parse-names":false,"suffix":""}],"container-title":"Geochimica et Cosmochimica Acta","id":"ITEM-2","issue":"7","issued":{"date-parts":[["1995"]]},"note":"Read this as it descirbes howto dissolve Barite..... (\nBarite could interfere with Sr (woul dhave taken up seawater Sr).","page":"1353-1361","title":"Strontium and neodymium isotopic analyses of marine barite separates","type":"article-journal","volume":"59"},"uris":["http://www.mendeley.com/documents/?uuid=7db6e603-d2a3-4e6b-8ed5-f1369946675f"]},{"id":"ITEM-3","itemData":{"author":[{"dropping-particle":"","family":"Paytan","given":"A","non-dropping-particle":"","parse-names":false,"suffix":""},{"dropping-particle":"","family":"Kastner","given":"M","non-dropping-particle":"","parse-names":false,"suffix":""},{"dropping-particle":"","family":"Martin","given":"E","non-dropping-particle":"","parse-names":false,"suffix":""},{"dropping-particle":"","family":"Macdougall","given":"J. D.","non-dropping-particle":"","parse-names":false,"suffix":""},{"dropping-particle":"","family":"Herbert","given":"T","non-dropping-particle":"","parse-names":false,"suffix":""}],"container-title":"Nature","id":"ITEM-3","issued":{"date-parts":[["1993"]]},"page":"445-449","title":"Marine barite as a monitor of seawater strontium isotope composition","type":"article-journal","volume":"366"},"uris":["http://www.mendeley.com/documents/?uuid=a0442e1a-fe25-45a8-8f51-fb2133392fea"]},{"id":"ITEM-4","itemData":{"DOI":"10.1111/j.1365-3091.2012.01327.x","ISSN":"00370746","abstract":"The mineral barite (BaSO4) can precipitate in a variety of oceanic settings: in the water column, on the sea floor and within marine sediments. The geological setting where barite forms ultimately determines the geochemistry of the precipitated mineral and its usefulness for various applications. Specifically, the isotopic and elemental composition of major and trace elements in barite carry information about the solution(s) from which it precipitated. Barite precipitated in the water column (marine or pelagic barite) can be used as a recorder of changes in sea water chemistry through time. Barite formed within sediments or at the sea floor from pore water fluids (diagenetic or cold seeps barite) can aid in understanding fluid flow and sedimentary redox processes, and barite formed in association with hydrothermal activity (hydrothermal barite) provides information about conditions of crust alteration around hydrothermal vents. The accumulation rate of marine barite in oxic-pelagic sediments can also be used to reconstruct past changes in ocean productivity. Some key areas for future work on the occurrence and origin of barite include: fully characterizing the mechanisms of precipitation of marine barite in the water column; understanding the role and potential significance of bacteria in barite precipitation; quantifying parameters controlling barite preservation in sediments; determining the influence of diagenesis on barite geochemistry; and investigating the utility of additional trace components in barite.","author":[{"dropping-particle":"","family":"Griffith","given":"Elizabeth M.","non-dropping-particle":"","parse-names":false,"suffix":""},{"dropping-particle":"","family":"Paytan","given":"Adina","non-dropping-particle":"","parse-names":false,"suffix":""}],"container-title":"Sedimentology","id":"ITEM-4","issue":"6","issued":{"date-parts":[["2012"]]},"page":"1817-1835","title":"Barite in the ocean - occurrence, geochemistry and palaeoceanographic applications","type":"article-journal","volume":"59"},"uris":["http://www.mendeley.com/documents/?uuid=7d87c128-e96d-4bfe-8157-1b1d2d4d5d94"]},{"id":"ITEM-5","itemData":{"DOI":"10.1130/0091-7613(2003)031&lt;0015:CSISUM&gt;2.0.CO;2","ISSN":"00917613","abstract":"The strontium isotope ratios (87Sr/86Sr) of marine barite microcrystals separated from Cretaceous sedimentary deposits from Ocean Drilling Program and Deep Sea Drilling Project sites from the Pacific and Indian Oceans have been compared to the composite Sr isotope curve of McArthur et al. The barite in these cores accurately recorded the seawater 87Sr/86Sr ratio, thereby reaffirming the composite Cretaceous strontium curve. Moreover, marine barite is a more reliable recorder of 87Sr/86Sr than is carbonate in sedimentary deposits with high clay content, thereby providing an opportunity for Sr isotope stratigraphy and dating in carbonate-poor or diagenetically altered sections. We have used the barite-derived Sr isotope record to refine the biostratigraphic age models of the sites investigated.","author":[{"dropping-particle":"","family":"Mearon","given":"Sarah","non-dropping-particle":"","parse-names":false,"suffix":""},{"dropping-particle":"","family":"Paytan","given":"Adina","non-dropping-particle":"","parse-names":false,"suffix":""},{"dropping-particle":"","family":"Bralower","given":"Timothy J.","non-dropping-particle":"","parse-names":false,"suffix":""}],"container-title":"Geology","id":"ITEM-5","issue":"1","issued":{"date-parts":[["2003"]]},"page":"15-18","title":"Cretaceous strontium isotope stratigraphy using marine barite","type":"article-journal","volume":"31"},"uris":["http://www.mendeley.com/documents/?uuid=cf1fcf7f-ee2b-44b5-9f99-b70008409f56"]}],"mendeley":{"formattedCitation":"(Goldberg et al., 1969; Griffith and Paytan, 2012; Martin et al., 1995; Mearon et al., 2003; Paytan et al., 1993)","manualFormatting":"(Goldberg et al., 1969; Griffith and Paytan, 2012; Martin et al., 1995; Mearon et al., 2003; Payton et al., 1993)","plainTextFormattedCitation":"(Goldberg et al., 1969; Griffith and Paytan, 2012; Martin et al., 1995; Mearon et al., 2003; Paytan et al., 1993)","previouslyFormattedCitation":"(Goldberg et al., 1969; Griffith and Paytan, 2012; Martin et al., 1995; Mearon et al., 2003; Paytan et al., 1993)"},"properties":{"noteIndex":0},"schema":"https://github.com/citation-style-language/schema/raw/master/csl-citation.json"}</w:instrText>
      </w:r>
      <w:r w:rsidR="005305BD" w:rsidRPr="00721471">
        <w:fldChar w:fldCharType="separate"/>
      </w:r>
      <w:r w:rsidR="005305BD" w:rsidRPr="00721471">
        <w:rPr>
          <w:noProof/>
        </w:rPr>
        <w:t>(Goldberg et al., 1969; Griffith and Paytan, 2012; Martin et al., 1995; Mearon et al., 2003; Payton et al., 1993)</w:t>
      </w:r>
      <w:r w:rsidR="005305BD" w:rsidRPr="00721471">
        <w:fldChar w:fldCharType="end"/>
      </w:r>
      <w:r w:rsidR="005305BD" w:rsidRPr="00721471">
        <w:t xml:space="preserve">, </w:t>
      </w:r>
      <w:r w:rsidR="0080382B">
        <w:t xml:space="preserve">and evidence of the survival of marine barite following </w:t>
      </w:r>
      <w:r w:rsidR="00FA47B7">
        <w:t xml:space="preserve">complex </w:t>
      </w:r>
      <w:r w:rsidR="0080382B">
        <w:t xml:space="preserve">leaching </w:t>
      </w:r>
      <w:r w:rsidR="00946E35">
        <w:t>protocols</w:t>
      </w:r>
      <w:r w:rsidR="0080382B">
        <w:t xml:space="preserve"> </w:t>
      </w:r>
      <w:r w:rsidR="0080382B">
        <w:fldChar w:fldCharType="begin" w:fldLock="1"/>
      </w:r>
      <w:r w:rsidR="0080382B">
        <w:instrText xml:space="preserve">ADDIN CSL_CITATION {"citationItems":[{"id":"ITEM-1","itemData":{"DOI":"10.1016/j.epsl.2006.11.049","ISSN":"0012821X","abstract":"We measured major and trace element concentrations in the operationally defined, chemically extracted, residual aluminosilicate component of sediment from Ocean Drilling Program Sites 1215 and 1256 in the central and eastern equatorial Pacific Ocean and found that this residual component contains volcanogenic and authigenic aluminosilicates in addition to inferred eolian material. While the residual component younger than 20 Ma from the central Pacific (ODP Site 1215) is similar compositionally to upper continental crust and suggests an increase in the delivery of Asian dust material since 20 Ma, the residual in sediment older than 20 Ma indicates significant amounts of volcanogenic and authigenic materials. Volcanogenic debris comprises as much as </w:instrText>
      </w:r>
      <w:r w:rsidR="0080382B">
        <w:rPr>
          <w:rFonts w:ascii="Cambria Math" w:hAnsi="Cambria Math" w:cs="Cambria Math"/>
        </w:rPr>
        <w:instrText>∼</w:instrText>
      </w:r>
      <w:r w:rsidR="0080382B">
        <w:instrText xml:space="preserve"> 40% of the residual between 23-40 Ma, which coincides with the mid-Tertiary \"ignimbrite flare-up\" that occurred in much of western North America. The residual component extracted from the 50 Ma biogenic sediment reflects authigenic signatures (seawater-like negative cerium anomalies and elevated Fe/Si ratios). The previously interpreted increase in an andesitic detrital source in North Pacific locations may instead be authigenic material, presenting significant challenges for many paleoclimate proxies. Additionally, in the eastern Pacific (ODP Site 1256), the residual component contains </w:instrText>
      </w:r>
      <w:r w:rsidR="0080382B">
        <w:rPr>
          <w:rFonts w:ascii="Cambria Math" w:hAnsi="Cambria Math" w:cs="Cambria Math"/>
        </w:rPr>
        <w:instrText>∼</w:instrText>
      </w:r>
      <w:r w:rsidR="0080382B">
        <w:instrText xml:space="preserve"> 70% of volcanogenic material, most likely originating from Central America, and also includes refractory barite. The ability to separately identify eolian, volcanogenic, and authigenic materials in the aluminosilicate component of pelagic sediment allows resolution, respectively, of the climatic, geologic, and chemical processes contributing to the paleoceanographic archive in this critical oceanic region. © 2006 Elsevier B.V. All rights reserved.","author":[{"dropping-particle":"","family":"Ziegler","given":"C. L.","non-dropping-particle":"","parse-names":false,"suffix":""},{"dropping-particle":"","family":"Murray","given":"R. W.","non-dropping-particle":"","parse-names":false,"suffix":""},{"dropping-particle":"","family":"Hovan","given":"S. A.","non-dropping-particle":"","parse-names":false,"suffix":""},{"dropping-particle":"","family":"Rea","given":"D. K.","non-dropping-particle":"","parse-names":false,"suffix":""}],"container-title":"Earth and Planetary Science Letters","id":"ITEM-1","issue":"3-4","issued":{"date-parts":[["2007"]]},"note":"Made aware of this paper during reviews of barite methods paper.","page":"416-432","title":"Resolving eolian, volcanogenic, and authigenic components in pelagic sediment from the Pacific Ocean","type":"article-journal","volume":"254"},"uris":["http://www.mendeley.com/documents/?uuid=9f3310c8-5200-4e99-aadc-0bc5d91f30c1"]},{"id":"ITEM-2","itemData":{"DOI":"10.1016/j.marchem.2005.12.003","ISSN":"03044203","abstract":"Barium (Ba) is associated with various phases in marine sediments, including carbonates, organic matter, opal, ferromanganese oxyhydroxides, terrestrial silicates and other detrital material, and barite. Using samples representing sediments from a wide variety of sedimentary environments and export production regimes, we show that there is a considerable range in Ba concentrations associated with five operationally defined phases using a sequential extraction procedure (acetic acid, sodium hypochlorite, hydroxylamine hydrochlorite, hydrofluoric-nitric acid mixture, and a final residue dissolution). Distinct regional relationships between the relative abundance of Ba associated with different phases are observed. Since sedimentary Ba is widely used in algorithms to determine past export production, the variability in phase associations of sedimentary Ba shown here should be considered when reconstructing paleo-export productivity. © 2005 Elsevier B.V. All rights reserved.","author":[{"dropping-particle":"","family":"Gonneea","given":"Meagan Eagle","non-dropping-particle":"","parse-names":false,"suffix":""},{"dropping-particle":"","family":"Paytan","given":"Adina","non-dropping-particle":"","parse-names":false,"suffix":""}],"container-title":"Marine Chemistry","id":"ITEM-2","issue":"1-2","issued":{"date-parts":[["2006"]]},"note":"Has useful estimates of the Ba removed with each phase of sequantial leaching\n\nand has a critical review of the use of HF-HNO3 and what it is actually digesting\n\nThink it also gives estimates of","page":"124-135","title":"Phase associations of barium in marine sediments","type":"article-journal","volume":"100"},"uris":["http://www.mendeley.com/documents/?uuid=7373192e-251d-450d-beeb-d3ff16b0ed92"]},{"id":"ITEM-3","itemData":{"author":[{"dropping-particle":"","family":"Paytan","given":"A","non-dropping-particle":"","parse-names":false,"suffix":""},{"dropping-particle":"","family":"Kastner","given":"M","non-dropping-particle":"","parse-names":false,"suffix":""},{"dropping-particle":"","family":"Martin","given":"E","non-dropping-particle":"","parse-names":false,"suffix":""},{"dropping-particle":"","family":"Macdougall","given":"J. D.","non-dropping-particle":"","parse-names":false,"suffix":""},{"dropping-particle":"","family":"Herbert","given":"T","non-dropping-particle":"","parse-names":false,"suffix":""}],"container-title":"Nature","id":"ITEM-3","issued":{"date-parts":[["1993"]]},"page":"445-449","title":"Marine barite as a monitor of seawater strontium isotope composition","type":"article-journal","volume":"366"},"uris":["http://www.mendeley.com/documents/?uuid=a0442e1a-fe25-45a8-8f51-fb2133392fea"]}],"mendeley":{"formattedCitation":"(Gonneea and Paytan, 2006; Paytan et al., 1993; Ziegler et al., 2007)","plainTextFormattedCitation":"(Gonneea and Paytan, 2006; Paytan et al., 1993; Ziegler et al., 2007)","previouslyFormattedCitation":"(Gonneea and Paytan, 2006; Ziegler et al., 2007)"},"properties":{"noteIndex":0},"schema":"https://github.com/citation-style-language/schema/raw/master/csl-citation.json"}</w:instrText>
      </w:r>
      <w:r w:rsidR="0080382B">
        <w:fldChar w:fldCharType="separate"/>
      </w:r>
      <w:r w:rsidR="0080382B" w:rsidRPr="0080382B">
        <w:rPr>
          <w:noProof/>
        </w:rPr>
        <w:t>(Gonneea and Paytan, 2006; Paytan et al., 1993; Ziegler et al., 2007)</w:t>
      </w:r>
      <w:r w:rsidR="0080382B">
        <w:fldChar w:fldCharType="end"/>
      </w:r>
      <w:r w:rsidR="003670DA">
        <w:t>,</w:t>
      </w:r>
      <w:r w:rsidR="0080382B">
        <w:t xml:space="preserve"> </w:t>
      </w:r>
      <w:r>
        <w:t>we know of</w:t>
      </w:r>
      <w:r w:rsidR="005305BD">
        <w:t xml:space="preserve"> only </w:t>
      </w:r>
      <w:r w:rsidR="00305925">
        <w:t xml:space="preserve">two </w:t>
      </w:r>
      <w:r>
        <w:t xml:space="preserve">published </w:t>
      </w:r>
      <w:r w:rsidR="005305BD">
        <w:t>stud</w:t>
      </w:r>
      <w:r w:rsidR="00305925">
        <w:t>ies</w:t>
      </w:r>
      <w:r>
        <w:t xml:space="preserve"> </w:t>
      </w:r>
      <w:r>
        <w:fldChar w:fldCharType="begin" w:fldLock="1"/>
      </w:r>
      <w:r w:rsidR="00390D27">
        <w:instrText>ADDIN CSL_CITATION {"citationItems":[{"id":"ITEM-1","itemData":{"DOI":"10.1016/j.epsl.2011.11.014","ISSN":"0012821X","abstract":"The provenance of eolian dust supplied to deep-sea sediments has the potential to offer insights into changes in past atmospheric circulation. Specifically, measuring temporal changes in dust provenance can shed light on changes in the mean position of the Intertropical Convergence Zone (ITCZ), a region acting as a barrier separating wind-blown material derived from northern versus southern hemisphere sources. Here we have analyzed Nd, Sr, and Pb isotope ratios in the operationally-defined detrital component extracted from deep-sea sediments in the eastern equatorial Pacific (EEP) along a meridional transect at 110°W from 3°S to 7°N (ODP Leg 138, sites 848-853).Sr isotope results show that barite Sr has a significant influence on87Sr/86Sr isotope ratios of samples in the upwelling zone of the EEP. However, sites located &gt;3° or more away from the equator (sites 852 and 853) are believed to not be affected by barite Sr and provide useful detrital Sr signals.208Pb/206Pb and207Pb/206Pb ratios in all cores fall into the Pb-isotope space of five potential dust sources (Asia, North and Central/South America, Sahara, and Australia), with no distinct isotopic fingerprinting of the dominant source(s). εNdvalues were most valuable for discerning detrital source provenance, and their values at all sites, ranging from -5.46 to -3.25, were more unradiogenic for sediments deposited during the last glacial than for those deposited during the Holocene. There are distinct latitudinal trends in the εNdvalues, with more radiogenic values further south and less radiogenic values further north, excluding site 848. This distinction holds true for both Holocene and last glacial periods. For the most southerly site, 848, we invoke, for the first time, a distinct southern hemisphere Australian source as being responsible for the unradiogenic Nd isotope ratios. Both average last glacial and Holocene εNdvalues show similar sharp gradients along the transect between 5.29°N and 2.77°N, suggesting little movement of the glacial ITCZ in the EEP. However, during the deglacial, this gradient is stronger and shifted further north between 5.29°N and 7.21°N, suggesting a more northerly, possibly stronger, deglacial ITCZ. © 2011 Elsevier B.V.","author":[{"dropping-particle":"","family":"Xie","given":"Ruifang C.","non-dropping-particle":"","parse-names":false,"suffix":""},{"dropping-particle":"","family":"Marcantonio","given":"Franco","non-dropping-particle":"","parse-names":false,"suffix":""}],"container-title":"Earth and Planetary Science Letters","id":"ITEM-1","issued":{"date-parts":[["2012"]]},"page":"386-395","publisher":"Elsevier B.V.","title":"Deglacial dust provenance changes in the Eastern Equatorial Pacific and implications for ITCZ movement","type":"article-journal","volume":"317-318"},"uris":["http://www.mendeley.com/documents/?uuid=98561796-5d02-4d0a-96f9-f9d9ddb93ec6"]},{"id":"ITEM-2","itemData":{"DOI":"10.1016/j.chemgeo.2021.120613","ISSN":"00092541","author":[{"dropping-particle":"","family":"Wu","given":"Jiawang","non-dropping-particle":"","parse-names":false,"suffix":""},{"dropping-particle":"","family":"Liu","given":"Zhifei","non-dropping-particle":"","parse-names":false,"suffix":""},{"dropping-particle":"","family":"Michard","given":"Annie","non-dropping-particle":"","parse-names":false,"suffix":""},{"dropping-particle":"","family":"Tachikawa","given":"Kazuyo","non-dropping-particle":"","parse-names":false,"suffix":""},{"dropping-particle":"","family":"Filippidi","given":"Amalia","non-dropping-particle":"","parse-names":false,"suffix":""},{"dropping-particle":"","family":"He","given":"Zhiwei","non-dropping-particle":"","parse-names":false,"suffix":""},{"dropping-particle":"","family":"Hennekam","given":"Rick","non-dropping-particle":"","parse-names":false,"suffix":""},{"dropping-particle":"","family":"Yang","given":"Shouye","non-dropping-particle":"","parse-names":false,"suffix":""},{"dropping-particle":"","family":"Davies","given":"Gareth R.","non-dropping-particle":"","parse-names":false,"suffix":""},{"dropping-particle":"","family":"Lange","given":"Gert J.","non-dropping-particle":"de","parse-names":false,"suffix":""}],"container-title":"Chemical Geology","id":"ITEM-2","issued":{"date-parts":[["2021","10"]]},"page":"120613","title":"Effect of barite-bound Sr on detrital Sr isotope systematics in marine sediments","type":"article-journal"},"uris":["http://www.mendeley.com/documents/?uuid=291f735a-dc04-41a3-be7a-c98551f4fcc6"]}],"mendeley":{"formattedCitation":"(Wu et al., 2021; Xie and Marcantonio, 2012)","plainTextFormattedCitation":"(Wu et al., 2021; Xie and Marcantonio, 2012)","previouslyFormattedCitation":"(Wu et al., 2021; Xie and Marcantonio, 2012)"},"properties":{"noteIndex":0},"schema":"https://github.com/citation-style-language/schema/raw/master/csl-citation.json"}</w:instrText>
      </w:r>
      <w:r>
        <w:fldChar w:fldCharType="separate"/>
      </w:r>
      <w:r w:rsidR="00305925" w:rsidRPr="00305925">
        <w:rPr>
          <w:noProof/>
        </w:rPr>
        <w:t>(Wu et al., 2021; Xie and Marcantonio, 2012)</w:t>
      </w:r>
      <w:r>
        <w:fldChar w:fldCharType="end"/>
      </w:r>
      <w:r>
        <w:t xml:space="preserve"> </w:t>
      </w:r>
      <w:r w:rsidR="00350761">
        <w:t>that</w:t>
      </w:r>
      <w:r w:rsidR="00305925">
        <w:t xml:space="preserve"> </w:t>
      </w:r>
      <w:r w:rsidR="00391B12">
        <w:t xml:space="preserve">report </w:t>
      </w:r>
      <w:r w:rsidR="00EC160D">
        <w:t>attempt</w:t>
      </w:r>
      <w:r w:rsidR="00350761">
        <w:t>s</w:t>
      </w:r>
      <w:r w:rsidR="00EC160D">
        <w:t xml:space="preserve"> </w:t>
      </w:r>
      <w:r>
        <w:t xml:space="preserve">to remove </w:t>
      </w:r>
      <w:r w:rsidR="00036F6F">
        <w:t xml:space="preserve">barite </w:t>
      </w:r>
      <w:r>
        <w:t>from marine sediments prior to Sr isotope analysis of</w:t>
      </w:r>
      <w:r w:rsidR="005305BD">
        <w:t xml:space="preserve"> </w:t>
      </w:r>
      <w:r w:rsidR="00C54F59">
        <w:t xml:space="preserve">the </w:t>
      </w:r>
      <w:r w:rsidR="005305BD">
        <w:t xml:space="preserve">terrigenous fraction. </w:t>
      </w:r>
      <w:r w:rsidR="00305925">
        <w:t xml:space="preserve">Wu et al., (2021) </w:t>
      </w:r>
      <w:r w:rsidR="00C91026">
        <w:t>investigate</w:t>
      </w:r>
      <w:r w:rsidR="003439DA">
        <w:t>d</w:t>
      </w:r>
      <w:r w:rsidR="00305925">
        <w:t xml:space="preserve"> the influence of barite on </w:t>
      </w:r>
      <w:r w:rsidR="00305925" w:rsidRPr="00B652B3">
        <w:rPr>
          <w:vertAlign w:val="superscript"/>
        </w:rPr>
        <w:t>87</w:t>
      </w:r>
      <w:r w:rsidR="00305925" w:rsidRPr="00B652B3">
        <w:t>Sr/</w:t>
      </w:r>
      <w:r w:rsidR="00305925" w:rsidRPr="00B652B3">
        <w:rPr>
          <w:vertAlign w:val="superscript"/>
        </w:rPr>
        <w:t>86</w:t>
      </w:r>
      <w:r w:rsidR="00305925" w:rsidRPr="00B652B3">
        <w:t>Sr</w:t>
      </w:r>
      <w:r w:rsidR="00305925">
        <w:t xml:space="preserve"> during sapropel intervals in the Mediterranean</w:t>
      </w:r>
      <w:r w:rsidR="00355638">
        <w:t xml:space="preserve">, and the effectiveness of </w:t>
      </w:r>
      <w:r w:rsidR="002B2A13">
        <w:t>a</w:t>
      </w:r>
      <w:r w:rsidR="00355638">
        <w:t>mmonium chloride (NH</w:t>
      </w:r>
      <w:r w:rsidR="00355638" w:rsidRPr="004906E8">
        <w:rPr>
          <w:vertAlign w:val="subscript"/>
        </w:rPr>
        <w:t>4</w:t>
      </w:r>
      <w:r w:rsidR="00355638">
        <w:t xml:space="preserve">Cl) in </w:t>
      </w:r>
      <w:r w:rsidR="00350761">
        <w:t xml:space="preserve">its </w:t>
      </w:r>
      <w:r w:rsidR="00355638">
        <w:t>remov</w:t>
      </w:r>
      <w:r w:rsidR="00350761">
        <w:t>al</w:t>
      </w:r>
      <w:r w:rsidR="00305925">
        <w:t>.</w:t>
      </w:r>
      <w:r w:rsidR="00C91026">
        <w:t xml:space="preserve"> They </w:t>
      </w:r>
      <w:r w:rsidR="003670DA">
        <w:t>suggest</w:t>
      </w:r>
      <w:r w:rsidR="003439DA">
        <w:t>ed</w:t>
      </w:r>
      <w:r w:rsidR="00C91026">
        <w:t xml:space="preserve"> that treating sediments with NH</w:t>
      </w:r>
      <w:r w:rsidR="00C91026" w:rsidRPr="004906E8">
        <w:rPr>
          <w:vertAlign w:val="subscript"/>
        </w:rPr>
        <w:t>4</w:t>
      </w:r>
      <w:r w:rsidR="00C91026">
        <w:t xml:space="preserve">Cl </w:t>
      </w:r>
      <w:r w:rsidR="00390D27">
        <w:t xml:space="preserve">following aggressive decarbonation with hydrochloric acid (HCl) </w:t>
      </w:r>
      <w:r w:rsidR="00C91026">
        <w:t xml:space="preserve">removes most </w:t>
      </w:r>
      <w:r w:rsidR="00390D27">
        <w:t>of the Sr associated with barite and</w:t>
      </w:r>
      <w:r w:rsidR="00C91026">
        <w:t xml:space="preserve"> leads to a shift of </w:t>
      </w:r>
      <w:r w:rsidR="003670DA">
        <w:t xml:space="preserve">up to </w:t>
      </w:r>
      <w:r w:rsidR="00C91026">
        <w:t xml:space="preserve">0.0018 in </w:t>
      </w:r>
      <w:r w:rsidR="00350761">
        <w:t xml:space="preserve">terrigenous </w:t>
      </w:r>
      <w:r w:rsidR="00C91026" w:rsidRPr="00B652B3">
        <w:rPr>
          <w:vertAlign w:val="superscript"/>
        </w:rPr>
        <w:t>87</w:t>
      </w:r>
      <w:r w:rsidR="00C91026" w:rsidRPr="00B652B3">
        <w:t>Sr/</w:t>
      </w:r>
      <w:r w:rsidR="00C91026" w:rsidRPr="00B652B3">
        <w:rPr>
          <w:vertAlign w:val="superscript"/>
        </w:rPr>
        <w:t>86</w:t>
      </w:r>
      <w:r w:rsidR="00C91026" w:rsidRPr="00B652B3">
        <w:t>Sr</w:t>
      </w:r>
      <w:r w:rsidR="00C91026">
        <w:t xml:space="preserve"> away from modern se</w:t>
      </w:r>
      <w:r w:rsidR="00CD2467">
        <w:t>aw</w:t>
      </w:r>
      <w:r w:rsidR="00C91026">
        <w:t>ater</w:t>
      </w:r>
      <w:r w:rsidR="003439DA">
        <w:t xml:space="preserve"> values</w:t>
      </w:r>
      <w:r w:rsidR="003670DA">
        <w:t xml:space="preserve">. </w:t>
      </w:r>
      <w:r w:rsidR="00305925">
        <w:t>Xie and Marcantonio (2012)</w:t>
      </w:r>
      <w:r w:rsidR="00350761">
        <w:t xml:space="preserve"> </w:t>
      </w:r>
      <w:r w:rsidR="00AA5900">
        <w:t>report</w:t>
      </w:r>
      <w:r w:rsidR="00AB3161">
        <w:t>ed</w:t>
      </w:r>
      <w:r w:rsidR="00AA5900">
        <w:t xml:space="preserve"> </w:t>
      </w:r>
      <w:r w:rsidR="00316FF6" w:rsidRPr="003513D4">
        <w:t xml:space="preserve">a significant influence </w:t>
      </w:r>
      <w:r w:rsidR="00AA5900">
        <w:t xml:space="preserve">from </w:t>
      </w:r>
      <w:r w:rsidR="00AA5900" w:rsidRPr="003513D4">
        <w:t xml:space="preserve">barite </w:t>
      </w:r>
      <w:r w:rsidR="00316FF6" w:rsidRPr="003513D4">
        <w:t>on</w:t>
      </w:r>
      <w:r w:rsidR="003513D4" w:rsidRPr="003513D4">
        <w:t xml:space="preserve"> </w:t>
      </w:r>
      <w:r w:rsidR="003513D4" w:rsidRPr="003513D4">
        <w:rPr>
          <w:vertAlign w:val="superscript"/>
        </w:rPr>
        <w:t>87</w:t>
      </w:r>
      <w:r w:rsidR="003513D4" w:rsidRPr="003513D4">
        <w:t>Sr/</w:t>
      </w:r>
      <w:r w:rsidR="003513D4" w:rsidRPr="003513D4">
        <w:rPr>
          <w:vertAlign w:val="superscript"/>
        </w:rPr>
        <w:t>86</w:t>
      </w:r>
      <w:r w:rsidR="003513D4" w:rsidRPr="003513D4">
        <w:t xml:space="preserve">Sr </w:t>
      </w:r>
      <w:r w:rsidR="00316FF6" w:rsidRPr="003513D4">
        <w:t xml:space="preserve">of </w:t>
      </w:r>
      <w:r w:rsidR="00AA5900">
        <w:t>sediment samples</w:t>
      </w:r>
      <w:r w:rsidR="00AA5900" w:rsidRPr="003513D4">
        <w:t xml:space="preserve"> </w:t>
      </w:r>
      <w:r w:rsidR="00AA5900">
        <w:t>within</w:t>
      </w:r>
      <w:r w:rsidR="00AA5900" w:rsidRPr="003513D4">
        <w:t xml:space="preserve"> </w:t>
      </w:r>
      <w:r w:rsidR="00316FF6" w:rsidRPr="003513D4">
        <w:t>the</w:t>
      </w:r>
      <w:r w:rsidR="003513D4" w:rsidRPr="003513D4">
        <w:t xml:space="preserve"> equatorial</w:t>
      </w:r>
      <w:r w:rsidR="00316FF6" w:rsidRPr="003513D4">
        <w:t xml:space="preserve"> upwelling zone</w:t>
      </w:r>
      <w:r w:rsidR="00B35FDE">
        <w:t xml:space="preserve"> of the Pacific Ocean</w:t>
      </w:r>
      <w:r w:rsidR="00C1411C">
        <w:t xml:space="preserve">. </w:t>
      </w:r>
      <w:r w:rsidR="00B35FDE">
        <w:t>By contrast, sediments from s</w:t>
      </w:r>
      <w:r w:rsidR="00B35FDE" w:rsidRPr="003513D4">
        <w:t xml:space="preserve">ites </w:t>
      </w:r>
      <w:r w:rsidR="00316FF6" w:rsidRPr="003513D4">
        <w:t>located &gt;</w:t>
      </w:r>
      <w:r w:rsidR="004D1C34">
        <w:t xml:space="preserve"> </w:t>
      </w:r>
      <w:r w:rsidR="00316FF6" w:rsidRPr="003513D4">
        <w:t xml:space="preserve">3° </w:t>
      </w:r>
      <w:r w:rsidR="00C1411C">
        <w:t xml:space="preserve">north of </w:t>
      </w:r>
      <w:r w:rsidR="00316FF6" w:rsidRPr="003513D4">
        <w:t>the equator</w:t>
      </w:r>
      <w:r w:rsidR="00C1411C">
        <w:t>, outside of the high productivity zone,</w:t>
      </w:r>
      <w:r w:rsidR="00316FF6" w:rsidRPr="003513D4">
        <w:t xml:space="preserve"> were in</w:t>
      </w:r>
      <w:r w:rsidR="00EF6B3C">
        <w:t xml:space="preserve">terpreted </w:t>
      </w:r>
      <w:r w:rsidR="00391B12">
        <w:t>to be un</w:t>
      </w:r>
      <w:r w:rsidR="00316FF6" w:rsidRPr="003513D4">
        <w:t xml:space="preserve">affected by barite Sr. </w:t>
      </w:r>
      <w:r w:rsidR="00EF6B3C">
        <w:t>Xie and Marcantonio (2012)</w:t>
      </w:r>
      <w:r w:rsidR="00C1411C">
        <w:t xml:space="preserve"> show</w:t>
      </w:r>
      <w:r w:rsidR="00EF6B3C">
        <w:t>ed</w:t>
      </w:r>
      <w:r w:rsidR="00316FF6" w:rsidRPr="003513D4">
        <w:t xml:space="preserve"> that</w:t>
      </w:r>
      <w:r w:rsidR="0040121D">
        <w:t xml:space="preserve"> one</w:t>
      </w:r>
      <w:r w:rsidR="00316FF6" w:rsidRPr="003513D4">
        <w:t xml:space="preserve"> treatment with </w:t>
      </w:r>
      <w:r w:rsidR="003513D4" w:rsidRPr="003513D4">
        <w:t xml:space="preserve">a diethylene triamine pentaacetic acid - </w:t>
      </w:r>
      <w:r w:rsidR="00070EC8">
        <w:t>s</w:t>
      </w:r>
      <w:r w:rsidR="003513D4" w:rsidRPr="003513D4">
        <w:t>odium hydroxide (</w:t>
      </w:r>
      <w:r w:rsidR="00316FF6" w:rsidRPr="003513D4">
        <w:t>DTPA</w:t>
      </w:r>
      <w:r w:rsidR="003513D4" w:rsidRPr="003513D4">
        <w:t>-NaOH) mixture</w:t>
      </w:r>
      <w:r w:rsidR="00316FF6" w:rsidRPr="003513D4">
        <w:t xml:space="preserve"> wa</w:t>
      </w:r>
      <w:r w:rsidR="003E43E0">
        <w:t>s</w:t>
      </w:r>
      <w:r w:rsidR="00C1411C">
        <w:t xml:space="preserve"> </w:t>
      </w:r>
      <w:r w:rsidR="00B251E9" w:rsidRPr="003513D4">
        <w:t>moderately</w:t>
      </w:r>
      <w:r w:rsidR="00316FF6" w:rsidRPr="003513D4">
        <w:t xml:space="preserve"> effective </w:t>
      </w:r>
      <w:r w:rsidR="003513D4" w:rsidRPr="003513D4">
        <w:t>at removing barite</w:t>
      </w:r>
      <w:r w:rsidR="00316FF6" w:rsidRPr="003513D4">
        <w:t xml:space="preserve"> from the </w:t>
      </w:r>
      <w:r w:rsidR="00C1411C" w:rsidRPr="003513D4">
        <w:t>operationally defined</w:t>
      </w:r>
      <w:r w:rsidR="00316FF6" w:rsidRPr="003513D4">
        <w:t xml:space="preserve"> detrital component of the </w:t>
      </w:r>
      <w:r w:rsidR="0040121D" w:rsidRPr="003513D4">
        <w:t>sediment</w:t>
      </w:r>
      <w:r w:rsidR="00524A21">
        <w:t xml:space="preserve"> by selective dissolution of bari</w:t>
      </w:r>
      <w:r w:rsidR="00EE53BA">
        <w:t>um</w:t>
      </w:r>
      <w:r w:rsidR="00524A21">
        <w:t xml:space="preserve"> sul</w:t>
      </w:r>
      <w:r w:rsidR="00226F15">
        <w:t>f</w:t>
      </w:r>
      <w:r w:rsidR="00524A21">
        <w:t>ate precipitates</w:t>
      </w:r>
      <w:r w:rsidR="0040121D">
        <w:t>, but</w:t>
      </w:r>
      <w:r w:rsidR="00B251E9">
        <w:t xml:space="preserve"> </w:t>
      </w:r>
      <w:r w:rsidR="00011736">
        <w:t xml:space="preserve">they concluded that </w:t>
      </w:r>
      <w:r w:rsidR="00F87DAF">
        <w:t xml:space="preserve">their approach </w:t>
      </w:r>
      <w:r w:rsidR="00B251E9">
        <w:t xml:space="preserve">did </w:t>
      </w:r>
      <w:r w:rsidR="00011736">
        <w:t xml:space="preserve">not </w:t>
      </w:r>
      <w:r w:rsidR="00AA5900">
        <w:t xml:space="preserve">achieve complete </w:t>
      </w:r>
      <w:r w:rsidR="00B251E9">
        <w:t xml:space="preserve">barite </w:t>
      </w:r>
      <w:r w:rsidR="00AA5900">
        <w:t>removal</w:t>
      </w:r>
      <w:r w:rsidR="00316FF6" w:rsidRPr="003513D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0"/>
      </w:tblGrid>
      <w:tr w:rsidR="0055530D" w14:paraId="37F7FED0" w14:textId="77777777" w:rsidTr="00DB6666">
        <w:tc>
          <w:tcPr>
            <w:tcW w:w="10450" w:type="dxa"/>
          </w:tcPr>
          <w:p w14:paraId="0317828D" w14:textId="77777777" w:rsidR="0055530D" w:rsidRDefault="0055530D" w:rsidP="00DB6666">
            <w:pPr>
              <w:jc w:val="center"/>
            </w:pPr>
            <w:r>
              <w:rPr>
                <w:noProof/>
                <w:lang w:val="en-US"/>
              </w:rPr>
              <w:lastRenderedPageBreak/>
              <w:drawing>
                <wp:inline distT="0" distB="0" distL="0" distR="0" wp14:anchorId="2CCBECB6" wp14:editId="2644C03C">
                  <wp:extent cx="4931521" cy="41695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stretch>
                            <a:fillRect/>
                          </a:stretch>
                        </pic:blipFill>
                        <pic:spPr>
                          <a:xfrm>
                            <a:off x="0" y="0"/>
                            <a:ext cx="4931521" cy="4169570"/>
                          </a:xfrm>
                          <a:prstGeom prst="rect">
                            <a:avLst/>
                          </a:prstGeom>
                        </pic:spPr>
                      </pic:pic>
                    </a:graphicData>
                  </a:graphic>
                </wp:inline>
              </w:drawing>
            </w:r>
          </w:p>
        </w:tc>
      </w:tr>
      <w:tr w:rsidR="0055530D" w14:paraId="0EAFA49A" w14:textId="77777777" w:rsidTr="00DB6666">
        <w:tc>
          <w:tcPr>
            <w:tcW w:w="10450" w:type="dxa"/>
          </w:tcPr>
          <w:p w14:paraId="3FF7561E" w14:textId="01FA2CAF" w:rsidR="0055530D" w:rsidRPr="00FC50A8" w:rsidRDefault="0055530D" w:rsidP="00A87A2E">
            <w:pPr>
              <w:jc w:val="both"/>
              <w:rPr>
                <w:sz w:val="22"/>
                <w:szCs w:val="22"/>
              </w:rPr>
            </w:pPr>
            <w:r w:rsidRPr="00FC50A8">
              <w:rPr>
                <w:b/>
                <w:bCs/>
                <w:sz w:val="22"/>
                <w:szCs w:val="22"/>
              </w:rPr>
              <w:t xml:space="preserve">Figure 2 - Sr and Nd isotopic composition of seawater and Earth’s crust. </w:t>
            </w:r>
            <w:r w:rsidRPr="00FC50A8">
              <w:rPr>
                <w:sz w:val="22"/>
                <w:szCs w:val="22"/>
              </w:rPr>
              <w:t>Oceanic island basalts and mid ocean ridge basalts (MORB) sample major reservoirs in the mantle. Continental basalts represent mixtures of various components, including mantle plumes, subcontinental lithosphere, and continental crust (</w:t>
            </w:r>
            <w:r w:rsidR="00D15A59">
              <w:rPr>
                <w:sz w:val="22"/>
                <w:szCs w:val="22"/>
              </w:rPr>
              <w:t>a</w:t>
            </w:r>
            <w:r w:rsidRPr="00FC50A8">
              <w:rPr>
                <w:sz w:val="22"/>
                <w:szCs w:val="22"/>
              </w:rPr>
              <w:t xml:space="preserve">dapted from </w:t>
            </w:r>
            <w:r w:rsidRPr="00FC50A8">
              <w:rPr>
                <w:sz w:val="22"/>
                <w:szCs w:val="22"/>
              </w:rPr>
              <w:fldChar w:fldCharType="begin" w:fldLock="1"/>
            </w:r>
            <w:r w:rsidRPr="00FC50A8">
              <w:rPr>
                <w:sz w:val="22"/>
                <w:szCs w:val="22"/>
              </w:rPr>
              <w:instrText>ADDIN CSL_CITATION {"citationItems":[{"id":"ITEM-1","itemData":{"author":[{"dropping-particle":"","family":"White","given":"William M","non-dropping-particle":"","parse-names":false,"suffix":""}],"container-title":"Isotope Geochemistry","id":"ITEM-1","issued":{"date-parts":[["2011"]]},"page":"145-173","title":"Radiogenic Isotope Geochemistry I : The Mantle","type":"chapter"},"uris":["http://www.mendeley.com/documents/?uuid=14848f87-e656-4d42-b95c-4f51abc48b12"]}],"mendeley":{"formattedCitation":"(White, 2011)","plainTextFormattedCitation":"(White, 2011)","previouslyFormattedCitation":"(White, 2011)"},"properties":{"noteIndex":0},"schema":"https://github.com/citation-style-language/schema/raw/master/csl-citation.json"}</w:instrText>
            </w:r>
            <w:r w:rsidRPr="00FC50A8">
              <w:rPr>
                <w:sz w:val="22"/>
                <w:szCs w:val="22"/>
              </w:rPr>
              <w:fldChar w:fldCharType="separate"/>
            </w:r>
            <w:r w:rsidRPr="00FC50A8">
              <w:rPr>
                <w:noProof/>
                <w:sz w:val="22"/>
                <w:szCs w:val="22"/>
              </w:rPr>
              <w:t>White, 2011)</w:t>
            </w:r>
            <w:r w:rsidRPr="00FC50A8">
              <w:rPr>
                <w:sz w:val="22"/>
                <w:szCs w:val="22"/>
              </w:rPr>
              <w:fldChar w:fldCharType="end"/>
            </w:r>
            <w:r w:rsidRPr="00FC50A8">
              <w:rPr>
                <w:sz w:val="22"/>
                <w:szCs w:val="22"/>
              </w:rPr>
              <w:t xml:space="preserve">). </w:t>
            </w:r>
            <w:r w:rsidRPr="00FC50A8">
              <w:rPr>
                <w:sz w:val="22"/>
                <w:szCs w:val="22"/>
                <w:vertAlign w:val="superscript"/>
              </w:rPr>
              <w:t>87</w:t>
            </w:r>
            <w:r w:rsidRPr="00FC50A8">
              <w:rPr>
                <w:sz w:val="22"/>
                <w:szCs w:val="22"/>
              </w:rPr>
              <w:t>Sr/</w:t>
            </w:r>
            <w:r w:rsidRPr="00FC50A8">
              <w:rPr>
                <w:sz w:val="22"/>
                <w:szCs w:val="22"/>
                <w:vertAlign w:val="superscript"/>
              </w:rPr>
              <w:t>86</w:t>
            </w:r>
            <w:r w:rsidRPr="00FC50A8">
              <w:rPr>
                <w:sz w:val="22"/>
                <w:szCs w:val="22"/>
              </w:rPr>
              <w:t>Sr</w:t>
            </w:r>
            <w:r w:rsidRPr="00FC50A8">
              <w:rPr>
                <w:sz w:val="22"/>
                <w:szCs w:val="22"/>
                <w:vertAlign w:val="subscript"/>
              </w:rPr>
              <w:t>seawater</w:t>
            </w:r>
            <w:r w:rsidRPr="00FC50A8">
              <w:rPr>
                <w:sz w:val="22"/>
                <w:szCs w:val="22"/>
              </w:rPr>
              <w:t xml:space="preserve"> range taken from </w:t>
            </w:r>
            <w:r w:rsidRPr="00FC50A8">
              <w:rPr>
                <w:sz w:val="22"/>
                <w:szCs w:val="22"/>
              </w:rPr>
              <w:fldChar w:fldCharType="begin" w:fldLock="1"/>
            </w:r>
            <w:r w:rsidRPr="00FC50A8">
              <w:rPr>
                <w:sz w:val="22"/>
                <w:szCs w:val="22"/>
              </w:rPr>
              <w:instrText>ADDIN CSL_CITATION {"citationItems":[{"id":"ITEM-1","itemData":{"DOI":"10.1086/319243","ISSN":"00221376","abstract":"An improved and updated version of the statistical LOWESS fit to the marine 87Sr/86Sr record and a revised look-up table (V3:10/99; available from j.mcarthurυcl.ac.uk) based upon it enables straightforward conversion of 87Sr/86Sr to numerical age, and vice versa, for use in strontium isotope stratigraphy (SIS). The table includes 95% confidence intervals on predictions of numerical age from 87Sr/86Sr. This version includes the Triassic and Paleozoic record (0-509 Ma) omitted from previous versions because of the paucity of adequate data at the time of preparation. We highlight differences between the previous versions of the table and the current version and discuss some aspects of the 87Sr/86Sr record that may have geological significance. We give examples of how the table can be used and where it has proven useful.","author":[{"dropping-particle":"","family":"McArthur","given":"J. M.","non-dropping-particle":"","parse-names":false,"suffix":""},{"dropping-particle":"","family":"Howarth","given":"R. J.","non-dropping-particle":"","parse-names":false,"suffix":""},{"dropping-particle":"","family":"Bailey","given":"T. R.","non-dropping-particle":"","parse-names":false,"suffix":""}],"container-title":"Journal of Geology","id":"ITEM-1","issue":"2","issued":{"date-parts":[["2001"]]},"page":"155-170","title":"Strontium isotope stratigraphy: LOWESS version 3: Best fit to the marine Sr-isotope curve for 0-509 Ma and accompanying look-up table for deriving numerical age","type":"article-journal","volume":"109"},"uris":["http://www.mendeley.com/documents/?uuid=6d8fa44d-57d9-43ec-916e-fc060eb88813"]}],"mendeley":{"formattedCitation":"(McArthur et al., 2001)","plainTextFormattedCitation":"(McArthur et al., 2001)","previouslyFormattedCitation":"(McArthur et al., 2001)"},"properties":{"noteIndex":0},"schema":"https://github.com/citation-style-language/schema/raw/master/csl-citation.json"}</w:instrText>
            </w:r>
            <w:r w:rsidRPr="00FC50A8">
              <w:rPr>
                <w:sz w:val="22"/>
                <w:szCs w:val="22"/>
              </w:rPr>
              <w:fldChar w:fldCharType="separate"/>
            </w:r>
            <w:r w:rsidRPr="00FC50A8">
              <w:rPr>
                <w:noProof/>
                <w:sz w:val="22"/>
                <w:szCs w:val="22"/>
              </w:rPr>
              <w:t>(McArthur et al., 2001)</w:t>
            </w:r>
            <w:r w:rsidRPr="00FC50A8">
              <w:rPr>
                <w:sz w:val="22"/>
                <w:szCs w:val="22"/>
              </w:rPr>
              <w:fldChar w:fldCharType="end"/>
            </w:r>
            <w:r w:rsidRPr="00FC50A8">
              <w:rPr>
                <w:sz w:val="22"/>
                <w:szCs w:val="22"/>
              </w:rPr>
              <w:t>. Signature</w:t>
            </w:r>
            <w:r w:rsidR="004C79D7">
              <w:rPr>
                <w:sz w:val="22"/>
                <w:szCs w:val="22"/>
              </w:rPr>
              <w:t>s</w:t>
            </w:r>
            <w:r w:rsidRPr="00FC50A8">
              <w:rPr>
                <w:sz w:val="22"/>
                <w:szCs w:val="22"/>
              </w:rPr>
              <w:t xml:space="preserve"> of North African (Jewell et al., 2021)</w:t>
            </w:r>
            <w:r w:rsidR="00E05E4C">
              <w:rPr>
                <w:sz w:val="22"/>
                <w:szCs w:val="22"/>
              </w:rPr>
              <w:t>,</w:t>
            </w:r>
            <w:r w:rsidRPr="00FC50A8">
              <w:rPr>
                <w:sz w:val="22"/>
                <w:szCs w:val="22"/>
              </w:rPr>
              <w:t xml:space="preserve"> North/Central American (</w:t>
            </w:r>
            <w:r w:rsidR="00E05E4C">
              <w:rPr>
                <w:sz w:val="22"/>
                <w:szCs w:val="22"/>
              </w:rPr>
              <w:t xml:space="preserve">Aarons et al., 2017; </w:t>
            </w:r>
            <w:r w:rsidRPr="00FC50A8">
              <w:rPr>
                <w:sz w:val="22"/>
                <w:szCs w:val="22"/>
              </w:rPr>
              <w:t>Jardine et al., 2021)</w:t>
            </w:r>
            <w:r w:rsidR="00E05E4C">
              <w:rPr>
                <w:sz w:val="22"/>
                <w:szCs w:val="22"/>
              </w:rPr>
              <w:t xml:space="preserve"> </w:t>
            </w:r>
            <w:r w:rsidR="004C79D7">
              <w:rPr>
                <w:sz w:val="22"/>
                <w:szCs w:val="22"/>
              </w:rPr>
              <w:t xml:space="preserve">and </w:t>
            </w:r>
            <w:r w:rsidR="00E05E4C">
              <w:rPr>
                <w:sz w:val="22"/>
                <w:szCs w:val="22"/>
              </w:rPr>
              <w:t>Asian (Chen et al., 2007; Kanayama et al., 2005; Zeng et al., 2015; Zhao et al., 2015) dust sources</w:t>
            </w:r>
            <w:r w:rsidR="004C79D7">
              <w:rPr>
                <w:sz w:val="22"/>
                <w:szCs w:val="22"/>
              </w:rPr>
              <w:t xml:space="preserve"> are also shown</w:t>
            </w:r>
            <w:r w:rsidR="00E05E4C">
              <w:rPr>
                <w:sz w:val="22"/>
                <w:szCs w:val="22"/>
              </w:rPr>
              <w:t>.</w:t>
            </w:r>
          </w:p>
        </w:tc>
      </w:tr>
    </w:tbl>
    <w:p w14:paraId="034A6A69" w14:textId="77777777" w:rsidR="005B256F" w:rsidRDefault="005B256F" w:rsidP="008C6417">
      <w:pPr>
        <w:spacing w:line="480" w:lineRule="auto"/>
        <w:jc w:val="both"/>
      </w:pPr>
    </w:p>
    <w:p w14:paraId="2F6C1FF8" w14:textId="77777777" w:rsidR="004D2706" w:rsidRDefault="004D2706" w:rsidP="00F97230">
      <w:pPr>
        <w:spacing w:line="480" w:lineRule="auto"/>
        <w:jc w:val="both"/>
      </w:pPr>
    </w:p>
    <w:p w14:paraId="2534F5A7" w14:textId="77777777" w:rsidR="00E4290E" w:rsidRPr="004D2706" w:rsidRDefault="00E4290E" w:rsidP="00F97230">
      <w:pPr>
        <w:spacing w:line="480" w:lineRule="auto"/>
        <w:jc w:val="both"/>
      </w:pPr>
    </w:p>
    <w:p w14:paraId="7BC0BCA4" w14:textId="5D43C256" w:rsidR="0076168F" w:rsidRPr="00686375" w:rsidRDefault="004C661C" w:rsidP="008C6417">
      <w:pPr>
        <w:spacing w:line="480" w:lineRule="auto"/>
        <w:jc w:val="both"/>
      </w:pPr>
      <w:r>
        <w:t xml:space="preserve">Here we report the results of a </w:t>
      </w:r>
      <w:r w:rsidR="00CF1E15">
        <w:t xml:space="preserve">Sr and Nd isotope </w:t>
      </w:r>
      <w:r>
        <w:t>study of the terrigenous fraction</w:t>
      </w:r>
      <w:r w:rsidR="00CF1E15">
        <w:t xml:space="preserve"> </w:t>
      </w:r>
      <w:r w:rsidR="00316FF6">
        <w:t>of</w:t>
      </w:r>
      <w:r w:rsidR="0095539E">
        <w:t xml:space="preserve"> marine</w:t>
      </w:r>
      <w:r>
        <w:t xml:space="preserve"> sediment</w:t>
      </w:r>
      <w:r w:rsidR="00CF1E15">
        <w:t xml:space="preserve">s </w:t>
      </w:r>
      <w:r w:rsidR="009F6588">
        <w:t>of Plio</w:t>
      </w:r>
      <w:r w:rsidR="004A6051">
        <w:t>cene</w:t>
      </w:r>
      <w:r w:rsidR="009F6588">
        <w:t>-</w:t>
      </w:r>
      <w:r w:rsidR="006269EC">
        <w:t>Holocene</w:t>
      </w:r>
      <w:r w:rsidR="009F6588">
        <w:t xml:space="preserve"> age </w:t>
      </w:r>
      <w:r w:rsidR="00CF1E15">
        <w:t xml:space="preserve">from two </w:t>
      </w:r>
      <w:r w:rsidR="0095539E">
        <w:t>drill</w:t>
      </w:r>
      <w:r w:rsidR="00657559">
        <w:t xml:space="preserve"> </w:t>
      </w:r>
      <w:r w:rsidR="0095539E">
        <w:t>core</w:t>
      </w:r>
      <w:r w:rsidR="009F6588">
        <w:t xml:space="preserve"> </w:t>
      </w:r>
      <w:r w:rsidR="003015F0">
        <w:t xml:space="preserve">sites </w:t>
      </w:r>
      <w:r w:rsidR="009F6588">
        <w:t>(Table 1)</w:t>
      </w:r>
      <w:r w:rsidR="0095539E">
        <w:t xml:space="preserve">: </w:t>
      </w:r>
      <w:r w:rsidR="00CF1E15" w:rsidRPr="00783D81">
        <w:t>Oc</w:t>
      </w:r>
      <w:r w:rsidR="0095539E">
        <w:t>ean Drilling Program (ODP) Site</w:t>
      </w:r>
      <w:r w:rsidR="00CF1E15" w:rsidRPr="00783D81">
        <w:t xml:space="preserve"> 1016 </w:t>
      </w:r>
      <w:r w:rsidR="008B28DE">
        <w:t>offshore California</w:t>
      </w:r>
      <w:r w:rsidR="008B28DE" w:rsidRPr="00783D81">
        <w:t xml:space="preserve"> </w:t>
      </w:r>
      <w:r w:rsidR="008B28DE">
        <w:t>in the subtropical eastern Pacific Ocean and</w:t>
      </w:r>
      <w:r w:rsidR="00CF1E15" w:rsidRPr="00783D81">
        <w:t xml:space="preserve"> </w:t>
      </w:r>
      <w:r w:rsidR="008B28DE">
        <w:t xml:space="preserve">ODP Site </w:t>
      </w:r>
      <w:r w:rsidR="00CF1E15" w:rsidRPr="00783D81">
        <w:t>662</w:t>
      </w:r>
      <w:r w:rsidR="008B28DE">
        <w:t xml:space="preserve"> in </w:t>
      </w:r>
      <w:r w:rsidR="00F97230">
        <w:t xml:space="preserve">the </w:t>
      </w:r>
      <w:r w:rsidR="008B28DE">
        <w:t>eastern equatorial Atlantic Ocean</w:t>
      </w:r>
      <w:r w:rsidR="003015F0">
        <w:t xml:space="preserve"> (Figure 1)</w:t>
      </w:r>
      <w:r w:rsidR="00CF1E15">
        <w:t>. Our study was</w:t>
      </w:r>
      <w:r>
        <w:t xml:space="preserve"> </w:t>
      </w:r>
      <w:r w:rsidR="00CF1E15">
        <w:t>designed</w:t>
      </w:r>
      <w:r w:rsidR="00CF1E15" w:rsidRPr="00783D81">
        <w:t xml:space="preserve"> to </w:t>
      </w:r>
      <w:r w:rsidR="00CF1E15">
        <w:t xml:space="preserve">quantify barite contamination </w:t>
      </w:r>
      <w:r w:rsidR="00316FF6">
        <w:t xml:space="preserve">and </w:t>
      </w:r>
      <w:r w:rsidR="008B28DE">
        <w:t>to develop</w:t>
      </w:r>
      <w:r w:rsidR="00CF1E15">
        <w:t xml:space="preserve"> </w:t>
      </w:r>
      <w:r>
        <w:t xml:space="preserve">a </w:t>
      </w:r>
      <w:r w:rsidR="006269EC">
        <w:t xml:space="preserve">systematic </w:t>
      </w:r>
      <w:r w:rsidR="006B5727">
        <w:t>protocol for</w:t>
      </w:r>
      <w:r>
        <w:t xml:space="preserve"> </w:t>
      </w:r>
      <w:r w:rsidR="00F5582C">
        <w:t>remov</w:t>
      </w:r>
      <w:r w:rsidR="006269EC">
        <w:t xml:space="preserve">ing </w:t>
      </w:r>
      <w:r w:rsidR="00F5582C">
        <w:t xml:space="preserve">all </w:t>
      </w:r>
      <w:r w:rsidR="006269EC">
        <w:t xml:space="preserve">contaminating </w:t>
      </w:r>
      <w:r w:rsidR="00F5582C">
        <w:t>marine phases from</w:t>
      </w:r>
      <w:r w:rsidR="00F5582C" w:rsidRPr="00783D81">
        <w:t xml:space="preserve"> </w:t>
      </w:r>
      <w:r w:rsidR="006269EC">
        <w:t xml:space="preserve">the </w:t>
      </w:r>
      <w:r w:rsidR="00F5582C" w:rsidRPr="00783D81">
        <w:t>terrigenous fraction</w:t>
      </w:r>
      <w:r w:rsidR="00F5582C">
        <w:t xml:space="preserve">, </w:t>
      </w:r>
      <w:r w:rsidR="006269EC">
        <w:t>including</w:t>
      </w:r>
      <w:r w:rsidR="00F5582C">
        <w:t xml:space="preserve"> </w:t>
      </w:r>
      <w:r>
        <w:t>barite.</w:t>
      </w:r>
      <w:r w:rsidR="00070EC8">
        <w:t xml:space="preserve"> </w:t>
      </w:r>
      <w:r w:rsidR="001B4809">
        <w:t xml:space="preserve">Building on previous </w:t>
      </w:r>
      <w:r w:rsidR="00D37962">
        <w:t>work</w:t>
      </w:r>
      <w:r w:rsidR="001B4809">
        <w:t xml:space="preserve"> (Xie and Marcantonio., 2012), we investigate the effectiveness of using </w:t>
      </w:r>
      <w:r w:rsidR="00C57CB9">
        <w:t xml:space="preserve">multiple </w:t>
      </w:r>
      <w:r w:rsidR="001B4809">
        <w:t xml:space="preserve">DTPA-NaOH </w:t>
      </w:r>
      <w:r w:rsidR="00C57CB9">
        <w:t xml:space="preserve">leaches </w:t>
      </w:r>
      <w:r w:rsidR="001B4809">
        <w:t xml:space="preserve">to remove barite </w:t>
      </w:r>
      <w:r w:rsidR="00C57CB9">
        <w:t xml:space="preserve">from marine sediments </w:t>
      </w:r>
      <w:r w:rsidR="001B4809">
        <w:t xml:space="preserve">and </w:t>
      </w:r>
      <w:r w:rsidR="00D37962">
        <w:t xml:space="preserve">to </w:t>
      </w:r>
      <w:r w:rsidR="001B4809">
        <w:lastRenderedPageBreak/>
        <w:t xml:space="preserve">isolate a “true” terrigenous </w:t>
      </w:r>
      <w:r w:rsidR="001B4809" w:rsidRPr="00B652B3">
        <w:rPr>
          <w:vertAlign w:val="superscript"/>
        </w:rPr>
        <w:t>87</w:t>
      </w:r>
      <w:r w:rsidR="001B4809" w:rsidRPr="00B652B3">
        <w:t>Sr/</w:t>
      </w:r>
      <w:r w:rsidR="001B4809" w:rsidRPr="00B652B3">
        <w:rPr>
          <w:vertAlign w:val="superscript"/>
        </w:rPr>
        <w:t>86</w:t>
      </w:r>
      <w:r w:rsidR="001B4809" w:rsidRPr="00B652B3">
        <w:t>Sr</w:t>
      </w:r>
      <w:r w:rsidR="001B4809">
        <w:t xml:space="preserve"> signal without altering the Nd isotope composition</w:t>
      </w:r>
      <w:r w:rsidR="007A61DB">
        <w:t>,</w:t>
      </w:r>
      <w:r w:rsidR="001B3F3A">
        <w:t xml:space="preserve"> in</w:t>
      </w:r>
      <w:r w:rsidR="001B4809">
        <w:t xml:space="preserve"> samples </w:t>
      </w:r>
      <w:r w:rsidR="001B3F3A">
        <w:t>where</w:t>
      </w:r>
      <w:r w:rsidR="001B4809">
        <w:t xml:space="preserve"> Ba</w:t>
      </w:r>
      <w:r w:rsidR="007A61DB">
        <w:rPr>
          <w:vertAlign w:val="subscript"/>
        </w:rPr>
        <w:t xml:space="preserve">barite </w:t>
      </w:r>
      <w:r w:rsidR="001B3F3A">
        <w:t xml:space="preserve">is representative of </w:t>
      </w:r>
      <w:r w:rsidR="001B4809">
        <w:t>m</w:t>
      </w:r>
      <w:r w:rsidR="002B2A13">
        <w:t>uch</w:t>
      </w:r>
      <w:r w:rsidR="001B4809">
        <w:t xml:space="preserve"> of the </w:t>
      </w:r>
      <w:r w:rsidR="00D37962">
        <w:t xml:space="preserve">modern </w:t>
      </w:r>
      <w:r w:rsidR="001B4809">
        <w:t>global ocean</w:t>
      </w:r>
      <w:r w:rsidR="001B3F3A">
        <w:t xml:space="preserve"> (Fig</w:t>
      </w:r>
      <w:r w:rsidR="007A61DB">
        <w:t>ure</w:t>
      </w:r>
      <w:r w:rsidR="001B3F3A">
        <w:t xml:space="preserve"> 1)</w:t>
      </w:r>
      <w:r w:rsidR="001B4809">
        <w:t xml:space="preserve">. </w:t>
      </w:r>
      <w:r w:rsidR="00070EC8">
        <w:t>O</w:t>
      </w:r>
      <w:r w:rsidR="008B28DE">
        <w:t xml:space="preserve">ur </w:t>
      </w:r>
      <w:r w:rsidR="00A74E9C">
        <w:t xml:space="preserve">protocol </w:t>
      </w:r>
      <w:r w:rsidR="008B28DE">
        <w:t>describes</w:t>
      </w:r>
      <w:r w:rsidR="00F51A85" w:rsidRPr="00783D81">
        <w:t xml:space="preserve"> a </w:t>
      </w:r>
      <w:r w:rsidR="00011736">
        <w:t>systematic graduated</w:t>
      </w:r>
      <w:r w:rsidR="008B28DE">
        <w:t xml:space="preserve"> </w:t>
      </w:r>
      <w:r w:rsidR="00F51A85" w:rsidRPr="00783D81">
        <w:t xml:space="preserve">approach to barite removal </w:t>
      </w:r>
      <w:r w:rsidR="008B28DE">
        <w:t>that can be tailored to</w:t>
      </w:r>
      <w:r w:rsidR="00F51A85" w:rsidRPr="00783D81">
        <w:t xml:space="preserve"> site</w:t>
      </w:r>
      <w:r w:rsidR="008B28DE">
        <w:t>-</w:t>
      </w:r>
      <w:r w:rsidR="00D37962">
        <w:t xml:space="preserve"> and project-</w:t>
      </w:r>
      <w:r w:rsidR="00F51A85" w:rsidRPr="00783D81">
        <w:t>specific needs</w:t>
      </w:r>
      <w:r w:rsidR="00742D0D">
        <w:t>.</w:t>
      </w:r>
      <w:r w:rsidR="008B28DE">
        <w:t xml:space="preserve"> </w:t>
      </w:r>
      <w:r w:rsidR="00742D0D">
        <w:t>I</w:t>
      </w:r>
      <w:r w:rsidR="00A82481">
        <w:t xml:space="preserve">ts application </w:t>
      </w:r>
      <w:r w:rsidR="008B28DE">
        <w:t>will help to standardise</w:t>
      </w:r>
      <w:r w:rsidR="002E15BE" w:rsidRPr="00783D81">
        <w:t xml:space="preserve"> </w:t>
      </w:r>
      <w:r w:rsidR="00CC1B50">
        <w:t xml:space="preserve">data, </w:t>
      </w:r>
      <w:r w:rsidR="00CC1B50" w:rsidRPr="00783D81">
        <w:t xml:space="preserve">allow robust like-for-like comparisons between </w:t>
      </w:r>
      <w:r w:rsidR="00622C12" w:rsidRPr="00783D81">
        <w:t>sites,</w:t>
      </w:r>
      <w:r w:rsidR="00CC1B50">
        <w:t xml:space="preserve"> and improve our understanding of</w:t>
      </w:r>
      <w:r w:rsidR="002E15BE" w:rsidRPr="00783D81">
        <w:t xml:space="preserve"> the provenance and transport history of </w:t>
      </w:r>
      <w:r w:rsidR="00CC1B50">
        <w:t>terrigenous sediments and their environmental interpretation</w:t>
      </w:r>
      <w:r w:rsidR="002E15BE">
        <w:t>.</w:t>
      </w:r>
      <w:r w:rsidR="002E15BE" w:rsidRPr="00783D81">
        <w:t xml:space="preserve"> </w:t>
      </w:r>
      <w:r w:rsidR="00554B7D">
        <w:t xml:space="preserve">We focus on a marine sediment application but our method can also be </w:t>
      </w:r>
      <w:r w:rsidR="00E15D5D">
        <w:t>applied to</w:t>
      </w:r>
      <w:r w:rsidR="00554B7D">
        <w:t xml:space="preserve"> lacustrine sediments where barite may also contaminate the </w:t>
      </w:r>
      <w:r w:rsidR="00C74B6A">
        <w:t xml:space="preserve">isotopic composition of the </w:t>
      </w:r>
      <w:r w:rsidR="00F97230">
        <w:t>silicate</w:t>
      </w:r>
      <w:r w:rsidR="00554B7D">
        <w:t xml:space="preserve"> fraction</w:t>
      </w:r>
      <w:r w:rsidR="00742D0D">
        <w:t>,</w:t>
      </w:r>
      <w:r w:rsidR="00554B7D">
        <w:t xml:space="preserve"> especially in spring-fed systems</w:t>
      </w:r>
      <w:r w:rsidR="00C529BB">
        <w:t xml:space="preserve"> </w:t>
      </w:r>
      <w:r w:rsidR="00C529BB">
        <w:fldChar w:fldCharType="begin" w:fldLock="1"/>
      </w:r>
      <w:r w:rsidR="0096336C">
        <w:instrText>ADDIN CSL_CITATION {"citationItems":[{"id":"ITEM-1","itemData":{"DOI":"10.1002/dep2.11","ISSN":"2055-4877","abstract":"Abstract Few proxies exist to identify aridity in the depositional record, although drylands cover ca 30% of the modern continental surface. New exposures in a siliciclastic and carbonate sequence in an arid to hyperarid basin at Olduvai Gorge, Tanzania provide a unique multi?proxy record of a 1·85 Ma landscape that was exploited by early humans. The 2 m thick sequence of clastics and carbonates that are exposed along a 450 m outcrop records climate change over a single precession (dry?wet?dry) cycle. Siliciclastic data (sedimentary structures, grain size, mineralogy) and biological data are combined with data for a 10 to 35 cm thick limestone (stable isotopes, elemental geochemistry, petrography) to generate a depositional facies model for a site DK (Douglass Korongo) on this dry rift basin landscape. This site was situated on a low gradient, distal portion of a volcaniclastic alluvial fan. The clastics are intercalated distal alluvial fan sandy silts and lake clays that accumulated in a low energy environment. Groundwater discharge and the alkaline springs and seeps during wet?to?dry change in climate made a freshwater carbonate?rich environment. Bedded lithofacies (a lime mudstone with fossils) were deposited in shallow standing (spring?fed) pools, while nodular lithofacies with calcite spherulites indicate permanently saturated ground (seeps). Both environments experienced similar diagenesis, that is, the precipitation of authigenic barite from supersaturated groundwater, desiccation and pedogenesis, and late?stage calcite precipitation. Compositional and isotopic data suggest that a fresh groundwater?fed system was available to early humans even during dry intervals of the precession cycle.","author":[{"dropping-particle":"","family":"Ashley","given":"Gail M.","non-dropping-particle":"","parse-names":false,"suffix":""},{"dropping-particle":"","family":"Wet","given":"Carol B.","non-dropping-particle":"","parse-names":false,"suffix":""},{"dropping-particle":"","family":"Barboni","given":"Doris","non-dropping-particle":"","parse-names":false,"suffix":""},{"dropping-particle":"","family":"Magill","given":"Clayton R.","non-dropping-particle":"","parse-names":false,"suffix":""}],"container-title":"The Depositional Record","id":"ITEM-1","issue":"1","issued":{"date-parts":[["2016"]]},"note":"downloaded June 2021 to demonstrate presence of barite in springs/groundwater for methods paper. \n\nHaven't read in detail, just skim read.","page":"4-21","title":" Subtle signatures of seeps: Record of groundwater in a Dryland, DK , Olduvai Gorge, Tanzania ","type":"article-journal","volume":"2"},"uris":["http://www.mendeley.com/documents/?uuid=05d600f0-36e5-4c79-bfc0-830f6049ffff"]}],"mendeley":{"formattedCitation":"(Ashley et al., 2016)","manualFormatting":"(e.g. Ashley et al., 2016)","plainTextFormattedCitation":"(Ashley et al., 2016)","previouslyFormattedCitation":"(Ashley et al., 2016)"},"properties":{"noteIndex":0},"schema":"https://github.com/citation-style-language/schema/raw/master/csl-citation.json"}</w:instrText>
      </w:r>
      <w:r w:rsidR="00C529BB">
        <w:fldChar w:fldCharType="separate"/>
      </w:r>
      <w:r w:rsidR="00C529BB" w:rsidRPr="00C529BB">
        <w:rPr>
          <w:noProof/>
        </w:rPr>
        <w:t>(</w:t>
      </w:r>
      <w:r w:rsidR="00C529BB">
        <w:rPr>
          <w:noProof/>
        </w:rPr>
        <w:t xml:space="preserve">e.g. </w:t>
      </w:r>
      <w:r w:rsidR="00C529BB" w:rsidRPr="00C529BB">
        <w:rPr>
          <w:noProof/>
        </w:rPr>
        <w:t>Ashley et al., 2016)</w:t>
      </w:r>
      <w:r w:rsidR="00C529BB">
        <w:fldChar w:fldCharType="end"/>
      </w:r>
      <w:r w:rsidR="00554B7D">
        <w:t>.</w:t>
      </w:r>
      <w:r w:rsidR="00686375">
        <w:t xml:space="preserve"> </w:t>
      </w:r>
    </w:p>
    <w:p w14:paraId="2C11C987" w14:textId="77777777" w:rsidR="007937C7" w:rsidRPr="002752DA" w:rsidRDefault="007937C7" w:rsidP="008C6417">
      <w:pPr>
        <w:spacing w:line="480" w:lineRule="auto"/>
        <w:jc w:val="both"/>
      </w:pPr>
    </w:p>
    <w:tbl>
      <w:tblPr>
        <w:tblStyle w:val="TableGrid"/>
        <w:tblpPr w:leftFromText="180" w:rightFromText="180" w:vertAnchor="page" w:horzAnchor="margin" w:tblpY="91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0"/>
      </w:tblGrid>
      <w:tr w:rsidR="0044664B" w14:paraId="55A455D6" w14:textId="77777777" w:rsidTr="0044664B">
        <w:tc>
          <w:tcPr>
            <w:tcW w:w="9740" w:type="dxa"/>
          </w:tcPr>
          <w:tbl>
            <w:tblPr>
              <w:tblStyle w:val="PlainTable51"/>
              <w:tblW w:w="0" w:type="auto"/>
              <w:jc w:val="center"/>
              <w:tblLook w:val="04A0" w:firstRow="1" w:lastRow="0" w:firstColumn="1" w:lastColumn="0" w:noHBand="0" w:noVBand="1"/>
            </w:tblPr>
            <w:tblGrid>
              <w:gridCol w:w="1792"/>
              <w:gridCol w:w="1729"/>
              <w:gridCol w:w="2900"/>
              <w:gridCol w:w="1779"/>
            </w:tblGrid>
            <w:tr w:rsidR="0044664B" w14:paraId="3ACD10B0" w14:textId="77777777" w:rsidTr="009D1C3E">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792" w:type="dxa"/>
                </w:tcPr>
                <w:p w14:paraId="416D13E3" w14:textId="77777777" w:rsidR="0044664B" w:rsidRPr="005A6A28" w:rsidRDefault="0044664B" w:rsidP="0044664B">
                  <w:pPr>
                    <w:framePr w:hSpace="180" w:wrap="around" w:vAnchor="page" w:hAnchor="margin" w:y="9141"/>
                    <w:rPr>
                      <w:b/>
                      <w:bCs/>
                    </w:rPr>
                  </w:pPr>
                  <w:r w:rsidRPr="005A6A28">
                    <w:rPr>
                      <w:b/>
                      <w:bCs/>
                    </w:rPr>
                    <w:t>Sample ID</w:t>
                  </w:r>
                </w:p>
              </w:tc>
              <w:tc>
                <w:tcPr>
                  <w:tcW w:w="1729" w:type="dxa"/>
                </w:tcPr>
                <w:p w14:paraId="10A0CF1F" w14:textId="77777777" w:rsidR="0044664B" w:rsidRPr="005A6A28" w:rsidRDefault="0044664B" w:rsidP="0044664B">
                  <w:pPr>
                    <w:framePr w:hSpace="180" w:wrap="around" w:vAnchor="page" w:hAnchor="margin" w:y="9141"/>
                    <w:cnfStyle w:val="100000000000" w:firstRow="1" w:lastRow="0" w:firstColumn="0" w:lastColumn="0" w:oddVBand="0" w:evenVBand="0" w:oddHBand="0" w:evenHBand="0" w:firstRowFirstColumn="0" w:firstRowLastColumn="0" w:lastRowFirstColumn="0" w:lastRowLastColumn="0"/>
                    <w:rPr>
                      <w:b/>
                      <w:bCs/>
                    </w:rPr>
                  </w:pPr>
                  <w:r w:rsidRPr="005A6A28">
                    <w:rPr>
                      <w:b/>
                      <w:bCs/>
                    </w:rPr>
                    <w:t>Site</w:t>
                  </w:r>
                </w:p>
              </w:tc>
              <w:tc>
                <w:tcPr>
                  <w:tcW w:w="2900" w:type="dxa"/>
                </w:tcPr>
                <w:p w14:paraId="0436A212" w14:textId="77777777" w:rsidR="0044664B" w:rsidRPr="005A6A28" w:rsidRDefault="0044664B" w:rsidP="0044664B">
                  <w:pPr>
                    <w:framePr w:hSpace="180" w:wrap="around" w:vAnchor="page" w:hAnchor="margin" w:y="9141"/>
                    <w:cnfStyle w:val="100000000000" w:firstRow="1" w:lastRow="0" w:firstColumn="0" w:lastColumn="0" w:oddVBand="0" w:evenVBand="0" w:oddHBand="0" w:evenHBand="0" w:firstRowFirstColumn="0" w:firstRowLastColumn="0" w:lastRowFirstColumn="0" w:lastRowLastColumn="0"/>
                    <w:rPr>
                      <w:b/>
                      <w:bCs/>
                    </w:rPr>
                  </w:pPr>
                  <w:r w:rsidRPr="005A6A28">
                    <w:rPr>
                      <w:b/>
                      <w:bCs/>
                    </w:rPr>
                    <w:t>ODP ID</w:t>
                  </w:r>
                </w:p>
              </w:tc>
              <w:tc>
                <w:tcPr>
                  <w:tcW w:w="1779" w:type="dxa"/>
                </w:tcPr>
                <w:p w14:paraId="3EF43CCB" w14:textId="77777777" w:rsidR="0044664B" w:rsidRPr="005A6A28" w:rsidRDefault="0044664B" w:rsidP="0044664B">
                  <w:pPr>
                    <w:framePr w:hSpace="180" w:wrap="around" w:vAnchor="page" w:hAnchor="margin" w:y="9141"/>
                    <w:cnfStyle w:val="100000000000" w:firstRow="1" w:lastRow="0" w:firstColumn="0" w:lastColumn="0" w:oddVBand="0" w:evenVBand="0" w:oddHBand="0" w:evenHBand="0" w:firstRowFirstColumn="0" w:firstRowLastColumn="0" w:lastRowFirstColumn="0" w:lastRowLastColumn="0"/>
                    <w:rPr>
                      <w:b/>
                      <w:bCs/>
                    </w:rPr>
                  </w:pPr>
                  <w:r w:rsidRPr="005A6A28">
                    <w:rPr>
                      <w:b/>
                      <w:bCs/>
                    </w:rPr>
                    <w:t>Approx. Age</w:t>
                  </w:r>
                </w:p>
              </w:tc>
            </w:tr>
            <w:tr w:rsidR="0044664B" w14:paraId="6E189E0A" w14:textId="77777777" w:rsidTr="009D1C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2" w:type="dxa"/>
                </w:tcPr>
                <w:p w14:paraId="6805FAB7" w14:textId="77777777" w:rsidR="0044664B" w:rsidRDefault="0044664B" w:rsidP="0044664B">
                  <w:pPr>
                    <w:framePr w:hSpace="180" w:wrap="around" w:vAnchor="page" w:hAnchor="margin" w:y="9141"/>
                  </w:pPr>
                  <w:r>
                    <w:t>Sample A</w:t>
                  </w:r>
                </w:p>
              </w:tc>
              <w:tc>
                <w:tcPr>
                  <w:tcW w:w="1729" w:type="dxa"/>
                </w:tcPr>
                <w:p w14:paraId="487022F6" w14:textId="77777777" w:rsidR="0044664B" w:rsidRDefault="0044664B" w:rsidP="0044664B">
                  <w:pPr>
                    <w:framePr w:hSpace="180" w:wrap="around" w:vAnchor="page" w:hAnchor="margin" w:y="9141"/>
                    <w:cnfStyle w:val="000000100000" w:firstRow="0" w:lastRow="0" w:firstColumn="0" w:lastColumn="0" w:oddVBand="0" w:evenVBand="0" w:oddHBand="1" w:evenHBand="0" w:firstRowFirstColumn="0" w:firstRowLastColumn="0" w:lastRowFirstColumn="0" w:lastRowLastColumn="0"/>
                  </w:pPr>
                  <w:r>
                    <w:t>ODP Site 662</w:t>
                  </w:r>
                </w:p>
              </w:tc>
              <w:tc>
                <w:tcPr>
                  <w:tcW w:w="2900" w:type="dxa"/>
                </w:tcPr>
                <w:p w14:paraId="10FA011A" w14:textId="77777777" w:rsidR="0044664B" w:rsidRDefault="0044664B" w:rsidP="0044664B">
                  <w:pPr>
                    <w:framePr w:hSpace="180" w:wrap="around" w:vAnchor="page" w:hAnchor="margin" w:y="9141"/>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662A 1H 1W 101-105cm</w:t>
                  </w:r>
                </w:p>
              </w:tc>
              <w:tc>
                <w:tcPr>
                  <w:tcW w:w="1779" w:type="dxa"/>
                </w:tcPr>
                <w:p w14:paraId="6208EBBB" w14:textId="77777777" w:rsidR="0044664B" w:rsidRDefault="0044664B" w:rsidP="0044664B">
                  <w:pPr>
                    <w:framePr w:hSpace="180" w:wrap="around" w:vAnchor="page" w:hAnchor="margin" w:y="9141"/>
                    <w:cnfStyle w:val="000000100000" w:firstRow="0" w:lastRow="0" w:firstColumn="0" w:lastColumn="0" w:oddVBand="0" w:evenVBand="0" w:oddHBand="1" w:evenHBand="0" w:firstRowFirstColumn="0" w:firstRowLastColumn="0" w:lastRowFirstColumn="0" w:lastRowLastColumn="0"/>
                  </w:pPr>
                  <w:r>
                    <w:t>Holocene</w:t>
                  </w:r>
                </w:p>
                <w:p w14:paraId="0B484200" w14:textId="77777777" w:rsidR="0044664B" w:rsidRDefault="0044664B" w:rsidP="0044664B">
                  <w:pPr>
                    <w:framePr w:hSpace="180" w:wrap="around" w:vAnchor="page" w:hAnchor="margin" w:y="9141"/>
                    <w:cnfStyle w:val="000000100000" w:firstRow="0" w:lastRow="0" w:firstColumn="0" w:lastColumn="0" w:oddVBand="0" w:evenVBand="0" w:oddHBand="1" w:evenHBand="0" w:firstRowFirstColumn="0" w:firstRowLastColumn="0" w:lastRowFirstColumn="0" w:lastRowLastColumn="0"/>
                  </w:pPr>
                </w:p>
              </w:tc>
            </w:tr>
            <w:tr w:rsidR="0044664B" w14:paraId="0A3C503A" w14:textId="77777777" w:rsidTr="009D1C3E">
              <w:trPr>
                <w:jc w:val="center"/>
              </w:trPr>
              <w:tc>
                <w:tcPr>
                  <w:cnfStyle w:val="001000000000" w:firstRow="0" w:lastRow="0" w:firstColumn="1" w:lastColumn="0" w:oddVBand="0" w:evenVBand="0" w:oddHBand="0" w:evenHBand="0" w:firstRowFirstColumn="0" w:firstRowLastColumn="0" w:lastRowFirstColumn="0" w:lastRowLastColumn="0"/>
                  <w:tcW w:w="1792" w:type="dxa"/>
                </w:tcPr>
                <w:p w14:paraId="4173CDA2" w14:textId="77777777" w:rsidR="0044664B" w:rsidRDefault="0044664B" w:rsidP="0044664B">
                  <w:pPr>
                    <w:framePr w:hSpace="180" w:wrap="around" w:vAnchor="page" w:hAnchor="margin" w:y="9141"/>
                  </w:pPr>
                  <w:r>
                    <w:t>Sample B</w:t>
                  </w:r>
                </w:p>
              </w:tc>
              <w:tc>
                <w:tcPr>
                  <w:tcW w:w="1729" w:type="dxa"/>
                </w:tcPr>
                <w:p w14:paraId="12A49E30" w14:textId="77777777" w:rsidR="0044664B" w:rsidRDefault="0044664B" w:rsidP="0044664B">
                  <w:pPr>
                    <w:framePr w:hSpace="180" w:wrap="around" w:vAnchor="page" w:hAnchor="margin" w:y="9141"/>
                    <w:cnfStyle w:val="000000000000" w:firstRow="0" w:lastRow="0" w:firstColumn="0" w:lastColumn="0" w:oddVBand="0" w:evenVBand="0" w:oddHBand="0" w:evenHBand="0" w:firstRowFirstColumn="0" w:firstRowLastColumn="0" w:lastRowFirstColumn="0" w:lastRowLastColumn="0"/>
                  </w:pPr>
                  <w:r>
                    <w:t>ODP Site 662</w:t>
                  </w:r>
                </w:p>
              </w:tc>
              <w:tc>
                <w:tcPr>
                  <w:tcW w:w="2900" w:type="dxa"/>
                </w:tcPr>
                <w:p w14:paraId="50556536" w14:textId="77777777" w:rsidR="0044664B" w:rsidRDefault="0044664B" w:rsidP="0044664B">
                  <w:pPr>
                    <w:framePr w:hSpace="180" w:wrap="around" w:vAnchor="page" w:hAnchor="margin" w:y="9141"/>
                    <w:cnfStyle w:val="000000000000" w:firstRow="0" w:lastRow="0" w:firstColumn="0" w:lastColumn="0" w:oddVBand="0" w:evenVBand="0" w:oddHBand="0" w:evenHBand="0" w:firstRowFirstColumn="0" w:firstRowLastColumn="0" w:lastRowFirstColumn="0" w:lastRowLastColumn="0"/>
                  </w:pPr>
                  <w:r>
                    <w:rPr>
                      <w:rFonts w:cstheme="minorHAnsi"/>
                    </w:rPr>
                    <w:t>662B 1H 4W 93-95cm</w:t>
                  </w:r>
                </w:p>
              </w:tc>
              <w:tc>
                <w:tcPr>
                  <w:tcW w:w="1779" w:type="dxa"/>
                </w:tcPr>
                <w:p w14:paraId="7718B749" w14:textId="77777777" w:rsidR="0044664B" w:rsidRDefault="0044664B" w:rsidP="0044664B">
                  <w:pPr>
                    <w:framePr w:hSpace="180" w:wrap="around" w:vAnchor="page" w:hAnchor="margin" w:y="9141"/>
                    <w:cnfStyle w:val="000000000000" w:firstRow="0" w:lastRow="0" w:firstColumn="0" w:lastColumn="0" w:oddVBand="0" w:evenVBand="0" w:oddHBand="0" w:evenHBand="0" w:firstRowFirstColumn="0" w:firstRowLastColumn="0" w:lastRowFirstColumn="0" w:lastRowLastColumn="0"/>
                  </w:pPr>
                  <w:r>
                    <w:t>Late Pleistocene</w:t>
                  </w:r>
                </w:p>
              </w:tc>
            </w:tr>
            <w:tr w:rsidR="0044664B" w14:paraId="1C8BA09D" w14:textId="77777777" w:rsidTr="009D1C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2" w:type="dxa"/>
                </w:tcPr>
                <w:p w14:paraId="46DE7957" w14:textId="77777777" w:rsidR="0044664B" w:rsidRDefault="0044664B" w:rsidP="0044664B">
                  <w:pPr>
                    <w:framePr w:hSpace="180" w:wrap="around" w:vAnchor="page" w:hAnchor="margin" w:y="9141"/>
                  </w:pPr>
                  <w:r>
                    <w:t>Sample C</w:t>
                  </w:r>
                </w:p>
              </w:tc>
              <w:tc>
                <w:tcPr>
                  <w:tcW w:w="1729" w:type="dxa"/>
                </w:tcPr>
                <w:p w14:paraId="5FE1E841" w14:textId="77777777" w:rsidR="0044664B" w:rsidRDefault="0044664B" w:rsidP="0044664B">
                  <w:pPr>
                    <w:framePr w:hSpace="180" w:wrap="around" w:vAnchor="page" w:hAnchor="margin" w:y="9141"/>
                    <w:cnfStyle w:val="000000100000" w:firstRow="0" w:lastRow="0" w:firstColumn="0" w:lastColumn="0" w:oddVBand="0" w:evenVBand="0" w:oddHBand="1" w:evenHBand="0" w:firstRowFirstColumn="0" w:firstRowLastColumn="0" w:lastRowFirstColumn="0" w:lastRowLastColumn="0"/>
                  </w:pPr>
                  <w:r>
                    <w:t>ODP Site 662</w:t>
                  </w:r>
                </w:p>
              </w:tc>
              <w:tc>
                <w:tcPr>
                  <w:tcW w:w="2900" w:type="dxa"/>
                </w:tcPr>
                <w:p w14:paraId="7897E3CC" w14:textId="77777777" w:rsidR="0044664B" w:rsidRDefault="0044664B" w:rsidP="0044664B">
                  <w:pPr>
                    <w:framePr w:hSpace="180" w:wrap="around" w:vAnchor="page" w:hAnchor="margin" w:y="9141"/>
                    <w:cnfStyle w:val="000000100000" w:firstRow="0" w:lastRow="0" w:firstColumn="0" w:lastColumn="0" w:oddVBand="0" w:evenVBand="0" w:oddHBand="1" w:evenHBand="0" w:firstRowFirstColumn="0" w:firstRowLastColumn="0" w:lastRowFirstColumn="0" w:lastRowLastColumn="0"/>
                  </w:pPr>
                  <w:r>
                    <w:rPr>
                      <w:rFonts w:cstheme="minorHAnsi"/>
                    </w:rPr>
                    <w:t>662B 1H 5W 14-16cm</w:t>
                  </w:r>
                </w:p>
              </w:tc>
              <w:tc>
                <w:tcPr>
                  <w:tcW w:w="1779" w:type="dxa"/>
                </w:tcPr>
                <w:p w14:paraId="760AEF4F" w14:textId="77777777" w:rsidR="0044664B" w:rsidRDefault="0044664B" w:rsidP="0044664B">
                  <w:pPr>
                    <w:framePr w:hSpace="180" w:wrap="around" w:vAnchor="page" w:hAnchor="margin" w:y="9141"/>
                    <w:cnfStyle w:val="000000100000" w:firstRow="0" w:lastRow="0" w:firstColumn="0" w:lastColumn="0" w:oddVBand="0" w:evenVBand="0" w:oddHBand="1" w:evenHBand="0" w:firstRowFirstColumn="0" w:firstRowLastColumn="0" w:lastRowFirstColumn="0" w:lastRowLastColumn="0"/>
                  </w:pPr>
                  <w:r>
                    <w:t>Late Pleistocene</w:t>
                  </w:r>
                </w:p>
              </w:tc>
            </w:tr>
            <w:tr w:rsidR="0044664B" w14:paraId="728852D4" w14:textId="77777777" w:rsidTr="009D1C3E">
              <w:trPr>
                <w:jc w:val="center"/>
              </w:trPr>
              <w:tc>
                <w:tcPr>
                  <w:cnfStyle w:val="001000000000" w:firstRow="0" w:lastRow="0" w:firstColumn="1" w:lastColumn="0" w:oddVBand="0" w:evenVBand="0" w:oddHBand="0" w:evenHBand="0" w:firstRowFirstColumn="0" w:firstRowLastColumn="0" w:lastRowFirstColumn="0" w:lastRowLastColumn="0"/>
                  <w:tcW w:w="1792" w:type="dxa"/>
                </w:tcPr>
                <w:p w14:paraId="339D64B4" w14:textId="77777777" w:rsidR="0044664B" w:rsidRDefault="0044664B" w:rsidP="0044664B">
                  <w:pPr>
                    <w:framePr w:hSpace="180" w:wrap="around" w:vAnchor="page" w:hAnchor="margin" w:y="9141"/>
                  </w:pPr>
                  <w:r>
                    <w:t>Sample D</w:t>
                  </w:r>
                </w:p>
              </w:tc>
              <w:tc>
                <w:tcPr>
                  <w:tcW w:w="1729" w:type="dxa"/>
                </w:tcPr>
                <w:p w14:paraId="382D13AD" w14:textId="77777777" w:rsidR="0044664B" w:rsidRDefault="0044664B" w:rsidP="0044664B">
                  <w:pPr>
                    <w:framePr w:hSpace="180" w:wrap="around" w:vAnchor="page" w:hAnchor="margin" w:y="9141"/>
                    <w:cnfStyle w:val="000000000000" w:firstRow="0" w:lastRow="0" w:firstColumn="0" w:lastColumn="0" w:oddVBand="0" w:evenVBand="0" w:oddHBand="0" w:evenHBand="0" w:firstRowFirstColumn="0" w:firstRowLastColumn="0" w:lastRowFirstColumn="0" w:lastRowLastColumn="0"/>
                  </w:pPr>
                  <w:r>
                    <w:t>ODP Site 662</w:t>
                  </w:r>
                </w:p>
              </w:tc>
              <w:tc>
                <w:tcPr>
                  <w:tcW w:w="2900" w:type="dxa"/>
                </w:tcPr>
                <w:p w14:paraId="345895DC" w14:textId="3AC0F9ED" w:rsidR="0044664B" w:rsidRDefault="0044664B" w:rsidP="0044664B">
                  <w:pPr>
                    <w:framePr w:hSpace="180" w:wrap="around" w:vAnchor="page" w:hAnchor="margin" w:y="9141"/>
                    <w:cnfStyle w:val="000000000000" w:firstRow="0" w:lastRow="0" w:firstColumn="0" w:lastColumn="0" w:oddVBand="0" w:evenVBand="0" w:oddHBand="0" w:evenHBand="0" w:firstRowFirstColumn="0" w:firstRowLastColumn="0" w:lastRowFirstColumn="0" w:lastRowLastColumn="0"/>
                  </w:pPr>
                  <w:r>
                    <w:rPr>
                      <w:rFonts w:cstheme="minorHAnsi"/>
                    </w:rPr>
                    <w:t xml:space="preserve">662B 8H 4W 108-110cm </w:t>
                  </w:r>
                </w:p>
              </w:tc>
              <w:tc>
                <w:tcPr>
                  <w:tcW w:w="1779" w:type="dxa"/>
                </w:tcPr>
                <w:p w14:paraId="4579F3BC" w14:textId="77777777" w:rsidR="0044664B" w:rsidRDefault="0044664B" w:rsidP="0044664B">
                  <w:pPr>
                    <w:framePr w:hSpace="180" w:wrap="around" w:vAnchor="page" w:hAnchor="margin" w:y="9141"/>
                    <w:cnfStyle w:val="000000000000" w:firstRow="0" w:lastRow="0" w:firstColumn="0" w:lastColumn="0" w:oddVBand="0" w:evenVBand="0" w:oddHBand="0" w:evenHBand="0" w:firstRowFirstColumn="0" w:firstRowLastColumn="0" w:lastRowFirstColumn="0" w:lastRowLastColumn="0"/>
                  </w:pPr>
                  <w:r>
                    <w:t>Early Pleistocene</w:t>
                  </w:r>
                </w:p>
              </w:tc>
            </w:tr>
            <w:tr w:rsidR="0044664B" w14:paraId="2BB50B58" w14:textId="77777777" w:rsidTr="009D1C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2" w:type="dxa"/>
                </w:tcPr>
                <w:p w14:paraId="72DE7F8E" w14:textId="77777777" w:rsidR="0044664B" w:rsidRDefault="0044664B" w:rsidP="0044664B">
                  <w:pPr>
                    <w:framePr w:hSpace="180" w:wrap="around" w:vAnchor="page" w:hAnchor="margin" w:y="9141"/>
                  </w:pPr>
                  <w:r>
                    <w:t>Sample E</w:t>
                  </w:r>
                </w:p>
              </w:tc>
              <w:tc>
                <w:tcPr>
                  <w:tcW w:w="1729" w:type="dxa"/>
                </w:tcPr>
                <w:p w14:paraId="5CD06431" w14:textId="77777777" w:rsidR="0044664B" w:rsidRDefault="0044664B" w:rsidP="0044664B">
                  <w:pPr>
                    <w:framePr w:hSpace="180" w:wrap="around" w:vAnchor="page" w:hAnchor="margin" w:y="9141"/>
                    <w:cnfStyle w:val="000000100000" w:firstRow="0" w:lastRow="0" w:firstColumn="0" w:lastColumn="0" w:oddVBand="0" w:evenVBand="0" w:oddHBand="1" w:evenHBand="0" w:firstRowFirstColumn="0" w:firstRowLastColumn="0" w:lastRowFirstColumn="0" w:lastRowLastColumn="0"/>
                  </w:pPr>
                  <w:r>
                    <w:t>ODP Site 662</w:t>
                  </w:r>
                </w:p>
              </w:tc>
              <w:tc>
                <w:tcPr>
                  <w:tcW w:w="2900" w:type="dxa"/>
                </w:tcPr>
                <w:p w14:paraId="41A0A483" w14:textId="087083CE" w:rsidR="0044664B" w:rsidRDefault="0044664B" w:rsidP="0044664B">
                  <w:pPr>
                    <w:framePr w:hSpace="180" w:wrap="around" w:vAnchor="page" w:hAnchor="margin" w:y="9141"/>
                    <w:cnfStyle w:val="000000100000" w:firstRow="0" w:lastRow="0" w:firstColumn="0" w:lastColumn="0" w:oddVBand="0" w:evenVBand="0" w:oddHBand="1" w:evenHBand="0" w:firstRowFirstColumn="0" w:firstRowLastColumn="0" w:lastRowFirstColumn="0" w:lastRowLastColumn="0"/>
                  </w:pPr>
                  <w:r>
                    <w:rPr>
                      <w:rFonts w:cstheme="minorHAnsi"/>
                    </w:rPr>
                    <w:t xml:space="preserve">662A 20H 2W 80-82cm </w:t>
                  </w:r>
                </w:p>
              </w:tc>
              <w:tc>
                <w:tcPr>
                  <w:tcW w:w="1779" w:type="dxa"/>
                </w:tcPr>
                <w:p w14:paraId="4AD400F8" w14:textId="77777777" w:rsidR="0044664B" w:rsidRDefault="0044664B" w:rsidP="0044664B">
                  <w:pPr>
                    <w:framePr w:hSpace="180" w:wrap="around" w:vAnchor="page" w:hAnchor="margin" w:y="9141"/>
                    <w:cnfStyle w:val="000000100000" w:firstRow="0" w:lastRow="0" w:firstColumn="0" w:lastColumn="0" w:oddVBand="0" w:evenVBand="0" w:oddHBand="1" w:evenHBand="0" w:firstRowFirstColumn="0" w:firstRowLastColumn="0" w:lastRowFirstColumn="0" w:lastRowLastColumn="0"/>
                  </w:pPr>
                  <w:r>
                    <w:t>Pliocene</w:t>
                  </w:r>
                </w:p>
                <w:p w14:paraId="4235F998" w14:textId="77777777" w:rsidR="0044664B" w:rsidRDefault="0044664B" w:rsidP="0044664B">
                  <w:pPr>
                    <w:framePr w:hSpace="180" w:wrap="around" w:vAnchor="page" w:hAnchor="margin" w:y="9141"/>
                    <w:cnfStyle w:val="000000100000" w:firstRow="0" w:lastRow="0" w:firstColumn="0" w:lastColumn="0" w:oddVBand="0" w:evenVBand="0" w:oddHBand="1" w:evenHBand="0" w:firstRowFirstColumn="0" w:firstRowLastColumn="0" w:lastRowFirstColumn="0" w:lastRowLastColumn="0"/>
                  </w:pPr>
                </w:p>
              </w:tc>
            </w:tr>
            <w:tr w:rsidR="0044664B" w14:paraId="2C49E524" w14:textId="77777777" w:rsidTr="009D1C3E">
              <w:trPr>
                <w:jc w:val="center"/>
              </w:trPr>
              <w:tc>
                <w:tcPr>
                  <w:cnfStyle w:val="001000000000" w:firstRow="0" w:lastRow="0" w:firstColumn="1" w:lastColumn="0" w:oddVBand="0" w:evenVBand="0" w:oddHBand="0" w:evenHBand="0" w:firstRowFirstColumn="0" w:firstRowLastColumn="0" w:lastRowFirstColumn="0" w:lastRowLastColumn="0"/>
                  <w:tcW w:w="1792" w:type="dxa"/>
                </w:tcPr>
                <w:p w14:paraId="5B81019D" w14:textId="77777777" w:rsidR="0044664B" w:rsidRDefault="0044664B" w:rsidP="0044664B">
                  <w:pPr>
                    <w:framePr w:hSpace="180" w:wrap="around" w:vAnchor="page" w:hAnchor="margin" w:y="9141"/>
                  </w:pPr>
                  <w:r>
                    <w:t>1016</w:t>
                  </w:r>
                </w:p>
              </w:tc>
              <w:tc>
                <w:tcPr>
                  <w:tcW w:w="1729" w:type="dxa"/>
                </w:tcPr>
                <w:p w14:paraId="7F27CB48" w14:textId="77777777" w:rsidR="0044664B" w:rsidRDefault="0044664B" w:rsidP="0044664B">
                  <w:pPr>
                    <w:framePr w:hSpace="180" w:wrap="around" w:vAnchor="page" w:hAnchor="margin" w:y="9141"/>
                    <w:cnfStyle w:val="000000000000" w:firstRow="0" w:lastRow="0" w:firstColumn="0" w:lastColumn="0" w:oddVBand="0" w:evenVBand="0" w:oddHBand="0" w:evenHBand="0" w:firstRowFirstColumn="0" w:firstRowLastColumn="0" w:lastRowFirstColumn="0" w:lastRowLastColumn="0"/>
                  </w:pPr>
                  <w:r>
                    <w:t>ODP Site 1016</w:t>
                  </w:r>
                </w:p>
              </w:tc>
              <w:tc>
                <w:tcPr>
                  <w:tcW w:w="2900" w:type="dxa"/>
                </w:tcPr>
                <w:p w14:paraId="34AE94E6" w14:textId="5FFFCFB9" w:rsidR="0044664B" w:rsidRDefault="0044664B" w:rsidP="0044664B">
                  <w:pPr>
                    <w:framePr w:hSpace="180" w:wrap="around" w:vAnchor="page" w:hAnchor="margin" w:y="9141"/>
                    <w:cnfStyle w:val="000000000000" w:firstRow="0" w:lastRow="0" w:firstColumn="0" w:lastColumn="0" w:oddVBand="0" w:evenVBand="0" w:oddHBand="0" w:evenHBand="0" w:firstRowFirstColumn="0" w:firstRowLastColumn="0" w:lastRowFirstColumn="0" w:lastRowLastColumn="0"/>
                  </w:pPr>
                  <w:r w:rsidRPr="00EA12C7">
                    <w:rPr>
                      <w:rFonts w:cstheme="minorHAnsi"/>
                    </w:rPr>
                    <w:t>1016B 2H 3W 90-92cm</w:t>
                  </w:r>
                </w:p>
              </w:tc>
              <w:tc>
                <w:tcPr>
                  <w:tcW w:w="1779" w:type="dxa"/>
                </w:tcPr>
                <w:p w14:paraId="28930C41" w14:textId="77777777" w:rsidR="0044664B" w:rsidRDefault="0044664B" w:rsidP="0044664B">
                  <w:pPr>
                    <w:framePr w:hSpace="180" w:wrap="around" w:vAnchor="page" w:hAnchor="margin" w:y="9141"/>
                    <w:cnfStyle w:val="000000000000" w:firstRow="0" w:lastRow="0" w:firstColumn="0" w:lastColumn="0" w:oddVBand="0" w:evenVBand="0" w:oddHBand="0" w:evenHBand="0" w:firstRowFirstColumn="0" w:firstRowLastColumn="0" w:lastRowFirstColumn="0" w:lastRowLastColumn="0"/>
                  </w:pPr>
                  <w:r>
                    <w:t>Late Pleistocene</w:t>
                  </w:r>
                </w:p>
              </w:tc>
            </w:tr>
          </w:tbl>
          <w:p w14:paraId="29E87384" w14:textId="77777777" w:rsidR="0044664B" w:rsidRDefault="0044664B" w:rsidP="0044664B"/>
        </w:tc>
      </w:tr>
      <w:tr w:rsidR="0044664B" w14:paraId="20270CED" w14:textId="77777777" w:rsidTr="0044664B">
        <w:tc>
          <w:tcPr>
            <w:tcW w:w="9740" w:type="dxa"/>
          </w:tcPr>
          <w:p w14:paraId="1C7DC624" w14:textId="37768BBA" w:rsidR="0044664B" w:rsidRPr="00D96FB6" w:rsidRDefault="0044664B" w:rsidP="0044664B">
            <w:pPr>
              <w:jc w:val="both"/>
              <w:rPr>
                <w:b/>
                <w:bCs/>
              </w:rPr>
            </w:pPr>
            <w:r w:rsidRPr="0099224D">
              <w:rPr>
                <w:b/>
                <w:bCs/>
                <w:sz w:val="22"/>
                <w:szCs w:val="22"/>
              </w:rPr>
              <w:t xml:space="preserve">Table 1 - Sediment samples used for experimental </w:t>
            </w:r>
            <w:r w:rsidR="00F5582C">
              <w:rPr>
                <w:b/>
                <w:bCs/>
                <w:sz w:val="22"/>
                <w:szCs w:val="22"/>
              </w:rPr>
              <w:t xml:space="preserve">DTPA </w:t>
            </w:r>
            <w:r w:rsidR="009055F6">
              <w:rPr>
                <w:b/>
                <w:bCs/>
                <w:sz w:val="22"/>
                <w:szCs w:val="22"/>
              </w:rPr>
              <w:t>leaching</w:t>
            </w:r>
            <w:r w:rsidR="00F5582C" w:rsidRPr="0099224D">
              <w:rPr>
                <w:b/>
                <w:bCs/>
                <w:sz w:val="22"/>
                <w:szCs w:val="22"/>
              </w:rPr>
              <w:t xml:space="preserve"> </w:t>
            </w:r>
            <w:r w:rsidRPr="0099224D">
              <w:rPr>
                <w:b/>
                <w:bCs/>
                <w:sz w:val="22"/>
                <w:szCs w:val="22"/>
              </w:rPr>
              <w:t xml:space="preserve">procedure. </w:t>
            </w:r>
            <w:r>
              <w:rPr>
                <w:b/>
                <w:bCs/>
                <w:sz w:val="22"/>
                <w:szCs w:val="22"/>
              </w:rPr>
              <w:t>ODP = Ocean Drilling Program.</w:t>
            </w:r>
          </w:p>
        </w:tc>
      </w:tr>
    </w:tbl>
    <w:p w14:paraId="15279C45" w14:textId="77777777" w:rsidR="003F746D" w:rsidRPr="000E6594" w:rsidRDefault="0044664B" w:rsidP="008561B9">
      <w:pPr>
        <w:pStyle w:val="Heading1"/>
        <w:numPr>
          <w:ilvl w:val="0"/>
          <w:numId w:val="5"/>
        </w:numPr>
        <w:spacing w:line="480" w:lineRule="auto"/>
      </w:pPr>
      <w:r>
        <w:t xml:space="preserve"> </w:t>
      </w:r>
      <w:r w:rsidR="00B474B2">
        <w:t>Materials and Methods</w:t>
      </w:r>
    </w:p>
    <w:p w14:paraId="2BA2B113" w14:textId="77777777" w:rsidR="00FF364E" w:rsidRDefault="00393B75" w:rsidP="008C6417">
      <w:pPr>
        <w:pStyle w:val="ListParagraph"/>
        <w:numPr>
          <w:ilvl w:val="1"/>
          <w:numId w:val="5"/>
        </w:numPr>
        <w:spacing w:line="480" w:lineRule="auto"/>
        <w:ind w:left="993" w:hanging="709"/>
        <w:jc w:val="both"/>
        <w:rPr>
          <w:rFonts w:cstheme="minorHAnsi"/>
          <w:b/>
        </w:rPr>
      </w:pPr>
      <w:r>
        <w:rPr>
          <w:rFonts w:cstheme="minorHAnsi"/>
          <w:b/>
        </w:rPr>
        <w:t>Sample material used</w:t>
      </w:r>
    </w:p>
    <w:p w14:paraId="56C58583" w14:textId="7D322E19" w:rsidR="0055530D" w:rsidRPr="00D120C6" w:rsidRDefault="007B1BBC" w:rsidP="00E44CD0">
      <w:pPr>
        <w:pStyle w:val="ListParagraph"/>
        <w:spacing w:line="480" w:lineRule="auto"/>
        <w:ind w:left="0"/>
        <w:jc w:val="both"/>
        <w:rPr>
          <w:rFonts w:cstheme="minorHAnsi"/>
        </w:rPr>
      </w:pPr>
      <w:r>
        <w:rPr>
          <w:rFonts w:cstheme="minorHAnsi"/>
        </w:rPr>
        <w:t>W</w:t>
      </w:r>
      <w:r w:rsidR="00393B75">
        <w:rPr>
          <w:rFonts w:cstheme="minorHAnsi"/>
        </w:rPr>
        <w:t xml:space="preserve">e </w:t>
      </w:r>
      <w:r w:rsidR="003015F0">
        <w:rPr>
          <w:rFonts w:cstheme="minorHAnsi"/>
        </w:rPr>
        <w:t xml:space="preserve">worked </w:t>
      </w:r>
      <w:r>
        <w:rPr>
          <w:rFonts w:cstheme="minorHAnsi"/>
        </w:rPr>
        <w:t xml:space="preserve">on sediment samples </w:t>
      </w:r>
      <w:r w:rsidR="00393B75">
        <w:rPr>
          <w:rFonts w:cstheme="minorHAnsi"/>
        </w:rPr>
        <w:t xml:space="preserve">from </w:t>
      </w:r>
      <w:r w:rsidR="00393B75" w:rsidRPr="0027456C">
        <w:rPr>
          <w:rFonts w:cstheme="minorHAnsi"/>
        </w:rPr>
        <w:t xml:space="preserve">two Ocean Drilling </w:t>
      </w:r>
      <w:r>
        <w:rPr>
          <w:rFonts w:cstheme="minorHAnsi"/>
        </w:rPr>
        <w:t>Program (ODP) sites</w:t>
      </w:r>
      <w:r w:rsidR="00FF2F60">
        <w:rPr>
          <w:rFonts w:cstheme="minorHAnsi"/>
        </w:rPr>
        <w:t xml:space="preserve"> </w:t>
      </w:r>
      <w:r w:rsidR="00393B75">
        <w:rPr>
          <w:rFonts w:cstheme="minorHAnsi"/>
        </w:rPr>
        <w:t xml:space="preserve">situated in </w:t>
      </w:r>
      <w:r w:rsidR="00002557">
        <w:rPr>
          <w:rFonts w:cstheme="minorHAnsi"/>
        </w:rPr>
        <w:t>today in</w:t>
      </w:r>
      <w:r w:rsidR="00281D17">
        <w:rPr>
          <w:rFonts w:cstheme="minorHAnsi"/>
        </w:rPr>
        <w:t xml:space="preserve"> </w:t>
      </w:r>
      <w:r w:rsidR="003015F0">
        <w:rPr>
          <w:rFonts w:cstheme="minorHAnsi"/>
        </w:rPr>
        <w:t>moderate</w:t>
      </w:r>
      <w:r w:rsidR="003178D9">
        <w:rPr>
          <w:rFonts w:cstheme="minorHAnsi"/>
        </w:rPr>
        <w:t>ly</w:t>
      </w:r>
      <w:r w:rsidR="00390D27">
        <w:rPr>
          <w:rFonts w:cstheme="minorHAnsi"/>
        </w:rPr>
        <w:t xml:space="preserve"> </w:t>
      </w:r>
      <w:r w:rsidR="00393B75">
        <w:rPr>
          <w:rFonts w:cstheme="minorHAnsi"/>
        </w:rPr>
        <w:t xml:space="preserve">productive </w:t>
      </w:r>
      <w:r w:rsidR="003015F0">
        <w:rPr>
          <w:rFonts w:cstheme="minorHAnsi"/>
        </w:rPr>
        <w:t>open ocean regions</w:t>
      </w:r>
      <w:r w:rsidR="00EA2DDF">
        <w:rPr>
          <w:rFonts w:cstheme="minorHAnsi"/>
        </w:rPr>
        <w:t xml:space="preserve"> with significant terrigenous supply</w:t>
      </w:r>
      <w:r>
        <w:rPr>
          <w:rFonts w:cstheme="minorHAnsi"/>
        </w:rPr>
        <w:t xml:space="preserve">, one </w:t>
      </w:r>
      <w:r w:rsidR="00FF2F60">
        <w:rPr>
          <w:rFonts w:cstheme="minorHAnsi"/>
        </w:rPr>
        <w:t>in</w:t>
      </w:r>
      <w:r>
        <w:rPr>
          <w:rFonts w:cstheme="minorHAnsi"/>
        </w:rPr>
        <w:t xml:space="preserve"> the Pacific Ocean and one </w:t>
      </w:r>
      <w:r w:rsidR="00FF2F60">
        <w:rPr>
          <w:rFonts w:cstheme="minorHAnsi"/>
        </w:rPr>
        <w:t>in</w:t>
      </w:r>
      <w:r>
        <w:rPr>
          <w:rFonts w:cstheme="minorHAnsi"/>
        </w:rPr>
        <w:t xml:space="preserve"> the Atlantic Ocean</w:t>
      </w:r>
      <w:r w:rsidR="00942F5B">
        <w:rPr>
          <w:rFonts w:cstheme="minorHAnsi"/>
        </w:rPr>
        <w:t xml:space="preserve">, where </w:t>
      </w:r>
      <w:r w:rsidR="00195A55">
        <w:rPr>
          <w:rFonts w:cstheme="minorHAnsi"/>
        </w:rPr>
        <w:t>export</w:t>
      </w:r>
      <w:r w:rsidR="00C101E8">
        <w:rPr>
          <w:rFonts w:cstheme="minorHAnsi"/>
        </w:rPr>
        <w:t xml:space="preserve"> </w:t>
      </w:r>
      <w:r w:rsidR="003060A9">
        <w:rPr>
          <w:rFonts w:cstheme="minorHAnsi"/>
        </w:rPr>
        <w:t>production</w:t>
      </w:r>
      <w:r w:rsidR="00942F5B">
        <w:rPr>
          <w:rFonts w:cstheme="minorHAnsi"/>
        </w:rPr>
        <w:t xml:space="preserve"> is expected to </w:t>
      </w:r>
      <w:r w:rsidR="00002557">
        <w:rPr>
          <w:rFonts w:cstheme="minorHAnsi"/>
        </w:rPr>
        <w:t xml:space="preserve">control </w:t>
      </w:r>
      <w:r w:rsidR="00942F5B">
        <w:rPr>
          <w:rFonts w:cstheme="minorHAnsi"/>
        </w:rPr>
        <w:t xml:space="preserve">barite </w:t>
      </w:r>
      <w:r w:rsidR="00C101E8">
        <w:rPr>
          <w:rFonts w:cstheme="minorHAnsi"/>
        </w:rPr>
        <w:t xml:space="preserve">concentrations </w:t>
      </w:r>
      <w:r w:rsidR="00942F5B">
        <w:rPr>
          <w:rFonts w:cstheme="minorHAnsi"/>
        </w:rPr>
        <w:t xml:space="preserve">in the </w:t>
      </w:r>
      <w:r w:rsidR="00C101E8">
        <w:rPr>
          <w:rFonts w:cstheme="minorHAnsi"/>
        </w:rPr>
        <w:t xml:space="preserve">underlying sediments </w:t>
      </w:r>
      <w:r w:rsidR="003060A9">
        <w:rPr>
          <w:rFonts w:cstheme="minorHAnsi"/>
        </w:rPr>
        <w:t>(Figure 1)</w:t>
      </w:r>
      <w:r w:rsidR="00942F5B">
        <w:rPr>
          <w:rFonts w:cstheme="minorHAnsi"/>
        </w:rPr>
        <w:t>.</w:t>
      </w:r>
      <w:r w:rsidR="00390D27">
        <w:rPr>
          <w:rFonts w:cstheme="minorHAnsi"/>
        </w:rPr>
        <w:t xml:space="preserve"> </w:t>
      </w:r>
      <w:r w:rsidR="00281D17">
        <w:rPr>
          <w:rFonts w:cstheme="minorHAnsi"/>
        </w:rPr>
        <w:t xml:space="preserve">Productivity at Site 662 shows strong temporal </w:t>
      </w:r>
      <w:r w:rsidR="00281D17">
        <w:rPr>
          <w:rFonts w:cstheme="minorHAnsi"/>
        </w:rPr>
        <w:lastRenderedPageBreak/>
        <w:t xml:space="preserve">variability, with calculated </w:t>
      </w:r>
      <w:r w:rsidR="00C44FDB">
        <w:rPr>
          <w:sz w:val="22"/>
          <w:szCs w:val="22"/>
        </w:rPr>
        <w:t>Ba</w:t>
      </w:r>
      <w:r w:rsidR="00C44FDB" w:rsidRPr="000D14AC">
        <w:rPr>
          <w:sz w:val="22"/>
          <w:szCs w:val="22"/>
          <w:vertAlign w:val="subscript"/>
        </w:rPr>
        <w:t>Barite</w:t>
      </w:r>
      <w:r w:rsidR="00281D17">
        <w:rPr>
          <w:rFonts w:cstheme="minorHAnsi"/>
        </w:rPr>
        <w:t xml:space="preserve"> accumulation rates </w:t>
      </w:r>
      <w:r w:rsidR="00C44FDB">
        <w:rPr>
          <w:rFonts w:cstheme="minorHAnsi"/>
        </w:rPr>
        <w:t>generally</w:t>
      </w:r>
      <w:r w:rsidR="00281D17">
        <w:rPr>
          <w:rFonts w:cstheme="minorHAnsi"/>
        </w:rPr>
        <w:t xml:space="preserve"> higher in the older samples</w:t>
      </w:r>
      <w:r w:rsidR="00C44FDB">
        <w:rPr>
          <w:rFonts w:cstheme="minorHAnsi"/>
        </w:rPr>
        <w:t xml:space="preserve"> (see section 3.1).</w:t>
      </w:r>
      <w:r w:rsidR="00281D17">
        <w:rPr>
          <w:rFonts w:cstheme="minorHAnsi"/>
        </w:rPr>
        <w:t xml:space="preserve"> </w:t>
      </w:r>
      <w:r w:rsidR="00C44FDB" w:rsidRPr="00C44FDB">
        <w:rPr>
          <w:rFonts w:cstheme="minorHAnsi"/>
        </w:rPr>
        <w:t xml:space="preserve"> </w:t>
      </w:r>
      <w:r w:rsidR="00C44FDB">
        <w:rPr>
          <w:rFonts w:cstheme="minorHAnsi"/>
        </w:rPr>
        <w:t xml:space="preserve">Our sample set therefore spans a range of </w:t>
      </w:r>
      <w:r w:rsidR="008E65F9">
        <w:rPr>
          <w:sz w:val="22"/>
          <w:szCs w:val="22"/>
        </w:rPr>
        <w:t>Ba</w:t>
      </w:r>
      <w:r w:rsidR="008E65F9" w:rsidRPr="000D14AC">
        <w:rPr>
          <w:sz w:val="22"/>
          <w:szCs w:val="22"/>
          <w:vertAlign w:val="subscript"/>
        </w:rPr>
        <w:t>Barite</w:t>
      </w:r>
      <w:r w:rsidR="008E65F9">
        <w:rPr>
          <w:sz w:val="22"/>
          <w:szCs w:val="22"/>
        </w:rPr>
        <w:t xml:space="preserve"> accumulation rate</w:t>
      </w:r>
      <w:r w:rsidR="00C44FDB">
        <w:rPr>
          <w:sz w:val="22"/>
          <w:szCs w:val="22"/>
        </w:rPr>
        <w:t>s</w:t>
      </w:r>
      <w:r w:rsidR="00390D27">
        <w:rPr>
          <w:rFonts w:cstheme="minorHAnsi"/>
        </w:rPr>
        <w:t xml:space="preserve"> </w:t>
      </w:r>
      <w:r w:rsidR="00C44FDB">
        <w:rPr>
          <w:rFonts w:cstheme="minorHAnsi"/>
        </w:rPr>
        <w:t xml:space="preserve">comparable </w:t>
      </w:r>
      <w:r w:rsidR="00390D27">
        <w:rPr>
          <w:rFonts w:cstheme="minorHAnsi"/>
        </w:rPr>
        <w:t xml:space="preserve">with </w:t>
      </w:r>
      <w:r w:rsidR="00C44FDB">
        <w:rPr>
          <w:rFonts w:cstheme="minorHAnsi"/>
        </w:rPr>
        <w:t xml:space="preserve">modern values compiled from </w:t>
      </w:r>
      <w:r w:rsidR="008D09E2">
        <w:rPr>
          <w:rFonts w:cstheme="minorHAnsi"/>
        </w:rPr>
        <w:t xml:space="preserve">across the globe </w:t>
      </w:r>
      <w:r w:rsidR="00390D27">
        <w:rPr>
          <w:rFonts w:cstheme="minorHAnsi"/>
          <w:vertAlign w:val="subscript"/>
        </w:rPr>
        <w:fldChar w:fldCharType="begin" w:fldLock="1"/>
      </w:r>
      <w:r w:rsidR="0080382B">
        <w:rPr>
          <w:rFonts w:cstheme="minorHAnsi"/>
          <w:vertAlign w:val="subscript"/>
        </w:rPr>
        <w:instrText>ADDIN CSL_CITATION {"citationItems":[{"id":"ITEM-1","itemData":{"DOI":"10.1029/2020GB006769","ISSN":"19449224","abstract":"Quantitative knowledge about the burial of sedimentary components at the seafloor has wide-ranging implications in ocean science, from global climate to continental weathering. The use of 230Th-normalized fluxes reduces uncertainties that many prior studies faced by accounting for the effects of sediment redistribution by bottom currents and minimizing the impact of age model uncertainty. Here we employ a recently compiled global data set of 230Th-normalized fluxes with an updated database of seafloor surface sediment composition to derive atlases of the deep-sea burial flux of calcium carbonate, biogenic opal, total organic carbon (TOC), nonbiogenic material, iron, mercury, and excess barium (Baxs). The spatial patterns of major component burial are mainly consistent with prior work, but the new quantitative estimates allow evaluations of deep-sea budgets. Our integrated deep-sea burial fluxes are 136 Tg C/yr CaCO3, 153 Tg Si/yr opal, 20Tg C/yr TOC, 220 Mg Hg/yr, and 2.6 Tg Baxs/yr. This opal flux is roughly a factor of 2 increase over previous estimates, with important implications for the global Si cycle. Sedimentary Fe fluxes reflect a mixture of sources including lithogenic material, hydrothermal inputs and authigenic phases. The fluxes of some commonly used paleo-productivity proxies (TOC, biogenic opal, and Baxs) are not well-correlated geographically with satellite-based productivity estimates. Our new compilation of sedimentary fluxes provides detailed regional and global information, which will help refine the understanding of sediment preservation.","author":[{"dropping-particle":"","family":"Hayes","given":"Christopher T.","non-dropping-particle":"","parse-names":false,"suffix":""},{"dropping-particle":"","family":"Costa","given":"Kassandra M.","non-dropping-particle":"","parse-names":false,"suffix":""},{"dropping-particle":"","family":"Anderson","given":"Robert F.","non-dropping-particle":"","parse-names":false,"suffix":""},{"dropping-particle":"","family":"Calvo","given":"Eva","non-dropping-particle":"","parse-names":false,"suffix":""},{"dropping-particle":"","family":"Chase","given":"Zanna","non-dropping-particle":"","parse-names":false,"suffix":""},{"dropping-particle":"","family":"Demina","given":"Ludmila L.","non-dropping-particle":"","parse-names":false,"suffix":""},{"dropping-particle":"","family":"Dutay","given":"Jean Claude","non-dropping-particle":"","parse-names":false,"suffix":""},{"dropping-particle":"","family":"German","given":"Christopher R.","non-dropping-particle":"","parse-names":false,"suffix":""},{"dropping-particle":"","family":"Heimbürger-Boavida","given":"Lars Eric","non-dropping-particle":"","parse-names":false,"suffix":""},{"dropping-particle":"","family":"Jaccard","given":"Samuel L.","non-dropping-particle":"","parse-names":false,"suffix":""},{"dropping-particle":"","family":"Jacobel","given":"Allison","non-dropping-particle":"","parse-names":false,"suffix":""},{"dropping-particle":"","family":"Kohfeld","given":"Karen E.","non-dropping-particle":"","parse-names":false,"suffix":""},{"dropping-particle":"","family":"Kravchishina","given":"Marina D.","non-dropping-particle":"","parse-names":false,"suffix":""},{"dropping-particle":"","family":"Lippold","given":"Jörg","non-dropping-particle":"","parse-names":false,"suffix":""},{"dropping-particle":"","family":"Mekik","given":"Figen","non-dropping-particle":"","parse-names":false,"suffix":""},{"dropping-particle":"","family":"Missiaen","given":"Lise","non-dropping-particle":"","parse-names":false,"suffix":""},{"dropping-particle":"","family":"Pavia","given":"Frank J.","non-dropping-particle":"","parse-names":false,"suffix":""},{"dropping-particle":"","family":"Paytan","given":"Adina","non-dropping-particle":"","parse-names":false,"suffix":""},{"dropping-particle":"","family":"Pedrosa-Pamies","given":"Rut","non-dropping-particle":"","parse-names":false,"suffix":""},{"dropping-particle":"V.","family":"Petrova","given":"Mariia","non-dropping-particle":"","parse-names":false,"suffix":""},{"dropping-particle":"","family":"Rahman","given":"Shaily","non-dropping-particle":"","parse-names":false,"suffix":""},{"dropping-particle":"","family":"Robinson","given":"Laura F.","non-dropping-particle":"","parse-names":false,"suffix":""},{"dropping-particle":"","family":"Roy-Barman","given":"Matthieu","non-dropping-particle":"","parse-names":false,"suffix":""},{"dropping-particle":"","family":"Sanchez-Vidal","given":"Anna","non-dropping-particle":"","parse-names":false,"suffix":""},{"dropping-particle":"","family":"Shiller","given":"Alan","non-dropping-particle":"","parse-names":false,"suffix":""},{"dropping-particle":"","family":"Tagliabue","given":"Alessandro","non-dropping-particle":"","parse-names":false,"suffix":""},{"dropping-particle":"","family":"Tessin","given":"Allyson C.","non-dropping-particle":"","parse-names":false,"suffix":""},{"dropping-particle":"","family":"Hulten","given":"Marco","non-dropping-particle":"van","parse-names":false,"suffix":""},{"dropping-particle":"","family":"Zhang","given":"Jing","non-dropping-particle":"","parse-names":false,"suffix":""}],"container-title":"Global Biogeochemical Cycles","id":"ITEM-1","issue":"4","issued":{"date-parts":[["2021"]]},"page":"0-25","title":"Global Ocean Sediment Composition and Burial Flux in the Deep Sea","type":"article-journal","volume":"35"},"uris":["http://www.mendeley.com/documents/?uuid=fad7d67a-a1e4-443e-9d67-0ba04e023bd3"]}],"mendeley":{"formattedCitation":"(Hayes et al., 2021)","plainTextFormattedCitation":"(Hayes et al., 2021)","previouslyFormattedCitation":"(Hayes et al., 2021)"},"properties":{"noteIndex":0},"schema":"https://github.com/citation-style-language/schema/raw/master/csl-citation.json"}</w:instrText>
      </w:r>
      <w:r w:rsidR="00390D27">
        <w:rPr>
          <w:rFonts w:cstheme="minorHAnsi"/>
          <w:vertAlign w:val="subscript"/>
        </w:rPr>
        <w:fldChar w:fldCharType="separate"/>
      </w:r>
      <w:r w:rsidR="00390D27" w:rsidRPr="00390D27">
        <w:rPr>
          <w:rFonts w:cstheme="minorHAnsi"/>
          <w:noProof/>
        </w:rPr>
        <w:t>(Hayes et al., 2021)</w:t>
      </w:r>
      <w:r w:rsidR="00390D27">
        <w:rPr>
          <w:rFonts w:cstheme="minorHAnsi"/>
          <w:vertAlign w:val="subscript"/>
        </w:rPr>
        <w:fldChar w:fldCharType="end"/>
      </w:r>
      <w:r w:rsidR="00C44FDB">
        <w:rPr>
          <w:rFonts w:cstheme="minorHAnsi"/>
          <w:vertAlign w:val="subscript"/>
        </w:rPr>
        <w:t>,</w:t>
      </w:r>
      <w:r w:rsidR="00390D27">
        <w:rPr>
          <w:rFonts w:cstheme="minorHAnsi"/>
          <w:vertAlign w:val="subscript"/>
        </w:rPr>
        <w:t xml:space="preserve"> </w:t>
      </w:r>
      <w:r w:rsidR="00390D27" w:rsidRPr="00390D27">
        <w:rPr>
          <w:rFonts w:cstheme="minorHAnsi"/>
        </w:rPr>
        <w:t>demonstrat</w:t>
      </w:r>
      <w:r w:rsidR="00C44FDB">
        <w:rPr>
          <w:rFonts w:cstheme="minorHAnsi"/>
        </w:rPr>
        <w:t>ing</w:t>
      </w:r>
      <w:r w:rsidR="00390D27" w:rsidRPr="00390D27">
        <w:rPr>
          <w:rFonts w:cstheme="minorHAnsi"/>
        </w:rPr>
        <w:t xml:space="preserve"> that </w:t>
      </w:r>
      <w:r w:rsidR="008D09E2">
        <w:rPr>
          <w:rFonts w:cstheme="minorHAnsi"/>
        </w:rPr>
        <w:t xml:space="preserve">our sediments are </w:t>
      </w:r>
      <w:r w:rsidR="00390D27" w:rsidRPr="00390D27">
        <w:rPr>
          <w:rFonts w:cstheme="minorHAnsi"/>
        </w:rPr>
        <w:t>representative of</w:t>
      </w:r>
      <w:r w:rsidR="00390D27">
        <w:rPr>
          <w:rFonts w:cstheme="minorHAnsi"/>
          <w:vertAlign w:val="subscript"/>
        </w:rPr>
        <w:t xml:space="preserve"> </w:t>
      </w:r>
      <w:r w:rsidR="00C27984">
        <w:t>most global ocean</w:t>
      </w:r>
      <w:r w:rsidR="00850D33">
        <w:t xml:space="preserve"> settings (Figure 1C). </w:t>
      </w:r>
    </w:p>
    <w:p w14:paraId="729FD93D" w14:textId="77777777" w:rsidR="0055530D" w:rsidRDefault="0055530D" w:rsidP="0027456C">
      <w:pPr>
        <w:pStyle w:val="ListParagraph"/>
        <w:spacing w:line="480" w:lineRule="auto"/>
        <w:ind w:left="360"/>
        <w:jc w:val="both"/>
        <w:rPr>
          <w:rFonts w:cstheme="minorHAnsi"/>
        </w:rPr>
      </w:pPr>
    </w:p>
    <w:p w14:paraId="795DF384" w14:textId="77777777" w:rsidR="00E65168" w:rsidRDefault="00E65168" w:rsidP="00E65168">
      <w:pPr>
        <w:pStyle w:val="ListParagraph"/>
        <w:numPr>
          <w:ilvl w:val="2"/>
          <w:numId w:val="5"/>
        </w:numPr>
        <w:spacing w:line="480" w:lineRule="auto"/>
        <w:jc w:val="both"/>
        <w:rPr>
          <w:rFonts w:cstheme="minorHAnsi"/>
        </w:rPr>
      </w:pPr>
      <w:r w:rsidRPr="006F3F87">
        <w:rPr>
          <w:rFonts w:cstheme="minorHAnsi"/>
        </w:rPr>
        <w:t>ODP Site 662</w:t>
      </w:r>
    </w:p>
    <w:p w14:paraId="2454009F" w14:textId="4A2F1D91" w:rsidR="00E65168" w:rsidRPr="003412BC" w:rsidRDefault="00E65168" w:rsidP="00E65168">
      <w:pPr>
        <w:spacing w:line="480" w:lineRule="auto"/>
        <w:jc w:val="both"/>
        <w:rPr>
          <w:rFonts w:cstheme="minorHAnsi"/>
        </w:rPr>
      </w:pPr>
      <w:r>
        <w:rPr>
          <w:rFonts w:cstheme="minorHAnsi"/>
        </w:rPr>
        <w:t xml:space="preserve">Ocean Drilling Program (ODP) </w:t>
      </w:r>
      <w:r w:rsidRPr="00EF7CEE">
        <w:rPr>
          <w:rFonts w:cstheme="minorHAnsi"/>
        </w:rPr>
        <w:t xml:space="preserve">Site 662 </w:t>
      </w:r>
      <w:r>
        <w:rPr>
          <w:rFonts w:cstheme="minorHAnsi"/>
        </w:rPr>
        <w:t>(</w:t>
      </w:r>
      <w:r w:rsidRPr="00EF7CEE">
        <w:rPr>
          <w:rFonts w:cstheme="minorHAnsi"/>
        </w:rPr>
        <w:t>1</w:t>
      </w:r>
      <w:r>
        <w:rPr>
          <w:rFonts w:ascii="Calibri" w:hAnsi="Calibri" w:cs="Calibri"/>
        </w:rPr>
        <w:t>°</w:t>
      </w:r>
      <w:r w:rsidRPr="00EF7CEE">
        <w:rPr>
          <w:rFonts w:cstheme="minorHAnsi"/>
        </w:rPr>
        <w:t>23.41’ S, 11</w:t>
      </w:r>
      <w:r>
        <w:rPr>
          <w:rFonts w:ascii="Calibri" w:hAnsi="Calibri" w:cs="Calibri"/>
        </w:rPr>
        <w:t>°</w:t>
      </w:r>
      <w:r w:rsidRPr="00EF7CEE">
        <w:rPr>
          <w:rFonts w:cstheme="minorHAnsi"/>
        </w:rPr>
        <w:t>44.35’ W</w:t>
      </w:r>
      <w:r>
        <w:rPr>
          <w:rFonts w:cstheme="minorHAnsi"/>
        </w:rPr>
        <w:t xml:space="preserve">, water depth </w:t>
      </w:r>
      <w:r w:rsidRPr="00EF7CEE">
        <w:rPr>
          <w:rFonts w:cstheme="minorHAnsi"/>
        </w:rPr>
        <w:t>of 3813.8m</w:t>
      </w:r>
      <w:r>
        <w:rPr>
          <w:rFonts w:cstheme="minorHAnsi"/>
        </w:rPr>
        <w:t>)</w:t>
      </w:r>
      <w:r w:rsidRPr="00EF7CEE">
        <w:rPr>
          <w:rFonts w:cstheme="minorHAnsi"/>
        </w:rPr>
        <w:t xml:space="preserve"> is located in the eastern equatorial Atlantic</w:t>
      </w:r>
      <w:r>
        <w:rPr>
          <w:rFonts w:cstheme="minorHAnsi"/>
        </w:rPr>
        <w:t xml:space="preserve"> </w:t>
      </w:r>
      <w:r w:rsidR="00CC1B50">
        <w:rPr>
          <w:rFonts w:cstheme="minorHAnsi"/>
        </w:rPr>
        <w:t xml:space="preserve">Ocean </w:t>
      </w:r>
      <w:r>
        <w:rPr>
          <w:rFonts w:cstheme="minorHAnsi"/>
        </w:rPr>
        <w:fldChar w:fldCharType="begin" w:fldLock="1"/>
      </w:r>
      <w:r w:rsidR="00A97ED1">
        <w:rPr>
          <w:rFonts w:cstheme="minorHAnsi"/>
        </w:rPr>
        <w:instrText>ADDIN CSL_CITATION {"citationItems":[{"id":"ITEM-1","itemData":{"author":[{"dropping-particle":"","family":"Ruddiman","given":"W.","non-dropping-particle":"","parse-names":false,"suffix":""},{"dropping-particle":"","family":"Sarnthein","given":"M.","non-dropping-particle":"","parse-names":false,"suffix":""},{"dropping-particle":"","family":"Baldauf","given":"J","non-dropping-particle":"","parse-names":false,"suffix":""}],"id":"ITEM-1","issued":{"date-parts":[["1988"]]},"title":"Proceedings of the Ocean Drilling Program, Leg 108 Initial Reports","type":"book"},"uris":["http://www.mendeley.com/documents/?uuid=7ba151b6-244f-4c91-ace1-0b16d03ab00c"]}],"mendeley":{"formattedCitation":"(Ruddiman et al., 1988a)","manualFormatting":"(Ruddiman et al., 1988)","plainTextFormattedCitation":"(Ruddiman et al., 1988a)","previouslyFormattedCitation":"(Ruddiman et al., 1988a)"},"properties":{"noteIndex":0},"schema":"https://github.com/citation-style-language/schema/raw/master/csl-citation.json"}</w:instrText>
      </w:r>
      <w:r>
        <w:rPr>
          <w:rFonts w:cstheme="minorHAnsi"/>
        </w:rPr>
        <w:fldChar w:fldCharType="separate"/>
      </w:r>
      <w:r w:rsidR="005A5076" w:rsidRPr="005A5076">
        <w:rPr>
          <w:rFonts w:cstheme="minorHAnsi"/>
          <w:noProof/>
        </w:rPr>
        <w:t>(Ruddiman et al., 1988)</w:t>
      </w:r>
      <w:r>
        <w:rPr>
          <w:rFonts w:cstheme="minorHAnsi"/>
        </w:rPr>
        <w:fldChar w:fldCharType="end"/>
      </w:r>
      <w:r>
        <w:rPr>
          <w:rFonts w:cstheme="minorHAnsi"/>
        </w:rPr>
        <w:t xml:space="preserve"> (Figure 1). </w:t>
      </w:r>
      <w:r w:rsidR="008D09E2">
        <w:rPr>
          <w:rFonts w:cstheme="minorHAnsi"/>
        </w:rPr>
        <w:t xml:space="preserve">It was initially drilled to investigate contemporaneous changes in equatorial ocean circulation and North African aridity through the Late Neogene </w:t>
      </w:r>
      <w:r w:rsidR="008D09E2">
        <w:rPr>
          <w:rFonts w:cstheme="minorHAnsi"/>
        </w:rPr>
        <w:fldChar w:fldCharType="begin" w:fldLock="1"/>
      </w:r>
      <w:r w:rsidR="008D09E2">
        <w:rPr>
          <w:rFonts w:cstheme="minorHAnsi"/>
        </w:rPr>
        <w:instrText>ADDIN CSL_CITATION {"citationItems":[{"id":"ITEM-1","itemData":{"author":[{"dropping-particle":"","family":"Ruddiman","given":"W.","non-dropping-particle":"","parse-names":false,"suffix":""},{"dropping-particle":"","family":"Sarnthein","given":"M.","non-dropping-particle":"","parse-names":false,"suffix":""},{"dropping-particle":"","family":"Baldauf","given":"J","non-dropping-particle":"","parse-names":false,"suffix":""}],"id":"ITEM-1","issued":{"date-parts":[["1988"]]},"title":"Proceedings of the Ocean Drilling Program, Leg 108 Initial Reports","type":"book"},"uris":["http://www.mendeley.com/documents/?uuid=7ba151b6-244f-4c91-ace1-0b16d03ab00c"]}],"mendeley":{"formattedCitation":"(Ruddiman et al., 1988a)","manualFormatting":"(Ruddiman et al., 1988)","plainTextFormattedCitation":"(Ruddiman et al., 1988a)","previouslyFormattedCitation":"(Ruddiman et al., 1988a)"},"properties":{"noteIndex":0},"schema":"https://github.com/citation-style-language/schema/raw/master/csl-citation.json"}</w:instrText>
      </w:r>
      <w:r w:rsidR="008D09E2">
        <w:rPr>
          <w:rFonts w:cstheme="minorHAnsi"/>
        </w:rPr>
        <w:fldChar w:fldCharType="separate"/>
      </w:r>
      <w:r w:rsidR="008D09E2" w:rsidRPr="005A5076">
        <w:rPr>
          <w:rFonts w:cstheme="minorHAnsi"/>
          <w:noProof/>
        </w:rPr>
        <w:t>(Ruddiman et al., 1988)</w:t>
      </w:r>
      <w:r w:rsidR="008D09E2">
        <w:rPr>
          <w:rFonts w:cstheme="minorHAnsi"/>
        </w:rPr>
        <w:fldChar w:fldCharType="end"/>
      </w:r>
      <w:r w:rsidR="008D09E2">
        <w:rPr>
          <w:rFonts w:cstheme="minorHAnsi"/>
        </w:rPr>
        <w:t xml:space="preserve">. </w:t>
      </w:r>
      <w:r w:rsidR="002C5D81">
        <w:rPr>
          <w:rFonts w:cstheme="minorHAnsi"/>
        </w:rPr>
        <w:t>Site 662 is situated beneath the boreal winter Saharan dust plume and lies within a zone of equatorial upwelling</w:t>
      </w:r>
      <w:r w:rsidR="00995D25">
        <w:rPr>
          <w:rFonts w:cstheme="minorHAnsi"/>
        </w:rPr>
        <w:t xml:space="preserve"> (modern day annual carbon export </w:t>
      </w:r>
      <w:r w:rsidR="00995D25" w:rsidRPr="009055F6">
        <w:rPr>
          <w:rFonts w:cstheme="minorHAnsi"/>
        </w:rPr>
        <w:t xml:space="preserve">values </w:t>
      </w:r>
      <w:r w:rsidR="00995D25" w:rsidRPr="00E44CD0">
        <w:rPr>
          <w:rFonts w:cstheme="minorHAnsi"/>
        </w:rPr>
        <w:t xml:space="preserve">~ </w:t>
      </w:r>
      <w:r w:rsidR="00943C69">
        <w:rPr>
          <w:rFonts w:cstheme="minorHAnsi"/>
        </w:rPr>
        <w:t>2</w:t>
      </w:r>
      <w:r w:rsidR="009055F6" w:rsidRPr="00E44CD0">
        <w:rPr>
          <w:rFonts w:cstheme="minorHAnsi"/>
        </w:rPr>
        <w:t>0 g C/m</w:t>
      </w:r>
      <w:r w:rsidR="009055F6" w:rsidRPr="00E44CD0">
        <w:rPr>
          <w:rFonts w:cstheme="minorHAnsi"/>
          <w:vertAlign w:val="superscript"/>
        </w:rPr>
        <w:t>2</w:t>
      </w:r>
      <w:r w:rsidR="00995D25" w:rsidRPr="00E44CD0">
        <w:rPr>
          <w:rFonts w:cstheme="minorHAnsi"/>
        </w:rPr>
        <w:t xml:space="preserve">, </w:t>
      </w:r>
      <w:r w:rsidR="00995D25" w:rsidRPr="009055F6">
        <w:rPr>
          <w:rFonts w:cstheme="minorHAnsi"/>
        </w:rPr>
        <w:t>Figure 1)</w:t>
      </w:r>
      <w:r w:rsidR="002C5D81" w:rsidRPr="009055F6">
        <w:rPr>
          <w:rFonts w:cstheme="minorHAnsi"/>
        </w:rPr>
        <w:t>.</w:t>
      </w:r>
      <w:r w:rsidR="002C5D81">
        <w:rPr>
          <w:rFonts w:cstheme="minorHAnsi"/>
        </w:rPr>
        <w:t xml:space="preserve"> </w:t>
      </w:r>
      <w:r w:rsidR="003060A9">
        <w:rPr>
          <w:rFonts w:cstheme="minorHAnsi"/>
        </w:rPr>
        <w:t xml:space="preserve">Varying trade wind strength is hypothesised to </w:t>
      </w:r>
      <w:r w:rsidR="009F6588">
        <w:rPr>
          <w:rFonts w:cstheme="minorHAnsi"/>
        </w:rPr>
        <w:t xml:space="preserve">have controlled </w:t>
      </w:r>
      <w:r w:rsidR="003060A9">
        <w:rPr>
          <w:rFonts w:cstheme="minorHAnsi"/>
        </w:rPr>
        <w:t xml:space="preserve">changes in export production through the Plio-Pleistocene </w:t>
      </w:r>
      <w:r w:rsidR="003060A9">
        <w:rPr>
          <w:rFonts w:cstheme="minorHAnsi"/>
        </w:rPr>
        <w:fldChar w:fldCharType="begin" w:fldLock="1"/>
      </w:r>
      <w:r w:rsidR="009C12CE">
        <w:rPr>
          <w:rFonts w:cstheme="minorHAnsi"/>
        </w:rPr>
        <w:instrText>ADDIN CSL_CITATION {"citationItems":[{"id":"ITEM-1","itemData":{"author":[{"dropping-particle":"","family":"Ruddiman","given":"W F","non-dropping-particle":"","parse-names":false,"suffix":""},{"dropping-particle":"","family":"Janecek","given":"T R","non-dropping-particle":"","parse-names":false,"suffix":""}],"container-title":"Proceedings of the Ocean Drilling Program, Scientific Results","id":"ITEM-1","issued":{"date-parts":[["1989"]]},"note":"Site 662, 663 and 664 - Last 3.7 Ma. \nAccumulation rates of biogenically produced CaCo3. opal, and eolian dust from North Africa.\n\n\nNear 2.5Ma, opal increased (due to increased upwelling and therefore increased productivity). Winter plume dust also increased.\n\n-&amp;gt; They suggest a stronger &amp;quot;zonal component of the southern trade winds&amp;quot; (S. hem winter). Also a &amp;quot;weaker southwesterly monsoonal flow&amp;quot; into African in boreal summer, leading to increased aridity. \nDust fluxes may have also increased due to stronger N. hem winter trade winds (i.e. harmattan?) and a more southerly ITCZ. \n\nThese results imply a link with the appearance of northern hem ice sheets. \n\nSteady aridification from the late Pliocene to the middle Pleistocene due to the gradual uplift of the tibetan Plateau.","page":"211-240","title":"Pliocene-Pleistocene biogenic and terrigenous fluxes at equatorial Atlantic sites 662, 663, and 664","type":"article-journal","volume":"108"},"uris":["http://www.mendeley.com/documents/?uuid=ada0afb1-7488-47e2-9a61-8c21da8999e5"]}],"mendeley":{"formattedCitation":"(Ruddiman and Janecek, 1989)","plainTextFormattedCitation":"(Ruddiman and Janecek, 1989)","previouslyFormattedCitation":"(Ruddiman and Janecek, 1989)"},"properties":{"noteIndex":0},"schema":"https://github.com/citation-style-language/schema/raw/master/csl-citation.json"}</w:instrText>
      </w:r>
      <w:r w:rsidR="003060A9">
        <w:rPr>
          <w:rFonts w:cstheme="minorHAnsi"/>
        </w:rPr>
        <w:fldChar w:fldCharType="separate"/>
      </w:r>
      <w:r w:rsidR="003060A9" w:rsidRPr="003060A9">
        <w:rPr>
          <w:rFonts w:cstheme="minorHAnsi"/>
          <w:noProof/>
        </w:rPr>
        <w:t>(Ruddiman and Janecek, 1989)</w:t>
      </w:r>
      <w:r w:rsidR="003060A9">
        <w:rPr>
          <w:rFonts w:cstheme="minorHAnsi"/>
        </w:rPr>
        <w:fldChar w:fldCharType="end"/>
      </w:r>
      <w:r w:rsidR="003060A9">
        <w:rPr>
          <w:rFonts w:cstheme="minorHAnsi"/>
        </w:rPr>
        <w:t xml:space="preserve">. </w:t>
      </w:r>
      <w:r w:rsidR="002C5D81">
        <w:rPr>
          <w:rFonts w:cstheme="minorHAnsi"/>
        </w:rPr>
        <w:t>We sampled sediments</w:t>
      </w:r>
      <w:r w:rsidR="00BF45C0">
        <w:rPr>
          <w:rFonts w:cstheme="minorHAnsi"/>
        </w:rPr>
        <w:t xml:space="preserve"> of</w:t>
      </w:r>
      <w:r w:rsidR="00BF45C0" w:rsidRPr="00BF45C0">
        <w:rPr>
          <w:rFonts w:cstheme="minorHAnsi"/>
        </w:rPr>
        <w:t xml:space="preserve"> </w:t>
      </w:r>
      <w:r w:rsidR="00BF45C0" w:rsidRPr="00EF7CEE">
        <w:rPr>
          <w:rFonts w:cstheme="minorHAnsi"/>
        </w:rPr>
        <w:t>late Pliocene through Holocene age</w:t>
      </w:r>
      <w:r w:rsidR="00BF45C0">
        <w:rPr>
          <w:rFonts w:cstheme="minorHAnsi"/>
        </w:rPr>
        <w:t xml:space="preserve"> (Table 1) from stratigraphic subunits 1A, 1C and 1D, </w:t>
      </w:r>
      <w:r w:rsidR="004C2C52">
        <w:rPr>
          <w:rFonts w:cstheme="minorHAnsi"/>
        </w:rPr>
        <w:t>comprising</w:t>
      </w:r>
      <w:r w:rsidRPr="00EF7CEE">
        <w:rPr>
          <w:rFonts w:cstheme="minorHAnsi"/>
        </w:rPr>
        <w:t xml:space="preserve"> </w:t>
      </w:r>
      <w:r w:rsidR="004C2C52">
        <w:rPr>
          <w:rFonts w:cstheme="minorHAnsi"/>
        </w:rPr>
        <w:t xml:space="preserve">interbedded </w:t>
      </w:r>
      <w:r w:rsidRPr="00EF7CEE">
        <w:rPr>
          <w:rFonts w:cstheme="minorHAnsi"/>
        </w:rPr>
        <w:t>nannofossil and foraminifer-nannofossil oozes</w:t>
      </w:r>
      <w:r w:rsidR="00F64143">
        <w:rPr>
          <w:rFonts w:cstheme="minorHAnsi"/>
        </w:rPr>
        <w:t xml:space="preserve"> </w:t>
      </w:r>
      <w:r w:rsidR="00F64143">
        <w:rPr>
          <w:rFonts w:cstheme="minorHAnsi"/>
        </w:rPr>
        <w:fldChar w:fldCharType="begin" w:fldLock="1"/>
      </w:r>
      <w:r w:rsidR="00A97ED1">
        <w:rPr>
          <w:rFonts w:cstheme="minorHAnsi"/>
        </w:rPr>
        <w:instrText>ADDIN CSL_CITATION {"citationItems":[{"id":"ITEM-1","itemData":{"author":[{"dropping-particle":"","family":"Ruddiman","given":"W.","non-dropping-particle":"","parse-names":false,"suffix":""},{"dropping-particle":"","family":"Sarnthein","given":"M.","non-dropping-particle":"","parse-names":false,"suffix":""},{"dropping-particle":"","family":"Baldauf","given":"J","non-dropping-particle":"","parse-names":false,"suffix":""}],"id":"ITEM-1","issued":{"date-parts":[["1988"]]},"title":"Proceedings of the Ocean Drilling Program, Leg 108 Initial Reports","type":"book"},"uris":["http://www.mendeley.com/documents/?uuid=7ba151b6-244f-4c91-ace1-0b16d03ab00c"]}],"mendeley":{"formattedCitation":"(Ruddiman et al., 1988a)","manualFormatting":"(Ruddiman et al., 1988)","plainTextFormattedCitation":"(Ruddiman et al., 1988a)","previouslyFormattedCitation":"(Ruddiman et al., 1988a)"},"properties":{"noteIndex":0},"schema":"https://github.com/citation-style-language/schema/raw/master/csl-citation.json"}</w:instrText>
      </w:r>
      <w:r w:rsidR="00F64143">
        <w:rPr>
          <w:rFonts w:cstheme="minorHAnsi"/>
        </w:rPr>
        <w:fldChar w:fldCharType="separate"/>
      </w:r>
      <w:r w:rsidR="005A5076" w:rsidRPr="005A5076">
        <w:rPr>
          <w:rFonts w:cstheme="minorHAnsi"/>
          <w:noProof/>
        </w:rPr>
        <w:t>(Ruddiman et al., 1988)</w:t>
      </w:r>
      <w:r w:rsidR="00F64143">
        <w:rPr>
          <w:rFonts w:cstheme="minorHAnsi"/>
        </w:rPr>
        <w:fldChar w:fldCharType="end"/>
      </w:r>
      <w:r>
        <w:rPr>
          <w:rFonts w:cstheme="minorHAnsi"/>
        </w:rPr>
        <w:t>.</w:t>
      </w:r>
      <w:r w:rsidR="00B60A66">
        <w:rPr>
          <w:rFonts w:cstheme="minorHAnsi"/>
        </w:rPr>
        <w:t xml:space="preserve"> </w:t>
      </w:r>
    </w:p>
    <w:p w14:paraId="45A89C5E" w14:textId="77777777" w:rsidR="00E65168" w:rsidRPr="0027456C" w:rsidRDefault="00E65168" w:rsidP="0027456C">
      <w:pPr>
        <w:pStyle w:val="ListParagraph"/>
        <w:spacing w:line="480" w:lineRule="auto"/>
        <w:ind w:left="360"/>
        <w:jc w:val="both"/>
        <w:rPr>
          <w:rFonts w:cstheme="minorHAnsi"/>
        </w:rPr>
      </w:pPr>
    </w:p>
    <w:p w14:paraId="70839C5C" w14:textId="77777777" w:rsidR="003F746D" w:rsidRDefault="003F746D" w:rsidP="008C6417">
      <w:pPr>
        <w:pStyle w:val="ListParagraph"/>
        <w:numPr>
          <w:ilvl w:val="2"/>
          <w:numId w:val="5"/>
        </w:numPr>
        <w:spacing w:line="480" w:lineRule="auto"/>
        <w:jc w:val="both"/>
        <w:rPr>
          <w:rFonts w:cstheme="minorHAnsi"/>
        </w:rPr>
      </w:pPr>
      <w:r w:rsidRPr="006F3F87">
        <w:rPr>
          <w:rFonts w:cstheme="minorHAnsi"/>
        </w:rPr>
        <w:t>ODP Site 1016</w:t>
      </w:r>
    </w:p>
    <w:p w14:paraId="041269F0" w14:textId="2CC44411" w:rsidR="00EA12C7" w:rsidRDefault="00862130" w:rsidP="00435214">
      <w:pPr>
        <w:spacing w:line="480" w:lineRule="auto"/>
        <w:jc w:val="both"/>
        <w:rPr>
          <w:rFonts w:cstheme="minorHAnsi"/>
        </w:rPr>
      </w:pPr>
      <w:r>
        <w:rPr>
          <w:rFonts w:cstheme="minorHAnsi"/>
        </w:rPr>
        <w:t>ODP</w:t>
      </w:r>
      <w:r w:rsidR="00E65168">
        <w:rPr>
          <w:rFonts w:cstheme="minorHAnsi"/>
        </w:rPr>
        <w:t xml:space="preserve"> </w:t>
      </w:r>
      <w:r w:rsidR="00EA12C7">
        <w:rPr>
          <w:rFonts w:cstheme="minorHAnsi"/>
        </w:rPr>
        <w:t xml:space="preserve">Site 1016 </w:t>
      </w:r>
      <w:r w:rsidR="00393FA0" w:rsidRPr="00EA12C7">
        <w:rPr>
          <w:rFonts w:cstheme="minorHAnsi"/>
        </w:rPr>
        <w:t>(34</w:t>
      </w:r>
      <w:r w:rsidR="00393FA0">
        <w:rPr>
          <w:rFonts w:ascii="Calibri" w:hAnsi="Calibri" w:cs="Calibri"/>
        </w:rPr>
        <w:t>°</w:t>
      </w:r>
      <w:r w:rsidR="00393FA0" w:rsidRPr="00EA12C7">
        <w:rPr>
          <w:rFonts w:cstheme="minorHAnsi"/>
        </w:rPr>
        <w:t>32’N, 122</w:t>
      </w:r>
      <w:r w:rsidR="00393FA0">
        <w:rPr>
          <w:rFonts w:ascii="Calibri" w:hAnsi="Calibri" w:cs="Calibri"/>
        </w:rPr>
        <w:t>°</w:t>
      </w:r>
      <w:r w:rsidR="00393FA0" w:rsidRPr="00EA12C7">
        <w:rPr>
          <w:rFonts w:cstheme="minorHAnsi"/>
        </w:rPr>
        <w:t>17’W</w:t>
      </w:r>
      <w:r w:rsidR="00393FA0">
        <w:rPr>
          <w:rFonts w:cstheme="minorHAnsi"/>
        </w:rPr>
        <w:t>, water depth of 3835 m</w:t>
      </w:r>
      <w:r w:rsidR="00393FA0" w:rsidRPr="00EA12C7">
        <w:rPr>
          <w:rFonts w:cstheme="minorHAnsi"/>
        </w:rPr>
        <w:t>)</w:t>
      </w:r>
      <w:r w:rsidR="00393FA0">
        <w:rPr>
          <w:rFonts w:cstheme="minorHAnsi"/>
        </w:rPr>
        <w:t xml:space="preserve"> </w:t>
      </w:r>
      <w:r w:rsidR="00EA12C7">
        <w:rPr>
          <w:rFonts w:cstheme="minorHAnsi"/>
        </w:rPr>
        <w:t xml:space="preserve">is </w:t>
      </w:r>
      <w:r w:rsidR="008F5863">
        <w:rPr>
          <w:rFonts w:cstheme="minorHAnsi"/>
        </w:rPr>
        <w:t xml:space="preserve">situated </w:t>
      </w:r>
      <w:r w:rsidR="00EA12C7">
        <w:rPr>
          <w:rFonts w:cstheme="minorHAnsi"/>
        </w:rPr>
        <w:t xml:space="preserve">in the </w:t>
      </w:r>
      <w:r w:rsidR="00F77696">
        <w:rPr>
          <w:rFonts w:cstheme="minorHAnsi"/>
        </w:rPr>
        <w:t>eastern North</w:t>
      </w:r>
      <w:r w:rsidR="00EA12C7">
        <w:rPr>
          <w:rFonts w:cstheme="minorHAnsi"/>
        </w:rPr>
        <w:t xml:space="preserve"> Pacific</w:t>
      </w:r>
      <w:r w:rsidR="00CC1B50">
        <w:rPr>
          <w:rFonts w:cstheme="minorHAnsi"/>
        </w:rPr>
        <w:t xml:space="preserve"> Ocean</w:t>
      </w:r>
      <w:r w:rsidR="00EA12C7">
        <w:rPr>
          <w:rFonts w:cstheme="minorHAnsi"/>
        </w:rPr>
        <w:t>, approximately 150 km west of Point Conception, California</w:t>
      </w:r>
      <w:r w:rsidR="003D3356">
        <w:rPr>
          <w:rFonts w:cstheme="minorHAnsi"/>
        </w:rPr>
        <w:t xml:space="preserve"> (Figure 1</w:t>
      </w:r>
      <w:r>
        <w:rPr>
          <w:rFonts w:cstheme="minorHAnsi"/>
        </w:rPr>
        <w:t>)</w:t>
      </w:r>
      <w:r w:rsidR="00393FA0" w:rsidRPr="00393FA0">
        <w:rPr>
          <w:rFonts w:cstheme="minorHAnsi"/>
        </w:rPr>
        <w:t xml:space="preserve"> </w:t>
      </w:r>
      <w:r w:rsidR="006B4416">
        <w:rPr>
          <w:rFonts w:cstheme="minorHAnsi"/>
        </w:rPr>
        <w:t xml:space="preserve">near the toe of </w:t>
      </w:r>
      <w:r w:rsidR="002D0286">
        <w:rPr>
          <w:rFonts w:cstheme="minorHAnsi"/>
        </w:rPr>
        <w:t xml:space="preserve">the </w:t>
      </w:r>
      <w:r w:rsidR="006B4416">
        <w:rPr>
          <w:rFonts w:cstheme="minorHAnsi"/>
        </w:rPr>
        <w:t>slope beyond the Santa Lucia Escarpment</w:t>
      </w:r>
      <w:r w:rsidR="002D0286">
        <w:rPr>
          <w:rFonts w:cstheme="minorHAnsi"/>
        </w:rPr>
        <w:t xml:space="preserve">. This site is </w:t>
      </w:r>
      <w:r w:rsidR="00995D25">
        <w:rPr>
          <w:rFonts w:cstheme="minorHAnsi"/>
        </w:rPr>
        <w:t xml:space="preserve">situated </w:t>
      </w:r>
      <w:r w:rsidR="006B4416">
        <w:rPr>
          <w:rFonts w:cstheme="minorHAnsi"/>
        </w:rPr>
        <w:t xml:space="preserve">in </w:t>
      </w:r>
      <w:r w:rsidR="00995D25">
        <w:rPr>
          <w:rFonts w:cstheme="minorHAnsi"/>
        </w:rPr>
        <w:t xml:space="preserve">a </w:t>
      </w:r>
      <w:r w:rsidR="00946CF9">
        <w:rPr>
          <w:rFonts w:cstheme="minorHAnsi"/>
        </w:rPr>
        <w:t>region of moderate productivity</w:t>
      </w:r>
      <w:r w:rsidR="006B4416">
        <w:rPr>
          <w:rFonts w:cstheme="minorHAnsi"/>
        </w:rPr>
        <w:t xml:space="preserve"> </w:t>
      </w:r>
      <w:r w:rsidR="00995D25">
        <w:rPr>
          <w:rFonts w:cstheme="minorHAnsi"/>
        </w:rPr>
        <w:t xml:space="preserve">(modern day annual carbon </w:t>
      </w:r>
      <w:r w:rsidR="00995D25" w:rsidRPr="00F625AC">
        <w:rPr>
          <w:rFonts w:cstheme="minorHAnsi"/>
        </w:rPr>
        <w:t>export ~</w:t>
      </w:r>
      <w:r w:rsidR="00943C69">
        <w:rPr>
          <w:rFonts w:cstheme="minorHAnsi"/>
        </w:rPr>
        <w:t>15</w:t>
      </w:r>
      <w:r w:rsidR="009055F6" w:rsidRPr="00E44CD0">
        <w:rPr>
          <w:rFonts w:cstheme="minorHAnsi"/>
        </w:rPr>
        <w:t xml:space="preserve"> g</w:t>
      </w:r>
      <w:r w:rsidR="000300EF" w:rsidRPr="00E44CD0">
        <w:rPr>
          <w:rFonts w:cstheme="minorHAnsi"/>
        </w:rPr>
        <w:t xml:space="preserve"> </w:t>
      </w:r>
      <w:r w:rsidR="009055F6" w:rsidRPr="00E44CD0">
        <w:rPr>
          <w:rFonts w:cstheme="minorHAnsi"/>
        </w:rPr>
        <w:t>C/m</w:t>
      </w:r>
      <w:r w:rsidR="009055F6" w:rsidRPr="00E44CD0">
        <w:rPr>
          <w:rFonts w:cstheme="minorHAnsi"/>
          <w:vertAlign w:val="superscript"/>
        </w:rPr>
        <w:t>2</w:t>
      </w:r>
      <w:r w:rsidR="00995D25" w:rsidRPr="00F625AC">
        <w:rPr>
          <w:rFonts w:cstheme="minorHAnsi"/>
        </w:rPr>
        <w:t>, Figure</w:t>
      </w:r>
      <w:r w:rsidR="00995D25">
        <w:rPr>
          <w:rFonts w:cstheme="minorHAnsi"/>
        </w:rPr>
        <w:t xml:space="preserve"> 1), </w:t>
      </w:r>
      <w:r w:rsidR="006B4416">
        <w:rPr>
          <w:rFonts w:cstheme="minorHAnsi"/>
        </w:rPr>
        <w:t xml:space="preserve">under the influence of the California Current </w:t>
      </w:r>
      <w:r w:rsidR="006B4416" w:rsidRPr="00435214">
        <w:rPr>
          <w:rFonts w:cstheme="minorHAnsi"/>
        </w:rPr>
        <w:fldChar w:fldCharType="begin" w:fldLock="1"/>
      </w:r>
      <w:r w:rsidR="00A97ED1">
        <w:rPr>
          <w:rFonts w:cstheme="minorHAnsi"/>
        </w:rPr>
        <w:instrText>ADDIN CSL_CITATION {"citationItems":[{"id":"ITEM-1","itemData":{"author":[{"dropping-particle":"","family":"Lyle","given":"Mitchell","non-dropping-particle":"","parse-names":false,"suffix":""},{"dropping-particle":"","family":"Koizumi","given":"I","non-dropping-particle":"","parse-names":false,"suffix":""},{"dropping-particle":"","family":"Richter","given":"C","non-dropping-particle":"","parse-names":false,"suffix":""},{"dropping-particle":"","family":"Moore","given":"T. C.","non-dropping-particle":"","parse-names":false,"suffix":""}],"id":"ITEM-1","issued":{"date-parts":[["1997"]]},"title":"Proceedings of the Ocean Drilling Program, Leg 167 Initial Reports","type":"book"},"uris":["http://www.mendeley.com/documents/?uuid=12909340-a072-402a-a3f9-b119dab89c4f"]}],"mendeley":{"formattedCitation":"(Lyle et al., 1997a)","manualFormatting":"(Lyle et al., 1997)","plainTextFormattedCitation":"(Lyle et al., 1997a)","previouslyFormattedCitation":"(Lyle et al., 1997a)"},"properties":{"noteIndex":0},"schema":"https://github.com/citation-style-language/schema/raw/master/csl-citation.json"}</w:instrText>
      </w:r>
      <w:r w:rsidR="006B4416" w:rsidRPr="00435214">
        <w:rPr>
          <w:rFonts w:cstheme="minorHAnsi"/>
        </w:rPr>
        <w:fldChar w:fldCharType="separate"/>
      </w:r>
      <w:r w:rsidR="005A5076" w:rsidRPr="005A5076">
        <w:rPr>
          <w:rFonts w:cstheme="minorHAnsi"/>
          <w:noProof/>
        </w:rPr>
        <w:t>(Lyle et al., 1997)</w:t>
      </w:r>
      <w:r w:rsidR="006B4416" w:rsidRPr="00435214">
        <w:rPr>
          <w:rFonts w:cstheme="minorHAnsi"/>
        </w:rPr>
        <w:fldChar w:fldCharType="end"/>
      </w:r>
      <w:r w:rsidR="002D0286">
        <w:rPr>
          <w:rFonts w:cstheme="minorHAnsi"/>
        </w:rPr>
        <w:t>,</w:t>
      </w:r>
      <w:r w:rsidR="006B4416">
        <w:rPr>
          <w:rFonts w:cstheme="minorHAnsi"/>
        </w:rPr>
        <w:t xml:space="preserve"> </w:t>
      </w:r>
      <w:r w:rsidR="00995D25">
        <w:rPr>
          <w:rFonts w:cstheme="minorHAnsi"/>
        </w:rPr>
        <w:t xml:space="preserve">where terrigenous supply is dominated by transport from North America (Jardine et al., 2021), </w:t>
      </w:r>
      <w:r w:rsidR="002179EC">
        <w:rPr>
          <w:rFonts w:cstheme="minorHAnsi"/>
        </w:rPr>
        <w:t xml:space="preserve">and marine barite has been </w:t>
      </w:r>
      <w:r w:rsidR="00995D25">
        <w:rPr>
          <w:rFonts w:cstheme="minorHAnsi"/>
        </w:rPr>
        <w:t>documented</w:t>
      </w:r>
      <w:r w:rsidR="002179EC">
        <w:rPr>
          <w:rFonts w:cstheme="minorHAnsi"/>
        </w:rPr>
        <w:t xml:space="preserve"> in </w:t>
      </w:r>
      <w:r w:rsidR="00B06C2E">
        <w:rPr>
          <w:rFonts w:cstheme="minorHAnsi"/>
        </w:rPr>
        <w:t>ocean</w:t>
      </w:r>
      <w:r w:rsidR="002179EC">
        <w:rPr>
          <w:rFonts w:cstheme="minorHAnsi"/>
        </w:rPr>
        <w:t xml:space="preserve"> sediments </w:t>
      </w:r>
      <w:r w:rsidR="002179EC">
        <w:rPr>
          <w:rFonts w:cstheme="minorHAnsi"/>
        </w:rPr>
        <w:fldChar w:fldCharType="begin" w:fldLock="1"/>
      </w:r>
      <w:r w:rsidR="003E40BC">
        <w:rPr>
          <w:rFonts w:cstheme="minorHAnsi"/>
        </w:rPr>
        <w:instrText xml:space="preserve">ADDIN CSL_CITATION {"citationItems":[{"id":"ITEM-1","itemData":{"DOI":"10.1016/j.epsl.2006.11.049","ISSN":"0012821X","abstract":"We measured major and trace element concentrations in the operationally defined, chemically extracted, residual aluminosilicate component of sediment from Ocean Drilling Program Sites 1215 and 1256 in the central and eastern equatorial Pacific Ocean and found that this residual component contains volcanogenic and authigenic aluminosilicates in addition to inferred eolian material. While the residual component younger than 20 Ma from the central Pacific (ODP Site 1215) is similar compositionally to upper continental crust and suggests an increase in the delivery of Asian dust material since 20 Ma, the residual in sediment older than 20 Ma indicates significant amounts of volcanogenic and authigenic materials. Volcanogenic debris comprises as much as </w:instrText>
      </w:r>
      <w:r w:rsidR="003E40BC">
        <w:rPr>
          <w:rFonts w:ascii="Cambria Math" w:hAnsi="Cambria Math" w:cs="Cambria Math"/>
        </w:rPr>
        <w:instrText>∼</w:instrText>
      </w:r>
      <w:r w:rsidR="003E40BC">
        <w:rPr>
          <w:rFonts w:cstheme="minorHAnsi"/>
        </w:rPr>
        <w:instrText xml:space="preserve"> 40% of the residual between 23-40 Ma, which coincides with the mid-Tertiary \"ignimbrite flare-up\" that occurred in much of western North America. The residual component extracted from the 50 Ma biogenic sediment reflects authigenic signatures (seawater-like negative cerium anomalies and elevated Fe/Si ratios). The previously interpreted increase in an andesitic detrital source in North Pacific locations may instead be authigenic material, presenting significant challenges for many paleoclimate proxies. Additionally, in the eastern Pacific (ODP Site 1256), the residual component contains </w:instrText>
      </w:r>
      <w:r w:rsidR="003E40BC">
        <w:rPr>
          <w:rFonts w:ascii="Cambria Math" w:hAnsi="Cambria Math" w:cs="Cambria Math"/>
        </w:rPr>
        <w:instrText>∼</w:instrText>
      </w:r>
      <w:r w:rsidR="003E40BC">
        <w:rPr>
          <w:rFonts w:cstheme="minorHAnsi"/>
        </w:rPr>
        <w:instrText xml:space="preserve"> 70% of volcanogenic material, most likely originating from Central America, and also includes refractory barite. The ability to separately identify eolian, volcanogenic, and authigenic materials in the aluminosilicate component of pelagic sediment allows resolution, respectively, of the climatic, geologic, and chemical processes contributing to the paleoceanographic archive in this critical oceanic region. © 2006 Elsevier B.V. All rights reserved.","author":[{"dropping-particle":"","family":"Ziegler","given":"C. L.","non-dropping-particle":"","parse-names":false,"suffix":""},{"dropping-particle":"","family":"Murray","given":"R. W.","non-dropping-particle":"","parse-names":false,"suffix":""},{"dropping-particle":"","family":"Hovan","given":"S. A.","non-dropping-particle":"","parse-names":false,"suffix":""},{"dropping-particle":"","family":"Rea","given":"D. K.","non-dropping-particle":"","parse-names":false,"suffix":""}],"container-title":"Earth and Planetary Science Letters","id":"ITEM-1","issue":"3-4","issued":{"date-parts":[["2007"]]},"note":"Made aware of this paper during reviews of barite methods paper.","page":"416-432","title":"Resolving eolian, volcanogenic, and authigenic components in pelagic sediment from the Pacific Ocean","type":"article-journal","volume":"254"},"uris":["http://www.mendeley.com/documents/?uuid=9f3310c8-5200-4e99-aadc-0bc5d91f30c1"]}],"mendeley":{"formattedCitation":"(Ziegler et al., 2007)","plainTextFormattedCitation":"(Ziegler et al., 2007)","previouslyFormattedCitation":"(Ziegler et al., 2007)"},"properties":{"noteIndex":0},"schema":"https://github.com/citation-style-language/schema/raw/master/csl-citation.json"}</w:instrText>
      </w:r>
      <w:r w:rsidR="002179EC">
        <w:rPr>
          <w:rFonts w:cstheme="minorHAnsi"/>
        </w:rPr>
        <w:fldChar w:fldCharType="separate"/>
      </w:r>
      <w:r w:rsidR="002179EC" w:rsidRPr="002179EC">
        <w:rPr>
          <w:rFonts w:cstheme="minorHAnsi"/>
          <w:noProof/>
        </w:rPr>
        <w:t>(Ziegler et al., 2007)</w:t>
      </w:r>
      <w:r w:rsidR="002179EC">
        <w:rPr>
          <w:rFonts w:cstheme="minorHAnsi"/>
        </w:rPr>
        <w:fldChar w:fldCharType="end"/>
      </w:r>
      <w:r w:rsidR="00393FA0">
        <w:rPr>
          <w:rFonts w:cstheme="minorHAnsi"/>
        </w:rPr>
        <w:t xml:space="preserve">. We sampled </w:t>
      </w:r>
      <w:r w:rsidR="00393FA0">
        <w:rPr>
          <w:rFonts w:cstheme="minorHAnsi"/>
        </w:rPr>
        <w:lastRenderedPageBreak/>
        <w:t>shallowly buried sediments</w:t>
      </w:r>
      <w:r w:rsidR="001A0FBD">
        <w:rPr>
          <w:rFonts w:cstheme="minorHAnsi"/>
        </w:rPr>
        <w:t xml:space="preserve"> </w:t>
      </w:r>
      <w:r w:rsidR="00393FA0">
        <w:rPr>
          <w:rFonts w:cstheme="minorHAnsi"/>
        </w:rPr>
        <w:t xml:space="preserve">of late Pleistocene age from </w:t>
      </w:r>
      <w:r w:rsidR="00393FA0" w:rsidRPr="00435214">
        <w:rPr>
          <w:rFonts w:cstheme="minorHAnsi"/>
        </w:rPr>
        <w:t xml:space="preserve">stratigraphic unit </w:t>
      </w:r>
      <w:r w:rsidR="001A0FBD" w:rsidRPr="00435214">
        <w:rPr>
          <w:rFonts w:cstheme="minorHAnsi"/>
        </w:rPr>
        <w:t>1</w:t>
      </w:r>
      <w:r w:rsidR="00393FA0" w:rsidRPr="00435214">
        <w:rPr>
          <w:rFonts w:cstheme="minorHAnsi"/>
        </w:rPr>
        <w:t xml:space="preserve">, a </w:t>
      </w:r>
      <w:r w:rsidR="00435214" w:rsidRPr="00435214">
        <w:rPr>
          <w:rFonts w:cstheme="minorHAnsi"/>
        </w:rPr>
        <w:t xml:space="preserve">﻿gradationally interbedded </w:t>
      </w:r>
      <w:r w:rsidR="00435214">
        <w:rPr>
          <w:rFonts w:cstheme="minorHAnsi"/>
        </w:rPr>
        <w:t xml:space="preserve">unit of siliclastic and diatomaceous components </w:t>
      </w:r>
      <w:r w:rsidR="00CB2A0A">
        <w:rPr>
          <w:rFonts w:cstheme="minorHAnsi"/>
        </w:rPr>
        <w:fldChar w:fldCharType="begin" w:fldLock="1"/>
      </w:r>
      <w:r w:rsidR="00A97ED1">
        <w:rPr>
          <w:rFonts w:cstheme="minorHAnsi"/>
        </w:rPr>
        <w:instrText>ADDIN CSL_CITATION {"citationItems":[{"id":"ITEM-1","itemData":{"author":[{"dropping-particle":"","family":"Lyle","given":"Mitchell","non-dropping-particle":"","parse-names":false,"suffix":""},{"dropping-particle":"","family":"Koizumi","given":"I","non-dropping-particle":"","parse-names":false,"suffix":""},{"dropping-particle":"","family":"Richter","given":"C","non-dropping-particle":"","parse-names":false,"suffix":""},{"dropping-particle":"","family":"Moore","given":"T. C.","non-dropping-particle":"","parse-names":false,"suffix":""}],"id":"ITEM-1","issued":{"date-parts":[["1997"]]},"title":"Proceedings of the Ocean Drilling Program, Leg 167 Initial Reports","type":"book"},"uris":["http://www.mendeley.com/documents/?uuid=12909340-a072-402a-a3f9-b119dab89c4f"]}],"mendeley":{"formattedCitation":"(Lyle et al., 1997a)","manualFormatting":"(Lyle et al., 1997)","plainTextFormattedCitation":"(Lyle et al., 1997a)","previouslyFormattedCitation":"(Lyle et al., 1997a)"},"properties":{"noteIndex":0},"schema":"https://github.com/citation-style-language/schema/raw/master/csl-citation.json"}</w:instrText>
      </w:r>
      <w:r w:rsidR="00CB2A0A">
        <w:rPr>
          <w:rFonts w:cstheme="minorHAnsi"/>
        </w:rPr>
        <w:fldChar w:fldCharType="separate"/>
      </w:r>
      <w:r w:rsidR="005A5076" w:rsidRPr="005A5076">
        <w:rPr>
          <w:rFonts w:cstheme="minorHAnsi"/>
          <w:noProof/>
        </w:rPr>
        <w:t>(Lyle et al., 1997)</w:t>
      </w:r>
      <w:r w:rsidR="00CB2A0A">
        <w:rPr>
          <w:rFonts w:cstheme="minorHAnsi"/>
        </w:rPr>
        <w:fldChar w:fldCharType="end"/>
      </w:r>
      <w:r>
        <w:rPr>
          <w:rFonts w:cstheme="minorHAnsi"/>
        </w:rPr>
        <w:t>.</w:t>
      </w:r>
      <w:r w:rsidR="00435214">
        <w:rPr>
          <w:rFonts w:cstheme="minorHAnsi"/>
        </w:rPr>
        <w:t xml:space="preserve"> </w:t>
      </w:r>
    </w:p>
    <w:p w14:paraId="5176E10C" w14:textId="77777777" w:rsidR="00B27D75" w:rsidRPr="00B27D75" w:rsidRDefault="00B27D75" w:rsidP="008C6417">
      <w:pPr>
        <w:spacing w:line="480" w:lineRule="auto"/>
        <w:jc w:val="both"/>
        <w:rPr>
          <w:rFonts w:cstheme="minorHAnsi"/>
        </w:rPr>
      </w:pPr>
    </w:p>
    <w:p w14:paraId="58A4606D" w14:textId="77777777" w:rsidR="007F7FC3" w:rsidRDefault="0049718C" w:rsidP="0049718C">
      <w:pPr>
        <w:pStyle w:val="ListParagraph"/>
        <w:numPr>
          <w:ilvl w:val="1"/>
          <w:numId w:val="5"/>
        </w:numPr>
        <w:spacing w:line="480" w:lineRule="auto"/>
        <w:ind w:left="993" w:hanging="709"/>
        <w:jc w:val="both"/>
        <w:rPr>
          <w:rFonts w:cstheme="minorHAnsi"/>
          <w:b/>
        </w:rPr>
      </w:pPr>
      <w:r w:rsidRPr="0049718C">
        <w:rPr>
          <w:rFonts w:cstheme="minorHAnsi"/>
          <w:b/>
        </w:rPr>
        <w:t>Isolation of the terrigenous fraction of marine sediments</w:t>
      </w:r>
    </w:p>
    <w:p w14:paraId="351411FC" w14:textId="2AC94C9C" w:rsidR="00C620E6" w:rsidRPr="00F82B27" w:rsidRDefault="00676E49" w:rsidP="0049718C">
      <w:pPr>
        <w:spacing w:line="480" w:lineRule="auto"/>
        <w:jc w:val="both"/>
        <w:rPr>
          <w:rFonts w:cstheme="minorHAnsi"/>
          <w:bCs/>
          <w:iCs/>
        </w:rPr>
      </w:pPr>
      <w:r>
        <w:rPr>
          <w:rFonts w:cstheme="minorHAnsi"/>
          <w:bCs/>
          <w:iCs/>
        </w:rPr>
        <w:t xml:space="preserve">Our protocol for </w:t>
      </w:r>
      <w:r w:rsidR="00C620E6">
        <w:rPr>
          <w:rFonts w:cstheme="minorHAnsi"/>
          <w:bCs/>
          <w:iCs/>
        </w:rPr>
        <w:t>isolat</w:t>
      </w:r>
      <w:r>
        <w:rPr>
          <w:rFonts w:cstheme="minorHAnsi"/>
          <w:bCs/>
          <w:iCs/>
        </w:rPr>
        <w:t>ing</w:t>
      </w:r>
      <w:r w:rsidR="00C620E6">
        <w:rPr>
          <w:rFonts w:cstheme="minorHAnsi"/>
          <w:bCs/>
          <w:iCs/>
        </w:rPr>
        <w:t xml:space="preserve"> the terrigenous fraction </w:t>
      </w:r>
      <w:r>
        <w:rPr>
          <w:rFonts w:cstheme="minorHAnsi"/>
          <w:bCs/>
          <w:iCs/>
        </w:rPr>
        <w:t xml:space="preserve">from contaminating </w:t>
      </w:r>
      <w:r w:rsidR="00C620E6">
        <w:rPr>
          <w:rFonts w:cstheme="minorHAnsi"/>
          <w:bCs/>
          <w:iCs/>
        </w:rPr>
        <w:t xml:space="preserve">marine </w:t>
      </w:r>
      <w:r>
        <w:rPr>
          <w:rFonts w:cstheme="minorHAnsi"/>
          <w:bCs/>
          <w:iCs/>
        </w:rPr>
        <w:t>phases is summarised in</w:t>
      </w:r>
      <w:r>
        <w:rPr>
          <w:rFonts w:cstheme="minorHAnsi"/>
        </w:rPr>
        <w:t xml:space="preserve"> </w:t>
      </w:r>
      <w:r>
        <w:rPr>
          <w:rFonts w:cstheme="minorHAnsi"/>
          <w:bCs/>
          <w:iCs/>
        </w:rPr>
        <w:t xml:space="preserve">Figure </w:t>
      </w:r>
      <w:r w:rsidR="009A186C">
        <w:rPr>
          <w:rFonts w:cstheme="minorHAnsi"/>
          <w:bCs/>
          <w:iCs/>
        </w:rPr>
        <w:t>3</w:t>
      </w:r>
      <w:r>
        <w:rPr>
          <w:rFonts w:cstheme="minorHAnsi"/>
          <w:bCs/>
          <w:iCs/>
        </w:rPr>
        <w:t xml:space="preserve"> and detailed in Sections 2.2.1 to 2.2.6.  We </w:t>
      </w:r>
      <w:r w:rsidRPr="00BB74C9">
        <w:rPr>
          <w:rFonts w:cstheme="minorHAnsi"/>
        </w:rPr>
        <w:fldChar w:fldCharType="begin" w:fldLock="1"/>
      </w:r>
      <w:r w:rsidR="003E40BC">
        <w:rPr>
          <w:rFonts w:cstheme="minorHAnsi"/>
        </w:rPr>
        <w:instrText>ADDIN CSL_CITATION {"citationItems":[{"id":"ITEM-1","itemData":{"DOI":"10.1016/j.chemgeo.2019.119449","ISSN":"00092541","abstract":"The geochemical and isotopic composition of terrigenous clays from marine sediments can provide important information on the sources and pathways of sediments. International Ocean Discovery Program Expedition 361 drilled sites along the eastern margin of southern Africa that potentially provide archives of rainfall on the continent as well as dispersal in the Agulhas Current. We used standard methods to remove carbonate and ferromanganese oxides and Stokes settling to isolate the clay fractions. In comparison to most previous studies that aimed to extract the detrital signal from marine sediments, we additionally applied a cation exchange wash using CsCl as a final step in the sample preparation. The motivation behind the extra step, not frequently applied, is to remove ions that are gained on the clay surface due to adsorption of authigenic trace metals in the ocean or during the leaching procedure. Either would alter the composition of the detrital fraction if no cation exchange was applied. Moreover, using CsCl will provide an additional measure of the cation exchange capacity (CEC) of the samples. However, no study so far has evaluated the potential and the limitations of such a targeted protocol for marine sediments. Here, we explore the effects of removing and replacing adsorbed cations on the clay surfaces with Cs+, conducting measurements of the chemical compositions, and radiogenic isotopes on a set of eight clay sample pairs. Both sets of samples underwent the same full leaching procedure except that one batch was treated with a final CsCl wash step. In this study, organic matter was not leached because sediments at IODP Site U1478 have relatively low organic content. However, in general, we recommend including that step in the leaching procedure. As expected, significant portions of elements with high concentrations in seawater were replaced by Cs+ (2SD 2.8%.) from the wash, including 75% of the sodium and approximately 25% of the calcium, 10% of the magnesium, and 8% of the potassium. Trace metals such as Sr and Nd, whose isotopes are used for provenance studies, are also found to be in lower concentrations in the samples after the exchange wash. The exchange wash affected the radiogenic isotope compositions of the samples. Neodymium isotope ratios are slightly less radiogenic in all the washed samples. Strontium and Pb isotopes showed significant deviations to either more or less radiogenic values in different samples. The radiogenic isotop…","author":[{"dropping-particle":"","family":"Simon","given":"Margit H.","non-dropping-particle":"","parse-names":false,"suffix":""},{"dropping-particle":"","family":"Babin","given":"Daniel P.","non-dropping-particle":"","parse-names":false,"suffix":""},{"dropping-particle":"","family":"Goldstein","given":"Steven L.","non-dropping-particle":"","parse-names":false,"suffix":""},{"dropping-particle":"","family":"Cai","given":"Merry Yue","non-dropping-particle":"","parse-names":false,"suffix":""},{"dropping-particle":"","family":"Liu","given":"Tanzhuo","non-dropping-particle":"","parse-names":false,"suffix":""},{"dropping-particle":"","family":"Han","given":"Xibin","non-dropping-particle":"","parse-names":false,"suffix":""},{"dropping-particle":"","family":"Haws","given":"Anne A.","non-dropping-particle":"","parse-names":false,"suffix":""},{"dropping-particle":"","family":"Johns","given":"Matthew","non-dropping-particle":"","parse-names":false,"suffix":""},{"dropping-particle":"","family":"Lear","given":"Caroline","non-dropping-particle":"","parse-names":false,"suffix":""},{"dropping-particle":"","family":"Hemming","given":"Sidney R.","non-dropping-particle":"","parse-names":false,"suffix":""}],"container-title":"Chemical Geology","id":"ITEM-1","issue":"December","issued":{"date-parts":[["2020"]]},"note":"Sent from Vicki Feb 2020 - development of a leaching process to remove asorbed ions (implemented at the very end of sample prep, even after grain size separation?)\n\nNot written super clearly, some confusing passages/justifications....\n\nE.g. the removal of &amp;quot;seawater&amp;quot; Sr doesn't lead to more radiogenic values in most of their samples, but they say it must give more reliable data because it correlates better with the data from differernt isotope systems ont he same sample...not sure how legit this is? \n\nDefintely shows the need for my MgCl wash step, but will need to think about justification of the order of my leaching steps....","title":"Development of a protocol to obtain the composition of terrigenous detritus in marine sediments -a pilot study from International Ocean Discovery Program Expedition 361","type":"article-journal","volume":"535"},"uris":["http://www.mendeley.com/documents/?uuid=788daece-e9ec-4639-9aef-434ee9e215ac"]},{"id":"ITEM-2","itemData":{"DOI":"10.1002/lom3.10013","ISSN":"15415856","abstract":"The lithogenic fraction in marine sediments can be a key proxy to reconstruct past changes in atmospheric circulation, river runoff among other sedimentary processes. But, accurate isolation of the lithic component within biogenic-rich sediments can be particularly challenging in areas of high marine productivity. We present an experiment to isolate and characterize this lithogenic fraction that ensures the full elimination of biogenic and authigenic components. This experiment demonstrates that standard procedures used in most of the studies of terrigenous fraction in marine sediments, are inadequate to remove efficiently most of the biogenic components in sediments from high productivity regions such as the Eastern Equatorial Pacific. The experiment reviews each of the procedure steps designed for the removal of organic matter, carbonate, Fe-Mn oxides, and biogenic silica. The most critical steps were the removal of organic matter incorporated in fecal pellets, and the elimination of the biogenic silica. The continuous monitoring of the grain-size distribution of the samples along the experiment steps allows evaluating the impact that an inadequate procedure can induce on the grain size. Finally, lithic grain-size distributions were characterized using k-means statistical technique providing objective information for climate interpretation. The proposed approach ensures the quality of the results and allows magnifying the information provided by the lithic fraction in marine sediments.","author":[{"dropping-particle":"","family":"Povea","given":"Patricia","non-dropping-particle":"","parse-names":false,"suffix":""},{"dropping-particle":"","family":"Cacho","given":"Isabel","non-dropping-particle":"","parse-names":false,"suffix":""},{"dropping-particle":"","family":"Moreno","given":"Ana","non-dropping-particle":"","parse-names":false,"suffix":""},{"dropping-particle":"","family":"Menéndez","given":"Melisa","non-dropping-particle":"","parse-names":false,"suffix":""},{"dropping-particle":"","family":"Méndez","given":"Fernando J.","non-dropping-particle":"","parse-names":false,"suffix":""}],"container-title":"Limnology and Oceanography: Methods","id":"ITEM-2","issue":"3","issued":{"date-parts":[["2015"]]},"note":"do buffer, and very low acid. \nBut have to repeat lots.","page":"127-137","title":"A new procedure for the lithic fraction characterization in marine sediments from high productivity areas: Optimization of analytical and statistical procedures","type":"article-journal","volume":"13"},"uris":["http://www.mendeley.com/documents/?uuid=b7ecad56-ad95-4adf-b806-74e5209c63d0"]},{"id":"ITEM-3","itemData":{"DOI":"10.1016/S0009-2541(01)00416-8","ISBN":"0009-2541","ISSN":"00092541","abstract":"The radiogenic isotopic composition of both detrital and Fe-Mn fractions in marine sediments can be used in paleoceanography to infer changes of bottom-water circulation. We have examined various chemical techniques for the analysis of Sr and Nd isotope ratios in these fractions and present a robust method that can be used to separate both the Fe-Mn oxides and the detrital fraction from a marine sediment sample for isotopic analysis. Our sequential leaching procedure involves the use of 10% acetic acid, followed by 1 M hydroxylamine hydrochloride in 25% acetic acid to remove the carbonate component and the Fe-Mn oxide fraction, respectively. The applicability of our chemical procedure is illustrated with examples from a marine sediment core raised from the northern Cape Basin, southeast Atlantic Ocean. © 2002 Elsevier Science B.V. All rights reserved.","author":[{"dropping-particle":"","family":"Bayon","given":"G.","non-dropping-particle":"","parse-names":false,"suffix":""},{"dropping-particle":"","family":"German","given":"C. R.","non-dropping-particle":"","parse-names":false,"suffix":""},{"dropping-particle":"","family":"Boella","given":"R. M.","non-dropping-particle":"","parse-names":false,"suffix":""},{"dropping-particle":"","family":"Milton","given":"J. A.","non-dropping-particle":"","parse-names":false,"suffix":""},{"dropping-particle":"","family":"Taylor","given":"R. N.","non-dropping-particle":"","parse-names":false,"suffix":""},{"dropping-particle":"","family":"Nesbitt","given":"R. W.","non-dropping-particle":"","parse-names":false,"suffix":""}],"container-title":"Chemical Geology","id":"ITEM-3","issue":"3-4","issued":{"date-parts":[["2002"]]},"note":"Gives a statement to justify not buffering. \nAlso gives Sr and Nd values at each cleaning step. The Nd changes very little after each step, (inc. the acetic acid step) (relative to provenance changes).\nTHis shows that the buffering is not essential. \nThis is probably by best evidence for not buffering.","page":"179-199","title":"An improved method for extracting marine sediment fractions and its application to Sr and Nd isotopic analysis","type":"article-journal","volume":"187"},"uris":["http://www.mendeley.com/documents/?uuid=b204936c-7304-47eb-b8fe-81ab795dfade"]},{"id":"ITEM-4","itemData":{"DOI":"10.1016/j.quascirev.2014.04.005","ISBN":"0277-3791","ISSN":"02773791","abstract":"We present Plio-Pleistocene records of sediment color, %CaCO3, foraminifer fragmentation, benthic carbon isotopes (δ13C) and radiogenic isotopes (Sr, Nd, Pb) of the terrigenous component from IODP Site U1313, a reoccupation of benchmark subtropical North Atlantic Ocean DSDP Site 607. We show that (inter)glacial cycles in sediment color and %CaCO3pre-date major northern hemisphere glaciation and are unambiguously and consistently correlated to benthic oxygen isotopes back to 3.3 million years ago (Ma) and intermittently so probably back to the Miocene/Pliocene boundary. We show these lithological cycles to be driven by enhanced glacial fluxes of terrigenous material (eolian dust), not carbonate dissolution (the classic interpretation). Our radiogenic isotope data indicate a North American source for this dust (~3.3-2.4Ma) in keeping with the interpreted source of terrestrial plant wax-derived biomarkers deposited at Site U1313. Yet our data indicate a mid latitude provenance regardless of (inter)glacial state, a finding that is inconsistent with the biomarker-inferred importance of glaciogenic mechanisms of dust production and transport. Moreover, we find that the relation between the biomarker and lithogenic components of dust accumulation is distinctly non-linear. Both records show a jump in glacial rates of accumulation from Marine Isotope Stage, MIS, G6 (2.72Ma) onwards but the amplitude of this signal is about 3-8 times greater for biomarkers than for dust and particularly extreme during MIS 100 (2.52Ma). We conclude that North America shifted abruptly to a distinctly more arid glacial regime from MIS G6, but major shifts in glacial North American vegetation biomes and regional wind fields (exacerbated by the growth of a large Laurentide Ice Sheet during MIS 100) likely explain amplification of this signal in the biomarker records. Our findings are consistent with wetter-than-modern reconstructions of North American continental climate under the warm high CO2conditions of the Early Pliocene but contrast with most model predictions for the response of the hydrological cycle to anthropogenic warming over the coming 50 years (poleward expansion of the subtropical dry zones). © 2014 Elsevier Ltd.","author":[{"dropping-particle":"","family":"Lang","given":"David C.","non-dropping-particle":"","parse-names":false,"suffix":""},{"dropping-particle":"","family":"Bailey","given":"Ian","non-dropping-particle":"","parse-names":false,"suffix":""},{"dropping-particle":"","family":"Wilson","given":"Paul A.","non-dropping-particle":"","parse-names":false,"suffix":""},{"dropping-particle":"","family":"Beer","given":"Christopher J.","non-dropping-particle":"","parse-names":false,"suffix":""},{"dropping-particle":"","family":"Bolton","given":"Clara T.","non-dropping-particle":"","parse-names":false,"suffix":""},{"dropping-particle":"","family":"Friedrich","given":"Oliver","non-dropping-particle":"","parse-names":false,"suffix":""},{"dropping-particle":"","family":"Newsam","given":"Cherry","non-dropping-particle":"","parse-names":false,"suffix":""},{"dropping-particle":"","family":"Spencer","given":"Megan R.","non-dropping-particle":"","parse-names":false,"suffix":""},{"dropping-particle":"","family":"Gutjahr","given":"Marcus","non-dropping-particle":"","parse-names":false,"suffix":""},{"dropping-particle":"","family":"Foster","given":"Gavin L.","non-dropping-particle":"","parse-names":false,"suffix":""},{"dropping-particle":"","family":"Cooper","given":"Matthew J.","non-dropping-particle":"","parse-names":false,"suffix":""},{"dropping-particle":"","family":"Milton","given":"J. Andrew","non-dropping-particle":"","parse-names":false,"suffix":""}],"container-title":"Quaternary Science Reviews","id":"ITEM-4","issued":{"date-parts":[["2014"]]},"note":"Do buffer","page":"125-141","publisher":"Elsevier Ltd","title":"The transition on North America from the warm humid Pliocene to the glaciated Quaternary traced by eolian dust deposition at a benchmark North Atlantic Ocean drill site","type":"article-journal","volume":"93"},"uris":["http://www.mendeley.com/documents/?uuid=b5de900b-d62e-4033-8c9f-b737a200ac58"]}],"mendeley":{"formattedCitation":"(Bayon et al., 2002; Lang et al., 2014; Povea et al., 2015; Simon et al., 2020)","manualFormatting":"follow the approaches of Bayon et al. (2002), Lang et al. (2014) and Povea et al. (2015)","plainTextFormattedCitation":"(Bayon et al., 2002; Lang et al., 2014; Povea et al., 2015; Simon et al., 2020)","previouslyFormattedCitation":"(Bayon et al., 2002; Lang et al., 2014; Povea et al., 2015; Simon et al., 2020)"},"properties":{"noteIndex":0},"schema":"https://github.com/citation-style-language/schema/raw/master/csl-citation.json"}</w:instrText>
      </w:r>
      <w:r w:rsidRPr="00BB74C9">
        <w:rPr>
          <w:rFonts w:cstheme="minorHAnsi"/>
        </w:rPr>
        <w:fldChar w:fldCharType="separate"/>
      </w:r>
      <w:r>
        <w:rPr>
          <w:rFonts w:cstheme="minorHAnsi"/>
          <w:noProof/>
        </w:rPr>
        <w:t xml:space="preserve">follow the approaches of </w:t>
      </w:r>
      <w:r w:rsidRPr="00C620E6">
        <w:rPr>
          <w:rFonts w:cstheme="minorHAnsi"/>
          <w:noProof/>
        </w:rPr>
        <w:t xml:space="preserve">Bayon et al. </w:t>
      </w:r>
      <w:r>
        <w:rPr>
          <w:rFonts w:cstheme="minorHAnsi"/>
          <w:noProof/>
        </w:rPr>
        <w:t>(</w:t>
      </w:r>
      <w:r w:rsidRPr="00C620E6">
        <w:rPr>
          <w:rFonts w:cstheme="minorHAnsi"/>
          <w:noProof/>
        </w:rPr>
        <w:t>2002</w:t>
      </w:r>
      <w:r>
        <w:rPr>
          <w:rFonts w:cstheme="minorHAnsi"/>
          <w:noProof/>
        </w:rPr>
        <w:t>),</w:t>
      </w:r>
      <w:r w:rsidRPr="00C620E6">
        <w:rPr>
          <w:rFonts w:cstheme="minorHAnsi"/>
          <w:noProof/>
        </w:rPr>
        <w:t xml:space="preserve"> Lang et al. </w:t>
      </w:r>
      <w:r>
        <w:rPr>
          <w:rFonts w:cstheme="minorHAnsi"/>
          <w:noProof/>
        </w:rPr>
        <w:t>(</w:t>
      </w:r>
      <w:r w:rsidRPr="00C620E6">
        <w:rPr>
          <w:rFonts w:cstheme="minorHAnsi"/>
          <w:noProof/>
        </w:rPr>
        <w:t>2014</w:t>
      </w:r>
      <w:r>
        <w:rPr>
          <w:rFonts w:cstheme="minorHAnsi"/>
          <w:noProof/>
        </w:rPr>
        <w:t>) and</w:t>
      </w:r>
      <w:r w:rsidRPr="00C620E6">
        <w:rPr>
          <w:rFonts w:cstheme="minorHAnsi"/>
          <w:noProof/>
        </w:rPr>
        <w:t xml:space="preserve"> Povea et al. </w:t>
      </w:r>
      <w:r>
        <w:rPr>
          <w:rFonts w:cstheme="minorHAnsi"/>
          <w:noProof/>
        </w:rPr>
        <w:t>(</w:t>
      </w:r>
      <w:r w:rsidRPr="00C620E6">
        <w:rPr>
          <w:rFonts w:cstheme="minorHAnsi"/>
          <w:noProof/>
        </w:rPr>
        <w:t>2015</w:t>
      </w:r>
      <w:r>
        <w:rPr>
          <w:rFonts w:cstheme="minorHAnsi"/>
          <w:noProof/>
        </w:rPr>
        <w:t>)</w:t>
      </w:r>
      <w:r w:rsidRPr="00BB74C9">
        <w:rPr>
          <w:rFonts w:cstheme="minorHAnsi"/>
        </w:rPr>
        <w:fldChar w:fldCharType="end"/>
      </w:r>
      <w:r>
        <w:rPr>
          <w:rFonts w:cstheme="minorHAnsi"/>
          <w:bCs/>
          <w:iCs/>
        </w:rPr>
        <w:t xml:space="preserve"> to remove calcium carbonate, organic matter, adsorbed cations, authigenic coatings, and biogenic silica. The importance of these steps is widely recognised (</w:t>
      </w:r>
      <w:r w:rsidRPr="00BB74C9">
        <w:rPr>
          <w:rFonts w:cstheme="minorHAnsi"/>
        </w:rPr>
        <w:fldChar w:fldCharType="begin" w:fldLock="1"/>
      </w:r>
      <w:r w:rsidR="003E40BC">
        <w:rPr>
          <w:rFonts w:cstheme="minorHAnsi"/>
        </w:rPr>
        <w:instrText>ADDIN CSL_CITATION {"citationItems":[{"id":"ITEM-1","itemData":{"DOI":"10.1016/j.chemgeo.2019.119449","ISSN":"00092541","abstract":"The geochemical and isotopic composition of terrigenous clays from marine sediments can provide important information on the sources and pathways of sediments. International Ocean Discovery Program Expedition 361 drilled sites along the eastern margin of southern Africa that potentially provide archives of rainfall on the continent as well as dispersal in the Agulhas Current. We used standard methods to remove carbonate and ferromanganese oxides and Stokes settling to isolate the clay fractions. In comparison to most previous studies that aimed to extract the detrital signal from marine sediments, we additionally applied a cation exchange wash using CsCl as a final step in the sample preparation. The motivation behind the extra step, not frequently applied, is to remove ions that are gained on the clay surface due to adsorption of authigenic trace metals in the ocean or during the leaching procedure. Either would alter the composition of the detrital fraction if no cation exchange was applied. Moreover, using CsCl will provide an additional measure of the cation exchange capacity (CEC) of the samples. However, no study so far has evaluated the potential and the limitations of such a targeted protocol for marine sediments. Here, we explore the effects of removing and replacing adsorbed cations on the clay surfaces with Cs+, conducting measurements of the chemical compositions, and radiogenic isotopes on a set of eight clay sample pairs. Both sets of samples underwent the same full leaching procedure except that one batch was treated with a final CsCl wash step. In this study, organic matter was not leached because sediments at IODP Site U1478 have relatively low organic content. However, in general, we recommend including that step in the leaching procedure. As expected, significant portions of elements with high concentrations in seawater were replaced by Cs+ (2SD 2.8%.) from the wash, including 75% of the sodium and approximately 25% of the calcium, 10% of the magnesium, and 8% of the potassium. Trace metals such as Sr and Nd, whose isotopes are used for provenance studies, are also found to be in lower concentrations in the samples after the exchange wash. The exchange wash affected the radiogenic isotope compositions of the samples. Neodymium isotope ratios are slightly less radiogenic in all the washed samples. Strontium and Pb isotopes showed significant deviations to either more or less radiogenic values in different samples. The radiogenic isotop…","author":[{"dropping-particle":"","family":"Simon","given":"Margit H.","non-dropping-particle":"","parse-names":false,"suffix":""},{"dropping-particle":"","family":"Babin","given":"Daniel P.","non-dropping-particle":"","parse-names":false,"suffix":""},{"dropping-particle":"","family":"Goldstein","given":"Steven L.","non-dropping-particle":"","parse-names":false,"suffix":""},{"dropping-particle":"","family":"Cai","given":"Merry Yue","non-dropping-particle":"","parse-names":false,"suffix":""},{"dropping-particle":"","family":"Liu","given":"Tanzhuo","non-dropping-particle":"","parse-names":false,"suffix":""},{"dropping-particle":"","family":"Han","given":"Xibin","non-dropping-particle":"","parse-names":false,"suffix":""},{"dropping-particle":"","family":"Haws","given":"Anne A.","non-dropping-particle":"","parse-names":false,"suffix":""},{"dropping-particle":"","family":"Johns","given":"Matthew","non-dropping-particle":"","parse-names":false,"suffix":""},{"dropping-particle":"","family":"Lear","given":"Caroline","non-dropping-particle":"","parse-names":false,"suffix":""},{"dropping-particle":"","family":"Hemming","given":"Sidney R.","non-dropping-particle":"","parse-names":false,"suffix":""}],"container-title":"Chemical Geology","id":"ITEM-1","issue":"December","issued":{"date-parts":[["2020"]]},"note":"Sent from Vicki Feb 2020 - development of a leaching process to remove asorbed ions (implemented at the very end of sample prep, even after grain size separation?)\n\nNot written super clearly, some confusing passages/justifications....\n\nE.g. the removal of &amp;quot;seawater&amp;quot; Sr doesn't lead to more radiogenic values in most of their samples, but they say it must give more reliable data because it correlates better with the data from differernt isotope systems ont he same sample...not sure how legit this is? \n\nDefintely shows the need for my MgCl wash step, but will need to think about justification of the order of my leaching steps....","title":"Development of a protocol to obtain the composition of terrigenous detritus in marine sediments -a pilot study from International Ocean Discovery Program Expedition 361","type":"article-journal","volume":"535"},"uris":["http://www.mendeley.com/documents/?uuid=788daece-e9ec-4639-9aef-434ee9e215ac"]},{"id":"ITEM-2","itemData":{"DOI":"10.1002/lom3.10013","ISSN":"15415856","abstract":"The lithogenic fraction in marine sediments can be a key proxy to reconstruct past changes in atmospheric circulation, river runoff among other sedimentary processes. But, accurate isolation of the lithic component within biogenic-rich sediments can be particularly challenging in areas of high marine productivity. We present an experiment to isolate and characterize this lithogenic fraction that ensures the full elimination of biogenic and authigenic components. This experiment demonstrates that standard procedures used in most of the studies of terrigenous fraction in marine sediments, are inadequate to remove efficiently most of the biogenic components in sediments from high productivity regions such as the Eastern Equatorial Pacific. The experiment reviews each of the procedure steps designed for the removal of organic matter, carbonate, Fe-Mn oxides, and biogenic silica. The most critical steps were the removal of organic matter incorporated in fecal pellets, and the elimination of the biogenic silica. The continuous monitoring of the grain-size distribution of the samples along the experiment steps allows evaluating the impact that an inadequate procedure can induce on the grain size. Finally, lithic grain-size distributions were characterized using k-means statistical technique providing objective information for climate interpretation. The proposed approach ensures the quality of the results and allows magnifying the information provided by the lithic fraction in marine sediments.","author":[{"dropping-particle":"","family":"Povea","given":"Patricia","non-dropping-particle":"","parse-names":false,"suffix":""},{"dropping-particle":"","family":"Cacho","given":"Isabel","non-dropping-particle":"","parse-names":false,"suffix":""},{"dropping-particle":"","family":"Moreno","given":"Ana","non-dropping-particle":"","parse-names":false,"suffix":""},{"dropping-particle":"","family":"Menéndez","given":"Melisa","non-dropping-particle":"","parse-names":false,"suffix":""},{"dropping-particle":"","family":"Méndez","given":"Fernando J.","non-dropping-particle":"","parse-names":false,"suffix":""}],"container-title":"Limnology and Oceanography: Methods","id":"ITEM-2","issue":"3","issued":{"date-parts":[["2015"]]},"note":"do buffer, and very low acid. \nBut have to repeat lots.","page":"127-137","title":"A new procedure for the lithic fraction characterization in marine sediments from high productivity areas: Optimization of analytical and statistical procedures","type":"article-journal","volume":"13"},"uris":["http://www.mendeley.com/documents/?uuid=b7ecad56-ad95-4adf-b806-74e5209c63d0"]},{"id":"ITEM-3","itemData":{"DOI":"10.1016/S0009-2541(01)00416-8","ISBN":"0009-2541","ISSN":"00092541","abstract":"The radiogenic isotopic composition of both detrital and Fe-Mn fractions in marine sediments can be used in paleoceanography to infer changes of bottom-water circulation. We have examined various chemical techniques for the analysis of Sr and Nd isotope ratios in these fractions and present a robust method that can be used to separate both the Fe-Mn oxides and the detrital fraction from a marine sediment sample for isotopic analysis. Our sequential leaching procedure involves the use of 10% acetic acid, followed by 1 M hydroxylamine hydrochloride in 25% acetic acid to remove the carbonate component and the Fe-Mn oxide fraction, respectively. The applicability of our chemical procedure is illustrated with examples from a marine sediment core raised from the northern Cape Basin, southeast Atlantic Ocean. © 2002 Elsevier Science B.V. All rights reserved.","author":[{"dropping-particle":"","family":"Bayon","given":"G.","non-dropping-particle":"","parse-names":false,"suffix":""},{"dropping-particle":"","family":"German","given":"C. R.","non-dropping-particle":"","parse-names":false,"suffix":""},{"dropping-particle":"","family":"Boella","given":"R. M.","non-dropping-particle":"","parse-names":false,"suffix":""},{"dropping-particle":"","family":"Milton","given":"J. A.","non-dropping-particle":"","parse-names":false,"suffix":""},{"dropping-particle":"","family":"Taylor","given":"R. N.","non-dropping-particle":"","parse-names":false,"suffix":""},{"dropping-particle":"","family":"Nesbitt","given":"R. W.","non-dropping-particle":"","parse-names":false,"suffix":""}],"container-title":"Chemical Geology","id":"ITEM-3","issue":"3-4","issued":{"date-parts":[["2002"]]},"note":"Gives a statement to justify not buffering. \nAlso gives Sr and Nd values at each cleaning step. The Nd changes very little after each step, (inc. the acetic acid step) (relative to provenance changes).\nTHis shows that the buffering is not essential. \nThis is probably by best evidence for not buffering.","page":"179-199","title":"An improved method for extracting marine sediment fractions and its application to Sr and Nd isotopic analysis","type":"article-journal","volume":"187"},"uris":["http://www.mendeley.com/documents/?uuid=b204936c-7304-47eb-b8fe-81ab795dfade"]},{"id":"ITEM-4","itemData":{"DOI":"10.1016/j.quascirev.2014.04.005","ISBN":"0277-3791","ISSN":"02773791","abstract":"We present Plio-Pleistocene records of sediment color, %CaCO3, foraminifer fragmentation, benthic carbon isotopes (δ13C) and radiogenic isotopes (Sr, Nd, Pb) of the terrigenous component from IODP Site U1313, a reoccupation of benchmark subtropical North Atlantic Ocean DSDP Site 607. We show that (inter)glacial cycles in sediment color and %CaCO3pre-date major northern hemisphere glaciation and are unambiguously and consistently correlated to benthic oxygen isotopes back to 3.3 million years ago (Ma) and intermittently so probably back to the Miocene/Pliocene boundary. We show these lithological cycles to be driven by enhanced glacial fluxes of terrigenous material (eolian dust), not carbonate dissolution (the classic interpretation). Our radiogenic isotope data indicate a North American source for this dust (~3.3-2.4Ma) in keeping with the interpreted source of terrestrial plant wax-derived biomarkers deposited at Site U1313. Yet our data indicate a mid latitude provenance regardless of (inter)glacial state, a finding that is inconsistent with the biomarker-inferred importance of glaciogenic mechanisms of dust production and transport. Moreover, we find that the relation between the biomarker and lithogenic components of dust accumulation is distinctly non-linear. Both records show a jump in glacial rates of accumulation from Marine Isotope Stage, MIS, G6 (2.72Ma) onwards but the amplitude of this signal is about 3-8 times greater for biomarkers than for dust and particularly extreme during MIS 100 (2.52Ma). We conclude that North America shifted abruptly to a distinctly more arid glacial regime from MIS G6, but major shifts in glacial North American vegetation biomes and regional wind fields (exacerbated by the growth of a large Laurentide Ice Sheet during MIS 100) likely explain amplification of this signal in the biomarker records. Our findings are consistent with wetter-than-modern reconstructions of North American continental climate under the warm high CO2conditions of the Early Pliocene but contrast with most model predictions for the response of the hydrological cycle to anthropogenic warming over the coming 50 years (poleward expansion of the subtropical dry zones). © 2014 Elsevier Ltd.","author":[{"dropping-particle":"","family":"Lang","given":"David C.","non-dropping-particle":"","parse-names":false,"suffix":""},{"dropping-particle":"","family":"Bailey","given":"Ian","non-dropping-particle":"","parse-names":false,"suffix":""},{"dropping-particle":"","family":"Wilson","given":"Paul A.","non-dropping-particle":"","parse-names":false,"suffix":""},{"dropping-particle":"","family":"Beer","given":"Christopher J.","non-dropping-particle":"","parse-names":false,"suffix":""},{"dropping-particle":"","family":"Bolton","given":"Clara T.","non-dropping-particle":"","parse-names":false,"suffix":""},{"dropping-particle":"","family":"Friedrich","given":"Oliver","non-dropping-particle":"","parse-names":false,"suffix":""},{"dropping-particle":"","family":"Newsam","given":"Cherry","non-dropping-particle":"","parse-names":false,"suffix":""},{"dropping-particle":"","family":"Spencer","given":"Megan R.","non-dropping-particle":"","parse-names":false,"suffix":""},{"dropping-particle":"","family":"Gutjahr","given":"Marcus","non-dropping-particle":"","parse-names":false,"suffix":""},{"dropping-particle":"","family":"Foster","given":"Gavin L.","non-dropping-particle":"","parse-names":false,"suffix":""},{"dropping-particle":"","family":"Cooper","given":"Matthew J.","non-dropping-particle":"","parse-names":false,"suffix":""},{"dropping-particle":"","family":"Milton","given":"J. Andrew","non-dropping-particle":"","parse-names":false,"suffix":""}],"container-title":"Quaternary Science Reviews","id":"ITEM-4","issued":{"date-parts":[["2014"]]},"note":"Do buffer","page":"125-141","publisher":"Elsevier Ltd","title":"The transition on North America from the warm humid Pliocene to the glaciated Quaternary traced by eolian dust deposition at a benchmark North Atlantic Ocean drill site","type":"article-journal","volume":"93"},"uris":["http://www.mendeley.com/documents/?uuid=b5de900b-d62e-4033-8c9f-b737a200ac58"]}],"mendeley":{"formattedCitation":"(Bayon et al., 2002; Lang et al., 2014; Povea et al., 2015; Simon et al., 2020)","manualFormatting":"Bayon et al. 2002; Lang et al. 2014; Povea et al. 2015","plainTextFormattedCitation":"(Bayon et al., 2002; Lang et al., 2014; Povea et al., 2015; Simon et al., 2020)","previouslyFormattedCitation":"(Bayon et al., 2002; Lang et al., 2014; Povea et al., 2015; Simon et al., 2020)"},"properties":{"noteIndex":0},"schema":"https://github.com/citation-style-language/schema/raw/master/csl-citation.json"}</w:instrText>
      </w:r>
      <w:r w:rsidRPr="00BB74C9">
        <w:rPr>
          <w:rFonts w:cstheme="minorHAnsi"/>
        </w:rPr>
        <w:fldChar w:fldCharType="separate"/>
      </w:r>
      <w:r w:rsidRPr="00C620E6">
        <w:rPr>
          <w:rFonts w:cstheme="minorHAnsi"/>
          <w:noProof/>
        </w:rPr>
        <w:t>Bayon et al. 2002</w:t>
      </w:r>
      <w:r w:rsidR="00586A99">
        <w:rPr>
          <w:rFonts w:cstheme="minorHAnsi"/>
          <w:noProof/>
        </w:rPr>
        <w:t>;</w:t>
      </w:r>
      <w:r w:rsidRPr="00C620E6">
        <w:rPr>
          <w:rFonts w:cstheme="minorHAnsi"/>
          <w:noProof/>
        </w:rPr>
        <w:t xml:space="preserve"> Lang et al. 2014</w:t>
      </w:r>
      <w:r>
        <w:rPr>
          <w:rFonts w:cstheme="minorHAnsi"/>
          <w:noProof/>
        </w:rPr>
        <w:t xml:space="preserve">; </w:t>
      </w:r>
      <w:r w:rsidRPr="00C620E6">
        <w:rPr>
          <w:rFonts w:cstheme="minorHAnsi"/>
          <w:noProof/>
        </w:rPr>
        <w:t>Povea et al. 2015</w:t>
      </w:r>
      <w:r w:rsidRPr="00BB74C9">
        <w:rPr>
          <w:rFonts w:cstheme="minorHAnsi"/>
        </w:rPr>
        <w:fldChar w:fldCharType="end"/>
      </w:r>
      <w:r w:rsidR="00586A99">
        <w:rPr>
          <w:rFonts w:cstheme="minorHAnsi"/>
        </w:rPr>
        <w:t xml:space="preserve"> </w:t>
      </w:r>
      <w:r>
        <w:rPr>
          <w:rFonts w:cstheme="minorHAnsi"/>
          <w:bCs/>
          <w:iCs/>
        </w:rPr>
        <w:t>and references therein) but</w:t>
      </w:r>
      <w:r w:rsidR="00BC42C5">
        <w:rPr>
          <w:rFonts w:cstheme="minorHAnsi"/>
          <w:bCs/>
          <w:iCs/>
        </w:rPr>
        <w:t xml:space="preserve"> rarely are</w:t>
      </w:r>
      <w:r w:rsidR="00995D25">
        <w:rPr>
          <w:rFonts w:cstheme="minorHAnsi"/>
          <w:bCs/>
          <w:iCs/>
        </w:rPr>
        <w:t xml:space="preserve"> they all </w:t>
      </w:r>
      <w:r w:rsidR="00BC42C5">
        <w:rPr>
          <w:rFonts w:cstheme="minorHAnsi"/>
          <w:bCs/>
          <w:iCs/>
        </w:rPr>
        <w:t>applied</w:t>
      </w:r>
      <w:r w:rsidR="00995D25">
        <w:rPr>
          <w:rFonts w:cstheme="minorHAnsi"/>
          <w:bCs/>
          <w:iCs/>
        </w:rPr>
        <w:t xml:space="preserve"> to the same sample set</w:t>
      </w:r>
      <w:r>
        <w:rPr>
          <w:rFonts w:cstheme="minorHAnsi"/>
          <w:bCs/>
          <w:iCs/>
        </w:rPr>
        <w:t>.</w:t>
      </w:r>
      <w:r w:rsidR="002C18C9">
        <w:rPr>
          <w:rFonts w:cstheme="minorHAnsi"/>
          <w:bCs/>
          <w:iCs/>
        </w:rPr>
        <w:t xml:space="preserve"> </w:t>
      </w:r>
      <w:r w:rsidR="006B4416">
        <w:rPr>
          <w:rFonts w:cstheme="minorHAnsi"/>
          <w:bCs/>
          <w:iCs/>
        </w:rPr>
        <w:t xml:space="preserve">Cleaned samples were </w:t>
      </w:r>
      <w:r w:rsidR="002C18C9">
        <w:rPr>
          <w:rFonts w:cstheme="minorHAnsi"/>
          <w:bCs/>
          <w:iCs/>
        </w:rPr>
        <w:t xml:space="preserve">then treated with DTPA-NaOH </w:t>
      </w:r>
      <w:r w:rsidR="006B4416">
        <w:rPr>
          <w:rFonts w:cstheme="minorHAnsi"/>
          <w:bCs/>
          <w:iCs/>
        </w:rPr>
        <w:t xml:space="preserve">to remove marine barite </w:t>
      </w:r>
      <w:r w:rsidR="00F03579">
        <w:rPr>
          <w:rFonts w:cstheme="minorHAnsi"/>
          <w:bCs/>
          <w:iCs/>
        </w:rPr>
        <w:t>using</w:t>
      </w:r>
      <w:r w:rsidR="00C620E6">
        <w:rPr>
          <w:rFonts w:cstheme="minorHAnsi"/>
          <w:bCs/>
          <w:iCs/>
        </w:rPr>
        <w:t xml:space="preserve"> </w:t>
      </w:r>
      <w:r w:rsidR="006B4416">
        <w:rPr>
          <w:rFonts w:cstheme="minorHAnsi"/>
          <w:bCs/>
          <w:iCs/>
        </w:rPr>
        <w:t>a</w:t>
      </w:r>
      <w:r w:rsidR="00586A99">
        <w:rPr>
          <w:rFonts w:cstheme="minorHAnsi"/>
          <w:bCs/>
          <w:iCs/>
        </w:rPr>
        <w:t xml:space="preserve"> protocol</w:t>
      </w:r>
      <w:r w:rsidR="006B4416">
        <w:rPr>
          <w:rFonts w:cstheme="minorHAnsi"/>
          <w:bCs/>
          <w:iCs/>
        </w:rPr>
        <w:t xml:space="preserve"> </w:t>
      </w:r>
      <w:r w:rsidR="00586A99">
        <w:rPr>
          <w:rFonts w:cstheme="minorHAnsi"/>
          <w:bCs/>
          <w:iCs/>
        </w:rPr>
        <w:t xml:space="preserve">that </w:t>
      </w:r>
      <w:r w:rsidR="006B4416">
        <w:rPr>
          <w:rFonts w:cstheme="minorHAnsi"/>
          <w:bCs/>
          <w:iCs/>
        </w:rPr>
        <w:t>builds on</w:t>
      </w:r>
      <w:r w:rsidR="00C620E6">
        <w:rPr>
          <w:rFonts w:cstheme="minorHAnsi"/>
          <w:bCs/>
          <w:iCs/>
        </w:rPr>
        <w:t xml:space="preserve"> </w:t>
      </w:r>
      <w:r w:rsidR="00586A99">
        <w:rPr>
          <w:rFonts w:cstheme="minorHAnsi"/>
          <w:bCs/>
          <w:iCs/>
        </w:rPr>
        <w:t xml:space="preserve">the work of </w:t>
      </w:r>
      <w:r w:rsidR="00C620E6">
        <w:rPr>
          <w:rFonts w:cstheme="minorHAnsi"/>
          <w:bCs/>
          <w:iCs/>
        </w:rPr>
        <w:t>Xie and Marcantonio (2012)</w:t>
      </w:r>
      <w:r w:rsidR="00586A99">
        <w:rPr>
          <w:rFonts w:cstheme="minorHAnsi"/>
          <w:bCs/>
          <w:iCs/>
        </w:rPr>
        <w:t xml:space="preserve"> who</w:t>
      </w:r>
      <w:r w:rsidR="00E749C2">
        <w:rPr>
          <w:rFonts w:cstheme="minorHAnsi"/>
          <w:bCs/>
          <w:iCs/>
        </w:rPr>
        <w:t xml:space="preserve"> conclude</w:t>
      </w:r>
      <w:r w:rsidR="00995D25">
        <w:rPr>
          <w:rFonts w:cstheme="minorHAnsi"/>
          <w:bCs/>
          <w:iCs/>
        </w:rPr>
        <w:t>d</w:t>
      </w:r>
      <w:r w:rsidR="00E749C2">
        <w:rPr>
          <w:rFonts w:cstheme="minorHAnsi"/>
          <w:bCs/>
          <w:iCs/>
        </w:rPr>
        <w:t xml:space="preserve"> that </w:t>
      </w:r>
      <w:r w:rsidR="00586A99">
        <w:rPr>
          <w:rFonts w:cstheme="minorHAnsi"/>
          <w:bCs/>
          <w:iCs/>
        </w:rPr>
        <w:t xml:space="preserve">their approach (no treatment to remove organic matter or </w:t>
      </w:r>
      <w:r w:rsidR="00FB7553">
        <w:rPr>
          <w:rFonts w:cstheme="minorHAnsi"/>
          <w:bCs/>
          <w:iCs/>
        </w:rPr>
        <w:t>adsorbed</w:t>
      </w:r>
      <w:r w:rsidR="00586A99">
        <w:rPr>
          <w:rFonts w:cstheme="minorHAnsi"/>
          <w:bCs/>
          <w:iCs/>
        </w:rPr>
        <w:t xml:space="preserve"> cations, </w:t>
      </w:r>
      <w:r w:rsidR="00E749C2">
        <w:rPr>
          <w:rFonts w:cstheme="minorHAnsi"/>
          <w:bCs/>
          <w:iCs/>
        </w:rPr>
        <w:t>one DTPA-NaOH treatment</w:t>
      </w:r>
      <w:r w:rsidR="00586A99">
        <w:rPr>
          <w:rFonts w:cstheme="minorHAnsi"/>
          <w:bCs/>
          <w:iCs/>
        </w:rPr>
        <w:t xml:space="preserve"> to remove barite)</w:t>
      </w:r>
      <w:r w:rsidR="00E749C2">
        <w:rPr>
          <w:rFonts w:cstheme="minorHAnsi"/>
          <w:bCs/>
          <w:iCs/>
        </w:rPr>
        <w:t xml:space="preserve"> </w:t>
      </w:r>
      <w:r w:rsidR="00586A99">
        <w:rPr>
          <w:rFonts w:cstheme="minorHAnsi"/>
          <w:bCs/>
          <w:iCs/>
        </w:rPr>
        <w:t xml:space="preserve">did not effectively clean their samples </w:t>
      </w:r>
      <w:r w:rsidR="002C18C9">
        <w:rPr>
          <w:rFonts w:cstheme="minorHAnsi"/>
          <w:bCs/>
          <w:iCs/>
        </w:rPr>
        <w:t xml:space="preserve">because </w:t>
      </w:r>
      <w:r w:rsidR="00E749C2">
        <w:rPr>
          <w:rFonts w:cstheme="minorHAnsi"/>
          <w:bCs/>
          <w:iCs/>
        </w:rPr>
        <w:t xml:space="preserve">the change in </w:t>
      </w:r>
      <w:r w:rsidR="00E749C2" w:rsidRPr="00E749C2">
        <w:rPr>
          <w:rFonts w:cstheme="minorHAnsi"/>
          <w:bCs/>
          <w:iCs/>
          <w:vertAlign w:val="superscript"/>
        </w:rPr>
        <w:t>87</w:t>
      </w:r>
      <w:r w:rsidR="00E749C2" w:rsidRPr="00E749C2">
        <w:rPr>
          <w:rFonts w:cstheme="minorHAnsi"/>
          <w:bCs/>
          <w:iCs/>
        </w:rPr>
        <w:t>Sr/</w:t>
      </w:r>
      <w:r w:rsidR="00E749C2" w:rsidRPr="00E749C2">
        <w:rPr>
          <w:rFonts w:cstheme="minorHAnsi"/>
          <w:bCs/>
          <w:iCs/>
          <w:vertAlign w:val="superscript"/>
        </w:rPr>
        <w:t>86</w:t>
      </w:r>
      <w:r w:rsidR="00E749C2" w:rsidRPr="00E749C2">
        <w:rPr>
          <w:rFonts w:cstheme="minorHAnsi"/>
          <w:bCs/>
          <w:iCs/>
        </w:rPr>
        <w:t>Sr</w:t>
      </w:r>
      <w:r w:rsidR="00E749C2">
        <w:rPr>
          <w:rFonts w:cstheme="minorHAnsi"/>
          <w:bCs/>
          <w:iCs/>
        </w:rPr>
        <w:t xml:space="preserve"> following DTPA-NaOH treatment did not scale linearly with lo</w:t>
      </w:r>
      <w:r w:rsidR="00380BB3">
        <w:rPr>
          <w:rFonts w:cstheme="minorHAnsi"/>
          <w:bCs/>
          <w:iCs/>
        </w:rPr>
        <w:t>c</w:t>
      </w:r>
      <w:r w:rsidR="00E749C2">
        <w:rPr>
          <w:rFonts w:cstheme="minorHAnsi"/>
          <w:bCs/>
          <w:iCs/>
        </w:rPr>
        <w:t xml:space="preserve">al productivity. </w:t>
      </w:r>
      <w:r w:rsidR="002C18C9">
        <w:rPr>
          <w:rFonts w:cstheme="minorHAnsi"/>
          <w:bCs/>
          <w:iCs/>
        </w:rPr>
        <w:t xml:space="preserve">Our goal </w:t>
      </w:r>
      <w:r>
        <w:rPr>
          <w:rFonts w:cstheme="minorHAnsi"/>
          <w:bCs/>
          <w:iCs/>
        </w:rPr>
        <w:t>was</w:t>
      </w:r>
      <w:r w:rsidR="002C18C9">
        <w:rPr>
          <w:rFonts w:cstheme="minorHAnsi"/>
          <w:bCs/>
          <w:iCs/>
        </w:rPr>
        <w:t xml:space="preserve"> to remove the influence of marine barite on the isotopic composition of the terrigenous fraction</w:t>
      </w:r>
      <w:r w:rsidR="00F82B27">
        <w:rPr>
          <w:rFonts w:cstheme="minorHAnsi"/>
          <w:bCs/>
          <w:iCs/>
        </w:rPr>
        <w:t xml:space="preserve">. Our approach subjected samples to multiple DTPA-NaOH treatments to determine optimal site-specific treatment. </w:t>
      </w:r>
      <w:r w:rsidR="00C620E6">
        <w:rPr>
          <w:rFonts w:cstheme="minorHAnsi"/>
          <w:bCs/>
          <w:iCs/>
        </w:rPr>
        <w:t xml:space="preserve">All sample processing and analysis was undertaken </w:t>
      </w:r>
      <w:r w:rsidR="00C620E6">
        <w:rPr>
          <w:rFonts w:cstheme="minorHAnsi"/>
        </w:rPr>
        <w:t>at the University of Southampton’s Waterfront Campus laboratories</w:t>
      </w:r>
      <w:r w:rsidR="00C620E6" w:rsidRPr="002709B5">
        <w:rPr>
          <w:rFonts w:cstheme="minorHAnsi"/>
        </w:rPr>
        <w:t xml:space="preserve">. </w:t>
      </w:r>
      <w:r w:rsidR="00253038">
        <w:rPr>
          <w:rFonts w:cstheme="minorHAnsi"/>
        </w:rPr>
        <w:t xml:space="preserve">To test reproducibility, we repeated the </w:t>
      </w:r>
      <w:r w:rsidR="004D1C34">
        <w:rPr>
          <w:rFonts w:cstheme="minorHAnsi"/>
        </w:rPr>
        <w:t>whole protocol</w:t>
      </w:r>
      <w:r w:rsidR="00253038">
        <w:rPr>
          <w:rFonts w:cstheme="minorHAnsi"/>
        </w:rPr>
        <w:t xml:space="preserve"> for several samples giving replicate measurements. </w:t>
      </w:r>
      <w:r w:rsidR="00E417E3">
        <w:rPr>
          <w:rFonts w:cstheme="minorHAnsi"/>
        </w:rPr>
        <w:t>In the discussion that follows, we refer to the first measurement</w:t>
      </w:r>
      <w:r w:rsidR="00B06C2E">
        <w:rPr>
          <w:rFonts w:cstheme="minorHAnsi"/>
        </w:rPr>
        <w:t>s</w:t>
      </w:r>
      <w:r w:rsidR="00E417E3">
        <w:rPr>
          <w:rFonts w:cstheme="minorHAnsi"/>
        </w:rPr>
        <w:t xml:space="preserve"> from each experiment, replicates are listed in </w:t>
      </w:r>
      <w:r w:rsidR="00F47CA0">
        <w:rPr>
          <w:rFonts w:cstheme="minorHAnsi"/>
        </w:rPr>
        <w:t xml:space="preserve">Tables S1 &amp; S2 </w:t>
      </w:r>
      <w:r w:rsidR="00E417E3">
        <w:rPr>
          <w:rFonts w:cstheme="minorHAnsi"/>
        </w:rPr>
        <w:t xml:space="preserve">for reference. </w:t>
      </w:r>
    </w:p>
    <w:p w14:paraId="5E02C8F6" w14:textId="77777777" w:rsidR="00C620E6" w:rsidRDefault="00C620E6" w:rsidP="0049718C">
      <w:pPr>
        <w:spacing w:line="480" w:lineRule="auto"/>
        <w:jc w:val="both"/>
        <w:rPr>
          <w:rFonts w:cstheme="minorHAnsi"/>
          <w:bCs/>
          <w:iC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6"/>
      </w:tblGrid>
      <w:tr w:rsidR="0055530D" w14:paraId="7513AFAE" w14:textId="77777777" w:rsidTr="00DB6666">
        <w:trPr>
          <w:trHeight w:val="7303"/>
          <w:jc w:val="center"/>
        </w:trPr>
        <w:tc>
          <w:tcPr>
            <w:tcW w:w="8506" w:type="dxa"/>
          </w:tcPr>
          <w:p w14:paraId="2BE46C18" w14:textId="77777777" w:rsidR="0055530D" w:rsidRDefault="0055530D" w:rsidP="00DB6666">
            <w:pPr>
              <w:jc w:val="center"/>
            </w:pPr>
            <w:r>
              <w:rPr>
                <w:noProof/>
                <w:lang w:val="en-US"/>
              </w:rPr>
              <w:lastRenderedPageBreak/>
              <w:drawing>
                <wp:inline distT="0" distB="0" distL="0" distR="0" wp14:anchorId="6400045C" wp14:editId="158C138B">
                  <wp:extent cx="3302649" cy="64808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stretch>
                            <a:fillRect/>
                          </a:stretch>
                        </pic:blipFill>
                        <pic:spPr>
                          <a:xfrm>
                            <a:off x="0" y="0"/>
                            <a:ext cx="3302649" cy="6480883"/>
                          </a:xfrm>
                          <a:prstGeom prst="rect">
                            <a:avLst/>
                          </a:prstGeom>
                        </pic:spPr>
                      </pic:pic>
                    </a:graphicData>
                  </a:graphic>
                </wp:inline>
              </w:drawing>
            </w:r>
          </w:p>
        </w:tc>
      </w:tr>
      <w:tr w:rsidR="0055530D" w14:paraId="4547EF4E" w14:textId="77777777" w:rsidTr="00DB6666">
        <w:trPr>
          <w:trHeight w:val="455"/>
          <w:jc w:val="center"/>
        </w:trPr>
        <w:tc>
          <w:tcPr>
            <w:tcW w:w="8506" w:type="dxa"/>
          </w:tcPr>
          <w:p w14:paraId="0F4793AF" w14:textId="77777777" w:rsidR="00297356" w:rsidRDefault="00297356" w:rsidP="00D671DF">
            <w:pPr>
              <w:jc w:val="both"/>
              <w:rPr>
                <w:b/>
                <w:bCs/>
                <w:sz w:val="22"/>
              </w:rPr>
            </w:pPr>
          </w:p>
          <w:p w14:paraId="47F96296" w14:textId="6E2B2C12" w:rsidR="0055530D" w:rsidRPr="003A1FF7" w:rsidRDefault="0055530D" w:rsidP="00D671DF">
            <w:pPr>
              <w:jc w:val="both"/>
              <w:rPr>
                <w:bCs/>
              </w:rPr>
            </w:pPr>
            <w:r w:rsidRPr="00D96FB6">
              <w:rPr>
                <w:b/>
                <w:bCs/>
                <w:sz w:val="22"/>
              </w:rPr>
              <w:t xml:space="preserve">Figure </w:t>
            </w:r>
            <w:r w:rsidR="009A186C">
              <w:rPr>
                <w:b/>
                <w:bCs/>
                <w:sz w:val="22"/>
              </w:rPr>
              <w:t>3</w:t>
            </w:r>
            <w:r w:rsidRPr="00D96FB6">
              <w:rPr>
                <w:b/>
                <w:bCs/>
                <w:sz w:val="22"/>
              </w:rPr>
              <w:t xml:space="preserve"> </w:t>
            </w:r>
            <w:r w:rsidR="0077648B">
              <w:rPr>
                <w:b/>
                <w:bCs/>
                <w:sz w:val="22"/>
              </w:rPr>
              <w:t>–</w:t>
            </w:r>
            <w:r w:rsidRPr="00D96FB6">
              <w:rPr>
                <w:b/>
                <w:bCs/>
                <w:sz w:val="22"/>
              </w:rPr>
              <w:t xml:space="preserve"> </w:t>
            </w:r>
            <w:r w:rsidR="0077648B">
              <w:rPr>
                <w:b/>
                <w:bCs/>
                <w:sz w:val="22"/>
              </w:rPr>
              <w:t>Our method</w:t>
            </w:r>
            <w:r w:rsidRPr="00D96FB6">
              <w:rPr>
                <w:b/>
                <w:bCs/>
                <w:sz w:val="22"/>
              </w:rPr>
              <w:t xml:space="preserve"> for isolating the </w:t>
            </w:r>
            <w:r w:rsidR="00E869C7">
              <w:rPr>
                <w:b/>
                <w:bCs/>
                <w:sz w:val="22"/>
              </w:rPr>
              <w:t>terrigenous</w:t>
            </w:r>
            <w:r w:rsidRPr="00D96FB6">
              <w:rPr>
                <w:b/>
                <w:bCs/>
                <w:sz w:val="22"/>
              </w:rPr>
              <w:t xml:space="preserve"> fraction </w:t>
            </w:r>
            <w:r w:rsidR="00D671DF">
              <w:rPr>
                <w:b/>
                <w:bCs/>
                <w:sz w:val="22"/>
              </w:rPr>
              <w:t>from all</w:t>
            </w:r>
            <w:r w:rsidR="00D671DF" w:rsidRPr="00D96FB6">
              <w:rPr>
                <w:b/>
                <w:bCs/>
                <w:sz w:val="22"/>
              </w:rPr>
              <w:t xml:space="preserve"> </w:t>
            </w:r>
            <w:r w:rsidR="00D671DF">
              <w:rPr>
                <w:b/>
                <w:bCs/>
                <w:sz w:val="22"/>
              </w:rPr>
              <w:t>contaminating phases, including barite (red boxes), to allow accurate determination of the radiogenic isotope composition</w:t>
            </w:r>
            <w:r w:rsidRPr="00D96FB6">
              <w:rPr>
                <w:b/>
                <w:bCs/>
                <w:sz w:val="22"/>
              </w:rPr>
              <w:t xml:space="preserve">. </w:t>
            </w:r>
          </w:p>
        </w:tc>
      </w:tr>
    </w:tbl>
    <w:p w14:paraId="73B462DE" w14:textId="77777777" w:rsidR="0055530D" w:rsidRPr="00C620E6" w:rsidRDefault="0055530D" w:rsidP="0049718C">
      <w:pPr>
        <w:spacing w:line="480" w:lineRule="auto"/>
        <w:jc w:val="both"/>
        <w:rPr>
          <w:rFonts w:cstheme="minorHAnsi"/>
          <w:bCs/>
          <w:iCs/>
        </w:rPr>
      </w:pPr>
    </w:p>
    <w:p w14:paraId="6A41CF30" w14:textId="77777777" w:rsidR="00B014DA" w:rsidRPr="0049718C" w:rsidRDefault="0049718C" w:rsidP="0049718C">
      <w:pPr>
        <w:pStyle w:val="ListParagraph"/>
        <w:numPr>
          <w:ilvl w:val="2"/>
          <w:numId w:val="5"/>
        </w:numPr>
        <w:spacing w:line="480" w:lineRule="auto"/>
        <w:jc w:val="both"/>
        <w:rPr>
          <w:rFonts w:cstheme="minorHAnsi"/>
          <w:bCs/>
        </w:rPr>
      </w:pPr>
      <w:r>
        <w:rPr>
          <w:rFonts w:cstheme="minorHAnsi"/>
          <w:bCs/>
        </w:rPr>
        <w:t>Sample preparation</w:t>
      </w:r>
      <w:r w:rsidR="0039547C">
        <w:rPr>
          <w:rFonts w:cstheme="minorHAnsi"/>
          <w:bCs/>
        </w:rPr>
        <w:t xml:space="preserve"> and </w:t>
      </w:r>
      <w:r w:rsidR="006B4447">
        <w:rPr>
          <w:rFonts w:cstheme="minorHAnsi"/>
          <w:bCs/>
        </w:rPr>
        <w:t>decarbonation</w:t>
      </w:r>
    </w:p>
    <w:p w14:paraId="79B65E0B" w14:textId="31B8FC17" w:rsidR="00865114" w:rsidRDefault="005C2C1D" w:rsidP="00865114">
      <w:pPr>
        <w:spacing w:line="480" w:lineRule="auto"/>
        <w:jc w:val="both"/>
        <w:rPr>
          <w:rFonts w:cstheme="minorHAnsi"/>
        </w:rPr>
      </w:pPr>
      <w:r w:rsidRPr="00BB74C9">
        <w:rPr>
          <w:rFonts w:cstheme="minorHAnsi"/>
        </w:rPr>
        <w:t>Dr</w:t>
      </w:r>
      <w:r w:rsidR="0039547C">
        <w:rPr>
          <w:rFonts w:cstheme="minorHAnsi"/>
        </w:rPr>
        <w:t>ied</w:t>
      </w:r>
      <w:r w:rsidRPr="00BB74C9">
        <w:rPr>
          <w:rFonts w:cstheme="minorHAnsi"/>
        </w:rPr>
        <w:t xml:space="preserve"> </w:t>
      </w:r>
      <w:r w:rsidR="0039547C">
        <w:rPr>
          <w:rFonts w:cstheme="minorHAnsi"/>
        </w:rPr>
        <w:t xml:space="preserve">samples of </w:t>
      </w:r>
      <w:r w:rsidRPr="00BB74C9">
        <w:rPr>
          <w:rFonts w:cstheme="minorHAnsi"/>
        </w:rPr>
        <w:t xml:space="preserve">bulk sediment were </w:t>
      </w:r>
      <w:r w:rsidR="00393B75">
        <w:rPr>
          <w:rFonts w:cstheme="minorHAnsi"/>
        </w:rPr>
        <w:t xml:space="preserve">ground in a pestle and mortar </w:t>
      </w:r>
      <w:r w:rsidRPr="00BB74C9">
        <w:rPr>
          <w:rFonts w:cstheme="minorHAnsi"/>
        </w:rPr>
        <w:t>and approximately 2</w:t>
      </w:r>
      <w:r w:rsidR="005F29C9">
        <w:rPr>
          <w:rFonts w:cstheme="minorHAnsi"/>
        </w:rPr>
        <w:t xml:space="preserve"> </w:t>
      </w:r>
      <w:r w:rsidRPr="00BB74C9">
        <w:rPr>
          <w:rFonts w:cstheme="minorHAnsi"/>
        </w:rPr>
        <w:t>-</w:t>
      </w:r>
      <w:r w:rsidR="005F29C9">
        <w:rPr>
          <w:rFonts w:cstheme="minorHAnsi"/>
        </w:rPr>
        <w:t xml:space="preserve"> </w:t>
      </w:r>
      <w:r w:rsidRPr="00BB74C9">
        <w:rPr>
          <w:rFonts w:cstheme="minorHAnsi"/>
        </w:rPr>
        <w:t>5 g was transferred directly to Erlenmeyer flasks</w:t>
      </w:r>
      <w:r w:rsidR="00FD5159">
        <w:rPr>
          <w:rFonts w:cstheme="minorHAnsi"/>
        </w:rPr>
        <w:t xml:space="preserve"> in preparation for leaching</w:t>
      </w:r>
      <w:r w:rsidRPr="00BB74C9">
        <w:rPr>
          <w:rFonts w:cstheme="minorHAnsi"/>
        </w:rPr>
        <w:t xml:space="preserve">. </w:t>
      </w:r>
      <w:r w:rsidR="0039547C">
        <w:rPr>
          <w:rFonts w:cstheme="minorHAnsi"/>
          <w:bCs/>
        </w:rPr>
        <w:t xml:space="preserve"> </w:t>
      </w:r>
      <w:r w:rsidR="008651E2">
        <w:rPr>
          <w:rFonts w:cstheme="minorHAnsi"/>
        </w:rPr>
        <w:t xml:space="preserve">To remove carbonate, </w:t>
      </w:r>
      <w:r w:rsidR="008C6417" w:rsidRPr="008C6417">
        <w:rPr>
          <w:rFonts w:cstheme="minorHAnsi"/>
        </w:rPr>
        <w:t xml:space="preserve">~ 50ml 10 % </w:t>
      </w:r>
      <w:r w:rsidR="00A351CA">
        <w:rPr>
          <w:rFonts w:cstheme="minorHAnsi"/>
        </w:rPr>
        <w:t>a</w:t>
      </w:r>
      <w:r w:rsidR="008C6417" w:rsidRPr="008C6417">
        <w:rPr>
          <w:rFonts w:cstheme="minorHAnsi"/>
        </w:rPr>
        <w:t xml:space="preserve">cetic acid (HOAc) </w:t>
      </w:r>
      <w:r w:rsidR="00865114">
        <w:rPr>
          <w:rFonts w:cstheme="minorHAnsi"/>
        </w:rPr>
        <w:t xml:space="preserve">was added and </w:t>
      </w:r>
      <w:r w:rsidR="00A351CA">
        <w:rPr>
          <w:rFonts w:cstheme="minorHAnsi"/>
        </w:rPr>
        <w:t xml:space="preserve">samples </w:t>
      </w:r>
      <w:r w:rsidR="00865114">
        <w:rPr>
          <w:rFonts w:cstheme="minorHAnsi"/>
        </w:rPr>
        <w:t xml:space="preserve">were agitated </w:t>
      </w:r>
      <w:r w:rsidR="008C6417" w:rsidRPr="008C6417">
        <w:rPr>
          <w:rFonts w:cstheme="minorHAnsi"/>
        </w:rPr>
        <w:t>overnight</w:t>
      </w:r>
      <w:r w:rsidR="006B4447">
        <w:rPr>
          <w:rFonts w:cstheme="minorHAnsi"/>
        </w:rPr>
        <w:t xml:space="preserve"> on a shaker table</w:t>
      </w:r>
      <w:r w:rsidR="008C6417" w:rsidRPr="008C6417">
        <w:rPr>
          <w:rFonts w:cstheme="minorHAnsi"/>
        </w:rPr>
        <w:t xml:space="preserve"> </w:t>
      </w:r>
      <w:r w:rsidR="008C6417" w:rsidRPr="008C6417">
        <w:rPr>
          <w:rFonts w:cstheme="minorHAnsi"/>
        </w:rPr>
        <w:fldChar w:fldCharType="begin" w:fldLock="1"/>
      </w:r>
      <w:r w:rsidR="00A15E26">
        <w:rPr>
          <w:rFonts w:cstheme="minorHAnsi"/>
        </w:rPr>
        <w:instrText>ADDIN CSL_CITATION {"citationItems":[{"id":"ITEM-1","itemData":{"DOI":"10.1306/74D70B1E-2B21-11D7-8648000102C1865D","ISSN":"1527-1404","abstract":"Various chemical methods of freeing the clay minerals that occur in limestones and dolomites have been used without regard to the effect the chemicals might have on the properties and structures of these clay minerals. A procedure is here suggested that will accomplish the separation without significantly affecting the character of randomly interstratified illite-montmorillonite, chlorite, illite, or kaolinite, as shown by their X-ray diffraction diagrams. The limestone or dolomite is treated at room temperature with acetic acid (less than 0.3 molar) or hydrochloric acid (0.11 molar). The weaker the acid concentration the greater the possibility that the clay minerals will be unchanged. Some carbonate rocks must be present throughout the period of acid treatment.","author":[{"dropping-particle":"","family":"Ostrom","given":"Meredith E","non-dropping-particle":"","parse-names":false,"suffix":""}],"container-title":"Journal of Sedimentary Petrology","id":"ITEM-1","issue":"1","issued":{"date-parts":[["1961"]]},"note":"States that different clays are affected differently by the acid. Should use ~2% (0.3M) acetic.","page":"123-129","title":"Separation of clay minerals from carbonate rocks by using acid","type":"article-journal","volume":"31"},"uris":["http://www.mendeley.com/documents/?uuid=8a615dbd-66a1-4d4b-adf7-73f2d6359726"]},{"id":"ITEM-2","itemData":{"DOI":"10.1016/S0009-2541(01)00416-8","ISBN":"0009-2541","ISSN":"00092541","abstract":"The radiogenic isotopic composition of both detrital and Fe-Mn fractions in marine sediments can be used in paleoceanography to infer changes of bottom-water circulation. We have examined various chemical techniques for the analysis of Sr and Nd isotope ratios in these fractions and present a robust method that can be used to separate both the Fe-Mn oxides and the detrital fraction from a marine sediment sample for isotopic analysis. Our sequential leaching procedure involves the use of 10% acetic acid, followed by 1 M hydroxylamine hydrochloride in 25% acetic acid to remove the carbonate component and the Fe-Mn oxide fraction, respectively. The applicability of our chemical procedure is illustrated with examples from a marine sediment core raised from the northern Cape Basin, southeast Atlantic Ocean. © 2002 Elsevier Science B.V. All rights reserved.","author":[{"dropping-particle":"","family":"Bayon","given":"G.","non-dropping-particle":"","parse-names":false,"suffix":""},{"dropping-particle":"","family":"German","given":"C. R.","non-dropping-particle":"","parse-names":false,"suffix":""},{"dropping-particle":"","family":"Boella","given":"R. M.","non-dropping-particle":"","parse-names":false,"suffix":""},{"dropping-particle":"","family":"Milton","given":"J. A.","non-dropping-particle":"","parse-names":false,"suffix":""},{"dropping-particle":"","family":"Taylor","given":"R. N.","non-dropping-particle":"","parse-names":false,"suffix":""},{"dropping-particle":"","family":"Nesbitt","given":"R. W.","non-dropping-particle":"","parse-names":false,"suffix":""}],"container-title":"Chemical Geology","id":"ITEM-2","issue":"3-4","issued":{"date-parts":[["2002"]]},"note":"Gives a statement to justify not buffering. \nAlso gives Sr and Nd values at each cleaning step. The Nd changes very little after each step, (inc. the acetic acid step) (relative to provenance changes).\nTHis shows that the buffering is not essential. \nThis is probably by best evidence for not buffering.","page":"179-199","title":"An improved method for extracting marine sediment fractions and its application to Sr and Nd isotopic analysis","type":"article-journal","volume":"187"},"uris":["http://www.mendeley.com/documents/?uuid=b204936c-7304-47eb-b8fe-81ab795dfade"]}],"mendeley":{"formattedCitation":"(Bayon et al., 2002; Ostrom, 1961)","plainTextFormattedCitation":"(Bayon et al., 2002; Ostrom, 1961)","previouslyFormattedCitation":"(Bayon et al., 2002; Ostrom, 1961)"},"properties":{"noteIndex":0},"schema":"https://github.com/citation-style-language/schema/raw/master/csl-citation.json"}</w:instrText>
      </w:r>
      <w:r w:rsidR="008C6417" w:rsidRPr="008C6417">
        <w:rPr>
          <w:rFonts w:cstheme="minorHAnsi"/>
        </w:rPr>
        <w:fldChar w:fldCharType="separate"/>
      </w:r>
      <w:r w:rsidR="00E65168" w:rsidRPr="00E65168">
        <w:rPr>
          <w:rFonts w:cstheme="minorHAnsi"/>
          <w:noProof/>
        </w:rPr>
        <w:t xml:space="preserve">(Bayon et </w:t>
      </w:r>
      <w:r w:rsidR="00E65168" w:rsidRPr="00E65168">
        <w:rPr>
          <w:rFonts w:cstheme="minorHAnsi"/>
          <w:noProof/>
        </w:rPr>
        <w:lastRenderedPageBreak/>
        <w:t>al., 2002; Ostrom, 1961)</w:t>
      </w:r>
      <w:r w:rsidR="008C6417" w:rsidRPr="008C6417">
        <w:rPr>
          <w:rFonts w:cstheme="minorHAnsi"/>
        </w:rPr>
        <w:fldChar w:fldCharType="end"/>
      </w:r>
      <w:r w:rsidR="008C6417" w:rsidRPr="008C6417">
        <w:rPr>
          <w:rFonts w:cstheme="minorHAnsi"/>
        </w:rPr>
        <w:t xml:space="preserve">. </w:t>
      </w:r>
      <w:r w:rsidR="00865114">
        <w:rPr>
          <w:rFonts w:cstheme="minorHAnsi"/>
        </w:rPr>
        <w:t>The following day,</w:t>
      </w:r>
      <w:r w:rsidR="008C6417" w:rsidRPr="008C6417">
        <w:rPr>
          <w:rFonts w:cstheme="minorHAnsi"/>
        </w:rPr>
        <w:t xml:space="preserve"> sediment and reagent were </w:t>
      </w:r>
      <w:r w:rsidR="00D84F01">
        <w:rPr>
          <w:rFonts w:cstheme="minorHAnsi"/>
        </w:rPr>
        <w:t xml:space="preserve">transferred </w:t>
      </w:r>
      <w:r w:rsidR="00567115">
        <w:rPr>
          <w:rFonts w:cstheme="minorHAnsi"/>
        </w:rPr>
        <w:t>in</w:t>
      </w:r>
      <w:r w:rsidR="008C6417" w:rsidRPr="008C6417">
        <w:rPr>
          <w:rFonts w:cstheme="minorHAnsi"/>
        </w:rPr>
        <w:t xml:space="preserve">to acid-cleaned 50ml centrifuge tubes, centrifuged, and </w:t>
      </w:r>
      <w:r w:rsidR="00A351CA">
        <w:rPr>
          <w:rFonts w:cstheme="minorHAnsi"/>
        </w:rPr>
        <w:t xml:space="preserve">the </w:t>
      </w:r>
      <w:r w:rsidR="008C6417" w:rsidRPr="008C6417">
        <w:rPr>
          <w:rFonts w:cstheme="minorHAnsi"/>
        </w:rPr>
        <w:t xml:space="preserve">supernatant decanted. </w:t>
      </w:r>
    </w:p>
    <w:p w14:paraId="6442C4A1" w14:textId="77777777" w:rsidR="00865114" w:rsidRDefault="00865114" w:rsidP="00865114">
      <w:pPr>
        <w:spacing w:line="480" w:lineRule="auto"/>
        <w:jc w:val="both"/>
        <w:rPr>
          <w:rFonts w:cstheme="minorHAnsi"/>
        </w:rPr>
      </w:pPr>
    </w:p>
    <w:p w14:paraId="707E3F69" w14:textId="018F97B3" w:rsidR="00865114" w:rsidRDefault="007844CC" w:rsidP="00865114">
      <w:pPr>
        <w:spacing w:line="480" w:lineRule="auto"/>
        <w:jc w:val="both"/>
        <w:rPr>
          <w:rFonts w:cstheme="minorHAnsi"/>
        </w:rPr>
      </w:pPr>
      <w:r>
        <w:rPr>
          <w:rFonts w:cstheme="minorHAnsi"/>
        </w:rPr>
        <w:t>Following decarbonation, s</w:t>
      </w:r>
      <w:r w:rsidR="00865114" w:rsidRPr="00BB74C9">
        <w:rPr>
          <w:rFonts w:cstheme="minorHAnsi"/>
        </w:rPr>
        <w:t>ample</w:t>
      </w:r>
      <w:r w:rsidR="00865114">
        <w:rPr>
          <w:rFonts w:cstheme="minorHAnsi"/>
        </w:rPr>
        <w:t>s</w:t>
      </w:r>
      <w:r w:rsidR="00865114" w:rsidRPr="00BB74C9">
        <w:rPr>
          <w:rFonts w:cstheme="minorHAnsi"/>
        </w:rPr>
        <w:t xml:space="preserve"> were rinsed three times with MilliQ water </w:t>
      </w:r>
      <w:r w:rsidR="00865114">
        <w:rPr>
          <w:rFonts w:cstheme="minorHAnsi"/>
        </w:rPr>
        <w:t xml:space="preserve">in the centrifuge tubes </w:t>
      </w:r>
      <w:r w:rsidR="00865114" w:rsidRPr="00BB74C9">
        <w:rPr>
          <w:rFonts w:cstheme="minorHAnsi"/>
        </w:rPr>
        <w:t>(vortexed</w:t>
      </w:r>
      <w:r w:rsidR="00865114">
        <w:rPr>
          <w:rFonts w:cstheme="minorHAnsi"/>
        </w:rPr>
        <w:t xml:space="preserve"> in MilliQ</w:t>
      </w:r>
      <w:r w:rsidR="00865114" w:rsidRPr="00BB74C9">
        <w:rPr>
          <w:rFonts w:cstheme="minorHAnsi"/>
        </w:rPr>
        <w:t xml:space="preserve"> to ensure </w:t>
      </w:r>
      <w:r w:rsidR="00865114">
        <w:rPr>
          <w:rFonts w:cstheme="minorHAnsi"/>
        </w:rPr>
        <w:t xml:space="preserve">they were </w:t>
      </w:r>
      <w:r w:rsidR="00865114" w:rsidRPr="00BB74C9">
        <w:rPr>
          <w:rFonts w:cstheme="minorHAnsi"/>
        </w:rPr>
        <w:t>well-mixed, centrifuged</w:t>
      </w:r>
      <w:r w:rsidR="00865114">
        <w:rPr>
          <w:rFonts w:cstheme="minorHAnsi"/>
        </w:rPr>
        <w:t xml:space="preserve"> for at least 5 minutes</w:t>
      </w:r>
      <w:r w:rsidR="00865114" w:rsidRPr="00BB74C9">
        <w:rPr>
          <w:rFonts w:cstheme="minorHAnsi"/>
        </w:rPr>
        <w:t xml:space="preserve">, and </w:t>
      </w:r>
      <w:r w:rsidR="00865114">
        <w:rPr>
          <w:rFonts w:cstheme="minorHAnsi"/>
        </w:rPr>
        <w:t xml:space="preserve">the </w:t>
      </w:r>
      <w:r w:rsidR="00865114" w:rsidRPr="00BB74C9">
        <w:rPr>
          <w:rFonts w:cstheme="minorHAnsi"/>
        </w:rPr>
        <w:t>supernatant decanted)</w:t>
      </w:r>
      <w:r w:rsidR="00865114">
        <w:rPr>
          <w:rFonts w:cstheme="minorHAnsi"/>
        </w:rPr>
        <w:t>.</w:t>
      </w:r>
      <w:r w:rsidR="00865114" w:rsidRPr="00BB74C9">
        <w:rPr>
          <w:rFonts w:cstheme="minorHAnsi"/>
        </w:rPr>
        <w:t xml:space="preserve"> </w:t>
      </w:r>
      <w:r w:rsidR="00A90FA9">
        <w:rPr>
          <w:rFonts w:cstheme="minorHAnsi"/>
        </w:rPr>
        <w:t xml:space="preserve">This rinse was also repeated after all subsequent leaching steps detailed in </w:t>
      </w:r>
      <w:r w:rsidR="006B4447">
        <w:rPr>
          <w:rFonts w:cstheme="minorHAnsi"/>
        </w:rPr>
        <w:t xml:space="preserve">Sections </w:t>
      </w:r>
      <w:r w:rsidR="00A90FA9">
        <w:rPr>
          <w:rFonts w:cstheme="minorHAnsi"/>
        </w:rPr>
        <w:t>2.2.2 to 2.2.6.</w:t>
      </w:r>
      <w:r w:rsidR="00A90FA9" w:rsidRPr="00BB74C9">
        <w:rPr>
          <w:rFonts w:cstheme="minorHAnsi"/>
        </w:rPr>
        <w:t xml:space="preserve"> </w:t>
      </w:r>
      <w:r w:rsidR="00865114" w:rsidRPr="00BB74C9">
        <w:rPr>
          <w:rFonts w:cstheme="minorHAnsi"/>
        </w:rPr>
        <w:t xml:space="preserve">If </w:t>
      </w:r>
      <w:r>
        <w:rPr>
          <w:rFonts w:cstheme="minorHAnsi"/>
        </w:rPr>
        <w:t xml:space="preserve">the </w:t>
      </w:r>
      <w:r w:rsidR="00D363CD">
        <w:rPr>
          <w:rFonts w:cstheme="minorHAnsi"/>
        </w:rPr>
        <w:t>supernatant</w:t>
      </w:r>
      <w:r w:rsidR="00865114" w:rsidRPr="00BB74C9">
        <w:rPr>
          <w:rFonts w:cstheme="minorHAnsi"/>
        </w:rPr>
        <w:t xml:space="preserve"> remained cloudy after</w:t>
      </w:r>
      <w:r w:rsidR="00865114" w:rsidRPr="00B27D75">
        <w:rPr>
          <w:rFonts w:cstheme="minorHAnsi"/>
        </w:rPr>
        <w:t xml:space="preserve"> centrifugation, approximately 100 μl of </w:t>
      </w:r>
      <w:r w:rsidR="00865114">
        <w:rPr>
          <w:rFonts w:cstheme="minorHAnsi"/>
        </w:rPr>
        <w:t xml:space="preserve">a </w:t>
      </w:r>
      <w:r w:rsidR="00865114" w:rsidRPr="00B27D75">
        <w:rPr>
          <w:rFonts w:cstheme="minorHAnsi"/>
        </w:rPr>
        <w:t>Mg</w:t>
      </w:r>
      <w:r w:rsidR="00865114" w:rsidRPr="00B27D75">
        <w:rPr>
          <w:rFonts w:cstheme="minorHAnsi"/>
          <w:vertAlign w:val="superscript"/>
        </w:rPr>
        <w:t>2+</w:t>
      </w:r>
      <w:r w:rsidR="00865114" w:rsidRPr="00B27D75">
        <w:rPr>
          <w:rFonts w:cstheme="minorHAnsi"/>
        </w:rPr>
        <w:t xml:space="preserve"> </w:t>
      </w:r>
      <w:r w:rsidR="00865114">
        <w:rPr>
          <w:rFonts w:cstheme="minorHAnsi"/>
        </w:rPr>
        <w:t xml:space="preserve">-rich </w:t>
      </w:r>
      <w:r w:rsidR="00865114" w:rsidRPr="00B27D75">
        <w:rPr>
          <w:rFonts w:cstheme="minorHAnsi"/>
        </w:rPr>
        <w:t>(10,000 ppm</w:t>
      </w:r>
      <w:r w:rsidR="00EB4C08">
        <w:rPr>
          <w:rFonts w:cstheme="minorHAnsi"/>
        </w:rPr>
        <w:t xml:space="preserve"> Mg</w:t>
      </w:r>
      <w:r w:rsidR="00EB4C08" w:rsidRPr="00EB4C08">
        <w:rPr>
          <w:rFonts w:cstheme="minorHAnsi"/>
          <w:vertAlign w:val="superscript"/>
        </w:rPr>
        <w:t>2+</w:t>
      </w:r>
      <w:r w:rsidR="00EB4C08">
        <w:rPr>
          <w:rFonts w:cstheme="minorHAnsi"/>
        </w:rPr>
        <w:t>, Sr</w:t>
      </w:r>
      <w:r w:rsidR="00C2031F">
        <w:rPr>
          <w:rFonts w:cstheme="minorHAnsi"/>
        </w:rPr>
        <w:t xml:space="preserve"> of &lt; 0.4 ppb</w:t>
      </w:r>
      <w:r w:rsidR="00865114" w:rsidRPr="00B27D75">
        <w:rPr>
          <w:rFonts w:cstheme="minorHAnsi"/>
        </w:rPr>
        <w:t xml:space="preserve">) </w:t>
      </w:r>
      <w:r w:rsidR="00865114">
        <w:rPr>
          <w:rFonts w:cstheme="minorHAnsi"/>
        </w:rPr>
        <w:t xml:space="preserve">solution </w:t>
      </w:r>
      <w:r w:rsidR="00865114" w:rsidRPr="00B27D75">
        <w:rPr>
          <w:rFonts w:cstheme="minorHAnsi"/>
        </w:rPr>
        <w:t>was added to aid flocculation.</w:t>
      </w:r>
      <w:r w:rsidR="009E705F">
        <w:rPr>
          <w:rFonts w:cstheme="minorHAnsi"/>
        </w:rPr>
        <w:t xml:space="preserve"> Once the supernatant</w:t>
      </w:r>
      <w:r w:rsidR="00D5342D">
        <w:rPr>
          <w:rFonts w:cstheme="minorHAnsi"/>
        </w:rPr>
        <w:t>s were</w:t>
      </w:r>
      <w:r w:rsidR="009E705F">
        <w:rPr>
          <w:rFonts w:cstheme="minorHAnsi"/>
        </w:rPr>
        <w:t xml:space="preserve"> clear, the samples w</w:t>
      </w:r>
      <w:r w:rsidR="00D5342D">
        <w:rPr>
          <w:rFonts w:cstheme="minorHAnsi"/>
        </w:rPr>
        <w:t>ere</w:t>
      </w:r>
      <w:r w:rsidR="009E705F">
        <w:rPr>
          <w:rFonts w:cstheme="minorHAnsi"/>
        </w:rPr>
        <w:t xml:space="preserve"> centrifuged again and supernatant</w:t>
      </w:r>
      <w:r w:rsidR="00D5342D">
        <w:rPr>
          <w:rFonts w:cstheme="minorHAnsi"/>
        </w:rPr>
        <w:t>s</w:t>
      </w:r>
      <w:r w:rsidR="009E705F">
        <w:rPr>
          <w:rFonts w:cstheme="minorHAnsi"/>
        </w:rPr>
        <w:t xml:space="preserve"> decanted.  </w:t>
      </w:r>
    </w:p>
    <w:p w14:paraId="365380B4" w14:textId="77777777" w:rsidR="00527FAF" w:rsidRPr="008C6417" w:rsidRDefault="00527FAF" w:rsidP="008C6417">
      <w:pPr>
        <w:spacing w:line="480" w:lineRule="auto"/>
        <w:jc w:val="both"/>
        <w:rPr>
          <w:rFonts w:cstheme="minorHAnsi"/>
        </w:rPr>
      </w:pPr>
    </w:p>
    <w:p w14:paraId="3C7D400C" w14:textId="77777777" w:rsidR="005C2C1D" w:rsidRPr="00D56139" w:rsidRDefault="008C6417" w:rsidP="0049718C">
      <w:pPr>
        <w:pStyle w:val="ListParagraph"/>
        <w:numPr>
          <w:ilvl w:val="2"/>
          <w:numId w:val="5"/>
        </w:numPr>
        <w:spacing w:line="480" w:lineRule="auto"/>
        <w:jc w:val="both"/>
        <w:rPr>
          <w:rFonts w:cstheme="minorHAnsi"/>
          <w:bCs/>
        </w:rPr>
      </w:pPr>
      <w:r w:rsidRPr="00D56139">
        <w:rPr>
          <w:rFonts w:cstheme="minorHAnsi"/>
          <w:bCs/>
        </w:rPr>
        <w:t>Removal of organic carbon</w:t>
      </w:r>
    </w:p>
    <w:p w14:paraId="2C0EF137" w14:textId="77777777" w:rsidR="008C6417" w:rsidRDefault="00EC19BC" w:rsidP="008C6417">
      <w:pPr>
        <w:spacing w:line="480" w:lineRule="auto"/>
        <w:jc w:val="both"/>
        <w:rPr>
          <w:rFonts w:ascii="Calibri" w:hAnsi="Calibri" w:cs="Calibri"/>
        </w:rPr>
      </w:pPr>
      <w:r>
        <w:rPr>
          <w:rFonts w:cstheme="minorHAnsi"/>
        </w:rPr>
        <w:t xml:space="preserve">To remove organic carbon while avoiding </w:t>
      </w:r>
      <w:r w:rsidR="00461404">
        <w:rPr>
          <w:rFonts w:cstheme="minorHAnsi"/>
        </w:rPr>
        <w:t xml:space="preserve">alteration of </w:t>
      </w:r>
      <w:r w:rsidR="00D363CD">
        <w:rPr>
          <w:rFonts w:cstheme="minorHAnsi"/>
        </w:rPr>
        <w:t xml:space="preserve">the </w:t>
      </w:r>
      <w:r>
        <w:rPr>
          <w:rFonts w:cstheme="minorHAnsi"/>
        </w:rPr>
        <w:t>Sr isotop</w:t>
      </w:r>
      <w:r w:rsidR="00461404">
        <w:rPr>
          <w:rFonts w:cstheme="minorHAnsi"/>
        </w:rPr>
        <w:t>ic signature of</w:t>
      </w:r>
      <w:r>
        <w:rPr>
          <w:rFonts w:cstheme="minorHAnsi"/>
        </w:rPr>
        <w:t xml:space="preserve"> </w:t>
      </w:r>
      <w:r w:rsidR="00F060E1">
        <w:rPr>
          <w:rFonts w:cstheme="minorHAnsi"/>
        </w:rPr>
        <w:t xml:space="preserve">clay minerals </w:t>
      </w:r>
      <w:r w:rsidR="00461404">
        <w:rPr>
          <w:rFonts w:cstheme="minorHAnsi"/>
        </w:rPr>
        <w:t>by</w:t>
      </w:r>
      <w:r>
        <w:rPr>
          <w:rFonts w:cstheme="minorHAnsi"/>
        </w:rPr>
        <w:t xml:space="preserve"> roasting (Bayon et al., 2002), decarbonated s</w:t>
      </w:r>
      <w:r w:rsidRPr="00D56139">
        <w:rPr>
          <w:rFonts w:cstheme="minorHAnsi"/>
        </w:rPr>
        <w:t xml:space="preserve">amples </w:t>
      </w:r>
      <w:r w:rsidR="008C6417" w:rsidRPr="00D56139">
        <w:rPr>
          <w:rFonts w:cstheme="minorHAnsi"/>
        </w:rPr>
        <w:t xml:space="preserve">were </w:t>
      </w:r>
      <w:r>
        <w:rPr>
          <w:rFonts w:cstheme="minorHAnsi"/>
        </w:rPr>
        <w:t>treated</w:t>
      </w:r>
      <w:r w:rsidRPr="00D56139">
        <w:rPr>
          <w:rFonts w:cstheme="minorHAnsi"/>
        </w:rPr>
        <w:t xml:space="preserve"> </w:t>
      </w:r>
      <w:r w:rsidR="008C6417" w:rsidRPr="00D56139">
        <w:rPr>
          <w:rFonts w:cstheme="minorHAnsi"/>
        </w:rPr>
        <w:t>with 30 ml 10% H</w:t>
      </w:r>
      <w:r w:rsidR="008C6417" w:rsidRPr="00D56139">
        <w:rPr>
          <w:rFonts w:cstheme="minorHAnsi"/>
          <w:vertAlign w:val="subscript"/>
        </w:rPr>
        <w:t>2</w:t>
      </w:r>
      <w:r w:rsidR="008C6417" w:rsidRPr="00D56139">
        <w:rPr>
          <w:rFonts w:cstheme="minorHAnsi"/>
        </w:rPr>
        <w:t>O</w:t>
      </w:r>
      <w:r w:rsidR="008C6417" w:rsidRPr="00D56139">
        <w:rPr>
          <w:rFonts w:cstheme="minorHAnsi"/>
          <w:vertAlign w:val="subscript"/>
        </w:rPr>
        <w:t>2</w:t>
      </w:r>
      <w:r w:rsidR="008C6417" w:rsidRPr="00D56139">
        <w:rPr>
          <w:rFonts w:cstheme="minorHAnsi"/>
        </w:rPr>
        <w:t xml:space="preserve"> </w:t>
      </w:r>
      <w:r>
        <w:rPr>
          <w:rFonts w:cstheme="minorHAnsi"/>
        </w:rPr>
        <w:t xml:space="preserve">solution </w:t>
      </w:r>
      <w:r w:rsidR="008C6417" w:rsidRPr="00D56139">
        <w:rPr>
          <w:rFonts w:cstheme="minorHAnsi"/>
        </w:rPr>
        <w:t xml:space="preserve">and left in an oven at 65 </w:t>
      </w:r>
      <w:r w:rsidR="008C6417" w:rsidRPr="00D56139">
        <w:rPr>
          <w:rFonts w:ascii="Calibri" w:hAnsi="Calibri" w:cs="Calibri"/>
        </w:rPr>
        <w:t>°</w:t>
      </w:r>
      <w:r w:rsidR="008C6417" w:rsidRPr="00D56139">
        <w:rPr>
          <w:rFonts w:cstheme="minorHAnsi"/>
        </w:rPr>
        <w:t xml:space="preserve"> C for 48 hours</w:t>
      </w:r>
      <w:r w:rsidR="0055362A">
        <w:rPr>
          <w:rFonts w:cstheme="minorHAnsi"/>
        </w:rPr>
        <w:t xml:space="preserve"> </w:t>
      </w:r>
      <w:r w:rsidR="0055362A">
        <w:rPr>
          <w:rFonts w:cstheme="minorHAnsi"/>
        </w:rPr>
        <w:fldChar w:fldCharType="begin" w:fldLock="1"/>
      </w:r>
      <w:r w:rsidR="0055362A">
        <w:rPr>
          <w:rFonts w:cstheme="minorHAnsi"/>
        </w:rPr>
        <w:instrText>ADDIN CSL_CITATION {"citationItems":[{"id":"ITEM-1","itemData":{"DOI":"10.1016/S0009-2541(01)00416-8","ISBN":"0009-2541","ISSN":"00092541","abstract":"The radiogenic isotopic composition of both detrital and Fe-Mn fractions in marine sediments can be used in paleoceanography to infer changes of bottom-water circulation. We have examined various chemical techniques for the analysis of Sr and Nd isotope ratios in these fractions and present a robust method that can be used to separate both the Fe-Mn oxides and the detrital fraction from a marine sediment sample for isotopic analysis. Our sequential leaching procedure involves the use of 10% acetic acid, followed by 1 M hydroxylamine hydrochloride in 25% acetic acid to remove the carbonate component and the Fe-Mn oxide fraction, respectively. The applicability of our chemical procedure is illustrated with examples from a marine sediment core raised from the northern Cape Basin, southeast Atlantic Ocean. © 2002 Elsevier Science B.V. All rights reserved.","author":[{"dropping-particle":"","family":"Bayon","given":"G.","non-dropping-particle":"","parse-names":false,"suffix":""},{"dropping-particle":"","family":"German","given":"C. R.","non-dropping-particle":"","parse-names":false,"suffix":""},{"dropping-particle":"","family":"Boella","given":"R. M.","non-dropping-particle":"","parse-names":false,"suffix":""},{"dropping-particle":"","family":"Milton","given":"J. A.","non-dropping-particle":"","parse-names":false,"suffix":""},{"dropping-particle":"","family":"Taylor","given":"R. N.","non-dropping-particle":"","parse-names":false,"suffix":""},{"dropping-particle":"","family":"Nesbitt","given":"R. W.","non-dropping-particle":"","parse-names":false,"suffix":""}],"container-title":"Chemical Geology","id":"ITEM-1","issue":"3-4","issued":{"date-parts":[["2002"]]},"note":"Gives a statement to justify not buffering. \nAlso gives Sr and Nd values at each cleaning step. The Nd changes very little after each step, (inc. the acetic acid step) (relative to provenance changes).\nTHis shows that the buffering is not essential. \nThis is probably by best evidence for not buffering.","page":"179-199","title":"An improved method for extracting marine sediment fractions and its application to Sr and Nd isotopic analysis","type":"article-journal","volume":"187"},"uris":["http://www.mendeley.com/documents/?uuid=b204936c-7304-47eb-b8fe-81ab795dfade"]},{"id":"ITEM-2","itemData":{"DOI":"10.1002/lom3.10013","ISSN":"15415856","abstract":"The lithogenic fraction in marine sediments can be a key proxy to reconstruct past changes in atmospheric circulation, river runoff among other sedimentary processes. But, accurate isolation of the lithic component within biogenic-rich sediments can be particularly challenging in areas of high marine productivity. We present an experiment to isolate and characterize this lithogenic fraction that ensures the full elimination of biogenic and authigenic components. This experiment demonstrates that standard procedures used in most of the studies of terrigenous fraction in marine sediments, are inadequate to remove efficiently most of the biogenic components in sediments from high productivity regions such as the Eastern Equatorial Pacific. The experiment reviews each of the procedure steps designed for the removal of organic matter, carbonate, Fe-Mn oxides, and biogenic silica. The most critical steps were the removal of organic matter incorporated in fecal pellets, and the elimination of the biogenic silica. The continuous monitoring of the grain-size distribution of the samples along the experiment steps allows evaluating the impact that an inadequate procedure can induce on the grain size. Finally, lithic grain-size distributions were characterized using k-means statistical technique providing objective information for climate interpretation. The proposed approach ensures the quality of the results and allows magnifying the information provided by the lithic fraction in marine sediments.","author":[{"dropping-particle":"","family":"Povea","given":"Patricia","non-dropping-particle":"","parse-names":false,"suffix":""},{"dropping-particle":"","family":"Cacho","given":"Isabel","non-dropping-particle":"","parse-names":false,"suffix":""},{"dropping-particle":"","family":"Moreno","given":"Ana","non-dropping-particle":"","parse-names":false,"suffix":""},{"dropping-particle":"","family":"Menéndez","given":"Melisa","non-dropping-particle":"","parse-names":false,"suffix":""},{"dropping-particle":"","family":"Méndez","given":"Fernando J.","non-dropping-particle":"","parse-names":false,"suffix":""}],"container-title":"Limnology and Oceanography: Methods","id":"ITEM-2","issue":"3","issued":{"date-parts":[["2015"]]},"note":"do buffer, and very low acid. \nBut have to repeat lots.","page":"127-137","title":"A new procedure for the lithic fraction characterization in marine sediments from high productivity areas: Optimization of analytical and statistical procedures","type":"article-journal","volume":"13"},"uris":["http://www.mendeley.com/documents/?uuid=b7ecad56-ad95-4adf-b806-74e5209c63d0"]}],"mendeley":{"formattedCitation":"(Bayon et al., 2002; Povea et al., 2015)","plainTextFormattedCitation":"(Bayon et al., 2002; Povea et al., 2015)","previouslyFormattedCitation":"(Bayon et al., 2002; Povea et al., 2015)"},"properties":{"noteIndex":0},"schema":"https://github.com/citation-style-language/schema/raw/master/csl-citation.json"}</w:instrText>
      </w:r>
      <w:r w:rsidR="0055362A">
        <w:rPr>
          <w:rFonts w:cstheme="minorHAnsi"/>
        </w:rPr>
        <w:fldChar w:fldCharType="separate"/>
      </w:r>
      <w:r w:rsidR="0055362A" w:rsidRPr="0055362A">
        <w:rPr>
          <w:rFonts w:cstheme="minorHAnsi"/>
          <w:noProof/>
        </w:rPr>
        <w:t>(Bayon et al., 2002; Povea et al., 2015)</w:t>
      </w:r>
      <w:r w:rsidR="0055362A">
        <w:rPr>
          <w:rFonts w:cstheme="minorHAnsi"/>
        </w:rPr>
        <w:fldChar w:fldCharType="end"/>
      </w:r>
      <w:r w:rsidR="008651E2">
        <w:rPr>
          <w:rFonts w:cstheme="minorHAnsi"/>
        </w:rPr>
        <w:t>.</w:t>
      </w:r>
    </w:p>
    <w:p w14:paraId="54489130" w14:textId="77777777" w:rsidR="00527FAF" w:rsidRPr="00D56139" w:rsidRDefault="00527FAF" w:rsidP="008C6417">
      <w:pPr>
        <w:spacing w:line="480" w:lineRule="auto"/>
        <w:jc w:val="both"/>
        <w:rPr>
          <w:rFonts w:cstheme="minorHAnsi"/>
        </w:rPr>
      </w:pPr>
    </w:p>
    <w:p w14:paraId="7EF6BFD7" w14:textId="77777777" w:rsidR="00D56139" w:rsidRPr="00FD5159" w:rsidRDefault="00D56139" w:rsidP="0049718C">
      <w:pPr>
        <w:pStyle w:val="ListParagraph"/>
        <w:numPr>
          <w:ilvl w:val="2"/>
          <w:numId w:val="5"/>
        </w:numPr>
        <w:spacing w:line="480" w:lineRule="auto"/>
        <w:jc w:val="both"/>
        <w:rPr>
          <w:rFonts w:cstheme="minorHAnsi"/>
          <w:bCs/>
        </w:rPr>
      </w:pPr>
      <w:r w:rsidRPr="00FD5159">
        <w:rPr>
          <w:rFonts w:cstheme="minorHAnsi"/>
          <w:bCs/>
        </w:rPr>
        <w:t>Cation exchange wash</w:t>
      </w:r>
    </w:p>
    <w:p w14:paraId="5B2AA067" w14:textId="77777777" w:rsidR="005C2C1D" w:rsidRPr="00F50A37" w:rsidRDefault="00636CFB" w:rsidP="0055362A">
      <w:pPr>
        <w:spacing w:line="480" w:lineRule="auto"/>
        <w:jc w:val="both"/>
        <w:rPr>
          <w:rFonts w:cstheme="minorHAnsi"/>
          <w:lang w:val="fr-FR"/>
        </w:rPr>
      </w:pPr>
      <w:r>
        <w:rPr>
          <w:rFonts w:cstheme="minorHAnsi"/>
        </w:rPr>
        <w:t xml:space="preserve">Next we </w:t>
      </w:r>
      <w:r w:rsidR="0055362A">
        <w:rPr>
          <w:rFonts w:cstheme="minorHAnsi"/>
        </w:rPr>
        <w:t>remove</w:t>
      </w:r>
      <w:r>
        <w:rPr>
          <w:rFonts w:cstheme="minorHAnsi"/>
        </w:rPr>
        <w:t>d</w:t>
      </w:r>
      <w:r w:rsidR="0055362A">
        <w:rPr>
          <w:rFonts w:cstheme="minorHAnsi"/>
        </w:rPr>
        <w:t xml:space="preserve"> cations of </w:t>
      </w:r>
      <w:r>
        <w:rPr>
          <w:rFonts w:cstheme="minorHAnsi"/>
        </w:rPr>
        <w:t xml:space="preserve">a </w:t>
      </w:r>
      <w:r w:rsidR="0055362A">
        <w:rPr>
          <w:rFonts w:cstheme="minorHAnsi"/>
        </w:rPr>
        <w:t>seawater origin</w:t>
      </w:r>
      <w:r w:rsidR="00D84F01">
        <w:rPr>
          <w:rFonts w:cstheme="minorHAnsi"/>
        </w:rPr>
        <w:t xml:space="preserve"> (e.g. Sr)</w:t>
      </w:r>
      <w:r w:rsidR="0055362A">
        <w:rPr>
          <w:rFonts w:cstheme="minorHAnsi"/>
        </w:rPr>
        <w:t xml:space="preserve"> adsorbed onto terrigenous clay particles </w:t>
      </w:r>
      <w:r>
        <w:rPr>
          <w:rFonts w:cstheme="minorHAnsi"/>
        </w:rPr>
        <w:t xml:space="preserve">by adding </w:t>
      </w:r>
      <w:r w:rsidR="0055362A">
        <w:rPr>
          <w:rFonts w:cstheme="minorHAnsi"/>
        </w:rPr>
        <w:t>30ml of 1M magnesium chloride</w:t>
      </w:r>
      <w:r w:rsidR="0055362A" w:rsidRPr="00FD5159">
        <w:rPr>
          <w:rFonts w:cstheme="minorHAnsi"/>
        </w:rPr>
        <w:t xml:space="preserve"> </w:t>
      </w:r>
      <w:r w:rsidR="0055362A">
        <w:rPr>
          <w:rFonts w:cstheme="minorHAnsi"/>
        </w:rPr>
        <w:t>(</w:t>
      </w:r>
      <w:r w:rsidR="006B4447" w:rsidRPr="00FD5159">
        <w:rPr>
          <w:rFonts w:cstheme="minorHAnsi"/>
        </w:rPr>
        <w:t>MgC</w:t>
      </w:r>
      <w:r w:rsidR="006B4447">
        <w:rPr>
          <w:rFonts w:cstheme="minorHAnsi"/>
        </w:rPr>
        <w:t>l</w:t>
      </w:r>
      <w:r w:rsidR="006B4447" w:rsidRPr="00FD5159">
        <w:rPr>
          <w:rFonts w:cstheme="minorHAnsi"/>
          <w:vertAlign w:val="subscript"/>
        </w:rPr>
        <w:t>2</w:t>
      </w:r>
      <w:r w:rsidR="0055362A">
        <w:rPr>
          <w:rFonts w:cstheme="minorHAnsi"/>
        </w:rPr>
        <w:t xml:space="preserve">) solution </w:t>
      </w:r>
      <w:r>
        <w:rPr>
          <w:rFonts w:cstheme="minorHAnsi"/>
        </w:rPr>
        <w:t>and</w:t>
      </w:r>
      <w:r w:rsidR="00D363CD">
        <w:rPr>
          <w:rFonts w:cstheme="minorHAnsi"/>
        </w:rPr>
        <w:t xml:space="preserve"> </w:t>
      </w:r>
      <w:r w:rsidR="0055362A">
        <w:rPr>
          <w:rFonts w:cstheme="minorHAnsi"/>
        </w:rPr>
        <w:t>agitat</w:t>
      </w:r>
      <w:r>
        <w:rPr>
          <w:rFonts w:cstheme="minorHAnsi"/>
        </w:rPr>
        <w:t>ing the samples</w:t>
      </w:r>
      <w:r w:rsidR="0055362A">
        <w:rPr>
          <w:rFonts w:cstheme="minorHAnsi"/>
        </w:rPr>
        <w:t xml:space="preserve"> </w:t>
      </w:r>
      <w:r w:rsidR="006B4447">
        <w:rPr>
          <w:rFonts w:cstheme="minorHAnsi"/>
        </w:rPr>
        <w:t xml:space="preserve">on a shaker table </w:t>
      </w:r>
      <w:r w:rsidR="0055362A" w:rsidRPr="00FD5159">
        <w:rPr>
          <w:rFonts w:cstheme="minorHAnsi"/>
        </w:rPr>
        <w:t xml:space="preserve">for approximately 24 hours </w:t>
      </w:r>
      <w:r w:rsidR="0055362A" w:rsidRPr="00FD5159">
        <w:rPr>
          <w:rFonts w:cstheme="minorHAnsi"/>
        </w:rPr>
        <w:fldChar w:fldCharType="begin" w:fldLock="1"/>
      </w:r>
      <w:r w:rsidR="00D671BD">
        <w:rPr>
          <w:rFonts w:cstheme="minorHAnsi"/>
        </w:rPr>
        <w:instrText>ADDIN CSL_CITATION {"citationItems":[{"id":"ITEM-1","itemData":{"DOI":"10.1016/j.chemgeo.2007.03.021","ISBN":"0009-2541","ISSN":"00092541","abstract":"The extraction of a deepwater radiogenic isotope signal from marine sediments is a powerful, though under-exploited, tool for the characterisation of past climates and modes of ocean circulation. The radiogenic and radioactive isotope compositions (Nd, Pb, Th) of ambient deepwater are stored in authigenic Fe-Mn oxyhydroxide coatings in marine sediments, but the unambiguous separation of the isotopic signal in this phase from other sedimentary components is difficult and measures are needed to ensure its seawater origin. Here the extracted Fe-Mn oxyhydroxide phase is investigated geochemically and isotopically in order to constrain the potential and the limitations of the reconstruction of deepwater radiogenic isotope compositions from marine sediments. Our results show that the isotope compositions of elements such as Sr and Os obtained from the Fe-Mn oxyhydroxide fraction are easily disturbed by detrital contributions originating from the extraction process, whereas the seawater isotope compositions of Nd, Pb and Th can be reliably extracted from marine sediments in the North Atlantic. The main reason is that the Nd, Pb and Th concentrations in the detrital phase of pelagic sediments are much lower than in the Fe-Mn oxyhydroxide fractions. This is reflected in Al/Nd, Al/Pb and Al/Th ratios of the Fe-Mn oxyhydroxide fractions, which are as low as or even lower than those of hydrogenetic ferromanganese crusts. Mass balance calculations illustrate that the use of the87Sr/86Sr isotope composition to confirm the seawater origin of the extracted Nd, Pb and Th isotope signals is misleading. Even though the87Sr/86Sr in the Fe-Mn oxyhydroxide fractions is often higher than the seawater Sr isotope composition, the corresponding detrital contribution does not translate into altered seawater Nd, Pb and Th isotope compositions due to mass balance constraints. Overall the rare earth element patterns, elemental ratios, as well as the mass balance calculations presented here highlight the potential of using authigenic Fe-Mn oxyhydroxide coatings as paleoceanographic archives for the analysis of past seawater Nd, Pb and Th isotope compositions. © 2007 Elsevier B.V. All rights reserved.","author":[{"dropping-particle":"","family":"Gutjahr","given":"Marcus","non-dropping-particle":"","parse-names":false,"suffix":""},{"dropping-particle":"","family":"Frank","given":"Martin","non-dropping-particle":"","parse-names":false,"suffix":""},{"dropping-particle":"","family":"Stirling","given":"Claudine H.","non-dropping-particle":"","parse-names":false,"suffix":""},{"dropping-particle":"","family":"Klemm","given":"Veronika","non-dropping-particle":"","parse-names":false,"suffix":""},{"dropping-particle":"","family":"Flierdt","given":"Tina","non-dropping-particle":"van de","parse-names":false,"suffix":""},{"dropping-particle":"","family":"Halliday","given":"Alex N.","non-dropping-particle":"","parse-names":false,"suffix":""}],"container-title":"Chemical Geology","id":"ITEM-1","issue":"3-4","issued":{"date-parts":[["2007"]]},"note":"Method that Claire Huck has adapted for sites with very high carbonate","page":"351-370","title":"Reliable extraction of a deepwater trace metal isotope signal from Fe-Mn oxyhydroxide coatings of marine sediments","type":"article-journal","volume":"242"},"uris":["http://www.mendeley.com/documents/?uuid=5e093818-4d70-41c3-b1bc-07d691300bcb"]},{"id":"ITEM-2","itemData":{"DOI":"10.1016/j.quascirev.2014.04.005","ISBN":"0277-3791","ISSN":"02773791","abstract":"We present Plio-Pleistocene records of sediment color, %CaCO3, foraminifer fragmentation, benthic carbon isotopes (δ13C) and radiogenic isotopes (Sr, Nd, Pb) of the terrigenous component from IODP Site U1313, a reoccupation of benchmark subtropical North Atlantic Ocean DSDP Site 607. We show that (inter)glacial cycles in sediment color and %CaCO3pre-date major northern hemisphere glaciation and are unambiguously and consistently correlated to benthic oxygen isotopes back to 3.3 million years ago (Ma) and intermittently so probably back to the Miocene/Pliocene boundary. We show these lithological cycles to be driven by enhanced glacial fluxes of terrigenous material (eolian dust), not carbonate dissolution (the classic interpretation). Our radiogenic isotope data indicate a North American source for this dust (~3.3-2.4Ma) in keeping with the interpreted source of terrestrial plant wax-derived biomarkers deposited at Site U1313. Yet our data indicate a mid latitude provenance regardless of (inter)glacial state, a finding that is inconsistent with the biomarker-inferred importance of glaciogenic mechanisms of dust production and transport. Moreover, we find that the relation between the biomarker and lithogenic components of dust accumulation is distinctly non-linear. Both records show a jump in glacial rates of accumulation from Marine Isotope Stage, MIS, G6 (2.72Ma) onwards but the amplitude of this signal is about 3-8 times greater for biomarkers than for dust and particularly extreme during MIS 100 (2.52Ma). We conclude that North America shifted abruptly to a distinctly more arid glacial regime from MIS G6, but major shifts in glacial North American vegetation biomes and regional wind fields (exacerbated by the growth of a large Laurentide Ice Sheet during MIS 100) likely explain amplification of this signal in the biomarker records. Our findings are consistent with wetter-than-modern reconstructions of North American continental climate under the warm high CO2conditions of the Early Pliocene but contrast with most model predictions for the response of the hydrological cycle to anthropogenic warming over the coming 50 years (poleward expansion of the subtropical dry zones). © 2014 Elsevier Ltd.","author":[{"dropping-particle":"","family":"Lang","given":"David C.","non-dropping-particle":"","parse-names":false,"suffix":""},{"dropping-particle":"","family":"Bailey","given":"Ian","non-dropping-particle":"","parse-names":false,"suffix":""},{"dropping-particle":"","family":"Wilson","given":"Paul A.","non-dropping-particle":"","parse-names":false,"suffix":""},{"dropping-particle":"","family":"Beer","given":"Christopher J.","non-dropping-particle":"","parse-names":false,"suffix":""},{"dropping-particle":"","family":"Bolton","given":"Clara T.","non-dropping-particle":"","parse-names":false,"suffix":""},{"dropping-particle":"","family":"Friedrich","given":"Oliver","non-dropping-particle":"","parse-names":false,"suffix":""},{"dropping-particle":"","family":"Newsam","given":"Cherry","non-dropping-particle":"","parse-names":false,"suffix":""},{"dropping-particle":"","family":"Spencer","given":"Megan R.","non-dropping-particle":"","parse-names":false,"suffix":""},{"dropping-particle":"","family":"Gutjahr","given":"Marcus","non-dropping-particle":"","parse-names":false,"suffix":""},{"dropping-particle":"","family":"Foster","given":"Gavin L.","non-dropping-particle":"","parse-names":false,"suffix":""},{"dropping-particle":"","family":"Cooper","given":"Matthew J.","non-dropping-particle":"","parse-names":false,"suffix":""},{"dropping-particle":"","family":"Milton","given":"J. Andrew","non-dropping-particle":"","parse-names":false,"suffix":""}],"container-title":"Quaternary Science Reviews","id":"ITEM-2","issued":{"date-parts":[["2014"]]},"note":"Do buffer","page":"125-141","publisher":"Elsevier Ltd","title":"The transition on North America from the warm humid Pliocene to the glaciated Quaternary traced by eolian dust deposition at a benchmark North Atlantic Ocean drill site","type":"article-journal","volume":"93"},"uris":["http://www.mendeley.com/documents/?uuid=b5de900b-d62e-4033-8c9f-b737a200ac58"]},{"id":"ITEM-3","itemData":{"DOI":"10.1021/ac50043a017","ISSN":"15206882","abstract":"An analytical procedure involving sequential chemical extractions has been developed for the partitioning of particulate trace metals (Cd, Co, Cu, Ni, Pb, Zn, Fe, and Mn) into five fractions: exchangeable, bound to carbonates, bound to Fe-Mn oxides, bound to organic matter, and residual. Experimental results obtained on replicate samples of fluvial bottom sediments demonstrate that the relative standard deviation of the sequential extraction procedure is generally better than ±10%. The accuracy, evaluated by comparing total trace metal concentrations with the sum of the five individual fractions, proved to be satisfactory. Complementary measurements were performed on the individual leachates, and on the residual sediments following each extraction, to evaluate the selectivity of the various reagents toward specific geochemical phases. An application of the proposed method to river sediments is described, and the resulting trace metal speciation is discussed. © 1979, American Chemical Society. All rights reserved.","author":[{"dropping-particle":"","family":"Tessier","given":"A.","non-dropping-particle":"","parse-names":false,"suffix":""},{"dropping-particle":"","family":"Campbell","given":"P. G.C.","non-dropping-particle":"","parse-names":false,"suffix":""},{"dropping-particle":"","family":"Bisson","given":"M.","non-dropping-particle":"","parse-names":false,"suffix":""}],"container-title":"Analytical Chemistry","id":"ITEM-3","issue":"7","issued":{"date-parts":[["1979"]]},"note":"Downloaded Jan 2020 - orignial method for MgCl2 step for removing adsorbed elements, found through Lang/Gutjahr.","page":"844-851","title":"Sequential Extraction Procedure for the Speciation of Particulate Trace Metals","type":"article-journal","volume":"51"},"uris":["http://www.mendeley.com/documents/?uuid=2e5a1cd5-aa4d-4c01-b357-e7c9cb8dd0ea"]},{"id":"ITEM-4","itemData":{"DOI":"10.1016/j.chemgeo.2019.119449","ISSN":"00092541","abstract":"The geochemical and isotopic composition of terrigenous clays from marine sediments can provide important information on the sources and pathways of sediments. International Ocean Discovery Program Expedition 361 drilled sites along the eastern margin of southern Africa that potentially provide archives of rainfall on the continent as well as dispersal in the Agulhas Current. We used standard methods to remove carbonate and ferromanganese oxides and Stokes settling to isolate the clay fractions. In comparison to most previous studies that aimed to extract the detrital signal from marine sediments, we additionally applied a cation exchange wash using CsCl as a final step in the sample preparation. The motivation behind the extra step, not frequently applied, is to remove ions that are gained on the clay surface due to adsorption of authigenic trace metals in the ocean or during the leaching procedure. Either would alter the composition of the detrital fraction if no cation exchange was applied. Moreover, using CsCl will provide an additional measure of the cation exchange capacity (CEC) of the samples. However, no study so far has evaluated the potential and the limitations of such a targeted protocol for marine sediments. Here, we explore the effects of removing and replacing adsorbed cations on the clay surfaces with Cs+, conducting measurements of the chemical compositions, and radiogenic isotopes on a set of eight clay sample pairs. Both sets of samples underwent the same full leaching procedure except that one batch was treated with a final CsCl wash step. In this study, organic matter was not leached because sediments at IODP Site U1478 have relatively low organic content. However, in general, we recommend including that step in the leaching procedure. As expected, significant portions of elements with high concentrations in seawater were replaced by Cs+ (2SD 2.8%.) from the wash, including 75% of the sodium and approximately 25% of the calcium, 10% of the magnesium, and 8% of the potassium. Trace metals such as Sr and Nd, whose isotopes are used for provenance studies, are also found to be in lower concentrations in the samples after the exchange wash. The exchange wash affected the radiogenic isotope compositions of the samples. Neodymium isotope ratios are slightly less radiogenic in all the washed samples. Strontium and Pb isotopes showed significant deviations to either more or less radiogenic values in different samples. The radiogenic isotop…","author":[{"dropping-particle":"","family":"Simon","given":"Margit H.","non-dropping-particle":"","parse-names":false,"suffix":""},{"dropping-particle":"","family":"Babin","given":"Daniel P.","non-dropping-particle":"","parse-names":false,"suffix":""},{"dropping-particle":"","family":"Goldstein","given":"Steven L.","non-dropping-particle":"","parse-names":false,"suffix":""},{"dropping-particle":"","family":"Cai","given":"Merry Yue","non-dropping-particle":"","parse-names":false,"suffix":""},{"dropping-particle":"","family":"Liu","given":"Tanzhuo","non-dropping-particle":"","parse-names":false,"suffix":""},{"dropping-particle":"","family":"Han","given":"Xibin","non-dropping-particle":"","parse-names":false,"suffix":""},{"dropping-particle":"","family":"Haws","given":"Anne A.","non-dropping-particle":"","parse-names":false,"suffix":""},{"dropping-particle":"","family":"Johns","given":"Matthew","non-dropping-particle":"","parse-names":false,"suffix":""},{"dropping-particle":"","family":"Lear","given":"Caroline","non-dropping-particle":"","parse-names":false,"suffix":""},{"dropping-particle":"","family":"Hemming","given":"Sidney R.","non-dropping-particle":"","parse-names":false,"suffix":""}],"container-title":"Chemical Geology","id":"IT</w:instrText>
      </w:r>
      <w:r w:rsidR="00D671BD" w:rsidRPr="00F50A37">
        <w:rPr>
          <w:rFonts w:cstheme="minorHAnsi"/>
          <w:lang w:val="fr-FR"/>
        </w:rPr>
        <w:instrText>EM-4","issue":"December","issued":{"date-parts":[["2020"]]},"note":"Sent from Vicki Feb 2020 - development of a leaching process to remove asorbed ions (implemented at the very end of sample prep, even after grain size separation?)\n\nNot written super clearly, some confusing passages/justifications....\n\nE.g. the removal of &amp;quot;seawater&amp;quot; Sr doesn't lead to more radiogenic values in most of their samples, but they say it must give more reliable data because it correlates better with the data from differernt isotope systems ont he same sample...not sure how legit this is? \n\nDefintely shows the need for my MgCl wash step, but will need to think about justification of the order of my leaching steps....","title":"Development of a protocol to obtain the composition of terrigenous detritus in marine sediments -a pilot study from International Ocean Discovery Program Expedition 361","type":"article-journal","volume":"535"},"uris":["http://www.mendeley.com/documents/?uuid=788daece-e9ec-4639-9aef-434ee9e215ac"]}],"mendeley":{"formattedCitation":"(Gutjahr et al., 2007; Lang et al., 2014; Simon et al., 2020; Tessier et al., 1979)","plainTextFormattedCitation":"(Gutjahr et al., 2007; Lang et al., 2014; Simon et al., 2020; Tessier et al., 1979)","previouslyFormattedCitation":"(Gutjahr et al., 2007; Lang et al., 2014; Simon et al., 2020; Tessier et al., 1979)"},"properties":{"noteIndex":0},"schema":"https://github.com/citation-style-language/schema/raw/master/csl-citation.json"}</w:instrText>
      </w:r>
      <w:r w:rsidR="0055362A" w:rsidRPr="00FD5159">
        <w:rPr>
          <w:rFonts w:cstheme="minorHAnsi"/>
        </w:rPr>
        <w:fldChar w:fldCharType="separate"/>
      </w:r>
      <w:r w:rsidR="0055362A" w:rsidRPr="00F50A37">
        <w:rPr>
          <w:rFonts w:cstheme="minorHAnsi"/>
          <w:noProof/>
          <w:lang w:val="fr-FR"/>
        </w:rPr>
        <w:t>(Gutjahr et al., 2007; Lang et al., 2014; Simon et al., 2020; Tessier et al., 1979)</w:t>
      </w:r>
      <w:r w:rsidR="0055362A" w:rsidRPr="00FD5159">
        <w:rPr>
          <w:rFonts w:cstheme="minorHAnsi"/>
        </w:rPr>
        <w:fldChar w:fldCharType="end"/>
      </w:r>
      <w:r w:rsidR="0055362A" w:rsidRPr="00F50A37">
        <w:rPr>
          <w:rFonts w:cstheme="minorHAnsi"/>
          <w:lang w:val="fr-FR"/>
        </w:rPr>
        <w:t xml:space="preserve">. </w:t>
      </w:r>
    </w:p>
    <w:p w14:paraId="0D586EA8" w14:textId="77777777" w:rsidR="00527FAF" w:rsidRPr="00F50A37" w:rsidRDefault="00527FAF" w:rsidP="008C6417">
      <w:pPr>
        <w:spacing w:line="480" w:lineRule="auto"/>
        <w:jc w:val="both"/>
        <w:rPr>
          <w:rFonts w:cstheme="minorHAnsi"/>
          <w:lang w:val="fr-FR"/>
        </w:rPr>
      </w:pPr>
    </w:p>
    <w:p w14:paraId="1499D157" w14:textId="77777777" w:rsidR="005C2C1D" w:rsidRDefault="00FD5159" w:rsidP="0049718C">
      <w:pPr>
        <w:pStyle w:val="ListParagraph"/>
        <w:numPr>
          <w:ilvl w:val="2"/>
          <w:numId w:val="5"/>
        </w:numPr>
        <w:spacing w:line="480" w:lineRule="auto"/>
        <w:jc w:val="both"/>
        <w:rPr>
          <w:rFonts w:cstheme="minorHAnsi"/>
        </w:rPr>
      </w:pPr>
      <w:r w:rsidRPr="00FD5159">
        <w:rPr>
          <w:rFonts w:cstheme="minorHAnsi"/>
        </w:rPr>
        <w:t xml:space="preserve">Removal </w:t>
      </w:r>
      <w:r w:rsidRPr="00FD5159">
        <w:rPr>
          <w:rFonts w:cstheme="minorHAnsi"/>
          <w:bCs/>
        </w:rPr>
        <w:t>of</w:t>
      </w:r>
      <w:r w:rsidRPr="00FD5159">
        <w:rPr>
          <w:rFonts w:cstheme="minorHAnsi"/>
        </w:rPr>
        <w:t xml:space="preserve"> authigenic coatings </w:t>
      </w:r>
    </w:p>
    <w:p w14:paraId="71FF687C" w14:textId="450D9C74" w:rsidR="00FD5159" w:rsidRDefault="00A90FA9" w:rsidP="00FD5159">
      <w:pPr>
        <w:spacing w:line="480" w:lineRule="auto"/>
        <w:jc w:val="both"/>
        <w:rPr>
          <w:rFonts w:cstheme="minorHAnsi"/>
        </w:rPr>
      </w:pPr>
      <w:r>
        <w:rPr>
          <w:rFonts w:cstheme="minorHAnsi"/>
        </w:rPr>
        <w:t>To remove authigenic coatings following</w:t>
      </w:r>
      <w:r w:rsidR="00B73D63">
        <w:rPr>
          <w:rFonts w:cstheme="minorHAnsi"/>
        </w:rPr>
        <w:t xml:space="preserve"> the cation exchange wash</w:t>
      </w:r>
      <w:r w:rsidR="00636CFB">
        <w:rPr>
          <w:rFonts w:cstheme="minorHAnsi"/>
        </w:rPr>
        <w:t>,</w:t>
      </w:r>
      <w:r>
        <w:rPr>
          <w:rFonts w:cstheme="minorHAnsi"/>
        </w:rPr>
        <w:t xml:space="preserve"> </w:t>
      </w:r>
      <w:r w:rsidR="00B73D63">
        <w:rPr>
          <w:rFonts w:cstheme="minorHAnsi"/>
        </w:rPr>
        <w:t>s</w:t>
      </w:r>
      <w:r w:rsidR="00B73D63" w:rsidRPr="00FD5159">
        <w:rPr>
          <w:rFonts w:cstheme="minorHAnsi"/>
        </w:rPr>
        <w:t xml:space="preserve">amples </w:t>
      </w:r>
      <w:r w:rsidR="00FD5159" w:rsidRPr="00FD5159">
        <w:rPr>
          <w:rFonts w:cstheme="minorHAnsi"/>
        </w:rPr>
        <w:t xml:space="preserve">were treated with ~ 30 ml 0.05 M </w:t>
      </w:r>
      <w:r w:rsidR="00A72171">
        <w:rPr>
          <w:rFonts w:cstheme="minorHAnsi"/>
        </w:rPr>
        <w:t>of h</w:t>
      </w:r>
      <w:r w:rsidR="00A72171" w:rsidRPr="00FD5159">
        <w:rPr>
          <w:rFonts w:cstheme="minorHAnsi"/>
        </w:rPr>
        <w:t xml:space="preserve">ydroxylamine </w:t>
      </w:r>
      <w:r w:rsidR="00FD5159" w:rsidRPr="00FD5159">
        <w:rPr>
          <w:rFonts w:cstheme="minorHAnsi"/>
        </w:rPr>
        <w:t xml:space="preserve">hydrochloride (HH) - 0.03 M Na-EDTA - 15 % acetic acid (HOAc) solution, </w:t>
      </w:r>
      <w:r w:rsidR="00FD5159" w:rsidRPr="00FD5159">
        <w:rPr>
          <w:rFonts w:cstheme="minorHAnsi"/>
        </w:rPr>
        <w:lastRenderedPageBreak/>
        <w:t>buffered with sodium hydroxide (NaOH) to ~pH 4</w:t>
      </w:r>
      <w:r w:rsidR="00527FAF">
        <w:rPr>
          <w:rFonts w:cstheme="minorHAnsi"/>
        </w:rPr>
        <w:t xml:space="preserve"> </w:t>
      </w:r>
      <w:r w:rsidR="00527FAF" w:rsidRPr="00FD5159">
        <w:rPr>
          <w:rFonts w:cstheme="minorHAnsi"/>
        </w:rPr>
        <w:fldChar w:fldCharType="begin" w:fldLock="1"/>
      </w:r>
      <w:r w:rsidR="00527FAF" w:rsidRPr="00FD5159">
        <w:rPr>
          <w:rFonts w:cstheme="minorHAnsi"/>
        </w:rPr>
        <w:instrText>ADDIN CSL_CITATION {"citationItems":[{"id":"ITEM-1","itemData":{"DOI":"10.1016/0375-6742(95)00050-X","ISSN":"03756742","abstract":"A sequential extraction scheme for application to soils, tills and surficial sediments is described that elucidates the form in which an element is held and provides information as to its provenance. The phases selected for extraction have been categorised as: adsorbed/exchangeable/carbonate (using CH3COONa as extractant); amorphous Fe oxyhydroxide (0.25 M NH2OH · HCl); crystalline Fe oxide (1 M NH2OH · HCl); sulphides and organics (KClO3/HCl); and residual, mainly silicates (HF-HClO4-HNO3-HCl). Particular attention has been paid to the specificity of the reagent used for extraction of the amorphous Fe oxyhydroxide phase, well recognised for its scavenging properties of trace metals in the surficial environment. Atomic absorption spectrometry (AAS) was the main analytical technique employed to determine the elements Zn, Cu, Pb, Ni, Co, Mn and Fe. Inductively coupled plasma emission spectrometry (ICP-ES) and ICP mass spectrometry were used to extend this element suite. Results from standard reference materials, TILL 1-4 and LKSD-4, indicate long term relative standard deviations (RSD) for Zn, Cu, Pb, Ni, Co, Mn and Fe extracted from the five phases of 5-12%, at concentrations a decade above detection limits. Comparison of results for the TILL series with those obtained by direct digestion in HF-HClO4-HNO3-HCl shows that losses of element through the various manipulations of sequential extraction are minimal (&lt; 10%). Replicate analyses of 1-g subsamples of soil, till and humus show excellent precision, at 3-10% RSD. A second extraction with fresh solution in each of the first three leaches was examined. An additional recovery of 35-40% for the CH3COONa extraction, 20-25% for 0.25 M NH2OH · HCl, and 15-20% for the 1 M NH2OH · HCl reagent was seen for Zn, Cu, Pb, Ni and Co. Manganese behaves differently: a less consistent pattern between the two leaches is shown by the 221 samples tested; and the second application generally dissolves proportionately less than is the case for the other elements. Omission of this second step could lead to erroneous interpretation of the results. The relatively high concentration of HCl, at 0.25 M. used in the extraction of the amorphous Fe oxyhydroxide phase leads to significant dissolution of sphalerite and galena. Less than 1% of these sulphides is dissolved if the acid strength is reduced to 0.05 M. However, at either HCl concentration, this attack was shown to dissolve a considerable amount of \"soluble\" organic component…","author":[{"dropping-particle":"","family":"Hall","given":"G. E.M.","non-dropping-particle":"","parse-names":false,"suffix":""},{"dropping-particle":"","family":"Vaive","given":"J. E.","non-dropping-particle":"","parse-names":false,"suffix":""},{"dropping-particle":"","family":"Beer","given":"R.","non-dropping-particle":"","parse-names":false,"suffix":""},{"dropping-particle":"","family":"Hoashi","given":"M.","non-dropping-particle":"","parse-names":false,"suffix":""}],"container-title":"Journal of Geochemical Exploration","id":"ITEM-1","issue":"1","issued":{"date-parts":[["1996"]]},"page":"59-78","title":"Selective leaches revisited, with emphasis on the amorphous Fe oxyhydroxide phase extraction","type":"article-journal","volume":"56"},"uris":["http://www.mendeley.com/documents/?uuid=0e7edeb0-ac86-4e35-8f47-35b9266817f0"]},{"id":"ITEM-2","itemData":{"DOI":"10.1016/j.chemgeo.2007.03.021","ISBN":"0009-2541","ISSN":"00092541","abstract":"The extraction of a deepwater radiogenic isotope signal from marine sediments is a powerful, though under-exploited, tool for the characterisation of past climates and modes of ocean circulation. The radiogenic and radioactive isotope compositions (Nd, Pb, Th) of ambient deepwater are stored in authigenic Fe-Mn oxyhydroxide coatings in marine sediments, but the unambiguous separation of the isotopic signal in this phase from other sedimentary components is difficult and measures are needed to ensure its seawater origin. Here the extracted Fe-Mn oxyhydroxide phase is investigated geochemically and isotopically in order to constrain the potential and the limitations of the reconstruction of deepwater radiogenic isotope compositions from marine sediments. Our results show that the isotope compositions of elements such as Sr and Os obtained from the Fe-Mn oxyhydroxide fraction are easily disturbed by detrital contributions originating from the extraction process, whereas the seawater isotope compositions of Nd, Pb and Th can be reliably extracted from marine sediments in the North Atlantic. The main reason is that the Nd, Pb and Th concentrations in the detrital phase of pelagic sediments are much lower than in the Fe-Mn oxyhydroxide fractions. This is reflected in Al/Nd, Al/Pb and Al/Th ratios of the Fe-Mn oxyhydroxide fractions, which are as low as or even lower than those of hydrogenetic ferromanganese crusts. Mass balance calculations illustrate that the use of the87Sr/86Sr isotope composition to confirm the seawater origin of the extracted Nd, Pb and Th isotope signals is misleading. Even though the87Sr/86Sr in the Fe-Mn oxyhydroxide fractions is often higher than the seawater Sr isotope composition, the corresponding detrital contribution does not translate into altered seawater Nd, Pb and Th isotope compositions due to mass balance constraints. Overall the rare earth element patterns, elemental ratios, as well as the mass balance calculations presented here highlight the potential of using authigenic Fe-Mn oxyhydroxide coatings as paleoceanographic archives for the analysis of past seawater Nd, Pb and Th isotope compositions. © 2007 Elsevier B.V. All rights reserved.","author":[{"dropping-particle":"","family":"Gutjahr","given":"Marcus","non-dropping-particle":"","parse-names":false,"suffix":""},{"dropping-particle":"","family":"Frank","given":"Martin","non-dropping-particle":"","parse-names":false,"suffix":""},{"dropping-particle":"","family":"Stirling","given":"Claudine H.","non-dropping-particle":"","parse-names":false,"suffix":""},{"dropping-particle":"","family":"Klemm","given":"Veronika","non-dropping-particle":"","parse-names":false,"suffix":""},{"dropping-particle":"","family":"Flierdt","given":"Tina","non-dropping-particle":"van de","parse-names":false,"suffix":""},{"dropping-particle":"","family":"Halliday","given":"Alex N.","non-dropping-particle":"","parse-names":false,"suffix":""}],"container-title":"Chemical Geology","id":"ITEM-2","issue":"3-4","issued":{"date-parts":[["2007"]]},"note":"Method that Claire Huck has adapted for sites with very high carbonate","page":"351-370","title":"Reliable extraction of a deepwater trace metal isotope signal from Fe-Mn oxyhydroxide coatings of marine sediments","type":"article-journal","volume":"242"},"uris":["http://www.mendeley.com/documents/?uuid=5e093818-4d70-41c3-b1bc-07d691300bcb"]},{"id":"ITEM-3","itemData":{"DOI":"10.1016/S0009-2541(01)00416-8","ISBN":"0009-2541","ISSN":"00092541","abstract":"The radiogenic isotopic composition of both detrital and Fe-Mn fractions in marine sediments can be used in paleoceanography to infer changes of bottom-water circulation. We have examined various chemical techniques for the analysis of Sr and Nd isotope ratios in these fractions and present a robust method that can be used to separate both the Fe-Mn oxides and the detrital fraction from a marine sediment sample for isotopic analysis. Our sequential leaching procedure involves the use of 10% acetic acid, followed by 1 M hydroxylamine hydrochloride in 25% acetic acid to remove the carbonate component and the Fe-Mn oxide fraction, respectively. The applicability of our chemical procedure is illustrated with examples from a marine sediment core raised from the northern Cape Basin, southeast Atlantic Ocean. © 2002 Elsevier Science B.V. All rights reserved.","author":[{"dropping-particle":"","family":"Bayon","given":"G.","non-dropping-particle":"","parse-names":false,"suffix":""},{"dropping-particle":"","family":"German","given":"C. R.","non-dropping-particle":"","parse-names":false,"suffix":""},{"dropping-particle":"","family":"Boella","given":"R. M.","non-dropping-particle":"","parse-names":false,"suffix":""},{"dropping-particle":"","family":"Milton","given":"J. A.","non-dropping-particle":"","parse-names":false,"suffix":""},{"dropping-particle":"","family":"Taylor","given":"R. N.","non-dropping-particle":"","parse-names":false,"suffix":""},{"dropping-particle":"","family":"Nesbitt","given":"R. W.","non-dropping-particle":"","parse-names":false,"suffix":""}],"container-title":"Chemical Geology","id":"ITEM-3","issue":"3-4","issued":{"date-parts":[["2002"]]},"note":"Gives a statement to justify not buffering. \nAlso gives Sr and Nd values at each cleaning step. The Nd changes very little after each step, (inc. the acetic acid step) (relative to provenance changes).\nTHis shows that the buffering is not essential. \nThis is probably by best evidence for not buffering.","page":"179-199","title":"An improved method for extracting marine sediment fractions and its application to Sr and Nd isotopic analysis","type":"article-journal","volume":"187"},"uris":["http://www.mendeley.com/documents/?uuid=b204936c-7304-47eb-b8fe-81ab795dfade"]}],"mendeley":{"formattedCitation":"(Bayon et al., 2002; Gutjahr et al., 2007; Hall et al., 1996)","plainTextFormattedCitation":"(Bayon et al., 2002; Gutjahr et al., 2007; Hall et al., 1996)","previouslyFormattedCitation":"(Bayon et al., 2002; Gutjahr et al., 2007; Hall et al., 1996)"},"properties":{"noteIndex":0},"schema":"https://github.com/citation-style-language/schema/raw/master/csl-citation.json"}</w:instrText>
      </w:r>
      <w:r w:rsidR="00527FAF" w:rsidRPr="00FD5159">
        <w:rPr>
          <w:rFonts w:cstheme="minorHAnsi"/>
        </w:rPr>
        <w:fldChar w:fldCharType="separate"/>
      </w:r>
      <w:r w:rsidR="00527FAF" w:rsidRPr="00FD5159">
        <w:rPr>
          <w:rFonts w:cstheme="minorHAnsi"/>
          <w:noProof/>
        </w:rPr>
        <w:t>(Bayon et al., 2002; Gutjahr et al., 2007; Hall et al., 1996)</w:t>
      </w:r>
      <w:r w:rsidR="00527FAF" w:rsidRPr="00FD5159">
        <w:rPr>
          <w:rFonts w:cstheme="minorHAnsi"/>
        </w:rPr>
        <w:fldChar w:fldCharType="end"/>
      </w:r>
      <w:r w:rsidR="00FD5159" w:rsidRPr="00FD5159">
        <w:rPr>
          <w:rFonts w:cstheme="minorHAnsi"/>
        </w:rPr>
        <w:t xml:space="preserve">. This </w:t>
      </w:r>
      <w:r w:rsidR="00A72171">
        <w:rPr>
          <w:rFonts w:cstheme="minorHAnsi"/>
        </w:rPr>
        <w:t xml:space="preserve">procedure </w:t>
      </w:r>
      <w:r w:rsidR="00FD5159" w:rsidRPr="00FD5159">
        <w:rPr>
          <w:rFonts w:cstheme="minorHAnsi"/>
        </w:rPr>
        <w:t xml:space="preserve">was </w:t>
      </w:r>
      <w:r w:rsidR="00A72171">
        <w:rPr>
          <w:rFonts w:cstheme="minorHAnsi"/>
        </w:rPr>
        <w:t>carried out in</w:t>
      </w:r>
      <w:r w:rsidR="00A72171" w:rsidRPr="00FD5159">
        <w:rPr>
          <w:rFonts w:cstheme="minorHAnsi"/>
        </w:rPr>
        <w:t xml:space="preserve"> </w:t>
      </w:r>
      <w:r w:rsidR="00FD5159" w:rsidRPr="00FD5159">
        <w:rPr>
          <w:rFonts w:cstheme="minorHAnsi"/>
        </w:rPr>
        <w:t>two</w:t>
      </w:r>
      <w:r w:rsidR="00AC55F6">
        <w:rPr>
          <w:rFonts w:cstheme="minorHAnsi"/>
        </w:rPr>
        <w:t xml:space="preserve"> </w:t>
      </w:r>
      <w:r w:rsidR="00FD5159" w:rsidRPr="00FD5159">
        <w:rPr>
          <w:rFonts w:cstheme="minorHAnsi"/>
        </w:rPr>
        <w:t>stage</w:t>
      </w:r>
      <w:r w:rsidR="00A72171">
        <w:rPr>
          <w:rFonts w:cstheme="minorHAnsi"/>
        </w:rPr>
        <w:t>s</w:t>
      </w:r>
      <w:r w:rsidR="00FD5159" w:rsidRPr="00FD5159">
        <w:rPr>
          <w:rFonts w:cstheme="minorHAnsi"/>
        </w:rPr>
        <w:t xml:space="preserve"> totalling 27 hours</w:t>
      </w:r>
      <w:r w:rsidR="009C76E3">
        <w:rPr>
          <w:rFonts w:cstheme="minorHAnsi"/>
        </w:rPr>
        <w:t>: after the first treatment, samples were agitated on a shaker table for three</w:t>
      </w:r>
      <w:r w:rsidR="00FD5159" w:rsidRPr="00FD5159">
        <w:rPr>
          <w:rFonts w:cstheme="minorHAnsi"/>
        </w:rPr>
        <w:t xml:space="preserve"> hours, </w:t>
      </w:r>
      <w:r w:rsidR="009C76E3">
        <w:rPr>
          <w:rFonts w:cstheme="minorHAnsi"/>
        </w:rPr>
        <w:t xml:space="preserve">the </w:t>
      </w:r>
      <w:r w:rsidR="00FD5159" w:rsidRPr="00FD5159">
        <w:rPr>
          <w:rFonts w:cstheme="minorHAnsi"/>
        </w:rPr>
        <w:t xml:space="preserve">reagent </w:t>
      </w:r>
      <w:r w:rsidR="009C76E3">
        <w:rPr>
          <w:rFonts w:cstheme="minorHAnsi"/>
        </w:rPr>
        <w:t xml:space="preserve">was then </w:t>
      </w:r>
      <w:r w:rsidR="00CE2E45">
        <w:rPr>
          <w:rFonts w:cstheme="minorHAnsi"/>
        </w:rPr>
        <w:t xml:space="preserve">removed and replaced with fresh </w:t>
      </w:r>
      <w:r w:rsidR="00381F78">
        <w:rPr>
          <w:rFonts w:cstheme="minorHAnsi"/>
        </w:rPr>
        <w:t>HH-NaEDTA-HOAc</w:t>
      </w:r>
      <w:r w:rsidRPr="00FD5159">
        <w:rPr>
          <w:rFonts w:cstheme="minorHAnsi"/>
        </w:rPr>
        <w:t>,</w:t>
      </w:r>
      <w:r w:rsidR="009C76E3">
        <w:rPr>
          <w:rFonts w:cstheme="minorHAnsi"/>
        </w:rPr>
        <w:t xml:space="preserve"> and samples were agitated for a further</w:t>
      </w:r>
      <w:r w:rsidR="00FD5159" w:rsidRPr="00FD5159">
        <w:rPr>
          <w:rFonts w:cstheme="minorHAnsi"/>
        </w:rPr>
        <w:t xml:space="preserve"> 24 hours. </w:t>
      </w:r>
      <w:r w:rsidR="00B73D63">
        <w:rPr>
          <w:rFonts w:cstheme="minorHAnsi"/>
        </w:rPr>
        <w:t>Retained l</w:t>
      </w:r>
      <w:r w:rsidR="00FD5159" w:rsidRPr="00FD5159">
        <w:rPr>
          <w:rFonts w:cstheme="minorHAnsi"/>
        </w:rPr>
        <w:t>eachate</w:t>
      </w:r>
      <w:r w:rsidR="00B73D63">
        <w:rPr>
          <w:rFonts w:cstheme="minorHAnsi"/>
        </w:rPr>
        <w:t>s</w:t>
      </w:r>
      <w:r w:rsidR="00FD5159" w:rsidRPr="00FD5159">
        <w:rPr>
          <w:rFonts w:cstheme="minorHAnsi"/>
        </w:rPr>
        <w:t xml:space="preserve"> can be </w:t>
      </w:r>
      <w:r w:rsidR="00B73D63">
        <w:rPr>
          <w:rFonts w:cstheme="minorHAnsi"/>
        </w:rPr>
        <w:t>used</w:t>
      </w:r>
      <w:r w:rsidR="00B73D63" w:rsidRPr="00FD5159">
        <w:rPr>
          <w:rFonts w:cstheme="minorHAnsi"/>
        </w:rPr>
        <w:t xml:space="preserve"> </w:t>
      </w:r>
      <w:r w:rsidR="00FD5159" w:rsidRPr="00FD5159">
        <w:rPr>
          <w:rFonts w:cstheme="minorHAnsi"/>
        </w:rPr>
        <w:t>for isotopic analysis of seawater-derived trace metals (e.g. Sr, Nd, Pb, Th</w:t>
      </w:r>
      <w:r w:rsidR="00946CF9">
        <w:rPr>
          <w:rFonts w:cstheme="minorHAnsi"/>
        </w:rPr>
        <w:t>). While this method is an effective way to thoroughly remov</w:t>
      </w:r>
      <w:r w:rsidR="00836DBB">
        <w:rPr>
          <w:rFonts w:cstheme="minorHAnsi"/>
        </w:rPr>
        <w:t>e</w:t>
      </w:r>
      <w:r w:rsidR="00946CF9">
        <w:rPr>
          <w:rFonts w:cstheme="minorHAnsi"/>
        </w:rPr>
        <w:t xml:space="preserve"> authigenic coatings, treatment with acetic acid risks dissolution of some reactive silicate phases (e.g., fresh volcanic glass, </w:t>
      </w:r>
      <w:r w:rsidR="00946CF9">
        <w:rPr>
          <w:rFonts w:cstheme="minorHAnsi"/>
        </w:rPr>
        <w:fldChar w:fldCharType="begin" w:fldLock="1"/>
      </w:r>
      <w:r w:rsidR="003E40BC">
        <w:rPr>
          <w:rFonts w:cstheme="minorHAnsi"/>
        </w:rPr>
        <w:instrText>ADDIN CSL_CITATION {"citationItems":[{"id":"ITEM-1","itemData":{"DOI":"10.1016/j.chemgeo.2016.06.024","ISSN":"00092541","abstract":"The seawater radiogenic neodymium (143Nd/144Nd) isotope signature is an invaluable tool for the reconstruction of past deep water provenance. Sedimentary foraminifera or fish teeth are among the most reliable archives known for Nd isotope based reconstructions of past seawater. As the distribution and preservation of these archives are limited, the extraction of hydrogenetic ferromanganese oxyhydroxides from bulk sediments provide an easily applicable alternative. This method, however, implies the risk of generating artefacts due to the possible release of non-seawater derived Nd during the extraction procedure. Here we revisit and further investigate the reliability of the extraction of seawater derived Nd isotope signatures via leaching of bulk deep sea sediments with two commonly used buffered acetic acid and acid-reductive mix solutions. Repeated application of such stepwise leaching procedures to different non-decarbonated sediments from distinct settings across the deep Atlantic Ocean shows pronounced elemental and Nd isotope trends during the leaching process in the laboratory. Our results show that seawater Nd isotope compositions are extracted together with carbonates and manganese oxides only at the beginning of the leaching series. During chemical extraction, the carbonates effectively work as a buffer preventing acid-induced mobilisation of Fe oxides and volcanogenic material. Once this buffer is consumed, potentially present volcanogenic phases are considerably attacked, leading to shifts in the extracted Nd isotope signal of up to + 12 epsilon units. Such volcanogenic phases are a significant source of contaminant Nd reflected by markedly elevated Al/Nd signatures. We consequently propose a revised weak leaching protocol for carbonate bearing deep sea sediments, which is simple to use, provides excellent agreement with data obtained from uncleaned foraminifera, and can be easily screened for contamination.","author":[{"dropping-particle":"","family":"Blaser","given":"Patrick","non-dropping-particle":"","parse-names":false,"suffix":""},{"dropping-particle":"","family":"Lippold","given":"Jörg","non-dropping-particle":"","parse-names":false,"suffix":""},{"dropping-particle":"","family":"Gutjahr","given":"Marcus","non-dropping-particle":"","parse-names":false,"suffix":""},{"dropping-particle":"","family":"Frank","given":"Norbert","non-dropping-particle":"","parse-names":false,"suffix":""},{"dropping-particle":"","family":"Link","given":"Jasmin M.","non-dropping-particle":"","parse-names":false,"suffix":""},{"dropping-particle":"","family":"Frank","given":"Martin","non-dropping-particle":"","parse-names":false,"suffix":""}],"container-title":"Chemical Geology","id":"ITEM-1","issued":{"date-parts":[["2016"]]},"page":"189-204","title":"Extracting foraminiferal seawater Nd isotope signatures from bulk deep sea sediment by chemical leaching","type":"article-journal","volume":"439"},"uris":["http://www.mendeley.com/documents/?uuid=fccc45aa-2c73-4a77-ba10-e752dc6dc450"]}],"mendeley":{"formattedCitation":"(Blaser et al., 2016)","manualFormatting":"Blaser et al., 2016)","plainTextFormattedCitation":"(Blaser et al., 2016)","previouslyFormattedCitation":"(Blaser et al., 2016)"},"properties":{"noteIndex":0},"schema":"https://github.com/citation-style-language/schema/raw/master/csl-citation.json"}</w:instrText>
      </w:r>
      <w:r w:rsidR="00946CF9">
        <w:rPr>
          <w:rFonts w:cstheme="minorHAnsi"/>
        </w:rPr>
        <w:fldChar w:fldCharType="separate"/>
      </w:r>
      <w:r w:rsidR="00946CF9" w:rsidRPr="00E03A90">
        <w:rPr>
          <w:rFonts w:cstheme="minorHAnsi"/>
          <w:noProof/>
        </w:rPr>
        <w:t>Blaser et al., 2016)</w:t>
      </w:r>
      <w:r w:rsidR="00946CF9">
        <w:rPr>
          <w:rFonts w:cstheme="minorHAnsi"/>
        </w:rPr>
        <w:fldChar w:fldCharType="end"/>
      </w:r>
      <w:r w:rsidR="00946CF9">
        <w:rPr>
          <w:rFonts w:cstheme="minorHAnsi"/>
        </w:rPr>
        <w:t>. Therefore, if isolation and analysis of the authigenic coatings themselves is desired</w:t>
      </w:r>
      <w:r w:rsidR="00527DF7">
        <w:rPr>
          <w:rFonts w:cstheme="minorHAnsi"/>
        </w:rPr>
        <w:t xml:space="preserve"> or if these reactive silicate phases are abundant or of particular interest</w:t>
      </w:r>
      <w:r w:rsidR="00946CF9">
        <w:rPr>
          <w:rFonts w:cstheme="minorHAnsi"/>
        </w:rPr>
        <w:t xml:space="preserve">, a less aggressive method should be employed </w:t>
      </w:r>
      <w:r w:rsidR="00946CF9">
        <w:rPr>
          <w:rFonts w:cstheme="minorHAnsi"/>
        </w:rPr>
        <w:fldChar w:fldCharType="begin" w:fldLock="1"/>
      </w:r>
      <w:r w:rsidR="00D862A0">
        <w:rPr>
          <w:rFonts w:cstheme="minorHAnsi"/>
        </w:rPr>
        <w:instrText>ADDIN CSL_CITATION {"citationItems":[{"id":"ITEM-1","itemData":{"DOI":"10.1029/2020GC009287","ISSN":"15252027","abstract":"Radiogenic lead (Pb) and neodymium (Nd) isotope compositions extracted from authigenic phases in marine sediments are sensitive tracers to reconstruct past ocean circulation and water mass mixing. Chemical reductive leaching of hydrogenetic ferromanganese oxyhydroxides from bulk sediments is the most practical way to recover past seawater Pb and Nd isotope signatures in the Southern Ocean, due to the scarcity of alternative archives. However, the leached signal could be compromised if substantial quantities of Pb and Nd were released from non-hydrogenetic sediment fractions during chemical extraction. Here we developed a very short 10-s leaching method to extract reliable seawater Pb and Nd isotope signals from sediments in the Atlantic sector of Southern Ocean. The effect of a previously recommended MgCl2 pre-wash, the role of chelate ligands in the leaching solution and length of leaching time were investigated. The results show that 10-s exposure time of sediments to reductive leaching extracted sufficient and more reliable hydrogenetic Pb and Nd compared with the commonly used 30-min leaching approaches. The robustness of our improved leaching method was validated via direct comparison of Pb and Nd isotope signatures with actual seawater, porewater, and corresponding sediment leachates from three stations in front of the Antarctic Filchner-Rønne Ice Shelf. Our findings also indicate that in contrast previously studied sites on the West Antarctic continental shelf, the bottom seawater Nd concentration is less elevated through benthic fluxes in the area of the southern Weddell Sea shelf.","author":[{"dropping-particle":"","family":"Huang","given":"H.","non-dropping-particle":"","parse-names":false,"suffix":""},{"dropping-particle":"","family":"Gutjahr","given":"M.","non-dropping-particle":"","parse-names":false,"suffix":""},{"dropping-particle":"","family":"Kuhn","given":"G.","non-dropping-particle":"","parse-names":false,"suffix":""},{"dropping-particle":"","family":"Hathorne","given":"Ed C.","non-dropping-particle":"","parse-names":false,"suffix":""},{"dropping-particle":"","family":"Eisenhauer","given":"A.","non-dropping-particle":"","parse-names":false,"suffix":""}],"container-title":"Geochemistry, Geophysics, Geosystems","id":"ITEM-1","issue":"3","issued":{"date-parts":[["2021"]]},"title":"Efficient Extraction of Past Seawater Pb and Nd Isotope Signatures From Southern Ocean Sediments","type":"article-journal","volume":"22"},"uris":["http://www.mendeley.com/documents/?uuid=290042a7-addc-49ba-a0d8-2e18698280a8"]},{"id":"ITEM-2","itemData":{"DOI":"10.1016/j.chemgeo.2016.06.024","ISSN":"00092541","abstract":"The seawater radiogenic neodymium (143Nd/144Nd) isotope signature is an invaluable tool for the reconstruction of past deep water provenance. Sedimentary foraminifera or fish teeth are among the most reliable archives known for Nd isotope based reconstructions of past seawater. As the distribution and preservation of these archives are limited, the extraction of hydrogenetic ferromanganese oxyhydroxides from bulk sediments provide an easily applicable alternative. This method, however, implies the risk of generating artefacts due to the possible release of non-seawater derived Nd during the extraction procedure. Here we revisit and further investigate the reliability of the extraction of seawater derived Nd isotope signatures via leaching of bulk deep sea sediments with two commonly used buffered acetic acid and acid-reductive mix solutions. Repeated application of such stepwise leaching procedures to different non-decarbonated sediments from distinct settings across the deep Atlantic Ocean shows pronounced elemental and Nd isotope trends during the leaching process in the laboratory. Our results show that seawater Nd isotope compositions are extracted together with carbonates and manganese oxides only at the beginning of the leaching series. During chemical extraction, the carbonates effectively work as a buffer preventing acid-induced mobilisation of Fe oxides and volcanogenic material. Once this buffer is consumed, potentially present volcanogenic phases are considerably attacked, leading to shifts in the extracted Nd isotope signal of up to + 12 epsilon units. Such volcanogenic phases are a significant source of contaminant Nd reflected by markedly elevated Al/Nd signatures. We consequently propose a revised weak leaching protocol for carbonate bearing deep sea sediments, which is simple to use, provides excellent agreement with data obtained from uncleaned foraminifera, and can be easily screened for contamination.","author":[{"dropping-particle":"","family":"Blaser","given":"Patrick","non-dropping-particle":"","parse-names":false,"suffix":""},{"dropping-particle":"","family":"Lippold","given":"Jörg","non-dropping-particle":"","parse-names":false,"suffix":""},{"dropping-particle":"","family":"Gutjahr","given":"Marcus","non-dropping-particle":"","parse-names":false,"suffix":""},{"dropping-particle":"","family":"Frank","given":"Norbert","non-dropping-particle":"","parse-names":false,"suffix":""},{"dropping-particle":"","family":"Link","given":"Jasmin M.","non-dropping-particle":"","parse-names":false,"suffix":""},{"dropping-particle":"","family":"Frank","given":"Martin","non-dropping-particle":"","parse-names":false,"suffix":""}],"container-title":"Chemical Geology","id":"ITEM-2","issued":{"date-parts":[["2016"]]},"page":"189-204","title":"Extracting foraminiferal seawater Nd isotope signatures from bulk deep sea sediment by chemical leaching","type":"article-journal","volume":"439"},"uris":["http://www.mendeley.com/documents/?uuid=fccc45aa-2c73-4a77-ba10-e752dc6dc450"]},{"id":"ITEM-3","itemData":{"DOI":"10.1016/j.chemgeo.2018.12.024","ISSN":"00092541","abstract":"The role of accessory minerals in the incongruent release of Hf and Pb during continental weathering and its implications for the generation of distinct seawater isotope compositions is subject of debate. While it has been suggested that radiogenic Hf and Pb isotope signatures released during the dissolution of rocks are controlled by the relative abundances of minerals with distinct isotope compositions and differences in their resistance to dissolution there has not been a comprehensive experimental investigation of these processes to date. We carried out systematic sequential leaching experiments on fresh and partly weathered granitic rock samples as well as separated zircons from the Central Aar Granite in Switzerland. Combined with major and rare earth element concentrations our new quantitative experimental data reveal systematic preferential release of radiogenic Nd, Hf and Pb isotopes primarily controlled by dissolution characteristics of the host rock's easily dissolvable accessory and major minerals, in particular apatite and sphene, during weak chemical weathering. Moreover, Pb isotope signatures of incipient weathering conditions, contrary to expectations, indicate initial congruent release of Pb from freshly exposed mineral surfaces that becomes subsequently incongruent. During more advanced chemical weathering stages, as well as enhanced physical weathering conditions, the dissolution of major minerals (i.e. feldspars) becomes dominant for Nd and Pb isotope signatures, whereas Hf isotopes are still dominated by contributions from highly radiogenic accessories. Additional leaching experiments of zircon separates were performed to test the specific role of zircons for Hf isotope compositions of riverine runoff. It is demonstrated that zircon is more efficiently dissolved when physical weathering is enhanced. This increased Hf release originating from partial dissolution of zircons, however, is quantitatively not sufficient to explain less radiogenic Hf isotope signatures in seawater during episodes of enhanced mechanical erosion alone. Moreover, the observed addition of Hf from the more congruent dissolution of the zircon-free fractions of the parent rock due to enhanced physical weathering indicates that these minerals also play an important role in controlling Hf isotope signatures released under deglacial conditions.","author":[{"dropping-particle":"","family":"Dausmann","given":"Veit","non-dropping-particle":"","parse-names":false,"suffix":""},{"dropping-particle":"","family":"Gutjahr","given":"Marcus","non-dropping-particle":"","parse-names":false,"suffix":""},{"dropping-particle":"","family":"Frank","given":"Martin","non-dropping-particle":"","parse-names":false,"suffix":""},{"dropping-particle":"","family":"Kouzmanov","given":"Kalin","non-dropping-particle":"","parse-names":false,"suffix":""},{"dropping-particle":"","family":"Schaltegger","given":"Urs","non-dropping-particle":"","parse-names":false,"suffix":""}],"container-title":"Chemical Geology","id":"ITEM-3","issue":"December","issued":{"date-parts":[["2019"]]},"page":"64-84","title":"Experimental evidence for mineral-controlled release of radiogenic Nd, Hf and Pb isotopes from granitic rocks during progressive chemical weathering","type":"article-journal","volume":"507"},"uris":["http://www.mendeley.com/documents/?uuid=849c1254-1f4b-436c-9bea-22ecbc61678a"]}],"mendeley":{"formattedCitation":"(Blaser et al., 2016; Dausmann et al., 2019; Huang et al., 2021)","plainTextFormattedCitation":"(Blaser et al., 2016; Dausmann et al., 2019; Huang et al., 2021)","previouslyFormattedCitation":"(Blaser et al., 2016; Dausmann et al., 2019; Huang et al., 2021)"},"properties":{"noteIndex":0},"schema":"https://github.com/citation-style-language/schema/raw/master/csl-citation.json"}</w:instrText>
      </w:r>
      <w:r w:rsidR="00946CF9">
        <w:rPr>
          <w:rFonts w:cstheme="minorHAnsi"/>
        </w:rPr>
        <w:fldChar w:fldCharType="separate"/>
      </w:r>
      <w:r w:rsidR="003E40BC" w:rsidRPr="003E40BC">
        <w:rPr>
          <w:rFonts w:cstheme="minorHAnsi"/>
          <w:noProof/>
        </w:rPr>
        <w:t>(Blaser et al., 2016; Dausmann et al., 2019; Huang et al., 2021)</w:t>
      </w:r>
      <w:r w:rsidR="00946CF9">
        <w:rPr>
          <w:rFonts w:cstheme="minorHAnsi"/>
        </w:rPr>
        <w:fldChar w:fldCharType="end"/>
      </w:r>
      <w:r w:rsidR="00946CF9">
        <w:rPr>
          <w:rFonts w:cstheme="minorHAnsi"/>
        </w:rPr>
        <w:t>.</w:t>
      </w:r>
    </w:p>
    <w:p w14:paraId="6E585E25" w14:textId="77777777" w:rsidR="00527FAF" w:rsidRPr="00FD5159" w:rsidRDefault="00527FAF" w:rsidP="00FD5159">
      <w:pPr>
        <w:spacing w:line="480" w:lineRule="auto"/>
        <w:jc w:val="both"/>
        <w:rPr>
          <w:rFonts w:cstheme="minorHAnsi"/>
          <w:i/>
        </w:rPr>
      </w:pPr>
    </w:p>
    <w:p w14:paraId="4F20B072" w14:textId="77777777" w:rsidR="00FD5159" w:rsidRPr="00FD5159" w:rsidRDefault="00527FAF" w:rsidP="0049718C">
      <w:pPr>
        <w:pStyle w:val="ListParagraph"/>
        <w:numPr>
          <w:ilvl w:val="2"/>
          <w:numId w:val="5"/>
        </w:numPr>
        <w:spacing w:line="480" w:lineRule="auto"/>
        <w:jc w:val="both"/>
        <w:rPr>
          <w:rFonts w:cstheme="minorHAnsi"/>
        </w:rPr>
      </w:pPr>
      <w:r>
        <w:rPr>
          <w:rFonts w:cstheme="minorHAnsi"/>
        </w:rPr>
        <w:t>Removal of biogenic silica</w:t>
      </w:r>
    </w:p>
    <w:p w14:paraId="341DDAC2" w14:textId="3A1A2451" w:rsidR="00ED3E15" w:rsidRPr="00AC4648" w:rsidRDefault="0073256D" w:rsidP="00AC4648">
      <w:pPr>
        <w:spacing w:line="480" w:lineRule="auto"/>
        <w:jc w:val="both"/>
        <w:rPr>
          <w:rFonts w:cstheme="minorHAnsi"/>
        </w:rPr>
      </w:pPr>
      <w:r>
        <w:rPr>
          <w:rFonts w:cstheme="minorHAnsi"/>
        </w:rPr>
        <w:t xml:space="preserve">To remove biogenic silica, </w:t>
      </w:r>
      <w:r w:rsidR="00ED3E15" w:rsidRPr="00AC4648">
        <w:rPr>
          <w:rFonts w:cstheme="minorHAnsi"/>
        </w:rPr>
        <w:t>20 ml of 1.5 M NaOH was added</w:t>
      </w:r>
      <w:r w:rsidR="00461404">
        <w:rPr>
          <w:rFonts w:cstheme="minorHAnsi"/>
        </w:rPr>
        <w:t xml:space="preserve"> to each sample</w:t>
      </w:r>
      <w:r w:rsidR="00ED3E15" w:rsidRPr="00AC4648">
        <w:rPr>
          <w:rFonts w:cstheme="minorHAnsi"/>
        </w:rPr>
        <w:t>,</w:t>
      </w:r>
      <w:r w:rsidR="00461404">
        <w:rPr>
          <w:rFonts w:cstheme="minorHAnsi"/>
        </w:rPr>
        <w:t xml:space="preserve"> then</w:t>
      </w:r>
      <w:r w:rsidR="00ED3E15" w:rsidRPr="00AC4648">
        <w:rPr>
          <w:rFonts w:cstheme="minorHAnsi"/>
        </w:rPr>
        <w:t xml:space="preserve"> samples were sonicated for 10 minutes, and left overnight in an oven at 65 </w:t>
      </w:r>
      <w:r w:rsidR="00ED3E15" w:rsidRPr="00AC4648">
        <w:rPr>
          <w:rFonts w:ascii="Calibri" w:hAnsi="Calibri" w:cs="Calibri"/>
        </w:rPr>
        <w:t xml:space="preserve">° </w:t>
      </w:r>
      <w:r w:rsidR="00ED3E15" w:rsidRPr="00AC4648">
        <w:rPr>
          <w:rFonts w:cstheme="minorHAnsi"/>
        </w:rPr>
        <w:t xml:space="preserve">C. Samples were then transferred to an 80 </w:t>
      </w:r>
      <w:r w:rsidR="00ED3E15" w:rsidRPr="00AC4648">
        <w:rPr>
          <w:rFonts w:ascii="Calibri" w:hAnsi="Calibri" w:cs="Calibri"/>
        </w:rPr>
        <w:t xml:space="preserve">° C water bath for two hours, reagent </w:t>
      </w:r>
      <w:r w:rsidR="00725CFA">
        <w:rPr>
          <w:rFonts w:ascii="Calibri" w:hAnsi="Calibri" w:cs="Calibri"/>
        </w:rPr>
        <w:t>was removed, new 1.5</w:t>
      </w:r>
      <w:r w:rsidR="00381F78">
        <w:rPr>
          <w:rFonts w:ascii="Calibri" w:hAnsi="Calibri" w:cs="Calibri"/>
        </w:rPr>
        <w:t xml:space="preserve"> </w:t>
      </w:r>
      <w:r w:rsidR="00725CFA">
        <w:rPr>
          <w:rFonts w:ascii="Calibri" w:hAnsi="Calibri" w:cs="Calibri"/>
        </w:rPr>
        <w:t>M NaOH was added</w:t>
      </w:r>
      <w:r w:rsidR="00ED3E15" w:rsidRPr="00AC4648">
        <w:rPr>
          <w:rFonts w:ascii="Calibri" w:hAnsi="Calibri" w:cs="Calibri"/>
        </w:rPr>
        <w:t xml:space="preserve">, and then </w:t>
      </w:r>
      <w:r w:rsidR="00725CFA">
        <w:rPr>
          <w:rFonts w:ascii="Calibri" w:hAnsi="Calibri" w:cs="Calibri"/>
        </w:rPr>
        <w:t xml:space="preserve">samples were </w:t>
      </w:r>
      <w:r w:rsidR="00ED3E15" w:rsidRPr="00AC4648">
        <w:rPr>
          <w:rFonts w:ascii="Calibri" w:hAnsi="Calibri" w:cs="Calibri"/>
        </w:rPr>
        <w:t xml:space="preserve">returned to the water bath for an additional 2 hours. Finally, samples were left in </w:t>
      </w:r>
      <w:r w:rsidR="00A72171">
        <w:rPr>
          <w:rFonts w:ascii="Calibri" w:hAnsi="Calibri" w:cs="Calibri"/>
        </w:rPr>
        <w:t>an oven at</w:t>
      </w:r>
      <w:r w:rsidR="00A72171" w:rsidRPr="00AC4648">
        <w:rPr>
          <w:rFonts w:ascii="Calibri" w:hAnsi="Calibri" w:cs="Calibri"/>
        </w:rPr>
        <w:t xml:space="preserve"> </w:t>
      </w:r>
      <w:r w:rsidR="00ED3E15" w:rsidRPr="00AC4648">
        <w:rPr>
          <w:rFonts w:ascii="Calibri" w:hAnsi="Calibri" w:cs="Calibri"/>
        </w:rPr>
        <w:t>65 °</w:t>
      </w:r>
      <w:r w:rsidR="00ED3E15" w:rsidRPr="00AC4648">
        <w:rPr>
          <w:rFonts w:cstheme="minorHAnsi"/>
        </w:rPr>
        <w:t xml:space="preserve"> C overnight</w:t>
      </w:r>
      <w:r w:rsidR="00AC4648" w:rsidRPr="00AC4648">
        <w:rPr>
          <w:rFonts w:cstheme="minorHAnsi"/>
        </w:rPr>
        <w:t xml:space="preserve"> </w:t>
      </w:r>
      <w:r w:rsidR="00AC4648" w:rsidRPr="00AC4648">
        <w:rPr>
          <w:rFonts w:ascii="Calibri" w:hAnsi="Calibri" w:cs="Calibri"/>
        </w:rPr>
        <w:fldChar w:fldCharType="begin" w:fldLock="1"/>
      </w:r>
      <w:r w:rsidR="007C1462">
        <w:rPr>
          <w:rFonts w:ascii="Calibri" w:hAnsi="Calibri" w:cs="Calibri"/>
        </w:rPr>
        <w:instrText>ADDIN CSL_CITATION {"citationItems":[{"id":"ITEM-1","itemData":{"DOI":"10.1002/lom3.10013","ISSN":"15415856","abstract":"The lithogenic fraction in marine sediments can be a key proxy to reconstruct past changes in atmospheric circulation, river runoff among other sedimentary processes. But, accurate isolation of the lithic component within biogenic-rich sediments can be particularly challenging in areas of high marine productivity. We present an experiment to isolate and characterize this lithogenic fraction that ensures the full elimination of biogenic and authigenic components. This experiment demonstrates that standard procedures used in most of the studies of terrigenous fraction in marine sediments, are inadequate to remove efficiently most of the biogenic components in sediments from high productivity regions such as the Eastern Equatorial Pacific. The experiment reviews each of the procedure steps designed for the removal of organic matter, carbonate, Fe-Mn oxides, and biogenic silica. The most critical steps were the removal of organic matter incorporated in fecal pellets, and the elimination of the biogenic silica. The continuous monitoring of the grain-size distribution of the samples along the experiment steps allows evaluating the impact that an inadequate procedure can induce on the grain size. Finally, lithic grain-size distributions were characterized using k-means statistical technique providing objective information for climate interpretation. The proposed approach ensures the quality of the results and allows magnifying the information provided by the lithic fraction in marine sediments.","author":[{"dropping-particle":"","family":"Povea","given":"Patricia","non-dropping-particle":"","parse-names":false,"suffix":""},{"dropping-particle":"","family":"Cacho","given":"Isabel","non-dropping-particle":"","parse-names":false,"suffix":""},{"dropping-particle":"","family":"Moreno","given":"Ana","non-dropping-particle":"","parse-names":false,"suffix":""},{"dropping-particle":"","family":"Menéndez","given":"Melisa","non-dropping-particle":"","parse-names":false,"suffix":""},{"dropping-particle":"","family":"Méndez","given":"Fernando J.","non-dropping-particle":"","parse-names":false,"suffix":""}],"container-title":"Limnology and Oceanography: Methods","id":"ITEM-1","issue":"3","issued":{"date-parts":[["2015"]]},"note":"do buffer, and very low acid. \nBut have to repeat lots.","page":"127-137","title":"A new procedure for the lithic fraction characterization in marine sediments from high productivity areas: Optimization of analytical and statistical procedures","type":"article-journal","volume":"13"},"uris":["http://www.mendeley.com/documents/?uuid=b7ecad56-ad95-4adf-b806-74e5209c63d0"]},{"id":"ITEM-2","itemData":{"DOI":"10.1016/0198-0149(89)90092-7","ISBN":"0198-0149","ISSN":"01980149","abstract":"Biogenic opal in marine sediments is determined with a single extraction of silica into 2 M Na2CO3solution at 85°C for 5 h. The method has been applied to sediments of varied opal contents (3-100% opal) and age (Recent to Pliocene). It is sufficiently simple, precise and rapid to be used routinely for high resolution spatial and temporal mapping of the biosiliceous component in deep-sea sediments. Evidence from timed dissolution experiments, germanium/silicon ratios, and comparisons with other methodologies demonstrates that systematic errors produced by leaching of silica from aluminosilicates or by incomplete dissolution of siliceous microfossils are small compared to the range of opal contents in biogenic sediments. When estimating mass accumulation rates, we report sedimentary biogenic opal both as %SiOPAL(silicon content) and as %OPAL (2.4 × %SiOPAL). This conversion accounts for the average water content of diatomaceous silica (about 10% water = SiO2· 0.4 H2O). © 1989.","author":[{"dropping-particle":"","family":"Mortlock","given":"Richard A.","non-dropping-particle":"","parse-names":false,"suffix":""},{"dropping-particle":"","family":"Froelich","given":"Philip N.","non-dropping-particle":"","parse-names":false,"suffix":""}],"container-title":"Deep Sea Research Part A, Oceanographic Research Papers","id":"ITEM-2","issue":"9","issued":{"date-parts":[["1989"]]},"page":"1415-1426","title":"A simple method for the rapid determination of biogenic opal in pelagic marine sediments","type":"article-journal","volume":"36"},"uris":["http://www.mendeley.com/documents/?uuid=37dea424-5bcd-4965-b39a-dce8c3bf4ab4"]},{"id":"ITEM-3","itemData":{"abstract":"A laboratory study was conducted to determine the adequacy of us- ing a 2-M sodium carbonate (Na2CO3) solution to digest radiolarian- rich Eocene and Miocene samples to find their total opal content. In general, this commonly used method is not sufficient for complete di- gestion, even when digestion times are nearly tripled. However, diges- tion does proceed to completion when a 2-M potassium hydroxide (KOH) solution is substituted for the Na2CO3 reagent and digestion pro- ceeds for 8.5–10 hr. Except when volcanic ash is present, a 2-M KOH digestion produced more accurate biogenic silica results for Paleogene samples with a high opal content than did a Na2CO3 leach. This conclu- sion is based on biogenic silica results obtained by an independent method of analysis (normative analysis) for Paleogene radiolarian-rich samples. More importantly, the KOH treatment does not appear to leach “excess silica” from the matrix components (such as clay minerals and other siliciclastics) in sufficient concentrations to compromise the relative accuracy of the results. In contrast, the Na2CO3 leach greatly underestimates the amount of biogenic silica in the Paleogene samples. For samples containing volcanic ash, both treatments overestimate the amount of biogenic silica present, with the KOH treatment producing values two to three times greater than the Na2CO3 leach. The com- monly used 2-M Na2CO3 leach is inadequate for the rapid digestion of biogenic opal for radiolarians (e.g., Leg 199 sediments), but a 2-M KOH solution will produce reasonably accurate results.","author":[{"dropping-particle":"","family":"Lyle","given":"Annett Olivarez","non-dropping-particle":"","parse-names":false,"suffix":""},{"dropping-particle":"","family":"Lyle","given":"Mitchell W","non-dropping-particle":"","parse-names":false,"suffix":""}],"container-title":"Proceedings ODP, Initial Reports","id":"ITEM-3","issued":{"date-parts":[["2002"]]},"note":"Method for determination of % opal in marine sediments. Method recommended by Paul in June 2019.","page":"1-21","title":"Determination of biogenic silica in pelagic marine sediments: a simple method revisted","type":"article-journal","volume":"199"},"uris":["http://www.mendeley.com/documents/?uuid=fcfb2d90-c1a5-4a95-b199-e8dee914f585"]}],"mendeley":{"formattedCitation":"(Lyle and Lyle, 2002; Mortlock and Froelich, 1989; Povea et al., 2015)","manualFormatting":"(Povea et al., 2015, developed from Lyle and Lyle, 2002; Mortlock and Froelich, 1989)","plainTextFormattedCitation":"(Lyle and Lyle, 2002; Mortlock and Froelich, 1989; Povea et al., 2015)","previouslyFormattedCitation":"(Lyle and Lyle, 2002; Mortlock and Froelich, 1989; Povea et al., 2015)"},"properties":{"noteIndex":0},"schema":"https://github.com/citation-style-language/schema/raw/master/csl-citation.json"}</w:instrText>
      </w:r>
      <w:r w:rsidR="00AC4648" w:rsidRPr="00AC4648">
        <w:rPr>
          <w:rFonts w:ascii="Calibri" w:hAnsi="Calibri" w:cs="Calibri"/>
        </w:rPr>
        <w:fldChar w:fldCharType="separate"/>
      </w:r>
      <w:r w:rsidR="00AC4648" w:rsidRPr="00AC4648">
        <w:rPr>
          <w:rFonts w:ascii="Calibri" w:hAnsi="Calibri" w:cs="Calibri"/>
          <w:noProof/>
        </w:rPr>
        <w:t>(Povea et al., 2015, developed from Lyle and Lyle, 2002; Mortlock and Froelich, 1989)</w:t>
      </w:r>
      <w:r w:rsidR="00AC4648" w:rsidRPr="00AC4648">
        <w:rPr>
          <w:rFonts w:ascii="Calibri" w:hAnsi="Calibri" w:cs="Calibri"/>
        </w:rPr>
        <w:fldChar w:fldCharType="end"/>
      </w:r>
      <w:r w:rsidR="00AC4648" w:rsidRPr="00AC4648">
        <w:rPr>
          <w:rFonts w:cstheme="minorHAnsi"/>
        </w:rPr>
        <w:t>.</w:t>
      </w:r>
      <w:r w:rsidR="00A73E7A">
        <w:rPr>
          <w:rFonts w:cstheme="minorHAnsi"/>
        </w:rPr>
        <w:t xml:space="preserve"> </w:t>
      </w:r>
      <w:r w:rsidR="00636CFB">
        <w:rPr>
          <w:rFonts w:cstheme="minorHAnsi"/>
        </w:rPr>
        <w:t xml:space="preserve">After </w:t>
      </w:r>
      <w:r w:rsidR="00A73E7A">
        <w:rPr>
          <w:rFonts w:cstheme="minorHAnsi"/>
        </w:rPr>
        <w:t xml:space="preserve">rinsing, samples were freeze dried and subsampled for </w:t>
      </w:r>
      <w:r>
        <w:rPr>
          <w:rFonts w:cstheme="minorHAnsi"/>
        </w:rPr>
        <w:t>repeated barite removal leaching</w:t>
      </w:r>
      <w:r w:rsidR="00A73E7A">
        <w:rPr>
          <w:rFonts w:cstheme="minorHAnsi"/>
        </w:rPr>
        <w:t xml:space="preserve"> procedures. </w:t>
      </w:r>
    </w:p>
    <w:p w14:paraId="785E1A0B" w14:textId="77777777" w:rsidR="00ED3E15" w:rsidRPr="00ED3E15" w:rsidRDefault="00ED3E15" w:rsidP="008C6417">
      <w:pPr>
        <w:spacing w:line="480" w:lineRule="auto"/>
        <w:jc w:val="both"/>
        <w:rPr>
          <w:rFonts w:cstheme="minorHAnsi"/>
        </w:rPr>
      </w:pPr>
    </w:p>
    <w:p w14:paraId="4D1A0278" w14:textId="77777777" w:rsidR="00AC4648" w:rsidRPr="0073256D" w:rsidRDefault="0073256D" w:rsidP="0049718C">
      <w:pPr>
        <w:pStyle w:val="ListParagraph"/>
        <w:numPr>
          <w:ilvl w:val="2"/>
          <w:numId w:val="5"/>
        </w:numPr>
        <w:spacing w:line="480" w:lineRule="auto"/>
        <w:jc w:val="both"/>
        <w:rPr>
          <w:rFonts w:cstheme="minorHAnsi"/>
          <w:bCs/>
        </w:rPr>
      </w:pPr>
      <w:r>
        <w:rPr>
          <w:rFonts w:cstheme="minorHAnsi"/>
          <w:bCs/>
        </w:rPr>
        <w:t>Removal of marine barite</w:t>
      </w:r>
    </w:p>
    <w:p w14:paraId="79DD93C7" w14:textId="58818442" w:rsidR="00461404" w:rsidRDefault="00AC4648" w:rsidP="00AC4648">
      <w:pPr>
        <w:spacing w:line="480" w:lineRule="auto"/>
        <w:jc w:val="both"/>
      </w:pPr>
      <w:r>
        <w:t xml:space="preserve">To remove marine barite, </w:t>
      </w:r>
      <w:r w:rsidR="003F41FD">
        <w:t>~</w:t>
      </w:r>
      <w:r>
        <w:t xml:space="preserve">5ml </w:t>
      </w:r>
      <w:r w:rsidRPr="0073021C">
        <w:t>of 0.2 M DTPA in 2.5</w:t>
      </w:r>
      <w:r w:rsidRPr="00D72A2A">
        <w:rPr>
          <w:i/>
        </w:rPr>
        <w:t xml:space="preserve"> </w:t>
      </w:r>
      <w:r w:rsidRPr="0073021C">
        <w:t>M NaOH</w:t>
      </w:r>
      <w:r>
        <w:t xml:space="preserve"> was added</w:t>
      </w:r>
      <w:r w:rsidR="00A73E7A">
        <w:t xml:space="preserve"> to each subsample</w:t>
      </w:r>
      <w:r>
        <w:t>, and samples were left in a</w:t>
      </w:r>
      <w:r>
        <w:rPr>
          <w:rFonts w:cstheme="minorHAnsi"/>
        </w:rPr>
        <w:t xml:space="preserve"> water bath </w:t>
      </w:r>
      <w:r w:rsidR="00BA38E4">
        <w:rPr>
          <w:rFonts w:cstheme="minorHAnsi"/>
        </w:rPr>
        <w:t>set to</w:t>
      </w:r>
      <w:r w:rsidR="00BA38E4">
        <w:t xml:space="preserve"> 80 </w:t>
      </w:r>
      <w:r w:rsidR="00BA38E4">
        <w:rPr>
          <w:rFonts w:ascii="Calibri" w:hAnsi="Calibri" w:cs="Calibri"/>
        </w:rPr>
        <w:t xml:space="preserve">° </w:t>
      </w:r>
      <w:r w:rsidR="00BA38E4">
        <w:rPr>
          <w:rFonts w:cstheme="minorHAnsi"/>
        </w:rPr>
        <w:t xml:space="preserve">C </w:t>
      </w:r>
      <w:r>
        <w:rPr>
          <w:rFonts w:cstheme="minorHAnsi"/>
        </w:rPr>
        <w:t xml:space="preserve">for 30 minutes, following </w:t>
      </w:r>
      <w:r>
        <w:rPr>
          <w:rFonts w:cstheme="minorHAnsi"/>
        </w:rPr>
        <w:fldChar w:fldCharType="begin" w:fldLock="1"/>
      </w:r>
      <w:r>
        <w:rPr>
          <w:rFonts w:cstheme="minorHAnsi"/>
        </w:rPr>
        <w:instrText>ADDIN CSL_CITATION {"citationItems":[{"id":"ITEM-1","itemData":{"DOI":"10.1016/j.epsl.2011.11.014","ISSN":"0012821X","abstract":"The provenance of eolian dust supplied to deep-sea sediments has the potential to offer insights into changes in past atmospheric circulation. Specifically, measuring temporal changes in dust provenance can shed light on changes in the mean position of the Intertropical Convergence Zone (ITCZ), a region acting as a barrier separating wind-blown material derived from northern versus southern hemisphere sources. Here we have analyzed Nd, Sr, and Pb isotope ratios in the operationally-defined detrital component extracted from deep-sea sediments in the eastern equatorial Pacific (EEP) along a meridional transect at 110°W from 3°S to 7°N (ODP Leg 138, sites 848-853).Sr isotope results show that barite Sr has a significant influence on87Sr/86Sr isotope ratios of samples in the upwelling zone of the EEP. However, sites located &gt;3° or more away from the equator (sites 852 and 853) are believed to not be affected by barite Sr and provide useful detrital Sr signals.208Pb/206Pb and207Pb/206Pb ratios in all cores fall into the Pb-isotope space of five potential dust sources (Asia, North and Central/South America, Sahara, and Australia), with no distinct isotopic fingerprinting of the dominant source(s). εNdvalues were most valuable for discerning detrital source provenance, and their values at all sites, ranging from -5.46 to -3.25, were more unradiogenic for sediments deposited during the last glacial than for those deposited during the Holocene. There are distinct latitudinal trends in the εNdvalues, with more radiogenic values further south and less radiogenic values further north, excluding site 848. This distinction holds true for both Holocene and last glacial periods. For the most southerly site, 848, we invoke, for the first time, a distinct southern hemisphere Australian source as being responsible for the unradiogenic Nd isotope ratios. Both average last glacial and Holocene εNdvalues show similar sharp gradients along the transect between 5.29°N and 2.77°N, suggesting little movement of the glacial ITCZ in the EEP. However, during the deglacial, this gradient is stronger and shifted further north between 5.29°N and 7.21°N, suggesting a more northerly, possibly stronger, deglacial ITCZ. © 2011 Elsevier B.V.","author":[{"dropping-particle":"","family":"Xie","given":"Ruifang C.","non-dropping-particle":"","parse-names":false,"suffix":""},{"dropping-particle":"","family":"Marcantonio","given":"Franco","non-dropping-particle":"","parse-names":false,"suffix":""}],"container-title":"Earth and Planetary Science Letters","id":"ITEM-1","issued":{"date-parts":[["2012"]]},"page":"386-395","publisher":"Elsevier B.V.","title":"Deglacial dust provenance changes in the Eastern Equatorial Pacific and implications for ITCZ movement","type":"article-journal","volume":"317-318"},"uris":["http://www.mendeley.com/documents/?uuid=98561796-5d02-4d0a-96f9-f9d9ddb93ec6"]}],"mendeley":{"formattedCitation":"(Xie and Marcantonio, 2012)","manualFormatting":"Xie and Marcantonio (2012)","plainTextFormattedCitation":"(Xie and Marcantonio, 2012)","previouslyFormattedCitation":"(Xie and Marcantonio, 2012)"},"properties":{"noteIndex":0},"schema":"https://github.com/citation-style-language/schema/raw/master/csl-citation.json"}</w:instrText>
      </w:r>
      <w:r>
        <w:rPr>
          <w:rFonts w:cstheme="minorHAnsi"/>
        </w:rPr>
        <w:fldChar w:fldCharType="separate"/>
      </w:r>
      <w:r w:rsidRPr="00F965C4">
        <w:rPr>
          <w:rFonts w:cstheme="minorHAnsi"/>
          <w:noProof/>
        </w:rPr>
        <w:t>Xie and Marcantonio</w:t>
      </w:r>
      <w:r>
        <w:rPr>
          <w:rFonts w:cstheme="minorHAnsi"/>
          <w:noProof/>
        </w:rPr>
        <w:t xml:space="preserve"> (</w:t>
      </w:r>
      <w:r w:rsidRPr="00F965C4">
        <w:rPr>
          <w:rFonts w:cstheme="minorHAnsi"/>
          <w:noProof/>
        </w:rPr>
        <w:t>2012)</w:t>
      </w:r>
      <w:r>
        <w:rPr>
          <w:rFonts w:cstheme="minorHAnsi"/>
        </w:rPr>
        <w:fldChar w:fldCharType="end"/>
      </w:r>
      <w:r>
        <w:t xml:space="preserve">. This </w:t>
      </w:r>
      <w:r w:rsidR="00D74D64">
        <w:t xml:space="preserve">process </w:t>
      </w:r>
      <w:r>
        <w:t xml:space="preserve">was repeated up to four times to </w:t>
      </w:r>
      <w:r w:rsidR="00D74D64">
        <w:t xml:space="preserve">determine </w:t>
      </w:r>
      <w:r w:rsidR="00A73E7A">
        <w:t xml:space="preserve">the number of </w:t>
      </w:r>
      <w:r w:rsidR="00FD4965">
        <w:t xml:space="preserve">treatments </w:t>
      </w:r>
      <w:r w:rsidR="00A73E7A">
        <w:t xml:space="preserve">required </w:t>
      </w:r>
      <w:r w:rsidR="00FD4965">
        <w:t xml:space="preserve">for </w:t>
      </w:r>
      <w:r w:rsidR="00FD4965">
        <w:lastRenderedPageBreak/>
        <w:t xml:space="preserve">complete barite </w:t>
      </w:r>
      <w:r w:rsidR="00A73E7A">
        <w:t>remov</w:t>
      </w:r>
      <w:r w:rsidR="00FD4965">
        <w:t>al</w:t>
      </w:r>
      <w:r>
        <w:t xml:space="preserve">. </w:t>
      </w:r>
      <w:r w:rsidR="00461404">
        <w:t xml:space="preserve">Samples were centrifuged, and the reagent decanted and refreshed between each repeat. DTPA-NaOH leachate solutions were retained and analysed for trace metal concentrations. </w:t>
      </w:r>
      <w:r w:rsidR="00461404">
        <w:softHyphen/>
      </w:r>
      <w:r w:rsidR="00461404">
        <w:softHyphen/>
      </w:r>
      <w:r w:rsidR="00461404">
        <w:softHyphen/>
      </w:r>
    </w:p>
    <w:p w14:paraId="33CF1FB9" w14:textId="11AB5159" w:rsidR="00226F15" w:rsidRDefault="00226F15" w:rsidP="00AC4648">
      <w:pPr>
        <w:spacing w:line="480" w:lineRule="auto"/>
        <w:jc w:val="both"/>
      </w:pPr>
    </w:p>
    <w:p w14:paraId="649CD514" w14:textId="5B96A0D2" w:rsidR="00FB7553" w:rsidRDefault="00FB7553" w:rsidP="00AC4648">
      <w:pPr>
        <w:spacing w:line="480" w:lineRule="auto"/>
        <w:jc w:val="both"/>
      </w:pPr>
      <w:r>
        <w:rPr>
          <w:rFonts w:cstheme="minorHAnsi"/>
        </w:rPr>
        <w:t>A</w:t>
      </w:r>
      <w:r w:rsidRPr="00533E97">
        <w:rPr>
          <w:rFonts w:cstheme="minorHAnsi"/>
        </w:rPr>
        <w:t xml:space="preserve"> DT</w:t>
      </w:r>
      <w:r>
        <w:rPr>
          <w:rFonts w:cstheme="minorHAnsi"/>
        </w:rPr>
        <w:t>PA</w:t>
      </w:r>
      <w:r w:rsidRPr="00533E97">
        <w:rPr>
          <w:rFonts w:cstheme="minorHAnsi"/>
        </w:rPr>
        <w:t xml:space="preserve">-NaOH </w:t>
      </w:r>
      <w:r>
        <w:rPr>
          <w:rFonts w:cstheme="minorHAnsi"/>
        </w:rPr>
        <w:t xml:space="preserve">solution was first employed by Sill and Willis (1964) to dissolve barium sulphate precipitates and was later adapted </w:t>
      </w:r>
      <w:r w:rsidRPr="00533E97">
        <w:rPr>
          <w:rFonts w:cstheme="minorHAnsi"/>
        </w:rPr>
        <w:t xml:space="preserve">to remove marine barite from foraminifera tests </w:t>
      </w:r>
      <w:r>
        <w:rPr>
          <w:rFonts w:cstheme="minorHAnsi"/>
        </w:rPr>
        <w:t>by Lea and Boyle (1991).</w:t>
      </w:r>
      <w:r w:rsidRPr="00533E97">
        <w:rPr>
          <w:rFonts w:cstheme="minorHAnsi"/>
        </w:rPr>
        <w:t xml:space="preserve"> </w:t>
      </w:r>
      <w:r>
        <w:rPr>
          <w:rFonts w:cstheme="minorHAnsi"/>
        </w:rPr>
        <w:t xml:space="preserve">DTPA is more effective at dissolving barite than other chelating agents because it has </w:t>
      </w:r>
      <w:r w:rsidR="00083696">
        <w:rPr>
          <w:rFonts w:cstheme="minorHAnsi"/>
        </w:rPr>
        <w:t>eight</w:t>
      </w:r>
      <w:r w:rsidR="003E40BC">
        <w:rPr>
          <w:rFonts w:cstheme="minorHAnsi"/>
        </w:rPr>
        <w:t xml:space="preserve"> binding sites to form coordination bonds with metal ions, </w:t>
      </w:r>
      <w:r w:rsidR="00083696">
        <w:rPr>
          <w:rFonts w:cstheme="minorHAnsi"/>
        </w:rPr>
        <w:t>compared to</w:t>
      </w:r>
      <w:r w:rsidR="001E716C">
        <w:rPr>
          <w:rFonts w:cstheme="minorHAnsi"/>
        </w:rPr>
        <w:t>,</w:t>
      </w:r>
      <w:r w:rsidR="00083696">
        <w:rPr>
          <w:rFonts w:cstheme="minorHAnsi"/>
        </w:rPr>
        <w:t xml:space="preserve"> </w:t>
      </w:r>
      <w:r w:rsidR="003E40BC">
        <w:rPr>
          <w:rFonts w:cstheme="minorHAnsi"/>
        </w:rPr>
        <w:t xml:space="preserve">for example, </w:t>
      </w:r>
      <w:r>
        <w:rPr>
          <w:rFonts w:cstheme="minorHAnsi"/>
        </w:rPr>
        <w:t xml:space="preserve"> </w:t>
      </w:r>
      <w:r w:rsidRPr="00580554">
        <w:rPr>
          <w:rFonts w:cstheme="minorHAnsi"/>
        </w:rPr>
        <w:t xml:space="preserve">Ethylenediaminetetraacetic acid </w:t>
      </w:r>
      <w:r>
        <w:rPr>
          <w:rFonts w:cstheme="minorHAnsi"/>
        </w:rPr>
        <w:t>(EDTA)</w:t>
      </w:r>
      <w:r w:rsidR="003E40BC">
        <w:rPr>
          <w:rFonts w:cstheme="minorHAnsi"/>
        </w:rPr>
        <w:t xml:space="preserve"> </w:t>
      </w:r>
      <w:r w:rsidR="00083696">
        <w:rPr>
          <w:rFonts w:cstheme="minorHAnsi"/>
        </w:rPr>
        <w:t xml:space="preserve">which has only six </w:t>
      </w:r>
      <w:r>
        <w:rPr>
          <w:rFonts w:cstheme="minorHAnsi"/>
        </w:rPr>
        <w:fldChar w:fldCharType="begin" w:fldLock="1"/>
      </w:r>
      <w:r>
        <w:rPr>
          <w:rFonts w:cstheme="minorHAnsi"/>
        </w:rPr>
        <w:instrText>ADDIN CSL_CITATION {"citationItems":[{"id":"ITEM-1","itemData":{"author":[{"dropping-particle":"","family":"Shende","given":"Aniket Vishwanath","non-dropping-particle":"","parse-names":false,"suffix":""}],"container-title":"Master of Science, Texas A&amp;M","id":"ITEM-1","issued":{"date-parts":[["2012"]]},"note":"Give good discussion and data showing why DTPA is better than EDTA. \nEDTA may be cheaper in the drilling world (i.e. on large quanitties), but DTPA is more effective, so must therefore always be the base.","title":"Dissolution of barite scale using chelating agents","type":"thesis"},"uris":["http://www.mendeley.com/documents/?uuid=6b4b16ce-e582-4438-bbcb-a02a8ee76e6f"]}],"mendeley":{"formattedCitation":"(Shende, 2012)","plainTextFormattedCitation":"(Shende, 2012)","previouslyFormattedCitation":"(Shende, 2012)"},"properties":{"noteIndex":0},"schema":"https://github.com/citation-style-language/schema/raw/master/csl-citation.json"}</w:instrText>
      </w:r>
      <w:r>
        <w:rPr>
          <w:rFonts w:cstheme="minorHAnsi"/>
        </w:rPr>
        <w:fldChar w:fldCharType="separate"/>
      </w:r>
      <w:r w:rsidRPr="00487DEF">
        <w:rPr>
          <w:rFonts w:cstheme="minorHAnsi"/>
          <w:noProof/>
        </w:rPr>
        <w:t>(Shende, 2012)</w:t>
      </w:r>
      <w:r>
        <w:rPr>
          <w:rFonts w:cstheme="minorHAnsi"/>
        </w:rPr>
        <w:fldChar w:fldCharType="end"/>
      </w:r>
      <w:r>
        <w:rPr>
          <w:rFonts w:cstheme="minorHAnsi"/>
        </w:rPr>
        <w:t xml:space="preserve">. </w:t>
      </w:r>
      <w:r w:rsidRPr="00533E97">
        <w:rPr>
          <w:rFonts w:cstheme="minorHAnsi"/>
        </w:rPr>
        <w:t xml:space="preserve">DTPA </w:t>
      </w:r>
      <w:r>
        <w:rPr>
          <w:rFonts w:cstheme="minorHAnsi"/>
        </w:rPr>
        <w:t>selectively</w:t>
      </w:r>
      <w:r w:rsidRPr="00533E97">
        <w:rPr>
          <w:rFonts w:cstheme="minorHAnsi"/>
        </w:rPr>
        <w:t xml:space="preserve"> dissolv</w:t>
      </w:r>
      <w:r>
        <w:rPr>
          <w:rFonts w:cstheme="minorHAnsi"/>
        </w:rPr>
        <w:t>es</w:t>
      </w:r>
      <w:r w:rsidRPr="00533E97">
        <w:rPr>
          <w:rFonts w:cstheme="minorHAnsi"/>
        </w:rPr>
        <w:t xml:space="preserve"> barite</w:t>
      </w:r>
      <w:r>
        <w:rPr>
          <w:rFonts w:cstheme="minorHAnsi"/>
        </w:rPr>
        <w:t xml:space="preserve"> and is suggested to have</w:t>
      </w:r>
      <w:r w:rsidRPr="00533E97">
        <w:rPr>
          <w:rFonts w:cstheme="minorHAnsi"/>
        </w:rPr>
        <w:t xml:space="preserve"> </w:t>
      </w:r>
      <w:r>
        <w:rPr>
          <w:rFonts w:cstheme="minorHAnsi"/>
        </w:rPr>
        <w:t>minimal effect</w:t>
      </w:r>
      <w:r w:rsidRPr="00533E97">
        <w:rPr>
          <w:rFonts w:cstheme="minorHAnsi"/>
        </w:rPr>
        <w:t xml:space="preserve"> on </w:t>
      </w:r>
      <w:r>
        <w:rPr>
          <w:rFonts w:cstheme="minorHAnsi"/>
        </w:rPr>
        <w:t>other</w:t>
      </w:r>
      <w:r w:rsidRPr="00533E97">
        <w:rPr>
          <w:rFonts w:cstheme="minorHAnsi"/>
        </w:rPr>
        <w:t xml:space="preserve"> </w:t>
      </w:r>
      <w:r>
        <w:rPr>
          <w:rFonts w:cstheme="minorHAnsi"/>
        </w:rPr>
        <w:t>phases, in particular the terrigenous fraction</w:t>
      </w:r>
      <w:r w:rsidRPr="00533E97">
        <w:rPr>
          <w:rFonts w:cstheme="minorHAnsi"/>
        </w:rPr>
        <w:t xml:space="preserve"> </w:t>
      </w:r>
      <w:r w:rsidRPr="00533E97">
        <w:rPr>
          <w:rFonts w:cstheme="minorHAnsi"/>
        </w:rPr>
        <w:fldChar w:fldCharType="begin" w:fldLock="1"/>
      </w:r>
      <w:r w:rsidR="00B25CBE">
        <w:rPr>
          <w:rFonts w:cstheme="minorHAnsi"/>
        </w:rPr>
        <w:instrText>ADDIN CSL_CITATION {"citationItems":[{"id":"ITEM-1","itemData":{"DOI":"10.1016/j.chemgeo.2020.119664","ISBN":"7696853961","ISSN":"00092541","author":[{"dropping-particle":"","family":"House","given":"Brian M.","non-dropping-particle":"","parse-names":false,"suffix":""},{"dropping-particle":"","family":"Norris","given":"Richard D.","non-dropping-particle":"","parse-names":false,"suffix":""}],"container-title":"Chemical Geology","id":"ITEM-1","issued":{"date-parts":[["2020","5"]]},"note":"Found via Aiden Starr on twitter. uses DTPA (but more agressive method) to extract marine barite in a range of marine sediments.","title":"Unlocking the barite paleoproductivity proxy: A new high-throughput method for quantifying barite in marine sediments","type":"article-journal"},"uris":["http://www.mendeley.com/documents/?uuid=2cea21b8-37d3-4581-b4c7-c06c7b42cc6f"]}],"mendeley":{"formattedCitation":"(House and Norris, 2020)","manualFormatting":"(House and Norris, 2020, Lea and Boyle, 1991)","plainTextFormattedCitation":"(House and Norris, 2020)","previouslyFormattedCitation":"(House and Norris, 2020)"},"properties":{"noteIndex":0},"schema":"https://github.com/citation-style-language/schema/raw/master/csl-citation.json"}</w:instrText>
      </w:r>
      <w:r w:rsidRPr="00533E97">
        <w:rPr>
          <w:rFonts w:cstheme="minorHAnsi"/>
        </w:rPr>
        <w:fldChar w:fldCharType="separate"/>
      </w:r>
      <w:r w:rsidRPr="00533E97">
        <w:rPr>
          <w:rFonts w:cstheme="minorHAnsi"/>
          <w:noProof/>
        </w:rPr>
        <w:t>(House and Norris, 2020</w:t>
      </w:r>
      <w:r w:rsidR="00B25CBE">
        <w:rPr>
          <w:rFonts w:cstheme="minorHAnsi"/>
          <w:noProof/>
        </w:rPr>
        <w:t>, Lea and Boyle, 1991</w:t>
      </w:r>
      <w:r w:rsidRPr="00533E97">
        <w:rPr>
          <w:rFonts w:cstheme="minorHAnsi"/>
          <w:noProof/>
        </w:rPr>
        <w:t>)</w:t>
      </w:r>
      <w:r w:rsidRPr="00533E97">
        <w:rPr>
          <w:rFonts w:cstheme="minorHAnsi"/>
        </w:rPr>
        <w:fldChar w:fldCharType="end"/>
      </w:r>
      <w:r>
        <w:rPr>
          <w:rFonts w:cstheme="minorHAnsi"/>
        </w:rPr>
        <w:t xml:space="preserve">. </w:t>
      </w:r>
      <w:r w:rsidRPr="00533E97">
        <w:rPr>
          <w:rFonts w:cstheme="minorHAnsi"/>
        </w:rPr>
        <w:t xml:space="preserve">DTPA forms strong complexes with Ba under alkaline conditions, so </w:t>
      </w:r>
      <w:r>
        <w:rPr>
          <w:rFonts w:cstheme="minorHAnsi"/>
        </w:rPr>
        <w:t xml:space="preserve">DTPA </w:t>
      </w:r>
      <w:r w:rsidRPr="00533E97">
        <w:rPr>
          <w:rFonts w:cstheme="minorHAnsi"/>
        </w:rPr>
        <w:t xml:space="preserve">concentrations many orders of magnitude </w:t>
      </w:r>
      <w:r>
        <w:rPr>
          <w:rFonts w:cstheme="minorHAnsi"/>
        </w:rPr>
        <w:t>in excess</w:t>
      </w:r>
      <w:r w:rsidRPr="00533E97">
        <w:rPr>
          <w:rFonts w:cstheme="minorHAnsi"/>
        </w:rPr>
        <w:t xml:space="preserve"> </w:t>
      </w:r>
      <w:r>
        <w:rPr>
          <w:rFonts w:cstheme="minorHAnsi"/>
        </w:rPr>
        <w:t>of</w:t>
      </w:r>
      <w:r w:rsidRPr="00533E97">
        <w:rPr>
          <w:rFonts w:cstheme="minorHAnsi"/>
        </w:rPr>
        <w:t xml:space="preserve"> the </w:t>
      </w:r>
      <w:r>
        <w:rPr>
          <w:rFonts w:cstheme="minorHAnsi"/>
        </w:rPr>
        <w:t xml:space="preserve">barite </w:t>
      </w:r>
      <w:r w:rsidRPr="00533E97">
        <w:rPr>
          <w:rFonts w:cstheme="minorHAnsi"/>
        </w:rPr>
        <w:t>concentration cause</w:t>
      </w:r>
      <w:r>
        <w:rPr>
          <w:rFonts w:cstheme="minorHAnsi"/>
        </w:rPr>
        <w:t>s</w:t>
      </w:r>
      <w:r w:rsidRPr="00533E97">
        <w:rPr>
          <w:rFonts w:cstheme="minorHAnsi"/>
        </w:rPr>
        <w:t xml:space="preserve"> rapid </w:t>
      </w:r>
      <w:r>
        <w:rPr>
          <w:rFonts w:cstheme="minorHAnsi"/>
        </w:rPr>
        <w:t xml:space="preserve">barite </w:t>
      </w:r>
      <w:r w:rsidRPr="00533E97">
        <w:rPr>
          <w:rFonts w:cstheme="minorHAnsi"/>
        </w:rPr>
        <w:t xml:space="preserve">dissolution﻿ </w:t>
      </w:r>
      <w:r w:rsidRPr="00533E97">
        <w:rPr>
          <w:rFonts w:cstheme="minorHAnsi"/>
        </w:rPr>
        <w:fldChar w:fldCharType="begin" w:fldLock="1"/>
      </w:r>
      <w:r w:rsidRPr="00533E97">
        <w:rPr>
          <w:rFonts w:cstheme="minorHAnsi"/>
        </w:rPr>
        <w:instrText>ADDIN CSL_CITATION {"citationItems":[{"id":"ITEM-1","itemData":{"DOI":"10.1021/ac60209a020","ISSN":"15206882","abstract":"Investigation of the toxicology and mineralogy of thorium requires its determination at extremely low concentrations in many kinds of biological and mineralogical materials. An efficient method is required for separation of thorium from the relatively large samples employed. From 100 to 10-5 μg. of thorium is precipitated to better than 99.5% by 25 mg. of barium or other elements forming insoluble sulfates from 75-ml. volume. The separation takes place from strongly acidic solutions and is not affected appreciably over a wide range of experimental conditions. The barium sulfate is dissolved in alkaline DTPA and the thorium is determined directly in the alkaline solution by a fluorometric procedure, which has been applied to the following types of samples with the detection limits indicated: rocks, 2 × 10-6%; bone ash, 5 × 10-7%; feces, liver, and grain, 2 × 10-8%; urine, 10-11 gram per ml.; and blood, 2 × 10-10 gram per ml. © 1964, American Chemical Society. All rights reserved.","author":[{"dropping-particle":"","family":"Sill","given":"Claude W.","non-dropping-particle":"","parse-names":false,"suffix":""},{"dropping-particle":"","family":"Willis","given":"Conrad P.","non-dropping-particle":"","parse-names":false,"suffix":""}],"container-title":"Analytical Chemistry","id":"ITEM-1","issue":"3","issued":{"date-parts":[["1964"]]},"page":"622-630","title":"Precipitation of Submicrogram Quantities of Thorium by Barium Sulfate and Application to Fluorometric Determination of Thorium in Mineralogical and Biological Samples","type":"article-journal","volume":"36"},"uris":["http://www.mendeley.com/documents/?uuid=0c4475f0-8b62-43bf-aa5e-9fcc8ca23f97"]},{"id":"ITEM-2","itemData":{"DOI":"10.1021/ac60233a026","ISSN":"15206882","abstract":"Cerium, barium, lanthanum, and neptunium in quantities from carrier-free tracer levels to about 1 mg. are precipitated to better than 99.7% by barium sulfate from strong sulfuric acid solutions containing potassium salts and hydrogen peroxide and can thus be separated from most other elements. Neptunium is removed from the barium sulfate by reprecipitating from concentrated sulfuric acid in the presence of chromic acid. The barium sulfate is then dissolved in alkaline DTPA-TEA solution and radiocerium is precipitated in the presence of cerium carrier by addition of hydrogen peroxide. The filtrate is treated with sodium sulfate and acetic acid which reprecipitates barium as the sulfate and leaves lanthanum in the aqueous solution. Both lanthanum and neptunium can be reprecipitated from their respective solutions by addition of potassium salts, hydrogen peroxide, and barium chloride. The individual isotopes are then determined preferably by gamma spectrometry although gross beta or gamma counting can be used in some cases. Recovery of each isotope is about 97% for the overall procedure making determination of chemical yields unnecessary. The entire separation scheme requires about 3 hours. The procedure can be applied to air dusts, water, and many kinds of mineralogical and biological materials. © 1966, American Chemical Society. All rights reserved.","author":[{"dropping-particle":"","family":"Sill","given":"Claude W.","non-dropping-particle":"","parse-names":false,"suffix":""},{"dropping-particle":"","family":"Willis","given":"Conrad P.","non-dropping-particle":"","parse-names":false,"suffix":""}],"container-title":"Analytical Chemistry","id":"ITEM-2","issue":"1","issued":{"date-parts":[["1966"]]},"page":"97-102","title":"Determination of Radioisotopes of Cerium, Barium, Lanthanum, and Neptunium after Separation by Barium Sulfate","type":"article-journal","volume":"38"},"uris":["http://www.mendeley.com/documents/?uuid=c9e3a6f7-f8b8-4d7c-af2f-67ea7e853059"]},{"id":"ITEM-3","itemData":{"DOI":"10.1016/0016-7037(91)90491-M","ISBN":"0016-7037","ISSN":"00167037","abstract":"Reconstructions of Ba distributions in ancient oceanic surface waters could provide new insight into paleoceanographic change. Calcite shells of planktonic foraminifera potentially provide a means of reconstructing such paleo-Ba distributions if lattice-bound Ba can be determined on shells recovered from deep-sea cores. Planktonic foraminifera shells from a series of cores were purified of non-lattice-bound Ba associated with organic or sedimentary phases by a combination of physical agitation, oxidative-reductive steps, acid leaches, and a novel alkaline-DTPA step to dissolve barite. A sequential dissolution of a large sample of cleaned shells of the planktonic foraminifer Globigerinoides conglobatus indicates homogeneous distribution of Ba in the shell material. Comparison of shells from sediments, sediment traps, and plankton tows indicates no significant differences in the Ba content of the purified shells. Cleaned samples of the planktonic foraminifera Globigerinoides sacculifera, G. ruber, G. conglobatus, Orbulina spp., and Globoquadrina dutertrei from the equatorial Pacific, North Atlantic, and Mediterranean Sea have Ba Ca ratios between 0.6 and 1.0 μmol/mol (0.8 to 1.4 ppm). Variation in foraminiferal Ba contents between the three basins is consistent with the trend in surface seawater Ba. The calculated distribution coefficient for Ba incorporation in these five species based on these data is 0.19 ± 0.05. Several species of the non-spinose planktonic foraminifera Globorotalia have Ba Ca ratios ranging from 2 to 13 μmol/mol; these high Ba contents might be explained by differences in the way these foraminifera precipitate their shells. A temporal record of Ba Ca in samples of Globigerinoides and Orbulina from a core in the northwest Atlantic suggests that the Ba concentration of surface waters at this site has not changed by more than 20% over the last 14 kyr. © 1991.","author":[{"dropping-particle":"","family":"Lea","given":"David W.","non-dropping-particle":"","parse-names":false,"suffix":""},{"dropping-particle":"","family":"Boyle","given":"Edward A.","non-dropping-particle":"","parse-names":false,"suffix":""}],"container-title":"Geochimica et Cosmochimica Acta","id":"ITEM-3","issue":"11","issued":{"date-parts":[["1991"]]},"page":"3321-3331","title":"Barium in planktonic foraminifera","type":"article-journal","volume":"55"},"uris":["http://www.mendeley.com/documents/?uuid=f8fb9b87-3b7e-45f3-bd70-c3e89cc24095"]}],"mendeley":{"formattedCitation":"(Lea and Boyle, 1991; Sill and Willis, 1966, 1964)","plainTextFormattedCitation":"(Lea and Boyle, 1991; Sill and Willis, 1966, 1964)","previouslyFormattedCitation":"(Lea and Boyle, 1991; Sill and Willis, 1966, 1964)"},"properties":{"noteIndex":0},"schema":"https://github.com/citation-style-language/schema/raw/master/csl-citation.json"}</w:instrText>
      </w:r>
      <w:r w:rsidRPr="00533E97">
        <w:rPr>
          <w:rFonts w:cstheme="minorHAnsi"/>
        </w:rPr>
        <w:fldChar w:fldCharType="separate"/>
      </w:r>
      <w:r w:rsidRPr="00533E97">
        <w:rPr>
          <w:rFonts w:cstheme="minorHAnsi"/>
          <w:noProof/>
        </w:rPr>
        <w:t>(Lea and Boyle, 1991; Sill and Willis, 1966, 1964)</w:t>
      </w:r>
      <w:r w:rsidRPr="00533E97">
        <w:rPr>
          <w:rFonts w:cstheme="minorHAnsi"/>
        </w:rPr>
        <w:fldChar w:fldCharType="end"/>
      </w:r>
      <w:r w:rsidRPr="00533E97">
        <w:rPr>
          <w:rFonts w:cstheme="minorHAnsi"/>
        </w:rPr>
        <w:t xml:space="preserve">. This </w:t>
      </w:r>
      <w:r>
        <w:rPr>
          <w:rFonts w:cstheme="minorHAnsi"/>
        </w:rPr>
        <w:t>approach was exploited</w:t>
      </w:r>
      <w:r w:rsidRPr="00533E97">
        <w:rPr>
          <w:rFonts w:cstheme="minorHAnsi"/>
        </w:rPr>
        <w:t xml:space="preserve"> </w:t>
      </w:r>
      <w:r>
        <w:rPr>
          <w:rFonts w:cstheme="minorHAnsi"/>
        </w:rPr>
        <w:t>to clean</w:t>
      </w:r>
      <w:r w:rsidRPr="00533E97">
        <w:rPr>
          <w:rFonts w:cstheme="minorHAnsi"/>
        </w:rPr>
        <w:t xml:space="preserve"> the</w:t>
      </w:r>
      <w:r w:rsidRPr="00F0191E">
        <w:rPr>
          <w:rFonts w:cstheme="minorHAnsi"/>
        </w:rPr>
        <w:t xml:space="preserve"> </w:t>
      </w:r>
      <w:r>
        <w:rPr>
          <w:rFonts w:cstheme="minorHAnsi"/>
        </w:rPr>
        <w:t>abiogenic terrigenous</w:t>
      </w:r>
      <w:r w:rsidRPr="00533E97">
        <w:rPr>
          <w:rFonts w:cstheme="minorHAnsi"/>
        </w:rPr>
        <w:t xml:space="preserve"> fraction </w:t>
      </w:r>
      <w:r>
        <w:rPr>
          <w:rFonts w:cstheme="minorHAnsi"/>
        </w:rPr>
        <w:t>in</w:t>
      </w:r>
      <w:r w:rsidRPr="00533E97">
        <w:rPr>
          <w:rFonts w:cstheme="minorHAnsi"/>
        </w:rPr>
        <w:t xml:space="preserve"> marine sediment</w:t>
      </w:r>
      <w:r>
        <w:rPr>
          <w:rFonts w:cstheme="minorHAnsi"/>
        </w:rPr>
        <w:t>s</w:t>
      </w:r>
      <w:r w:rsidRPr="00533E97">
        <w:rPr>
          <w:rFonts w:cstheme="minorHAnsi"/>
        </w:rPr>
        <w:t xml:space="preserve"> by </w:t>
      </w:r>
      <w:r w:rsidRPr="00533E97">
        <w:rPr>
          <w:rFonts w:cstheme="minorHAnsi"/>
        </w:rPr>
        <w:fldChar w:fldCharType="begin" w:fldLock="1"/>
      </w:r>
      <w:r w:rsidRPr="00533E97">
        <w:rPr>
          <w:rFonts w:cstheme="minorHAnsi"/>
        </w:rPr>
        <w:instrText>ADDIN CSL_CITATION {"citationItems":[{"id":"ITEM-1","itemData":{"DOI":"10.1016/j.epsl.2011.11.014","ISSN":"0012821X","abstract":"The provenance of eolian dust supplied to deep-sea sediments has the potential to offer insights into changes in past atmospheric circulation. Specifically, measuring temporal changes in dust provenance can shed light on changes in the mean position of the Intertropical Convergence Zone (ITCZ), a region acting as a barrier separating wind-blown material derived from northern versus southern hemisphere sources. Here we have analyzed Nd, Sr, and Pb isotope ratios in the operationally-defined detrital component extracted from deep-sea sediments in the eastern equatorial Pacific (EEP) along a meridional transect at 110°W from 3°S to 7°N (ODP Leg 138, sites 848-853).Sr isotope results show that barite Sr has a significant influence on87Sr/86Sr isotope ratios of samples in the upwelling zone of the EEP. However, sites located &gt;3° or more away from the equator (sites 852 and 853) are believed to not be affected by barite Sr and provide useful detrital Sr signals.208Pb/206Pb and207Pb/206Pb ratios in all cores fall into the Pb-isotope space of five potential dust sources (Asia, North and Central/South America, Sahara, and Australia), with no distinct isotopic fingerprinting of the dominant source(s). εNdvalues were most valuable for discerning detrital source provenance, and their values at all sites, ranging from -5.46 to -3.25, were more unradiogenic for sediments deposited during the last glacial than for those deposited during the Holocene. There are distinct latitudinal trends in the εNdvalues, with more radiogenic values further south and less radiogenic values further north, excluding site 848. This distinction holds true for both Holocene and last glacial periods. For the most southerly site, 848, we invoke, for the first time, a distinct southern hemisphere Australian source as being responsible for the unradiogenic Nd isotope ratios. Both average last glacial and Holocene εNdvalues show similar sharp gradients along the transect between 5.29°N and 2.77°N, suggesting little movement of the glacial ITCZ in the EEP. However, during the deglacial, this gradient is stronger and shifted further north between 5.29°N and 7.21°N, suggesting a more northerly, possibly stronger, deglacial ITCZ. © 2011 Elsevier B.V.","author":[{"dropping-particle":"","family":"Xie","given":"Ruifang C.","non-dropping-particle":"","parse-names":false,"suffix":""},{"dropping-particle":"","family":"Marcantonio","given":"Franco","non-dropping-particle":"","parse-names":false,"suffix":""}],"container-title":"Earth and Planetary Science Letters","id":"ITEM-1","issued":{"date-parts":[["2012"]]},"page":"386-395","publisher":"Elsevier B.V.","title":"Deglacial dust provenance changes in the Eastern Equatorial Pacific and implications for ITCZ movement","type":"article-journal","volume":"317-318"},"uris":["http://www.mendeley.com/documents/?uuid=98561796-5d02-4d0a-96f9-f9d9ddb93ec6"]}],"mendeley":{"formattedCitation":"(Xie and Marcantonio, 2012)","manualFormatting":"Xie and Marcantonio (2012)","plainTextFormattedCitation":"(Xie and Marcantonio, 2012)","previouslyFormattedCitation":"(Xie and Marcantonio, 2012)"},"properties":{"noteIndex":0},"schema":"https://github.com/citation-style-language/schema/raw/master/csl-citation.json"}</w:instrText>
      </w:r>
      <w:r w:rsidRPr="00533E97">
        <w:rPr>
          <w:rFonts w:cstheme="minorHAnsi"/>
        </w:rPr>
        <w:fldChar w:fldCharType="separate"/>
      </w:r>
      <w:r w:rsidRPr="00533E97">
        <w:rPr>
          <w:rFonts w:cstheme="minorHAnsi"/>
          <w:noProof/>
        </w:rPr>
        <w:t>Xie and Marcantonio (2012)</w:t>
      </w:r>
      <w:r w:rsidRPr="00533E97">
        <w:rPr>
          <w:rFonts w:cstheme="minorHAnsi"/>
        </w:rPr>
        <w:fldChar w:fldCharType="end"/>
      </w:r>
      <w:r w:rsidRPr="00533E97">
        <w:rPr>
          <w:rFonts w:cstheme="minorHAnsi"/>
        </w:rPr>
        <w:t xml:space="preserve">. </w:t>
      </w:r>
      <w:r>
        <w:rPr>
          <w:rFonts w:cstheme="minorHAnsi"/>
        </w:rPr>
        <w:t>They</w:t>
      </w:r>
      <w:r w:rsidRPr="00533E97">
        <w:rPr>
          <w:rFonts w:cstheme="minorHAnsi"/>
        </w:rPr>
        <w:t xml:space="preserve"> implemented a single DTPA-NaOH leach </w:t>
      </w:r>
      <w:r>
        <w:rPr>
          <w:rFonts w:cstheme="minorHAnsi"/>
        </w:rPr>
        <w:t>on samples from ODP Sites 849 and 851 (Figure 1) and</w:t>
      </w:r>
      <w:r w:rsidRPr="00533E97">
        <w:rPr>
          <w:rFonts w:cstheme="minorHAnsi"/>
        </w:rPr>
        <w:t xml:space="preserve"> found that the terrigenous Sr isotope value shifted away from a modern seawater value by approximately 0.001</w:t>
      </w:r>
      <w:r>
        <w:rPr>
          <w:rFonts w:cstheme="minorHAnsi"/>
        </w:rPr>
        <w:t xml:space="preserve"> to less radiogenic </w:t>
      </w:r>
      <w:r w:rsidRPr="009A186C">
        <w:rPr>
          <w:rFonts w:cstheme="minorHAnsi"/>
        </w:rPr>
        <w:t xml:space="preserve">values (Figure </w:t>
      </w:r>
      <w:r w:rsidR="009A186C" w:rsidRPr="009A186C">
        <w:rPr>
          <w:rFonts w:cstheme="minorHAnsi"/>
        </w:rPr>
        <w:t>4B</w:t>
      </w:r>
      <w:r w:rsidRPr="009A186C">
        <w:rPr>
          <w:rFonts w:cstheme="minorHAnsi"/>
        </w:rPr>
        <w:t>). Yet</w:t>
      </w:r>
      <w:r w:rsidRPr="00533E97">
        <w:rPr>
          <w:rFonts w:cstheme="minorHAnsi"/>
        </w:rPr>
        <w:t>, a mismatch between the</w:t>
      </w:r>
      <w:r>
        <w:rPr>
          <w:rFonts w:cstheme="minorHAnsi"/>
        </w:rPr>
        <w:t xml:space="preserve"> </w:t>
      </w:r>
      <w:r w:rsidRPr="00533E97">
        <w:rPr>
          <w:rFonts w:cstheme="minorHAnsi"/>
        </w:rPr>
        <w:t xml:space="preserve">shift in </w:t>
      </w:r>
      <w:r>
        <w:rPr>
          <w:rFonts w:cstheme="minorHAnsi"/>
        </w:rPr>
        <w:t xml:space="preserve">terrigenous </w:t>
      </w:r>
      <w:r w:rsidRPr="00533E97">
        <w:rPr>
          <w:rFonts w:cstheme="minorHAnsi"/>
          <w:vertAlign w:val="superscript"/>
        </w:rPr>
        <w:t>87</w:t>
      </w:r>
      <w:r w:rsidRPr="00533E97">
        <w:rPr>
          <w:rFonts w:cstheme="minorHAnsi"/>
        </w:rPr>
        <w:t>Sr/</w:t>
      </w:r>
      <w:r w:rsidRPr="00533E97">
        <w:rPr>
          <w:rFonts w:cstheme="minorHAnsi"/>
          <w:vertAlign w:val="superscript"/>
        </w:rPr>
        <w:t>86</w:t>
      </w:r>
      <w:r w:rsidRPr="00533E97">
        <w:rPr>
          <w:rFonts w:cstheme="minorHAnsi"/>
        </w:rPr>
        <w:t xml:space="preserve">Sr signature and expected productivity/barite concentration </w:t>
      </w:r>
      <w:r>
        <w:rPr>
          <w:rFonts w:cstheme="minorHAnsi"/>
        </w:rPr>
        <w:t>suggested</w:t>
      </w:r>
      <w:r w:rsidRPr="00533E97">
        <w:rPr>
          <w:rFonts w:cstheme="minorHAnsi"/>
        </w:rPr>
        <w:t xml:space="preserve"> that this treatment </w:t>
      </w:r>
      <w:r>
        <w:rPr>
          <w:rFonts w:cstheme="minorHAnsi"/>
        </w:rPr>
        <w:t>was</w:t>
      </w:r>
      <w:r w:rsidRPr="00533E97">
        <w:rPr>
          <w:rFonts w:cstheme="minorHAnsi"/>
        </w:rPr>
        <w:t xml:space="preserve"> insufficient to remove all marine barite from the operationally defined terrigenous fraction</w:t>
      </w:r>
      <w:r>
        <w:rPr>
          <w:rFonts w:cstheme="minorHAnsi"/>
        </w:rPr>
        <w:t xml:space="preserve"> for samples from these two sites in the equatorial Pacific Ocean</w:t>
      </w:r>
      <w:r w:rsidRPr="00533E97">
        <w:rPr>
          <w:rFonts w:cstheme="minorHAnsi"/>
        </w:rPr>
        <w:t>.</w:t>
      </w:r>
      <w:r>
        <w:rPr>
          <w:rFonts w:cstheme="minorHAnsi"/>
        </w:rPr>
        <w:t xml:space="preserve"> </w:t>
      </w:r>
    </w:p>
    <w:p w14:paraId="3335EBDB" w14:textId="77777777" w:rsidR="00FB7553" w:rsidRDefault="00FB7553" w:rsidP="00AC4648">
      <w:pPr>
        <w:spacing w:line="480" w:lineRule="auto"/>
        <w:jc w:val="both"/>
      </w:pPr>
    </w:p>
    <w:p w14:paraId="42741BAF" w14:textId="45B2B942" w:rsidR="00AC4648" w:rsidRDefault="009876AA" w:rsidP="00AC4648">
      <w:pPr>
        <w:spacing w:line="480" w:lineRule="auto"/>
        <w:jc w:val="both"/>
      </w:pPr>
      <w:r>
        <w:rPr>
          <w:rFonts w:cstheme="minorHAnsi"/>
        </w:rPr>
        <w:t xml:space="preserve">Increasing </w:t>
      </w:r>
      <w:r w:rsidR="00946CF9">
        <w:rPr>
          <w:rFonts w:cstheme="minorHAnsi"/>
        </w:rPr>
        <w:t xml:space="preserve">the </w:t>
      </w:r>
      <w:r>
        <w:rPr>
          <w:rFonts w:cstheme="minorHAnsi"/>
        </w:rPr>
        <w:t xml:space="preserve">reaction time is the optimal way to enhance barite dissolution using DTPA because increasing the DTPA concentration and increasing the reaction temperature </w:t>
      </w:r>
      <w:r w:rsidR="004377E2">
        <w:rPr>
          <w:rFonts w:cstheme="minorHAnsi"/>
        </w:rPr>
        <w:t>are ineffective</w:t>
      </w:r>
      <w:r>
        <w:rPr>
          <w:rFonts w:cstheme="minorHAnsi"/>
        </w:rPr>
        <w:t xml:space="preserve"> </w:t>
      </w:r>
      <w:r>
        <w:rPr>
          <w:rFonts w:cstheme="minorHAnsi"/>
        </w:rPr>
        <w:fldChar w:fldCharType="begin" w:fldLock="1"/>
      </w:r>
      <w:r>
        <w:rPr>
          <w:rFonts w:cstheme="minorHAnsi"/>
        </w:rPr>
        <w:instrText>ADDIN CSL_CITATION {"citationItems":[{"id":"ITEM-1","itemData":{"DOI":"10.1016/j.apgeochem.2008.07.006","ISSN":"08832927","abstract":"The dissolution rate of natural barite, BaSO4, was measured in solutions of DTPA (diethylene triamine penta-acetic acid) to investigate the mechanism of ligand-promoted dissolution using a strong chelating agent. Experiments were carried out over a range of DTPA concentrations 0.5-0.0001 M solutions, at room temperature (22 °C), as well as a range of temperatures, 22-80 °C at 1 atm. The dissolution rate is inversely related to the DTPA concentration in solution. A more dilute DTPA solution is shown to be more efficient as a solvent in terms of the approach to the equilibrium saturation value for the dissolution of Ba2+. An analysis of the temperature dependence of the dissolution rate at high pH by the determination of activation energies indicates that the reaction is probably controlled by the pre-exponential term in the rate constant. This indicates that reaction frequency mostly controls differences in reactivity and suggests an explanation for the results in terms of stearic hindrance due to adsorbed DTPA molecules at the barite surface. The effect of DTPA on the solvation of the Ba2+ ion may also influence the dissolution rate. © 2008 Elsevier Ltd. All rights reserved.","author":[{"dropping-particle":"V.","family":"Putnis","given":"Christine","non-dropping-particle":"","parse-names":false,"suffix":""},{"dropping-particle":"","family":"Kowacz","given":"Magdalena","non-dropping-particle":"","parse-names":false,"suffix":""},{"dropping-particle":"","family":"Putnis","given":"Andrew","non-dropping-particle":"","parse-names":false,"suffix":""}],"container-title":"Applied Geochemistry","id":"ITEM-1","issue":"9","issued":{"date-parts":[["2008"]]},"page":"2778-2788","title":"The mechanism and kinetics of DTPA-promoted dissolution of barite","type":"article-journal","volume":"23"},"uris":["http://www.mendeley.com/documents/?uuid=34cc0098-5ce1-46c5-838a-b987b63cccb1"]}],"mendeley":{"formattedCitation":"(Putnis et al., 2008)","plainTextFormattedCitation":"(Putnis et al., 2008)","previouslyFormattedCitation":"(Putnis et al., 2008)"},"properties":{"noteIndex":0},"schema":"https://github.com/citation-style-language/schema/raw/master/csl-citation.json"}</w:instrText>
      </w:r>
      <w:r>
        <w:rPr>
          <w:rFonts w:cstheme="minorHAnsi"/>
        </w:rPr>
        <w:fldChar w:fldCharType="separate"/>
      </w:r>
      <w:r w:rsidRPr="008D3662">
        <w:rPr>
          <w:rFonts w:cstheme="minorHAnsi"/>
          <w:noProof/>
        </w:rPr>
        <w:t>(Putnis et al., 2008)</w:t>
      </w:r>
      <w:r>
        <w:rPr>
          <w:rFonts w:cstheme="minorHAnsi"/>
        </w:rPr>
        <w:fldChar w:fldCharType="end"/>
      </w:r>
      <w:r>
        <w:rPr>
          <w:rFonts w:cstheme="minorHAnsi"/>
        </w:rPr>
        <w:t xml:space="preserve">. </w:t>
      </w:r>
      <w:r w:rsidRPr="0080101C">
        <w:rPr>
          <w:rFonts w:cstheme="minorHAnsi"/>
        </w:rPr>
        <w:t xml:space="preserve">However, in this case, where the </w:t>
      </w:r>
      <w:r w:rsidR="00E869C7">
        <w:rPr>
          <w:rFonts w:cstheme="minorHAnsi"/>
        </w:rPr>
        <w:t>terrigenous</w:t>
      </w:r>
      <w:r w:rsidRPr="0080101C">
        <w:rPr>
          <w:rFonts w:cstheme="minorHAnsi"/>
        </w:rPr>
        <w:t xml:space="preserve"> fraction itself is of interest, it is important to </w:t>
      </w:r>
      <w:r w:rsidRPr="0080101C">
        <w:rPr>
          <w:rFonts w:cstheme="minorHAnsi"/>
        </w:rPr>
        <w:lastRenderedPageBreak/>
        <w:t xml:space="preserve">balance the need for an extended reaction time against the risk of DTPA-NaOH </w:t>
      </w:r>
      <w:r w:rsidR="00636CFB">
        <w:rPr>
          <w:rFonts w:cstheme="minorHAnsi"/>
        </w:rPr>
        <w:t>attack on</w:t>
      </w:r>
      <w:r w:rsidR="00636CFB" w:rsidRPr="0080101C">
        <w:rPr>
          <w:rFonts w:cstheme="minorHAnsi"/>
        </w:rPr>
        <w:t xml:space="preserve"> </w:t>
      </w:r>
      <w:r w:rsidRPr="0080101C">
        <w:rPr>
          <w:rFonts w:cstheme="minorHAnsi"/>
        </w:rPr>
        <w:t>the clay fraction.</w:t>
      </w:r>
      <w:r>
        <w:rPr>
          <w:rFonts w:cstheme="minorHAnsi"/>
        </w:rPr>
        <w:t xml:space="preserve"> </w:t>
      </w:r>
      <w:r w:rsidR="00946CF9">
        <w:rPr>
          <w:rFonts w:cstheme="minorHAnsi"/>
        </w:rPr>
        <w:t>Instead, therefore, we have devised a</w:t>
      </w:r>
      <w:r>
        <w:rPr>
          <w:rFonts w:cstheme="minorHAnsi"/>
        </w:rPr>
        <w:t xml:space="preserve"> </w:t>
      </w:r>
      <w:r w:rsidR="0065789A">
        <w:rPr>
          <w:rFonts w:cstheme="minorHAnsi"/>
        </w:rPr>
        <w:t xml:space="preserve">multiple DTPA-NaOH </w:t>
      </w:r>
      <w:r w:rsidR="00E2013D">
        <w:rPr>
          <w:rFonts w:cstheme="minorHAnsi"/>
        </w:rPr>
        <w:t xml:space="preserve">treatment </w:t>
      </w:r>
      <w:r w:rsidR="00946CF9">
        <w:rPr>
          <w:rFonts w:cstheme="minorHAnsi"/>
        </w:rPr>
        <w:t xml:space="preserve">approach that </w:t>
      </w:r>
      <w:r w:rsidR="00636CFB">
        <w:rPr>
          <w:rFonts w:cstheme="minorHAnsi"/>
        </w:rPr>
        <w:t>permit</w:t>
      </w:r>
      <w:r w:rsidR="00946CF9">
        <w:rPr>
          <w:rFonts w:cstheme="minorHAnsi"/>
        </w:rPr>
        <w:t>s</w:t>
      </w:r>
      <w:r w:rsidR="00636CFB">
        <w:rPr>
          <w:rFonts w:cstheme="minorHAnsi"/>
        </w:rPr>
        <w:t xml:space="preserve"> </w:t>
      </w:r>
      <w:r w:rsidR="00554B7D">
        <w:rPr>
          <w:rFonts w:cstheme="minorHAnsi"/>
        </w:rPr>
        <w:t>sample-</w:t>
      </w:r>
      <w:r w:rsidR="00946CF9">
        <w:rPr>
          <w:rFonts w:cstheme="minorHAnsi"/>
        </w:rPr>
        <w:t xml:space="preserve"> and project- </w:t>
      </w:r>
      <w:r w:rsidR="00554B7D">
        <w:rPr>
          <w:rFonts w:cstheme="minorHAnsi"/>
        </w:rPr>
        <w:t>specific</w:t>
      </w:r>
      <w:r w:rsidR="00636CFB">
        <w:rPr>
          <w:rFonts w:cstheme="minorHAnsi"/>
        </w:rPr>
        <w:t xml:space="preserve"> optimisation of </w:t>
      </w:r>
      <w:r w:rsidR="00E2013D">
        <w:rPr>
          <w:rFonts w:cstheme="minorHAnsi"/>
        </w:rPr>
        <w:t xml:space="preserve">our </w:t>
      </w:r>
      <w:r w:rsidR="00636CFB">
        <w:rPr>
          <w:rFonts w:cstheme="minorHAnsi"/>
        </w:rPr>
        <w:t>protocol</w:t>
      </w:r>
      <w:r w:rsidR="00946CF9">
        <w:rPr>
          <w:rFonts w:cstheme="minorHAnsi"/>
        </w:rPr>
        <w:t xml:space="preserve"> (Figure </w:t>
      </w:r>
      <w:r w:rsidR="009A186C">
        <w:rPr>
          <w:rFonts w:cstheme="minorHAnsi"/>
        </w:rPr>
        <w:t>3</w:t>
      </w:r>
      <w:r w:rsidR="00946CF9">
        <w:rPr>
          <w:rFonts w:cstheme="minorHAnsi"/>
        </w:rPr>
        <w:t>)</w:t>
      </w:r>
      <w:r>
        <w:rPr>
          <w:rFonts w:cstheme="minorHAnsi"/>
        </w:rPr>
        <w:t xml:space="preserve">. </w:t>
      </w:r>
      <w:r w:rsidR="00BE6F3E">
        <w:t>We consider marine sediment</w:t>
      </w:r>
      <w:r w:rsidR="00554B7D">
        <w:t>s</w:t>
      </w:r>
      <w:r w:rsidR="00BE6F3E">
        <w:t xml:space="preserve"> to be free of </w:t>
      </w:r>
      <w:r w:rsidR="00554B7D">
        <w:t xml:space="preserve">contaminating </w:t>
      </w:r>
      <w:r w:rsidR="00BE6F3E">
        <w:t>barite when</w:t>
      </w:r>
      <w:r w:rsidR="004377E2">
        <w:t xml:space="preserve">, with </w:t>
      </w:r>
      <w:r w:rsidR="00F50A37">
        <w:t xml:space="preserve">repeated </w:t>
      </w:r>
      <w:r w:rsidR="004377E2">
        <w:t>DTPA-NaOH treatments:</w:t>
      </w:r>
      <w:r w:rsidR="00BE6F3E">
        <w:t xml:space="preserve"> </w:t>
      </w:r>
      <w:r w:rsidR="004377E2">
        <w:t xml:space="preserve">(i) </w:t>
      </w:r>
      <w:r w:rsidR="00BE6F3E">
        <w:t>there is no appreciable</w:t>
      </w:r>
      <w:r w:rsidR="001B723F">
        <w:t xml:space="preserve"> </w:t>
      </w:r>
      <w:r w:rsidR="004377E2">
        <w:t xml:space="preserve">further </w:t>
      </w:r>
      <w:r w:rsidR="001B723F">
        <w:t>decrease in Sr or Ba concentration</w:t>
      </w:r>
      <w:r w:rsidR="004377E2" w:rsidRPr="004377E2">
        <w:t xml:space="preserve"> </w:t>
      </w:r>
      <w:r w:rsidR="004377E2">
        <w:t>of the terrigenous fraction, (ii)</w:t>
      </w:r>
      <w:r w:rsidR="00270008">
        <w:t xml:space="preserve"> </w:t>
      </w:r>
      <w:r w:rsidR="001B723F">
        <w:t>no</w:t>
      </w:r>
      <w:r w:rsidR="00BE6F3E">
        <w:t xml:space="preserve"> </w:t>
      </w:r>
      <w:r w:rsidR="00C775D5">
        <w:t xml:space="preserve">further change </w:t>
      </w:r>
      <w:r w:rsidR="00BE6F3E">
        <w:t xml:space="preserve">in </w:t>
      </w:r>
      <w:r w:rsidR="00BE6F3E" w:rsidRPr="00B652B3">
        <w:rPr>
          <w:vertAlign w:val="superscript"/>
        </w:rPr>
        <w:t>87</w:t>
      </w:r>
      <w:r w:rsidR="00BE6F3E" w:rsidRPr="00B652B3">
        <w:t>Sr/</w:t>
      </w:r>
      <w:r w:rsidR="00BE6F3E" w:rsidRPr="00B652B3">
        <w:rPr>
          <w:vertAlign w:val="superscript"/>
        </w:rPr>
        <w:t>86</w:t>
      </w:r>
      <w:r w:rsidR="00BE6F3E" w:rsidRPr="00B652B3">
        <w:t>Sr</w:t>
      </w:r>
      <w:r w:rsidR="00BE6F3E">
        <w:t xml:space="preserve"> of the </w:t>
      </w:r>
      <w:r w:rsidR="00E869C7">
        <w:t>terrigenous</w:t>
      </w:r>
      <w:r w:rsidR="00BE6F3E">
        <w:t xml:space="preserve"> fraction</w:t>
      </w:r>
      <w:r w:rsidR="00270008">
        <w:t>, and</w:t>
      </w:r>
      <w:r w:rsidR="00BE6F3E">
        <w:t xml:space="preserve"> </w:t>
      </w:r>
      <w:r w:rsidR="004377E2">
        <w:t xml:space="preserve">(iii) </w:t>
      </w:r>
      <w:r w:rsidR="00270008">
        <w:t xml:space="preserve">no appreciable </w:t>
      </w:r>
      <w:r w:rsidR="004377E2">
        <w:t xml:space="preserve">further </w:t>
      </w:r>
      <w:r w:rsidR="00270008">
        <w:t xml:space="preserve">Sr and Ba </w:t>
      </w:r>
      <w:r w:rsidR="004377E2">
        <w:t xml:space="preserve">appear </w:t>
      </w:r>
      <w:r w:rsidR="00270008">
        <w:t>in sample leachates</w:t>
      </w:r>
      <w:r w:rsidR="00BE6F3E">
        <w:t xml:space="preserve">. </w:t>
      </w:r>
    </w:p>
    <w:p w14:paraId="7B56EC86" w14:textId="77777777" w:rsidR="00EA12C7" w:rsidRDefault="00EA12C7" w:rsidP="008C6417">
      <w:pPr>
        <w:spacing w:line="480" w:lineRule="auto"/>
        <w:jc w:val="both"/>
      </w:pPr>
    </w:p>
    <w:p w14:paraId="50BCDCB8" w14:textId="77777777" w:rsidR="003F746D" w:rsidRDefault="00A73E7A" w:rsidP="00AC4648">
      <w:pPr>
        <w:pStyle w:val="ListParagraph"/>
        <w:numPr>
          <w:ilvl w:val="1"/>
          <w:numId w:val="5"/>
        </w:numPr>
        <w:spacing w:line="480" w:lineRule="auto"/>
        <w:ind w:left="993" w:hanging="709"/>
        <w:jc w:val="both"/>
        <w:rPr>
          <w:rFonts w:cstheme="minorHAnsi"/>
          <w:b/>
        </w:rPr>
      </w:pPr>
      <w:r>
        <w:rPr>
          <w:rFonts w:cstheme="minorHAnsi"/>
          <w:b/>
        </w:rPr>
        <w:t xml:space="preserve">Sample </w:t>
      </w:r>
      <w:r w:rsidR="00D20286">
        <w:rPr>
          <w:rFonts w:cstheme="minorHAnsi"/>
          <w:b/>
        </w:rPr>
        <w:t>d</w:t>
      </w:r>
      <w:r>
        <w:rPr>
          <w:rFonts w:cstheme="minorHAnsi"/>
          <w:b/>
        </w:rPr>
        <w:t xml:space="preserve">igestion and </w:t>
      </w:r>
      <w:r w:rsidR="00D20286">
        <w:rPr>
          <w:rFonts w:cstheme="minorHAnsi"/>
          <w:b/>
        </w:rPr>
        <w:t>c</w:t>
      </w:r>
      <w:r>
        <w:rPr>
          <w:rFonts w:cstheme="minorHAnsi"/>
          <w:b/>
        </w:rPr>
        <w:t xml:space="preserve">olumn </w:t>
      </w:r>
      <w:r w:rsidR="00D20286">
        <w:rPr>
          <w:rFonts w:cstheme="minorHAnsi"/>
          <w:b/>
        </w:rPr>
        <w:t>c</w:t>
      </w:r>
      <w:r>
        <w:rPr>
          <w:rFonts w:cstheme="minorHAnsi"/>
          <w:b/>
        </w:rPr>
        <w:t>hemistry</w:t>
      </w:r>
    </w:p>
    <w:p w14:paraId="786C6B69" w14:textId="77777777" w:rsidR="00F02DAA" w:rsidRDefault="00C620E6" w:rsidP="008C6417">
      <w:pPr>
        <w:spacing w:line="480" w:lineRule="auto"/>
        <w:jc w:val="both"/>
        <w:rPr>
          <w:rFonts w:cstheme="minorHAnsi"/>
        </w:rPr>
      </w:pPr>
      <w:r w:rsidRPr="002709B5">
        <w:rPr>
          <w:rFonts w:cstheme="minorHAnsi"/>
        </w:rPr>
        <w:t>Sample digestion</w:t>
      </w:r>
      <w:r w:rsidR="00D74D64">
        <w:rPr>
          <w:rFonts w:cstheme="minorHAnsi"/>
        </w:rPr>
        <w:t>s</w:t>
      </w:r>
      <w:r w:rsidRPr="002709B5">
        <w:rPr>
          <w:rFonts w:cstheme="minorHAnsi"/>
        </w:rPr>
        <w:t xml:space="preserve"> and column chemistry were carried out under clean laboratory conditions</w:t>
      </w:r>
      <w:r>
        <w:rPr>
          <w:rFonts w:cstheme="minorHAnsi"/>
        </w:rPr>
        <w:t xml:space="preserve">. </w:t>
      </w:r>
      <w:r w:rsidR="0094517F" w:rsidRPr="002709B5">
        <w:rPr>
          <w:rFonts w:cstheme="minorHAnsi"/>
        </w:rPr>
        <w:t xml:space="preserve">Approximately </w:t>
      </w:r>
      <w:r w:rsidR="003F41FD">
        <w:rPr>
          <w:rFonts w:cstheme="minorHAnsi"/>
        </w:rPr>
        <w:t>50</w:t>
      </w:r>
      <w:r w:rsidR="0094517F">
        <w:rPr>
          <w:rFonts w:cstheme="minorHAnsi"/>
        </w:rPr>
        <w:t xml:space="preserve"> </w:t>
      </w:r>
      <w:r w:rsidR="0094517F" w:rsidRPr="002709B5">
        <w:rPr>
          <w:rFonts w:cstheme="minorHAnsi"/>
        </w:rPr>
        <w:t xml:space="preserve">mg of </w:t>
      </w:r>
      <w:r w:rsidR="00A73E7A">
        <w:rPr>
          <w:rFonts w:cstheme="minorHAnsi"/>
        </w:rPr>
        <w:t>freez</w:t>
      </w:r>
      <w:r w:rsidR="00D20286">
        <w:rPr>
          <w:rFonts w:cstheme="minorHAnsi"/>
        </w:rPr>
        <w:t>e</w:t>
      </w:r>
      <w:r w:rsidR="00A73E7A">
        <w:rPr>
          <w:rFonts w:cstheme="minorHAnsi"/>
        </w:rPr>
        <w:t xml:space="preserve">-dried </w:t>
      </w:r>
      <w:r w:rsidR="0094517F">
        <w:rPr>
          <w:rFonts w:cstheme="minorHAnsi"/>
        </w:rPr>
        <w:t xml:space="preserve">processed </w:t>
      </w:r>
      <w:r w:rsidR="0094517F" w:rsidRPr="002709B5">
        <w:rPr>
          <w:rFonts w:cstheme="minorHAnsi"/>
        </w:rPr>
        <w:t>sample was digested overnight using a HF-HNO</w:t>
      </w:r>
      <w:r w:rsidR="0094517F" w:rsidRPr="002709B5">
        <w:rPr>
          <w:rFonts w:cstheme="minorHAnsi"/>
          <w:vertAlign w:val="subscript"/>
        </w:rPr>
        <w:t>3</w:t>
      </w:r>
      <w:r w:rsidR="0094517F" w:rsidRPr="002709B5">
        <w:rPr>
          <w:rFonts w:cstheme="minorHAnsi"/>
        </w:rPr>
        <w:t>-HClO</w:t>
      </w:r>
      <w:r w:rsidR="0094517F" w:rsidRPr="002709B5">
        <w:rPr>
          <w:rFonts w:cstheme="minorHAnsi"/>
          <w:vertAlign w:val="subscript"/>
        </w:rPr>
        <w:t>4</w:t>
      </w:r>
      <w:r w:rsidR="0094517F" w:rsidRPr="002709B5">
        <w:rPr>
          <w:rFonts w:cstheme="minorHAnsi"/>
        </w:rPr>
        <w:t xml:space="preserve"> acid mixture at 130 °C</w:t>
      </w:r>
      <w:r w:rsidR="0094517F" w:rsidRPr="00F02DAA">
        <w:rPr>
          <w:rFonts w:cstheme="minorHAnsi"/>
        </w:rPr>
        <w:t xml:space="preserve">. </w:t>
      </w:r>
    </w:p>
    <w:p w14:paraId="7261A2E9" w14:textId="77777777" w:rsidR="00F02DAA" w:rsidRDefault="00F02DAA" w:rsidP="007A6297">
      <w:pPr>
        <w:spacing w:line="480" w:lineRule="auto"/>
        <w:jc w:val="both"/>
        <w:rPr>
          <w:rFonts w:cstheme="minorHAnsi"/>
        </w:rPr>
      </w:pPr>
    </w:p>
    <w:p w14:paraId="26B3C9F2" w14:textId="7479F4C3" w:rsidR="00F02DAA" w:rsidRDefault="0094517F" w:rsidP="007A6297">
      <w:pPr>
        <w:spacing w:line="480" w:lineRule="auto"/>
        <w:jc w:val="both"/>
        <w:rPr>
          <w:rFonts w:cstheme="minorHAnsi"/>
        </w:rPr>
      </w:pPr>
      <w:r w:rsidRPr="00F02DAA">
        <w:rPr>
          <w:rFonts w:cstheme="minorHAnsi"/>
        </w:rPr>
        <w:t>Nd and Sr were isolated using chromatographic column separation</w:t>
      </w:r>
      <w:r w:rsidR="007A6297">
        <w:rPr>
          <w:rFonts w:cstheme="minorHAnsi"/>
        </w:rPr>
        <w:t xml:space="preserve"> (see</w:t>
      </w:r>
      <w:r w:rsidR="00F47CA0">
        <w:rPr>
          <w:rFonts w:cstheme="minorHAnsi"/>
        </w:rPr>
        <w:t xml:space="preserve"> </w:t>
      </w:r>
      <w:r w:rsidR="00567A36">
        <w:rPr>
          <w:rFonts w:cstheme="minorHAnsi"/>
        </w:rPr>
        <w:t xml:space="preserve">supplementary materials </w:t>
      </w:r>
      <w:r w:rsidR="007A6297">
        <w:rPr>
          <w:rFonts w:cstheme="minorHAnsi"/>
        </w:rPr>
        <w:t>for detailed method</w:t>
      </w:r>
      <w:r w:rsidR="00670BF5">
        <w:rPr>
          <w:rFonts w:cstheme="minorHAnsi"/>
        </w:rPr>
        <w:t>s</w:t>
      </w:r>
      <w:r w:rsidR="007A6297">
        <w:rPr>
          <w:rFonts w:cstheme="minorHAnsi"/>
        </w:rPr>
        <w:t>)</w:t>
      </w:r>
      <w:r w:rsidRPr="00F02DAA">
        <w:rPr>
          <w:rFonts w:cstheme="minorHAnsi"/>
        </w:rPr>
        <w:t xml:space="preserve">. </w:t>
      </w:r>
      <w:r w:rsidR="00D16FC2">
        <w:rPr>
          <w:rFonts w:cstheme="minorHAnsi"/>
        </w:rPr>
        <w:t>A</w:t>
      </w:r>
      <w:r w:rsidR="00F02DAA">
        <w:rPr>
          <w:rFonts w:cstheme="minorHAnsi"/>
        </w:rPr>
        <w:t xml:space="preserve"> subsample containing </w:t>
      </w:r>
      <w:r w:rsidR="003D70BA">
        <w:rPr>
          <w:rFonts w:cstheme="minorHAnsi"/>
        </w:rPr>
        <w:t xml:space="preserve">a minimum of </w:t>
      </w:r>
      <w:r w:rsidR="00F02DAA">
        <w:rPr>
          <w:rFonts w:cstheme="minorHAnsi"/>
        </w:rPr>
        <w:t>1</w:t>
      </w:r>
      <w:r w:rsidR="008E1D02">
        <w:rPr>
          <w:rFonts w:ascii="Arial Unicode MS" w:eastAsia="Arial Unicode MS" w:hAnsi="Arial Unicode MS" w:cs="Arial Unicode MS" w:hint="eastAsia"/>
        </w:rPr>
        <w:t>μ</w:t>
      </w:r>
      <w:r w:rsidR="00F02DAA">
        <w:rPr>
          <w:rFonts w:cstheme="minorHAnsi"/>
        </w:rPr>
        <w:t xml:space="preserve">g of Sr </w:t>
      </w:r>
      <w:r w:rsidR="003D70BA">
        <w:rPr>
          <w:rFonts w:cstheme="minorHAnsi"/>
        </w:rPr>
        <w:t xml:space="preserve">and </w:t>
      </w:r>
      <w:r w:rsidR="00F02DAA">
        <w:rPr>
          <w:rFonts w:cstheme="minorHAnsi"/>
        </w:rPr>
        <w:t xml:space="preserve">200ng of Nd was passed through a cation column </w:t>
      </w:r>
      <w:r w:rsidR="00F02DAA" w:rsidRPr="00F02DAA">
        <w:rPr>
          <w:rFonts w:cstheme="minorHAnsi"/>
        </w:rPr>
        <w:t>(Bio-Rad AG-50W-X8 resin</w:t>
      </w:r>
      <w:r w:rsidR="00532A0D">
        <w:rPr>
          <w:rFonts w:cstheme="minorHAnsi"/>
        </w:rPr>
        <w:t xml:space="preserve"> 200-400</w:t>
      </w:r>
      <w:r w:rsidR="00532A0D" w:rsidRPr="00532A0D">
        <w:rPr>
          <w:rFonts w:cstheme="minorHAnsi"/>
        </w:rPr>
        <w:t>μm</w:t>
      </w:r>
      <w:r w:rsidR="00532A0D">
        <w:rPr>
          <w:rFonts w:cstheme="minorHAnsi"/>
        </w:rPr>
        <w:t xml:space="preserve"> mesh</w:t>
      </w:r>
      <w:r w:rsidR="00F02DAA" w:rsidRPr="00F02DAA">
        <w:rPr>
          <w:rFonts w:cstheme="minorHAnsi"/>
        </w:rPr>
        <w:t>)</w:t>
      </w:r>
      <w:r w:rsidR="00F02DAA">
        <w:rPr>
          <w:rFonts w:cstheme="minorHAnsi"/>
        </w:rPr>
        <w:t xml:space="preserve"> to ensure removal of </w:t>
      </w:r>
      <w:r w:rsidR="009B0085">
        <w:rPr>
          <w:rFonts w:cstheme="minorHAnsi"/>
        </w:rPr>
        <w:t>barium</w:t>
      </w:r>
      <w:r w:rsidR="00FC2130">
        <w:rPr>
          <w:rFonts w:cstheme="minorHAnsi"/>
        </w:rPr>
        <w:t xml:space="preserve"> in </w:t>
      </w:r>
      <w:r w:rsidR="00F02DAA">
        <w:rPr>
          <w:rFonts w:cstheme="minorHAnsi"/>
        </w:rPr>
        <w:t>the sample</w:t>
      </w:r>
      <w:r w:rsidR="008B24FD">
        <w:rPr>
          <w:rFonts w:cstheme="minorHAnsi"/>
        </w:rPr>
        <w:t xml:space="preserve"> fraction isolated for isotopic analysis</w:t>
      </w:r>
      <w:r w:rsidR="00F02DAA">
        <w:rPr>
          <w:rFonts w:cstheme="minorHAnsi"/>
        </w:rPr>
        <w:t>.</w:t>
      </w:r>
      <w:r w:rsidR="00D16FC2">
        <w:rPr>
          <w:rFonts w:cstheme="minorHAnsi"/>
        </w:rPr>
        <w:t xml:space="preserve"> Fractions were collected for both Sr and Nd with </w:t>
      </w:r>
      <w:r w:rsidR="005E4B07">
        <w:rPr>
          <w:rFonts w:cstheme="minorHAnsi"/>
        </w:rPr>
        <w:t xml:space="preserve">average </w:t>
      </w:r>
      <w:r w:rsidR="005E4B07" w:rsidRPr="005E4B07">
        <w:rPr>
          <w:rFonts w:cstheme="minorHAnsi"/>
        </w:rPr>
        <w:t xml:space="preserve">recoveries of </w:t>
      </w:r>
      <w:r w:rsidR="0040121D" w:rsidRPr="005E4B07">
        <w:rPr>
          <w:rFonts w:cstheme="minorHAnsi"/>
        </w:rPr>
        <w:t>99.8</w:t>
      </w:r>
      <w:r w:rsidR="005E4B07" w:rsidRPr="005E4B07">
        <w:rPr>
          <w:rFonts w:cstheme="minorHAnsi"/>
        </w:rPr>
        <w:t xml:space="preserve"> </w:t>
      </w:r>
      <w:r w:rsidR="001D7C81">
        <w:rPr>
          <w:rFonts w:ascii="Calibri" w:hAnsi="Calibri" w:cs="Calibri"/>
        </w:rPr>
        <w:t>±</w:t>
      </w:r>
      <w:r w:rsidR="001D7C81">
        <w:rPr>
          <w:rFonts w:cstheme="minorHAnsi"/>
        </w:rPr>
        <w:t xml:space="preserve"> 4.7</w:t>
      </w:r>
      <w:r w:rsidR="00970A05">
        <w:rPr>
          <w:rFonts w:cstheme="minorHAnsi"/>
        </w:rPr>
        <w:t xml:space="preserve"> </w:t>
      </w:r>
      <w:r w:rsidR="005E4B07" w:rsidRPr="005E4B07">
        <w:rPr>
          <w:rFonts w:cstheme="minorHAnsi"/>
        </w:rPr>
        <w:t>%</w:t>
      </w:r>
      <w:r w:rsidR="001D7C81">
        <w:rPr>
          <w:rFonts w:cstheme="minorHAnsi"/>
        </w:rPr>
        <w:t xml:space="preserve"> </w:t>
      </w:r>
      <w:r w:rsidR="00D16FC2" w:rsidRPr="005E4B07">
        <w:rPr>
          <w:rFonts w:cstheme="minorHAnsi"/>
        </w:rPr>
        <w:t xml:space="preserve">and </w:t>
      </w:r>
      <w:r w:rsidR="0040121D" w:rsidRPr="005E4B07">
        <w:rPr>
          <w:rFonts w:cstheme="minorHAnsi"/>
        </w:rPr>
        <w:t>102.6</w:t>
      </w:r>
      <w:r w:rsidR="001D7C81">
        <w:rPr>
          <w:rFonts w:cstheme="minorHAnsi"/>
        </w:rPr>
        <w:t xml:space="preserve"> </w:t>
      </w:r>
      <w:r w:rsidR="001D7C81">
        <w:rPr>
          <w:rFonts w:ascii="Calibri" w:hAnsi="Calibri" w:cs="Calibri"/>
        </w:rPr>
        <w:t>± 5.9</w:t>
      </w:r>
      <w:r w:rsidR="005E4B07" w:rsidRPr="005E4B07">
        <w:rPr>
          <w:rFonts w:cstheme="minorHAnsi"/>
        </w:rPr>
        <w:t xml:space="preserve"> </w:t>
      </w:r>
      <w:r w:rsidR="00D16FC2" w:rsidRPr="005E4B07">
        <w:rPr>
          <w:rFonts w:cstheme="minorHAnsi"/>
        </w:rPr>
        <w:t>% respectively</w:t>
      </w:r>
      <w:r w:rsidR="00D16FC2">
        <w:rPr>
          <w:rFonts w:cstheme="minorHAnsi"/>
        </w:rPr>
        <w:t>. N</w:t>
      </w:r>
      <w:r w:rsidR="00F02DAA" w:rsidRPr="00F02DAA">
        <w:rPr>
          <w:rFonts w:cstheme="minorHAnsi"/>
        </w:rPr>
        <w:t xml:space="preserve">d was </w:t>
      </w:r>
      <w:r w:rsidR="00F02DAA">
        <w:rPr>
          <w:rFonts w:cstheme="minorHAnsi"/>
        </w:rPr>
        <w:t xml:space="preserve">then </w:t>
      </w:r>
      <w:r w:rsidR="00F02DAA" w:rsidRPr="00F02DAA">
        <w:rPr>
          <w:rFonts w:cstheme="minorHAnsi"/>
        </w:rPr>
        <w:t xml:space="preserve">isolated </w:t>
      </w:r>
      <w:r w:rsidR="00F02DAA">
        <w:rPr>
          <w:rFonts w:cstheme="minorHAnsi"/>
        </w:rPr>
        <w:t xml:space="preserve">using a </w:t>
      </w:r>
      <w:r w:rsidR="00F02DAA" w:rsidRPr="00F02DAA">
        <w:rPr>
          <w:rFonts w:cstheme="minorHAnsi"/>
        </w:rPr>
        <w:t>reverse phase column (Ln-spec resin</w:t>
      </w:r>
      <w:r w:rsidR="008E1D02">
        <w:rPr>
          <w:rFonts w:ascii="Arial Unicode MS" w:eastAsia="Arial Unicode MS" w:hAnsi="Arial Unicode MS" w:cs="Arial Unicode MS"/>
        </w:rPr>
        <w:t xml:space="preserve"> </w:t>
      </w:r>
      <w:r w:rsidR="00F02DAA">
        <w:rPr>
          <w:rFonts w:cstheme="minorHAnsi"/>
        </w:rPr>
        <w:t>50-100</w:t>
      </w:r>
      <w:r w:rsidR="00970A05">
        <w:rPr>
          <w:rFonts w:cstheme="minorHAnsi"/>
        </w:rPr>
        <w:t xml:space="preserve"> </w:t>
      </w:r>
      <w:r w:rsidR="008E1D02">
        <w:rPr>
          <w:rFonts w:ascii="Arial Unicode MS" w:eastAsia="Arial Unicode MS" w:hAnsi="Arial Unicode MS" w:cs="Arial Unicode MS" w:hint="eastAsia"/>
        </w:rPr>
        <w:t>μ</w:t>
      </w:r>
      <w:r w:rsidR="00F02DAA">
        <w:rPr>
          <w:rFonts w:cstheme="minorHAnsi"/>
        </w:rPr>
        <w:t>m</w:t>
      </w:r>
      <w:r w:rsidR="00F02DAA" w:rsidRPr="00F02DAA">
        <w:rPr>
          <w:rFonts w:cstheme="minorHAnsi"/>
        </w:rPr>
        <w:t>) (Pin</w:t>
      </w:r>
      <w:r w:rsidR="00F02DAA">
        <w:rPr>
          <w:rFonts w:cstheme="minorHAnsi"/>
        </w:rPr>
        <w:t xml:space="preserve"> </w:t>
      </w:r>
      <w:r w:rsidR="00F02DAA" w:rsidRPr="00F02DAA">
        <w:rPr>
          <w:rFonts w:cstheme="minorHAnsi"/>
        </w:rPr>
        <w:t>and Zalduegui, 1997)</w:t>
      </w:r>
      <w:r w:rsidR="00F02DAA">
        <w:rPr>
          <w:rFonts w:cstheme="minorHAnsi"/>
        </w:rPr>
        <w:t xml:space="preserve"> </w:t>
      </w:r>
      <w:r w:rsidR="008E1D02">
        <w:rPr>
          <w:rFonts w:cstheme="minorHAnsi"/>
        </w:rPr>
        <w:t xml:space="preserve">to ensure good separation of the rare earth elements (REEs), </w:t>
      </w:r>
      <w:r w:rsidR="00B80613">
        <w:rPr>
          <w:rFonts w:cstheme="minorHAnsi"/>
        </w:rPr>
        <w:t>especially</w:t>
      </w:r>
      <w:r w:rsidR="008E1D02">
        <w:rPr>
          <w:rFonts w:cstheme="minorHAnsi"/>
        </w:rPr>
        <w:t xml:space="preserve"> Ce</w:t>
      </w:r>
      <w:r w:rsidR="00A72171">
        <w:rPr>
          <w:rFonts w:cstheme="minorHAnsi"/>
        </w:rPr>
        <w:t>,</w:t>
      </w:r>
      <w:r w:rsidR="008E1D02">
        <w:rPr>
          <w:rFonts w:cstheme="minorHAnsi"/>
        </w:rPr>
        <w:t xml:space="preserve"> to ensure minimal interference </w:t>
      </w:r>
      <w:r w:rsidR="00DA2B2C">
        <w:rPr>
          <w:rFonts w:cstheme="minorHAnsi"/>
        </w:rPr>
        <w:t xml:space="preserve">during mass spectrometry. </w:t>
      </w:r>
      <w:r w:rsidR="00F02DAA" w:rsidRPr="00F02DAA">
        <w:rPr>
          <w:rFonts w:cstheme="minorHAnsi"/>
        </w:rPr>
        <w:t xml:space="preserve">Sr was isolated using </w:t>
      </w:r>
      <w:r w:rsidR="000A3384">
        <w:rPr>
          <w:rFonts w:cstheme="minorHAnsi"/>
        </w:rPr>
        <w:t xml:space="preserve">Eichrom </w:t>
      </w:r>
      <w:r w:rsidR="00F02DAA" w:rsidRPr="00F02DAA">
        <w:rPr>
          <w:rFonts w:cstheme="minorHAnsi"/>
        </w:rPr>
        <w:t>Sr-spec resin</w:t>
      </w:r>
      <w:r w:rsidR="00D16FC2">
        <w:rPr>
          <w:rFonts w:cstheme="minorHAnsi"/>
        </w:rPr>
        <w:t xml:space="preserve">, </w:t>
      </w:r>
      <w:r w:rsidR="007A6297">
        <w:rPr>
          <w:rFonts w:cstheme="minorHAnsi"/>
        </w:rPr>
        <w:t xml:space="preserve">with approximate recovery of </w:t>
      </w:r>
      <w:r w:rsidR="000A3384">
        <w:rPr>
          <w:rFonts w:cstheme="minorHAnsi"/>
        </w:rPr>
        <w:t>99</w:t>
      </w:r>
      <w:r w:rsidR="000A3384" w:rsidRPr="000A3384">
        <w:rPr>
          <w:rFonts w:cstheme="minorHAnsi"/>
        </w:rPr>
        <w:t>.</w:t>
      </w:r>
      <w:r w:rsidR="00A72171">
        <w:rPr>
          <w:rFonts w:cstheme="minorHAnsi"/>
        </w:rPr>
        <w:t>8</w:t>
      </w:r>
      <w:r w:rsidR="00A72171" w:rsidRPr="000A3384">
        <w:rPr>
          <w:rFonts w:cstheme="minorHAnsi"/>
        </w:rPr>
        <w:t xml:space="preserve"> </w:t>
      </w:r>
      <w:r w:rsidR="007A6297" w:rsidRPr="000A3384">
        <w:rPr>
          <w:rFonts w:cstheme="minorHAnsi"/>
        </w:rPr>
        <w:t>%</w:t>
      </w:r>
      <w:r w:rsidR="00F02DAA" w:rsidRPr="000A3384">
        <w:rPr>
          <w:rFonts w:cstheme="minorHAnsi"/>
        </w:rPr>
        <w:t>.</w:t>
      </w:r>
      <w:r w:rsidR="00F02DAA" w:rsidRPr="00F02DAA">
        <w:rPr>
          <w:rFonts w:cstheme="minorHAnsi"/>
        </w:rPr>
        <w:t xml:space="preserve"> The total column blanks (i.e. when</w:t>
      </w:r>
      <w:r w:rsidR="00F02DAA">
        <w:rPr>
          <w:rFonts w:cstheme="minorHAnsi"/>
        </w:rPr>
        <w:t xml:space="preserve"> </w:t>
      </w:r>
      <w:r w:rsidR="00F02DAA" w:rsidRPr="00F02DAA">
        <w:rPr>
          <w:rFonts w:cstheme="minorHAnsi"/>
        </w:rPr>
        <w:t xml:space="preserve">acid is run through the column procedure) were </w:t>
      </w:r>
      <w:r w:rsidR="00F02DAA" w:rsidRPr="000A3384">
        <w:rPr>
          <w:rFonts w:cstheme="minorHAnsi"/>
        </w:rPr>
        <w:t>negligible (50 pg and</w:t>
      </w:r>
      <w:r w:rsidR="00F02DAA" w:rsidRPr="00F719A0">
        <w:rPr>
          <w:rFonts w:cstheme="minorHAnsi"/>
        </w:rPr>
        <w:t xml:space="preserve"> </w:t>
      </w:r>
      <w:r w:rsidR="00F719A0" w:rsidRPr="00F719A0">
        <w:rPr>
          <w:rFonts w:cstheme="minorHAnsi"/>
        </w:rPr>
        <w:t>13</w:t>
      </w:r>
      <w:r w:rsidR="00F02DAA" w:rsidRPr="00F719A0">
        <w:rPr>
          <w:rFonts w:cstheme="minorHAnsi"/>
        </w:rPr>
        <w:t xml:space="preserve"> pg</w:t>
      </w:r>
      <w:r w:rsidR="00F02DAA" w:rsidRPr="00F02DAA">
        <w:rPr>
          <w:rFonts w:cstheme="minorHAnsi"/>
        </w:rPr>
        <w:t>)</w:t>
      </w:r>
      <w:r w:rsidR="007A6297">
        <w:rPr>
          <w:rFonts w:cstheme="minorHAnsi"/>
        </w:rPr>
        <w:t xml:space="preserve"> </w:t>
      </w:r>
      <w:r w:rsidR="00F02DAA" w:rsidRPr="00F02DAA">
        <w:rPr>
          <w:rFonts w:cstheme="minorHAnsi"/>
        </w:rPr>
        <w:t>compared to the total amounts analysed (</w:t>
      </w:r>
      <w:r w:rsidR="009B0085">
        <w:rPr>
          <w:rFonts w:ascii="Calibri" w:hAnsi="Calibri"/>
        </w:rPr>
        <w:t xml:space="preserve">≥ </w:t>
      </w:r>
      <w:r w:rsidR="00F02DAA" w:rsidRPr="00F02DAA">
        <w:rPr>
          <w:rFonts w:cstheme="minorHAnsi"/>
        </w:rPr>
        <w:t>1 μg and 200 ng) for Sr and Nd respectively.</w:t>
      </w:r>
    </w:p>
    <w:p w14:paraId="5A5701C9" w14:textId="77777777" w:rsidR="00A73E7A" w:rsidRDefault="00A73E7A" w:rsidP="008C6417">
      <w:pPr>
        <w:spacing w:line="480" w:lineRule="auto"/>
        <w:jc w:val="both"/>
        <w:rPr>
          <w:rFonts w:cstheme="minorHAnsi"/>
        </w:rPr>
      </w:pPr>
    </w:p>
    <w:p w14:paraId="56EC50B0" w14:textId="77777777" w:rsidR="0094517F" w:rsidRDefault="00A73E7A" w:rsidP="00A73E7A">
      <w:pPr>
        <w:pStyle w:val="ListParagraph"/>
        <w:numPr>
          <w:ilvl w:val="1"/>
          <w:numId w:val="5"/>
        </w:numPr>
        <w:spacing w:line="480" w:lineRule="auto"/>
        <w:ind w:left="993" w:hanging="709"/>
        <w:jc w:val="both"/>
        <w:rPr>
          <w:rFonts w:cstheme="minorHAnsi"/>
          <w:b/>
          <w:bCs/>
        </w:rPr>
      </w:pPr>
      <w:r w:rsidRPr="00A73E7A">
        <w:rPr>
          <w:rFonts w:cstheme="minorHAnsi"/>
          <w:b/>
          <w:bCs/>
        </w:rPr>
        <w:t xml:space="preserve">Analytical </w:t>
      </w:r>
      <w:r w:rsidR="00A72171">
        <w:rPr>
          <w:rFonts w:cstheme="minorHAnsi"/>
          <w:b/>
          <w:bCs/>
        </w:rPr>
        <w:t>p</w:t>
      </w:r>
      <w:r w:rsidR="00A72171" w:rsidRPr="00A73E7A">
        <w:rPr>
          <w:rFonts w:cstheme="minorHAnsi"/>
          <w:b/>
          <w:bCs/>
        </w:rPr>
        <w:t>rocedure</w:t>
      </w:r>
    </w:p>
    <w:p w14:paraId="42E05384" w14:textId="77777777" w:rsidR="00D20286" w:rsidRDefault="00D20286" w:rsidP="00D20286">
      <w:pPr>
        <w:pStyle w:val="ListParagraph"/>
        <w:numPr>
          <w:ilvl w:val="2"/>
          <w:numId w:val="5"/>
        </w:numPr>
        <w:spacing w:line="480" w:lineRule="auto"/>
        <w:jc w:val="both"/>
        <w:rPr>
          <w:rFonts w:cstheme="minorHAnsi"/>
          <w:b/>
          <w:bCs/>
        </w:rPr>
      </w:pPr>
      <w:r>
        <w:rPr>
          <w:rFonts w:cstheme="minorHAnsi"/>
          <w:b/>
          <w:bCs/>
        </w:rPr>
        <w:t>Trace element concentrations</w:t>
      </w:r>
    </w:p>
    <w:p w14:paraId="32F0D827" w14:textId="0F36C988" w:rsidR="00375F97" w:rsidRPr="00375F97" w:rsidRDefault="00C2031F" w:rsidP="00375F97">
      <w:pPr>
        <w:spacing w:line="480" w:lineRule="auto"/>
        <w:jc w:val="both"/>
        <w:rPr>
          <w:rFonts w:cstheme="minorHAnsi"/>
        </w:rPr>
      </w:pPr>
      <w:r>
        <w:rPr>
          <w:rFonts w:cstheme="minorHAnsi"/>
        </w:rPr>
        <w:t>E</w:t>
      </w:r>
      <w:r w:rsidR="00053D16">
        <w:rPr>
          <w:rFonts w:cstheme="minorHAnsi"/>
        </w:rPr>
        <w:t xml:space="preserve">lement concentrations were determined using </w:t>
      </w:r>
      <w:r>
        <w:rPr>
          <w:rFonts w:cstheme="minorHAnsi"/>
        </w:rPr>
        <w:t xml:space="preserve">an </w:t>
      </w:r>
      <w:r w:rsidRPr="00C2031F">
        <w:rPr>
          <w:rFonts w:cstheme="minorHAnsi"/>
        </w:rPr>
        <w:t xml:space="preserve">Agilent 8900 </w:t>
      </w:r>
      <w:r>
        <w:rPr>
          <w:rFonts w:cstheme="minorHAnsi"/>
        </w:rPr>
        <w:t>TripleQuad inductively coupled plasma mass spectrometer (</w:t>
      </w:r>
      <w:r w:rsidRPr="00C2031F">
        <w:rPr>
          <w:rFonts w:cstheme="minorHAnsi"/>
        </w:rPr>
        <w:t>QQQ-ICP-MS</w:t>
      </w:r>
      <w:r>
        <w:rPr>
          <w:rFonts w:cstheme="minorHAnsi"/>
        </w:rPr>
        <w:t>)</w:t>
      </w:r>
      <w:r w:rsidRPr="00C2031F">
        <w:rPr>
          <w:rFonts w:cstheme="minorHAnsi"/>
        </w:rPr>
        <w:t xml:space="preserve"> using </w:t>
      </w:r>
      <w:r w:rsidR="00BD23BE">
        <w:rPr>
          <w:rFonts w:cstheme="minorHAnsi"/>
        </w:rPr>
        <w:t>standard</w:t>
      </w:r>
      <w:r w:rsidRPr="00C2031F">
        <w:rPr>
          <w:rFonts w:cstheme="minorHAnsi"/>
        </w:rPr>
        <w:t>, He and oxygen modes for the trace elements</w:t>
      </w:r>
      <w:r w:rsidR="00BD23BE">
        <w:rPr>
          <w:rFonts w:cstheme="minorHAnsi"/>
        </w:rPr>
        <w:t>,</w:t>
      </w:r>
      <w:r w:rsidRPr="00C2031F">
        <w:rPr>
          <w:rFonts w:cstheme="minorHAnsi"/>
        </w:rPr>
        <w:t xml:space="preserve"> </w:t>
      </w:r>
      <w:r w:rsidR="00BD23BE" w:rsidRPr="00BD23BE">
        <w:rPr>
          <w:rFonts w:cstheme="minorHAnsi"/>
        </w:rPr>
        <w:t>and He with High Matrix Introduction (HMI) mode</w:t>
      </w:r>
      <w:r w:rsidR="00BD23BE" w:rsidRPr="00BD23BE" w:rsidDel="00BD23BE">
        <w:rPr>
          <w:rStyle w:val="CommentReference"/>
          <w:rFonts w:cstheme="minorHAnsi"/>
          <w:sz w:val="24"/>
          <w:szCs w:val="24"/>
        </w:rPr>
        <w:t xml:space="preserve"> </w:t>
      </w:r>
      <w:r w:rsidRPr="00C2031F">
        <w:rPr>
          <w:rFonts w:cstheme="minorHAnsi"/>
        </w:rPr>
        <w:t>for the major elements.</w:t>
      </w:r>
      <w:r w:rsidR="00053D16">
        <w:rPr>
          <w:rFonts w:cstheme="minorHAnsi"/>
        </w:rPr>
        <w:t xml:space="preserve"> A suite of international rock standards was used for calibration (Jb-2, </w:t>
      </w:r>
      <w:r w:rsidR="000A2BB3">
        <w:rPr>
          <w:rFonts w:cstheme="minorHAnsi"/>
        </w:rPr>
        <w:t>JB</w:t>
      </w:r>
      <w:r w:rsidR="00053D16">
        <w:rPr>
          <w:rFonts w:cstheme="minorHAnsi"/>
        </w:rPr>
        <w:t xml:space="preserve">-3, </w:t>
      </w:r>
      <w:r w:rsidR="000A2BB3">
        <w:rPr>
          <w:rFonts w:cstheme="minorHAnsi"/>
        </w:rPr>
        <w:t>JGb</w:t>
      </w:r>
      <w:r w:rsidR="00053D16">
        <w:rPr>
          <w:rFonts w:cstheme="minorHAnsi"/>
        </w:rPr>
        <w:t>-1, BHVO2, AGV-2, BCR-2, BIR-1, JG-2 and JR-2</w:t>
      </w:r>
      <w:r w:rsidR="000A2BB3">
        <w:rPr>
          <w:rFonts w:cstheme="minorHAnsi"/>
        </w:rPr>
        <w:t>)</w:t>
      </w:r>
      <w:r w:rsidR="009767AC" w:rsidRPr="00FE4C7F">
        <w:rPr>
          <w:rFonts w:cstheme="minorHAnsi"/>
        </w:rPr>
        <w:t xml:space="preserve">. </w:t>
      </w:r>
      <w:r w:rsidR="00580A4A" w:rsidRPr="00FE4C7F">
        <w:rPr>
          <w:rFonts w:cstheme="minorHAnsi"/>
        </w:rPr>
        <w:t xml:space="preserve">The precision </w:t>
      </w:r>
      <w:r w:rsidR="009B00FA">
        <w:rPr>
          <w:rFonts w:cstheme="minorHAnsi"/>
        </w:rPr>
        <w:t xml:space="preserve">of the analyses </w:t>
      </w:r>
      <w:r w:rsidR="00FE4C7F" w:rsidRPr="00FE4C7F">
        <w:rPr>
          <w:rFonts w:cstheme="minorHAnsi"/>
        </w:rPr>
        <w:t xml:space="preserve">for all </w:t>
      </w:r>
      <w:r w:rsidR="009B00FA">
        <w:rPr>
          <w:rFonts w:cstheme="minorHAnsi"/>
        </w:rPr>
        <w:t xml:space="preserve">elements </w:t>
      </w:r>
      <w:r w:rsidR="00FD4965" w:rsidRPr="00FE4C7F">
        <w:rPr>
          <w:rFonts w:cstheme="minorHAnsi"/>
        </w:rPr>
        <w:t xml:space="preserve">was </w:t>
      </w:r>
      <w:r w:rsidR="009B00FA">
        <w:rPr>
          <w:rFonts w:cstheme="minorHAnsi"/>
        </w:rPr>
        <w:t xml:space="preserve">better than </w:t>
      </w:r>
      <w:r w:rsidR="009B00FA">
        <w:rPr>
          <w:rFonts w:ascii="Calibri" w:hAnsi="Calibri" w:cs="Calibri"/>
        </w:rPr>
        <w:t>±</w:t>
      </w:r>
      <w:r w:rsidR="00053D16">
        <w:rPr>
          <w:rFonts w:cstheme="minorHAnsi"/>
        </w:rPr>
        <w:t>10</w:t>
      </w:r>
      <w:r w:rsidR="00FD4965" w:rsidRPr="00FE4C7F">
        <w:rPr>
          <w:rFonts w:cstheme="minorHAnsi"/>
        </w:rPr>
        <w:t xml:space="preserve"> %</w:t>
      </w:r>
      <w:r w:rsidR="004D5930">
        <w:rPr>
          <w:rFonts w:cstheme="minorHAnsi"/>
        </w:rPr>
        <w:t xml:space="preserve"> </w:t>
      </w:r>
      <w:r w:rsidR="009B00FA">
        <w:rPr>
          <w:rFonts w:cstheme="minorHAnsi"/>
        </w:rPr>
        <w:t xml:space="preserve">relative </w:t>
      </w:r>
      <w:r w:rsidR="004D5930">
        <w:rPr>
          <w:rFonts w:cstheme="minorHAnsi"/>
        </w:rPr>
        <w:t>standard deviation (RS</w:t>
      </w:r>
      <w:r w:rsidR="00FD4965" w:rsidRPr="00FE4C7F">
        <w:rPr>
          <w:rFonts w:cstheme="minorHAnsi"/>
        </w:rPr>
        <w:t>D</w:t>
      </w:r>
      <w:r w:rsidR="004D5930">
        <w:rPr>
          <w:rFonts w:cstheme="minorHAnsi"/>
        </w:rPr>
        <w:t>)</w:t>
      </w:r>
      <w:r w:rsidR="00053D16">
        <w:rPr>
          <w:rFonts w:cstheme="minorHAnsi"/>
        </w:rPr>
        <w:t>.</w:t>
      </w:r>
    </w:p>
    <w:p w14:paraId="5CA12AE8" w14:textId="77777777" w:rsidR="00375F97" w:rsidRPr="00375F97" w:rsidRDefault="00375F97" w:rsidP="00375F97">
      <w:pPr>
        <w:spacing w:line="480" w:lineRule="auto"/>
        <w:jc w:val="both"/>
        <w:rPr>
          <w:rFonts w:cstheme="minorHAnsi"/>
          <w:b/>
          <w:bCs/>
        </w:rPr>
      </w:pPr>
    </w:p>
    <w:p w14:paraId="2DF7DED9" w14:textId="77777777" w:rsidR="00D20286" w:rsidRPr="00A73E7A" w:rsidRDefault="00D20286" w:rsidP="00D20286">
      <w:pPr>
        <w:pStyle w:val="ListParagraph"/>
        <w:numPr>
          <w:ilvl w:val="2"/>
          <w:numId w:val="5"/>
        </w:numPr>
        <w:spacing w:line="480" w:lineRule="auto"/>
        <w:jc w:val="both"/>
        <w:rPr>
          <w:rFonts w:cstheme="minorHAnsi"/>
          <w:b/>
          <w:bCs/>
        </w:rPr>
      </w:pPr>
      <w:r>
        <w:rPr>
          <w:rFonts w:cstheme="minorHAnsi"/>
          <w:b/>
          <w:bCs/>
        </w:rPr>
        <w:t>Nd isotopes</w:t>
      </w:r>
    </w:p>
    <w:p w14:paraId="192CF923" w14:textId="77777777" w:rsidR="0094517F" w:rsidRPr="002709B5" w:rsidRDefault="0094517F" w:rsidP="008C6417">
      <w:pPr>
        <w:spacing w:line="480" w:lineRule="auto"/>
        <w:jc w:val="both"/>
        <w:rPr>
          <w:rFonts w:cstheme="minorHAnsi"/>
        </w:rPr>
      </w:pPr>
      <w:r w:rsidRPr="009767AC">
        <w:rPr>
          <w:rFonts w:cstheme="minorHAnsi"/>
        </w:rPr>
        <w:t xml:space="preserve">Nd-isotope ratios were measured using a multi-collector </w:t>
      </w:r>
      <w:r w:rsidR="00AC4C75">
        <w:rPr>
          <w:rFonts w:cstheme="minorHAnsi"/>
        </w:rPr>
        <w:t>ICP-MS</w:t>
      </w:r>
      <w:r w:rsidRPr="009767AC">
        <w:rPr>
          <w:rFonts w:cstheme="minorHAnsi"/>
        </w:rPr>
        <w:t xml:space="preserve"> (MC-ICP-MS, Thermo </w:t>
      </w:r>
      <w:r w:rsidR="0008532C">
        <w:rPr>
          <w:rFonts w:cstheme="minorHAnsi"/>
        </w:rPr>
        <w:t xml:space="preserve">Fisher </w:t>
      </w:r>
      <w:r w:rsidRPr="009767AC">
        <w:rPr>
          <w:rFonts w:cstheme="minorHAnsi"/>
        </w:rPr>
        <w:t xml:space="preserve">Scientific Neptune). Nd isotopic compositions were corrected following the method of </w:t>
      </w:r>
      <w:r w:rsidRPr="009767AC">
        <w:rPr>
          <w:rFonts w:cstheme="minorHAnsi"/>
        </w:rPr>
        <w:fldChar w:fldCharType="begin" w:fldLock="1"/>
      </w:r>
      <w:r w:rsidR="007C1462">
        <w:rPr>
          <w:rFonts w:cstheme="minorHAnsi"/>
        </w:rPr>
        <w:instrText>ADDIN CSL_CITATION {"citationItems":[{"id":"ITEM-1","itemData":{"DOI":"10.1016/S0009-2541(01)00402-8","ISBN":"0009-2541","ISSN":"00092541","PMID":"175645500005","abstract":"The stability of mass discrimination in multiple-collector magnetic-sector inductively coupled mass spectrometry (MC-ICPMS)- with time, between elements and between samples-makes it potentially much simpler to deal with than in TIMS. However, while the stability of mass bias across limited areas of the mass spectrum is critical to the derivation of precise isotope ratios, the fundamentals of mass bias behaviour of MC-ICPMS instruments are still incompletely characterised. In this paper, we present Nd isotope data for standards and samples with the aim of using the well-known Nd isotopic system to obtain systematic information on the nature of the mass bias in MC-ICPMS. An extensive Nd dataset was obtained on a Micromass IsoProbe and more limited data on two different Nu Instrument machines. The IsoProbe data were obtained over 18 months between March 2000 and September 2001. The standard approach of using146Nd/144Nd to normalise other Nd isotope ratios leads to both inaccurate (by around 100 ppm in the case of the exponential-law normalised143Nd/144Nd ratio) and relatively imprecise (2 rsd = 45 ppm for143Nd/144Nd) results. On the IsoProbe, this is due to the fact that the magnitude of the exponential mass bias itself varies, albeit by a small amount, over limited mass ranges such as that for Nd. The result is that the inaccuracy is much greater for isotope ratios that have an average mass further away from that of the normalising ratio - for example, &gt; 500 ppm for150Nd/144Nd vs. &lt;30 ppm for145Nd/144Nd. Both accuracy and precision increase dramatically if a normalising ratio is used that is close in mass to the ratio to be normalised.143Nd/144Nd (average mass = 143.5) normalisation with145Nd/142Nd (average mass = 143.5) yields a value identical to TIMS. An alternative approach is to use post-normalisation linear correlations between isotope ratios to do a secondary mass bias correction. Such an approach with the143Nd/144Nd ratio using142Nd/144Nd yields a value identical to the TIMS value and a long-term reproducibility of 14-20 ppm. This compares with a reproducibility of 45 ppm using simple normalisation to146Nd/144Nd. We have tested both these approaches on standards and samples with143Nd/144Nd up to 30 ε units different from our in-house standard and identical results to TIMS are obtained. Post-normalisation correlations between isotope ratios obtained on the Nu Instruments MC-ICPMS are qualitatively very similar to those obtained on the IsoProbe and …","author":[{"dropping-particle":"","family":"Vance","given":"Derek","non-dropping-particle":"","parse-names":false,"suffix":""},{"dropping-particle":"","family":"Thirlwall","given":"Matthew","non-dropping-particle":"","parse-names":false,"suffix":""}],"container-title":"Chemical Geology","id":"ITEM-1","issue":"3-4","issued":{"date-parts":[["2002"]]},"page":"227-240","title":"An assessment of mass discrimination in MC-ICPMS using Nd isotopes","type":"article-journal","volume":"185"},"uris":["http://www.mendeley.com/documents/?uuid=f3c37457-fa2d-4bf8-ae98-a68ae5b87df5"]}],"mendeley":{"formattedCitation":"(Vance and Thirlwall, 2002)","manualFormatting":"Vance and Thirlwall, (2002)","plainTextFormattedCitation":"(Vance and Thirlwall, 2002)","previouslyFormattedCitation":"(Vance and Thirlwall, 2002)"},"properties":{"noteIndex":0},"schema":"https://github.com/citation-style-language/schema/raw/master/csl-citation.json"}</w:instrText>
      </w:r>
      <w:r w:rsidRPr="009767AC">
        <w:rPr>
          <w:rFonts w:cstheme="minorHAnsi"/>
        </w:rPr>
        <w:fldChar w:fldCharType="separate"/>
      </w:r>
      <w:r w:rsidRPr="009767AC">
        <w:rPr>
          <w:rFonts w:cstheme="minorHAnsi"/>
          <w:noProof/>
        </w:rPr>
        <w:t xml:space="preserve">Vance and Thirlwall, </w:t>
      </w:r>
      <w:r w:rsidR="00D74D64">
        <w:rPr>
          <w:rFonts w:cstheme="minorHAnsi"/>
          <w:noProof/>
        </w:rPr>
        <w:t>(</w:t>
      </w:r>
      <w:r w:rsidRPr="009767AC">
        <w:rPr>
          <w:rFonts w:cstheme="minorHAnsi"/>
          <w:noProof/>
        </w:rPr>
        <w:t>2002)</w:t>
      </w:r>
      <w:r w:rsidRPr="009767AC">
        <w:rPr>
          <w:rFonts w:cstheme="minorHAnsi"/>
        </w:rPr>
        <w:fldChar w:fldCharType="end"/>
      </w:r>
      <w:r w:rsidRPr="009767AC">
        <w:rPr>
          <w:rFonts w:cstheme="minorHAnsi"/>
        </w:rPr>
        <w:t xml:space="preserve"> through adjustment to a </w:t>
      </w:r>
      <w:r w:rsidRPr="009767AC">
        <w:rPr>
          <w:rFonts w:cstheme="minorHAnsi"/>
          <w:vertAlign w:val="superscript"/>
        </w:rPr>
        <w:t>146</w:t>
      </w:r>
      <w:r w:rsidRPr="009767AC">
        <w:rPr>
          <w:rFonts w:cstheme="minorHAnsi"/>
        </w:rPr>
        <w:t>Nd/</w:t>
      </w:r>
      <w:r w:rsidRPr="009767AC">
        <w:rPr>
          <w:rFonts w:cstheme="minorHAnsi"/>
          <w:vertAlign w:val="superscript"/>
        </w:rPr>
        <w:t>144</w:t>
      </w:r>
      <w:r w:rsidRPr="009767AC">
        <w:rPr>
          <w:rFonts w:cstheme="minorHAnsi"/>
        </w:rPr>
        <w:t xml:space="preserve">Nd ratio of 0.7219 and a secondary normalisation to </w:t>
      </w:r>
      <w:r w:rsidRPr="009767AC">
        <w:rPr>
          <w:rFonts w:cstheme="minorHAnsi"/>
          <w:vertAlign w:val="superscript"/>
        </w:rPr>
        <w:t>142</w:t>
      </w:r>
      <w:r w:rsidRPr="009767AC">
        <w:rPr>
          <w:rFonts w:cstheme="minorHAnsi"/>
        </w:rPr>
        <w:t>Nd/</w:t>
      </w:r>
      <w:r w:rsidRPr="009767AC">
        <w:rPr>
          <w:rFonts w:cstheme="minorHAnsi"/>
          <w:vertAlign w:val="superscript"/>
        </w:rPr>
        <w:t>144</w:t>
      </w:r>
      <w:r w:rsidRPr="009767AC">
        <w:rPr>
          <w:rFonts w:cstheme="minorHAnsi"/>
        </w:rPr>
        <w:t>Nd = 1.141876. For convenience the Nd isotope ratios are reported in epsilon notation (</w:t>
      </w:r>
      <w:r w:rsidRPr="009767AC">
        <w:rPr>
          <w:rFonts w:cstheme="minorHAnsi"/>
          <w:color w:val="545454"/>
          <w:shd w:val="clear" w:color="auto" w:fill="FFFFFF"/>
        </w:rPr>
        <w:t>ε</w:t>
      </w:r>
      <w:r w:rsidRPr="009767AC">
        <w:rPr>
          <w:rFonts w:cstheme="minorHAnsi"/>
          <w:vertAlign w:val="subscript"/>
        </w:rPr>
        <w:t>Nd</w:t>
      </w:r>
      <w:r w:rsidRPr="009767AC">
        <w:rPr>
          <w:rFonts w:cstheme="minorHAnsi"/>
        </w:rPr>
        <w:t xml:space="preserve">), where </w:t>
      </w:r>
      <w:r w:rsidRPr="009767AC">
        <w:rPr>
          <w:rFonts w:cstheme="minorHAnsi"/>
          <w:vertAlign w:val="superscript"/>
        </w:rPr>
        <w:t>143</w:t>
      </w:r>
      <w:r w:rsidRPr="009767AC">
        <w:rPr>
          <w:rFonts w:cstheme="minorHAnsi"/>
        </w:rPr>
        <w:t>Nd/</w:t>
      </w:r>
      <w:r w:rsidRPr="009767AC">
        <w:rPr>
          <w:rFonts w:cstheme="minorHAnsi"/>
          <w:vertAlign w:val="superscript"/>
        </w:rPr>
        <w:t>144</w:t>
      </w:r>
      <w:r w:rsidRPr="009767AC">
        <w:rPr>
          <w:rFonts w:cstheme="minorHAnsi"/>
        </w:rPr>
        <w:t>Nd</w:t>
      </w:r>
      <w:r w:rsidRPr="009767AC">
        <w:rPr>
          <w:rFonts w:cstheme="minorHAnsi"/>
          <w:vertAlign w:val="subscript"/>
        </w:rPr>
        <w:t>CHUR</w:t>
      </w:r>
      <w:r w:rsidRPr="009767AC">
        <w:rPr>
          <w:rFonts w:cstheme="minorHAnsi"/>
        </w:rPr>
        <w:t xml:space="preserve"> represents the Chondrite Uniform Reservoir value of 0.512638 </w:t>
      </w:r>
      <w:r w:rsidRPr="009767AC">
        <w:rPr>
          <w:rFonts w:cstheme="minorHAnsi"/>
        </w:rPr>
        <w:fldChar w:fldCharType="begin" w:fldLock="1"/>
      </w:r>
      <w:r w:rsidRPr="009767AC">
        <w:rPr>
          <w:rFonts w:cstheme="minorHAnsi"/>
        </w:rPr>
        <w:instrText>ADDIN CSL_CITATION {"citationItems":[{"id":"ITEM-1","itemData":{"DOI":"10.1016/0012-821X(80)90125-9","ISBN":"0012-821X","ISSN":"0012821X","abstract":"The143Nd/144Nd and147Sm/144Nd ratios have been measured in five chondrites and the Juvinas achondrite. The range in143Nd/144Nd for the analyzed meteorite samples is 5.3 ε-units (0.511673-0.511944) normalized to150Nd/142Nd= 0.2096. This is correlated with the variation of 4.2% in147Sm/144Nd (0.1920-0.2000). Much of this spread is due to small-scale heterogeneities in the chondrites and does not appear to reflect the large-scale volumetric averages. It is shown that none of the samples deviate more than 0.5 ε-units from a 4.6-AE reference isochron and define an initial143Nd/144Nd ratio at 4.6 AE of0.505828 ± 9. Insofar as there is a range of values of147Sm/144Nd there is no unique way of picking solar or average chondritic values. From these data we have selected a new set of self-consistent present-day reference values for CHUR (\"chondritic uniform reservoir\") of (143Nd/144Nd)CHUR0= 0.511836and(147Sm/144Nd)CHUR0= 0.1967. The new147Sm/144Nd value is 1.6% higher than the previous value assigned to CHUR using the Juvinas data of Lugmair. This will cause a small but significant change in the CHUR evolution curve. Some terrestrial samples of Archean age show clear deviations from the new CHUR curve. If the CHUR curve is representative of undifferentiated mantle then it demonstrates that depleted sources were also tapped early in the Archean. Such a depleted layer may represent the early evolution of the source of present-day mid-ocean ridge basalts. There exists a variety of discrepancies with most earlier meteorite data which includes determination of all Nd isotopes and Sm/Nd ratios. These discrepancies require clarification in order to permit reliable interlaboratory comparisons. The new CHUR curve implies substantial changes in model ages for lunar rocks and thus also in the interpretation of early lunar chronology. © 1980 Elsevier Scientific Publishing Company.","author":[{"dropping-particle":"","family":"Jacobsen","given":"Stein B.","non-dropping-particle":"","parse-names":false,"suffix":""},{"dropping-particle":"","family":"Wasserburg","given":"G. J.","non-dropping-particle":"","parse-names":false,"suffix":""}],"container-title":"Earth and Planetary Science Letters","id":"ITEM-1","issue":"1","issued":{"date-parts":[["1980"]]},"page":"139-155","title":"Sm-Nd isotopic evolution of chondrites","type":"article-journal","volume":"50"},"uris":["http://www.mendeley.com/documents/?uuid=59fffb05-cedb-437b-823b-7308c98a4b1c"]}],"mendeley":{"formattedCitation":"(Jacobsen and Wasserburg, 1980)","plainTextFormattedCitation":"(Jacobsen and Wasserburg, 1980)","previouslyFormattedCitation":"(Jacobsen and Wasserburg, 1980)"},"properties":{"noteIndex":0},"schema":"https://github.com/citation-style-language/schema/raw/master/csl-citation.json"}</w:instrText>
      </w:r>
      <w:r w:rsidRPr="009767AC">
        <w:rPr>
          <w:rFonts w:cstheme="minorHAnsi"/>
        </w:rPr>
        <w:fldChar w:fldCharType="separate"/>
      </w:r>
      <w:r w:rsidRPr="009767AC">
        <w:rPr>
          <w:rFonts w:cstheme="minorHAnsi"/>
          <w:noProof/>
        </w:rPr>
        <w:t>(Jacobsen and Wasserburg, 1980)</w:t>
      </w:r>
      <w:r w:rsidRPr="009767AC">
        <w:rPr>
          <w:rFonts w:cstheme="minorHAnsi"/>
        </w:rPr>
        <w:fldChar w:fldCharType="end"/>
      </w:r>
      <w:r w:rsidRPr="009767AC">
        <w:rPr>
          <w:rFonts w:cstheme="minorHAnsi"/>
        </w:rPr>
        <w:t>:</w:t>
      </w:r>
    </w:p>
    <w:p w14:paraId="6D5E6012" w14:textId="77777777" w:rsidR="0094517F" w:rsidRPr="002709B5" w:rsidRDefault="00EE367B" w:rsidP="008C6417">
      <w:pPr>
        <w:spacing w:line="480" w:lineRule="auto"/>
        <w:jc w:val="both"/>
        <w:rPr>
          <w:rFonts w:cstheme="minorHAnsi"/>
        </w:rPr>
      </w:pPr>
      <w:r>
        <w:rPr>
          <w:rFonts w:cstheme="minorHAnsi"/>
        </w:rPr>
        <w:t>Equation 1:</w:t>
      </w:r>
    </w:p>
    <w:p w14:paraId="589880C2" w14:textId="77777777" w:rsidR="0094517F" w:rsidRPr="002709B5" w:rsidRDefault="004D3711" w:rsidP="008C6417">
      <w:pPr>
        <w:spacing w:line="480" w:lineRule="auto"/>
        <w:jc w:val="both"/>
        <w:rPr>
          <w:rFonts w:eastAsiaTheme="minorEastAsia" w:cstheme="minorHAnsi"/>
        </w:rPr>
      </w:pPr>
      <m:oMathPara>
        <m:oMath>
          <m:sSub>
            <m:sSubPr>
              <m:ctrlPr>
                <w:rPr>
                  <w:rFonts w:ascii="Cambria Math" w:hAnsi="Cambria Math" w:cstheme="minorHAnsi"/>
                  <w:i/>
                </w:rPr>
              </m:ctrlPr>
            </m:sSubPr>
            <m:e>
              <m:r>
                <w:rPr>
                  <w:rFonts w:ascii="Cambria Math" w:hAnsi="Cambria Math" w:cstheme="minorHAnsi"/>
                </w:rPr>
                <m:t>ε</m:t>
              </m:r>
            </m:e>
            <m:sub>
              <m:r>
                <w:rPr>
                  <w:rFonts w:ascii="Cambria Math" w:hAnsi="Cambria Math" w:cstheme="minorHAnsi"/>
                </w:rPr>
                <m:t>Nd</m:t>
              </m:r>
            </m:sub>
          </m:sSub>
          <m:r>
            <w:rPr>
              <w:rFonts w:ascii="Cambria Math" w:hAnsi="Cambria Math" w:cstheme="minorHAnsi"/>
            </w:rPr>
            <m:t xml:space="preserve">= </m:t>
          </m:r>
          <m:d>
            <m:dPr>
              <m:begChr m:val="["/>
              <m:endChr m:val="]"/>
              <m:ctrlPr>
                <w:rPr>
                  <w:rFonts w:ascii="Cambria Math" w:hAnsi="Cambria Math" w:cstheme="minorHAnsi"/>
                  <w:i/>
                </w:rPr>
              </m:ctrlPr>
            </m:dPr>
            <m:e>
              <m:f>
                <m:fPr>
                  <m:ctrlPr>
                    <w:rPr>
                      <w:rFonts w:ascii="Cambria Math" w:hAnsi="Cambria Math" w:cstheme="minorHAnsi"/>
                      <w:i/>
                    </w:rPr>
                  </m:ctrlPr>
                </m:fPr>
                <m:num>
                  <m:f>
                    <m:fPr>
                      <m:type m:val="skw"/>
                      <m:ctrlPr>
                        <w:rPr>
                          <w:rFonts w:ascii="Cambria Math" w:hAnsi="Cambria Math" w:cstheme="minorHAnsi"/>
                          <w:i/>
                        </w:rPr>
                      </m:ctrlPr>
                    </m:fPr>
                    <m:num>
                      <m:sPre>
                        <m:sPrePr>
                          <m:ctrlPr>
                            <w:rPr>
                              <w:rFonts w:ascii="Cambria Math" w:hAnsi="Cambria Math" w:cstheme="minorHAnsi"/>
                              <w:i/>
                            </w:rPr>
                          </m:ctrlPr>
                        </m:sPrePr>
                        <m:sub>
                          <m:r>
                            <w:rPr>
                              <w:rFonts w:ascii="Cambria Math" w:hAnsi="Cambria Math" w:cstheme="minorHAnsi"/>
                            </w:rPr>
                            <m:t xml:space="preserve"> </m:t>
                          </m:r>
                        </m:sub>
                        <m:sup>
                          <m:r>
                            <w:rPr>
                              <w:rFonts w:ascii="Cambria Math" w:hAnsi="Cambria Math" w:cstheme="minorHAnsi"/>
                            </w:rPr>
                            <m:t>143</m:t>
                          </m:r>
                        </m:sup>
                        <m:e>
                          <m:r>
                            <w:rPr>
                              <w:rFonts w:ascii="Cambria Math" w:hAnsi="Cambria Math" w:cstheme="minorHAnsi"/>
                            </w:rPr>
                            <m:t>Nd</m:t>
                          </m:r>
                        </m:e>
                      </m:sPre>
                    </m:num>
                    <m:den>
                      <m:sSub>
                        <m:sSubPr>
                          <m:ctrlPr>
                            <w:rPr>
                              <w:rFonts w:ascii="Cambria Math" w:hAnsi="Cambria Math" w:cstheme="minorHAnsi"/>
                              <w:i/>
                            </w:rPr>
                          </m:ctrlPr>
                        </m:sSubPr>
                        <m:e>
                          <m:sPre>
                            <m:sPrePr>
                              <m:ctrlPr>
                                <w:rPr>
                                  <w:rFonts w:ascii="Cambria Math" w:hAnsi="Cambria Math" w:cstheme="minorHAnsi"/>
                                  <w:i/>
                                </w:rPr>
                              </m:ctrlPr>
                            </m:sPrePr>
                            <m:sub>
                              <m:r>
                                <w:rPr>
                                  <w:rFonts w:ascii="Cambria Math" w:hAnsi="Cambria Math" w:cstheme="minorHAnsi"/>
                                </w:rPr>
                                <m:t xml:space="preserve"> </m:t>
                              </m:r>
                            </m:sub>
                            <m:sup>
                              <m:r>
                                <w:rPr>
                                  <w:rFonts w:ascii="Cambria Math" w:hAnsi="Cambria Math" w:cstheme="minorHAnsi"/>
                                </w:rPr>
                                <m:t>144</m:t>
                              </m:r>
                            </m:sup>
                            <m:e>
                              <m:r>
                                <w:rPr>
                                  <w:rFonts w:ascii="Cambria Math" w:hAnsi="Cambria Math" w:cstheme="minorHAnsi"/>
                                </w:rPr>
                                <m:t>Nd</m:t>
                              </m:r>
                            </m:e>
                          </m:sPre>
                        </m:e>
                        <m:sub>
                          <m:r>
                            <w:rPr>
                              <w:rFonts w:ascii="Cambria Math" w:hAnsi="Cambria Math" w:cstheme="minorHAnsi"/>
                            </w:rPr>
                            <m:t>sample</m:t>
                          </m:r>
                        </m:sub>
                      </m:sSub>
                    </m:den>
                  </m:f>
                </m:num>
                <m:den>
                  <m:f>
                    <m:fPr>
                      <m:type m:val="skw"/>
                      <m:ctrlPr>
                        <w:rPr>
                          <w:rFonts w:ascii="Cambria Math" w:hAnsi="Cambria Math" w:cstheme="minorHAnsi"/>
                          <w:i/>
                        </w:rPr>
                      </m:ctrlPr>
                    </m:fPr>
                    <m:num>
                      <m:sPre>
                        <m:sPrePr>
                          <m:ctrlPr>
                            <w:rPr>
                              <w:rFonts w:ascii="Cambria Math" w:hAnsi="Cambria Math" w:cstheme="minorHAnsi"/>
                              <w:i/>
                            </w:rPr>
                          </m:ctrlPr>
                        </m:sPrePr>
                        <m:sub>
                          <m:r>
                            <w:rPr>
                              <w:rFonts w:ascii="Cambria Math" w:hAnsi="Cambria Math" w:cstheme="minorHAnsi"/>
                            </w:rPr>
                            <m:t xml:space="preserve"> </m:t>
                          </m:r>
                        </m:sub>
                        <m:sup>
                          <m:r>
                            <w:rPr>
                              <w:rFonts w:ascii="Cambria Math" w:hAnsi="Cambria Math" w:cstheme="minorHAnsi"/>
                            </w:rPr>
                            <m:t>143</m:t>
                          </m:r>
                        </m:sup>
                        <m:e>
                          <m:r>
                            <w:rPr>
                              <w:rFonts w:ascii="Cambria Math" w:hAnsi="Cambria Math" w:cstheme="minorHAnsi"/>
                            </w:rPr>
                            <m:t>Nd</m:t>
                          </m:r>
                        </m:e>
                      </m:sPre>
                    </m:num>
                    <m:den>
                      <m:sSub>
                        <m:sSubPr>
                          <m:ctrlPr>
                            <w:rPr>
                              <w:rFonts w:ascii="Cambria Math" w:hAnsi="Cambria Math" w:cstheme="minorHAnsi"/>
                              <w:i/>
                            </w:rPr>
                          </m:ctrlPr>
                        </m:sSubPr>
                        <m:e>
                          <m:sPre>
                            <m:sPrePr>
                              <m:ctrlPr>
                                <w:rPr>
                                  <w:rFonts w:ascii="Cambria Math" w:hAnsi="Cambria Math" w:cstheme="minorHAnsi"/>
                                  <w:i/>
                                </w:rPr>
                              </m:ctrlPr>
                            </m:sPrePr>
                            <m:sub>
                              <m:r>
                                <w:rPr>
                                  <w:rFonts w:ascii="Cambria Math" w:hAnsi="Cambria Math" w:cstheme="minorHAnsi"/>
                                </w:rPr>
                                <m:t xml:space="preserve"> </m:t>
                              </m:r>
                            </m:sub>
                            <m:sup>
                              <m:r>
                                <w:rPr>
                                  <w:rFonts w:ascii="Cambria Math" w:hAnsi="Cambria Math" w:cstheme="minorHAnsi"/>
                                </w:rPr>
                                <m:t>144</m:t>
                              </m:r>
                            </m:sup>
                            <m:e>
                              <m:r>
                                <w:rPr>
                                  <w:rFonts w:ascii="Cambria Math" w:hAnsi="Cambria Math" w:cstheme="minorHAnsi"/>
                                </w:rPr>
                                <m:t>Nd</m:t>
                              </m:r>
                            </m:e>
                          </m:sPre>
                        </m:e>
                        <m:sub>
                          <m:r>
                            <w:rPr>
                              <w:rFonts w:ascii="Cambria Math" w:hAnsi="Cambria Math" w:cstheme="minorHAnsi"/>
                            </w:rPr>
                            <m:t>CHUR</m:t>
                          </m:r>
                        </m:sub>
                      </m:sSub>
                    </m:den>
                  </m:f>
                </m:den>
              </m:f>
              <m:r>
                <w:rPr>
                  <w:rFonts w:ascii="Cambria Math" w:hAnsi="Cambria Math" w:cstheme="minorHAnsi"/>
                </w:rPr>
                <m:t>-1</m:t>
              </m:r>
            </m:e>
          </m:d>
          <m:r>
            <w:rPr>
              <w:rFonts w:ascii="Cambria Math" w:hAnsi="Cambria Math" w:cstheme="minorHAnsi"/>
            </w:rPr>
            <m:t xml:space="preserve">× </m:t>
          </m:r>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4</m:t>
              </m:r>
            </m:sup>
          </m:sSup>
        </m:oMath>
      </m:oMathPara>
    </w:p>
    <w:p w14:paraId="6D9073CE" w14:textId="77777777" w:rsidR="0094517F" w:rsidRPr="002709B5" w:rsidRDefault="0094517F" w:rsidP="008C6417">
      <w:pPr>
        <w:spacing w:line="480" w:lineRule="auto"/>
        <w:jc w:val="both"/>
        <w:rPr>
          <w:rFonts w:cstheme="minorHAnsi"/>
        </w:rPr>
      </w:pPr>
    </w:p>
    <w:p w14:paraId="59B7A42A" w14:textId="77777777" w:rsidR="00D20286" w:rsidRPr="00D20286" w:rsidRDefault="00D20286" w:rsidP="008C6417">
      <w:pPr>
        <w:pStyle w:val="ListParagraph"/>
        <w:numPr>
          <w:ilvl w:val="2"/>
          <w:numId w:val="5"/>
        </w:numPr>
        <w:spacing w:line="480" w:lineRule="auto"/>
        <w:jc w:val="both"/>
        <w:rPr>
          <w:rFonts w:cstheme="minorHAnsi"/>
          <w:b/>
          <w:bCs/>
        </w:rPr>
      </w:pPr>
      <w:r>
        <w:rPr>
          <w:rFonts w:cstheme="minorHAnsi"/>
          <w:b/>
          <w:bCs/>
        </w:rPr>
        <w:t>Sr isotopes</w:t>
      </w:r>
    </w:p>
    <w:p w14:paraId="7521C2AF" w14:textId="77777777" w:rsidR="00545181" w:rsidRDefault="0094517F" w:rsidP="008C6417">
      <w:pPr>
        <w:spacing w:line="480" w:lineRule="auto"/>
        <w:jc w:val="both"/>
        <w:rPr>
          <w:rFonts w:cstheme="minorHAnsi"/>
        </w:rPr>
      </w:pPr>
      <w:r w:rsidRPr="009767AC">
        <w:rPr>
          <w:rFonts w:cstheme="minorHAnsi"/>
        </w:rPr>
        <w:lastRenderedPageBreak/>
        <w:t>After column separation, the Sr fraction was dried down and loaded onto an outgassed tantalum filament with 1ml of a tantalum activator solution. The samples were analysed on a Thermo</w:t>
      </w:r>
      <w:r w:rsidR="0008532C">
        <w:rPr>
          <w:rFonts w:cstheme="minorHAnsi"/>
        </w:rPr>
        <w:t xml:space="preserve"> Fisher </w:t>
      </w:r>
      <w:r w:rsidRPr="009767AC">
        <w:rPr>
          <w:rFonts w:cstheme="minorHAnsi"/>
        </w:rPr>
        <w:t xml:space="preserve">Scientific Triton Thermal Ionisation Mass Spectrometer using a multidynamic procedure and an </w:t>
      </w:r>
      <w:r w:rsidRPr="009767AC">
        <w:rPr>
          <w:rFonts w:cstheme="minorHAnsi"/>
          <w:vertAlign w:val="superscript"/>
        </w:rPr>
        <w:t>88</w:t>
      </w:r>
      <w:r w:rsidRPr="009767AC">
        <w:rPr>
          <w:rFonts w:cstheme="minorHAnsi"/>
        </w:rPr>
        <w:t xml:space="preserve">Sr beam of 2V. Fractionation was corrected using an exponential correction normalised to </w:t>
      </w:r>
      <w:r w:rsidRPr="009767AC">
        <w:rPr>
          <w:rFonts w:cstheme="minorHAnsi"/>
          <w:vertAlign w:val="superscript"/>
        </w:rPr>
        <w:t>86</w:t>
      </w:r>
      <w:r w:rsidRPr="009767AC">
        <w:rPr>
          <w:rFonts w:cstheme="minorHAnsi"/>
        </w:rPr>
        <w:t>Sr/</w:t>
      </w:r>
      <w:r w:rsidRPr="009767AC">
        <w:rPr>
          <w:rFonts w:cstheme="minorHAnsi"/>
          <w:vertAlign w:val="superscript"/>
        </w:rPr>
        <w:t>88</w:t>
      </w:r>
      <w:r w:rsidRPr="009767AC">
        <w:rPr>
          <w:rFonts w:cstheme="minorHAnsi"/>
        </w:rPr>
        <w:t xml:space="preserve">Sr = 0.1194. NIST987 was run as a standard </w:t>
      </w:r>
      <w:r w:rsidR="0008532C">
        <w:rPr>
          <w:rFonts w:cstheme="minorHAnsi"/>
        </w:rPr>
        <w:t>in</w:t>
      </w:r>
      <w:r w:rsidRPr="009767AC">
        <w:rPr>
          <w:rFonts w:cstheme="minorHAnsi"/>
        </w:rPr>
        <w:t xml:space="preserve"> each turret and </w:t>
      </w:r>
      <w:r w:rsidR="00AC4C75">
        <w:rPr>
          <w:rFonts w:cstheme="minorHAnsi"/>
        </w:rPr>
        <w:t xml:space="preserve">over the course of this study </w:t>
      </w:r>
      <w:r w:rsidR="00AC4C75" w:rsidRPr="004D5930">
        <w:rPr>
          <w:rFonts w:cstheme="minorHAnsi"/>
          <w:vertAlign w:val="superscript"/>
        </w:rPr>
        <w:t>87</w:t>
      </w:r>
      <w:r w:rsidR="00AC4C75">
        <w:rPr>
          <w:rFonts w:cstheme="minorHAnsi"/>
        </w:rPr>
        <w:t>Sr/</w:t>
      </w:r>
      <w:r w:rsidR="00AC4C75" w:rsidRPr="004D5930">
        <w:rPr>
          <w:rFonts w:cstheme="minorHAnsi"/>
          <w:vertAlign w:val="superscript"/>
        </w:rPr>
        <w:t>86</w:t>
      </w:r>
      <w:r w:rsidR="00AC4C75">
        <w:rPr>
          <w:rFonts w:cstheme="minorHAnsi"/>
        </w:rPr>
        <w:t>Sr =</w:t>
      </w:r>
      <w:r w:rsidRPr="009767AC">
        <w:rPr>
          <w:rFonts w:cstheme="minorHAnsi"/>
        </w:rPr>
        <w:t xml:space="preserve"> 0.710</w:t>
      </w:r>
      <w:r w:rsidR="00EF10EA">
        <w:rPr>
          <w:rFonts w:cstheme="minorHAnsi"/>
        </w:rPr>
        <w:t>241</w:t>
      </w:r>
      <w:r w:rsidRPr="009767AC">
        <w:rPr>
          <w:rFonts w:cstheme="minorHAnsi"/>
        </w:rPr>
        <w:t xml:space="preserve"> ± 0.0000</w:t>
      </w:r>
      <w:r w:rsidR="00EF10EA">
        <w:rPr>
          <w:rFonts w:cstheme="minorHAnsi"/>
        </w:rPr>
        <w:t>0</w:t>
      </w:r>
      <w:r w:rsidR="0008532C">
        <w:rPr>
          <w:rFonts w:cstheme="minorHAnsi"/>
        </w:rPr>
        <w:t>8</w:t>
      </w:r>
      <w:r w:rsidRPr="009767AC">
        <w:rPr>
          <w:rFonts w:cstheme="minorHAnsi"/>
        </w:rPr>
        <w:t xml:space="preserve"> (2sd</w:t>
      </w:r>
      <w:r w:rsidR="00AC4C75">
        <w:rPr>
          <w:rFonts w:cstheme="minorHAnsi"/>
        </w:rPr>
        <w:t>; n = 20</w:t>
      </w:r>
      <w:r w:rsidRPr="009767AC">
        <w:rPr>
          <w:rFonts w:cstheme="minorHAnsi"/>
        </w:rPr>
        <w:t>). The long-term average for NIST987 on this instrument is</w:t>
      </w:r>
      <w:r w:rsidR="004D1C34">
        <w:rPr>
          <w:rFonts w:cstheme="minorHAnsi"/>
        </w:rPr>
        <w:t xml:space="preserve"> 0.710242 </w:t>
      </w:r>
      <w:r w:rsidR="004D1C34" w:rsidRPr="009767AC">
        <w:rPr>
          <w:rFonts w:cstheme="minorHAnsi"/>
        </w:rPr>
        <w:t>±</w:t>
      </w:r>
      <w:r w:rsidR="004D1C34">
        <w:rPr>
          <w:rFonts w:cstheme="minorHAnsi"/>
        </w:rPr>
        <w:t xml:space="preserve"> 0.000021 (2sd; n = 531)</w:t>
      </w:r>
      <w:r w:rsidRPr="009767AC">
        <w:rPr>
          <w:rFonts w:cstheme="minorHAnsi"/>
        </w:rPr>
        <w:t>.</w:t>
      </w:r>
      <w:r w:rsidRPr="00A842AA">
        <w:rPr>
          <w:rFonts w:cstheme="minorHAnsi"/>
        </w:rPr>
        <w:t xml:space="preserve"> </w:t>
      </w:r>
    </w:p>
    <w:p w14:paraId="2B36B534" w14:textId="77777777" w:rsidR="00545181" w:rsidRDefault="00545181" w:rsidP="008C6417">
      <w:pPr>
        <w:spacing w:line="480" w:lineRule="auto"/>
        <w:jc w:val="both"/>
        <w:rPr>
          <w:rFonts w:cstheme="minorHAnsi"/>
        </w:rPr>
      </w:pPr>
    </w:p>
    <w:p w14:paraId="5A3A3AC8" w14:textId="43EE4121" w:rsidR="009767AC" w:rsidRDefault="00A9189E" w:rsidP="008C6417">
      <w:pPr>
        <w:spacing w:line="480" w:lineRule="auto"/>
        <w:jc w:val="both"/>
        <w:rPr>
          <w:rFonts w:cstheme="minorHAnsi"/>
        </w:rPr>
      </w:pPr>
      <w:r>
        <w:rPr>
          <w:rFonts w:cstheme="minorHAnsi"/>
        </w:rPr>
        <w:t xml:space="preserve">The international </w:t>
      </w:r>
      <w:r w:rsidR="00FC2130">
        <w:rPr>
          <w:rFonts w:cstheme="minorHAnsi"/>
        </w:rPr>
        <w:t>r</w:t>
      </w:r>
      <w:r w:rsidR="00545181" w:rsidRPr="00436395">
        <w:rPr>
          <w:rFonts w:cstheme="minorHAnsi"/>
        </w:rPr>
        <w:t xml:space="preserve">ock standard </w:t>
      </w:r>
      <w:r w:rsidR="00436395" w:rsidRPr="00436395">
        <w:rPr>
          <w:rFonts w:cstheme="minorHAnsi"/>
        </w:rPr>
        <w:t>BCR-2</w:t>
      </w:r>
      <w:r w:rsidR="00545181" w:rsidRPr="00436395">
        <w:rPr>
          <w:rFonts w:cstheme="minorHAnsi"/>
        </w:rPr>
        <w:t xml:space="preserve"> w</w:t>
      </w:r>
      <w:r w:rsidR="00436395" w:rsidRPr="00436395">
        <w:rPr>
          <w:rFonts w:cstheme="minorHAnsi"/>
        </w:rPr>
        <w:t>as</w:t>
      </w:r>
      <w:r w:rsidR="00545181" w:rsidRPr="00436395">
        <w:rPr>
          <w:rFonts w:cstheme="minorHAnsi"/>
        </w:rPr>
        <w:t xml:space="preserve"> subjected to our column </w:t>
      </w:r>
      <w:r w:rsidR="00A14635" w:rsidRPr="00436395">
        <w:rPr>
          <w:rFonts w:cstheme="minorHAnsi"/>
        </w:rPr>
        <w:t>chromatographic</w:t>
      </w:r>
      <w:r w:rsidR="00545181" w:rsidRPr="00436395">
        <w:rPr>
          <w:rFonts w:cstheme="minorHAnsi"/>
        </w:rPr>
        <w:t xml:space="preserve"> separation scheme, and Sr and Nd </w:t>
      </w:r>
      <w:r w:rsidR="00B26EAD" w:rsidRPr="00436395">
        <w:rPr>
          <w:rFonts w:cstheme="minorHAnsi"/>
        </w:rPr>
        <w:t>isotop</w:t>
      </w:r>
      <w:r w:rsidR="00B26EAD">
        <w:rPr>
          <w:rFonts w:cstheme="minorHAnsi"/>
        </w:rPr>
        <w:t>ic signatures were analysed</w:t>
      </w:r>
      <w:r w:rsidR="00545181" w:rsidRPr="00436395">
        <w:rPr>
          <w:rFonts w:cstheme="minorHAnsi"/>
        </w:rPr>
        <w:t xml:space="preserve">, giving </w:t>
      </w:r>
      <w:r w:rsidR="00436395" w:rsidRPr="00436395">
        <w:rPr>
          <w:rFonts w:cstheme="minorHAnsi"/>
        </w:rPr>
        <w:t xml:space="preserve">0.06 </w:t>
      </w:r>
      <w:r w:rsidR="00436395" w:rsidRPr="00436395">
        <w:rPr>
          <w:rFonts w:ascii="Calibri" w:hAnsi="Calibri" w:cs="Calibri"/>
        </w:rPr>
        <w:t>±</w:t>
      </w:r>
      <w:r w:rsidR="00436395" w:rsidRPr="00436395">
        <w:rPr>
          <w:rFonts w:cstheme="minorHAnsi"/>
        </w:rPr>
        <w:t xml:space="preserve"> 0.17 </w:t>
      </w:r>
      <w:r w:rsidR="00E417E3">
        <w:rPr>
          <w:rFonts w:cstheme="minorHAnsi"/>
        </w:rPr>
        <w:t>(</w:t>
      </w:r>
      <w:r w:rsidR="00BC4B9A">
        <w:rPr>
          <w:rFonts w:cstheme="minorHAnsi"/>
        </w:rPr>
        <w:t>twice the mean internal standard error; 2</w:t>
      </w:r>
      <w:r w:rsidR="00E417E3">
        <w:rPr>
          <w:rFonts w:cstheme="minorHAnsi"/>
        </w:rPr>
        <w:t xml:space="preserve">SE) </w:t>
      </w:r>
      <w:r w:rsidR="00436395" w:rsidRPr="00436395">
        <w:rPr>
          <w:rFonts w:cstheme="minorHAnsi"/>
        </w:rPr>
        <w:t>for ε</w:t>
      </w:r>
      <w:r w:rsidR="00436395" w:rsidRPr="00436395">
        <w:rPr>
          <w:rFonts w:cstheme="minorHAnsi"/>
          <w:vertAlign w:val="subscript"/>
        </w:rPr>
        <w:t>Nd</w:t>
      </w:r>
      <w:r w:rsidR="00436395" w:rsidRPr="00436395">
        <w:rPr>
          <w:rFonts w:cstheme="minorHAnsi"/>
        </w:rPr>
        <w:t xml:space="preserve"> </w:t>
      </w:r>
      <w:r w:rsidR="00A14635" w:rsidRPr="00436395">
        <w:rPr>
          <w:rFonts w:cstheme="minorHAnsi"/>
        </w:rPr>
        <w:t xml:space="preserve">and </w:t>
      </w:r>
      <w:r w:rsidR="00436395" w:rsidRPr="00436395">
        <w:rPr>
          <w:rFonts w:cstheme="minorHAnsi"/>
        </w:rPr>
        <w:t xml:space="preserve">0.705003 </w:t>
      </w:r>
      <w:r w:rsidR="00436395" w:rsidRPr="00436395">
        <w:rPr>
          <w:rFonts w:ascii="Calibri" w:hAnsi="Calibri" w:cs="Calibri"/>
        </w:rPr>
        <w:t xml:space="preserve">± </w:t>
      </w:r>
      <w:r w:rsidR="00436395" w:rsidRPr="00436395">
        <w:rPr>
          <w:rFonts w:cstheme="minorHAnsi"/>
        </w:rPr>
        <w:t>0.0000</w:t>
      </w:r>
      <w:r w:rsidR="00F82B27">
        <w:rPr>
          <w:rFonts w:cstheme="minorHAnsi"/>
        </w:rPr>
        <w:t>12</w:t>
      </w:r>
      <w:r>
        <w:rPr>
          <w:rFonts w:cstheme="minorHAnsi"/>
        </w:rPr>
        <w:t xml:space="preserve"> </w:t>
      </w:r>
      <w:r w:rsidR="00E417E3">
        <w:rPr>
          <w:rFonts w:cstheme="minorHAnsi"/>
        </w:rPr>
        <w:t xml:space="preserve">(2SE) </w:t>
      </w:r>
      <w:r>
        <w:rPr>
          <w:rFonts w:cstheme="minorHAnsi"/>
        </w:rPr>
        <w:t xml:space="preserve">for </w:t>
      </w:r>
      <w:r w:rsidRPr="00785BA7">
        <w:rPr>
          <w:rFonts w:cstheme="minorHAnsi"/>
          <w:vertAlign w:val="superscript"/>
        </w:rPr>
        <w:t>87</w:t>
      </w:r>
      <w:r>
        <w:rPr>
          <w:rFonts w:cstheme="minorHAnsi"/>
        </w:rPr>
        <w:t>Sr/</w:t>
      </w:r>
      <w:r w:rsidRPr="00785BA7">
        <w:rPr>
          <w:rFonts w:cstheme="minorHAnsi"/>
          <w:vertAlign w:val="superscript"/>
        </w:rPr>
        <w:t>86</w:t>
      </w:r>
      <w:r>
        <w:rPr>
          <w:rFonts w:cstheme="minorHAnsi"/>
        </w:rPr>
        <w:t>Sr</w:t>
      </w:r>
      <w:r w:rsidR="00545181" w:rsidRPr="00436395">
        <w:rPr>
          <w:rFonts w:cstheme="minorHAnsi"/>
        </w:rPr>
        <w:t>, well within the accepted values</w:t>
      </w:r>
      <w:r w:rsidR="00436395">
        <w:rPr>
          <w:rFonts w:cstheme="minorHAnsi"/>
        </w:rPr>
        <w:t xml:space="preserve"> </w:t>
      </w:r>
      <w:r w:rsidR="00436395">
        <w:rPr>
          <w:rFonts w:cstheme="minorHAnsi"/>
        </w:rPr>
        <w:fldChar w:fldCharType="begin" w:fldLock="1"/>
      </w:r>
      <w:r w:rsidR="00184472">
        <w:rPr>
          <w:rFonts w:cstheme="minorHAnsi"/>
        </w:rPr>
        <w:instrText>ADDIN CSL_CITATION {"citationItems":[{"id":"ITEM-1","itemData":{"DOI":"10.1111/j.1751-908x.2005.tb00904.x","ISSN":"16394488","abstract":"We have developed a new database named GeoReM (http://georem.mpch-mainz. gwdg.de) for reference materials and isotopic standards of geochemical and mineralogical interest. Reference samples include rock powders originating from the USGS, GSJ, GIT-IWG, synthetic and natural reference glasses originating from NIST, USGS, MPI-DING, as well as mineral (e.g., 91500 zircon), isotopic (e.g., La Jolla, E&amp;A, NIST SRM 981), river water and seawater reference materials. GeoReM is a relational database, which strongly follows the concept of the three EARTHCHEM databases. It contains published analytical and compilation values (major and trace element concentrations, radiogenic and stable isotope ratios), important metadata about the analytical values, such as uncertainty, uncertainty type, method and laboratory. Sample information and references are also included. Three different ways of interrogating the database are possible: (1) sample names or material types, (2) chemical criteria and (3) bibliography. Some typical applications are described. GeoReM currently (October 2005) contains more than 750 geological reference materials, 6000 individual sets of results and references to 650 publications.","author":[{"dropping-particle":"","family":"Jochum","given":"Klaus Peter","non-dropping-particle":"","parse-names":false,"suffix":""},{"dropping-particle":"","family":"Nohl","given":"Uwe","non-dropping-particle":"","parse-names":false,"suffix":""},{"dropping-particle":"","family":"Herwig","given":"Kirstin","non-dropping-particle":"","parse-names":false,"suffix":""},{"dropping-particle":"","family":"Lammel","given":"Esin","non-dropping-particle":"","parse-names":false,"suffix":""},{"dropping-particle":"","family":"Stoll","given":"Brigitte","non-dropping-particle":"","parse-names":false,"suffix":""},{"dropping-particle":"","family":"Hofmann","given":"Albrecht W.","non-dropping-particle":"","parse-names":false,"suffix":""}],"container-title":"Geostandards and Geoanalytical Research","id":"ITEM-1","issue":"3","issued":{"date-parts":[["2005"]]},"page":"333-338","title":"GeoReM: A new geochemical database for reference materials and isotopic standards","type":"article-journal","volume":"29"},"uris":["http://www.mendeley.com/documents/?uuid=2552a718-77af-4786-ab49-234cd4c8da16"]}],"mendeley":{"formattedCitation":"(Jochum et al., 2005)","plainTextFormattedCitation":"(Jochum et al., 2005)","previouslyFormattedCitation":"(Jochum et al., 2005)"},"properties":{"noteIndex":0},"schema":"https://github.com/citation-style-language/schema/raw/master/csl-citation.json"}</w:instrText>
      </w:r>
      <w:r w:rsidR="00436395">
        <w:rPr>
          <w:rFonts w:cstheme="minorHAnsi"/>
        </w:rPr>
        <w:fldChar w:fldCharType="separate"/>
      </w:r>
      <w:r w:rsidR="00436395" w:rsidRPr="00436395">
        <w:rPr>
          <w:rFonts w:cstheme="minorHAnsi"/>
          <w:noProof/>
        </w:rPr>
        <w:t>(Jochum et al., 2005)</w:t>
      </w:r>
      <w:r w:rsidR="00436395">
        <w:rPr>
          <w:rFonts w:cstheme="minorHAnsi"/>
        </w:rPr>
        <w:fldChar w:fldCharType="end"/>
      </w:r>
      <w:r w:rsidR="00545181" w:rsidRPr="00436395">
        <w:rPr>
          <w:rFonts w:cstheme="minorHAnsi"/>
        </w:rPr>
        <w:t>.</w:t>
      </w:r>
      <w:r w:rsidR="00545181">
        <w:rPr>
          <w:rFonts w:cstheme="minorHAnsi"/>
        </w:rPr>
        <w:t xml:space="preserve"> </w:t>
      </w:r>
    </w:p>
    <w:p w14:paraId="0A8EAFE9" w14:textId="1B5EB2A9" w:rsidR="0055530D" w:rsidRDefault="006F101B" w:rsidP="00686375">
      <w:pPr>
        <w:pStyle w:val="Heading1"/>
        <w:numPr>
          <w:ilvl w:val="0"/>
          <w:numId w:val="5"/>
        </w:numPr>
        <w:spacing w:line="480" w:lineRule="auto"/>
      </w:pPr>
      <w:r>
        <w:lastRenderedPageBreak/>
        <w:t>Results</w:t>
      </w:r>
      <w:r w:rsidR="0007431B">
        <w:t xml:space="preserve"> and Discussion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0"/>
      </w:tblGrid>
      <w:tr w:rsidR="002B2A13" w14:paraId="50555BEE" w14:textId="77777777" w:rsidTr="008570AD">
        <w:tc>
          <w:tcPr>
            <w:tcW w:w="10450" w:type="dxa"/>
          </w:tcPr>
          <w:p w14:paraId="0A67EF56" w14:textId="77777777" w:rsidR="002B2A13" w:rsidRDefault="002B2A13" w:rsidP="008570AD">
            <w:pPr>
              <w:jc w:val="center"/>
            </w:pPr>
            <w:r>
              <w:rPr>
                <w:noProof/>
                <w:lang w:val="en-US"/>
              </w:rPr>
              <w:drawing>
                <wp:inline distT="0" distB="0" distL="0" distR="0" wp14:anchorId="063E66F7" wp14:editId="5925B1EF">
                  <wp:extent cx="6093515" cy="3906100"/>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stretch>
                            <a:fillRect/>
                          </a:stretch>
                        </pic:blipFill>
                        <pic:spPr>
                          <a:xfrm>
                            <a:off x="0" y="0"/>
                            <a:ext cx="6093515" cy="3906100"/>
                          </a:xfrm>
                          <a:prstGeom prst="rect">
                            <a:avLst/>
                          </a:prstGeom>
                        </pic:spPr>
                      </pic:pic>
                    </a:graphicData>
                  </a:graphic>
                </wp:inline>
              </w:drawing>
            </w:r>
          </w:p>
        </w:tc>
      </w:tr>
      <w:tr w:rsidR="002B2A13" w14:paraId="2D9D4A76" w14:textId="77777777" w:rsidTr="008570AD">
        <w:tc>
          <w:tcPr>
            <w:tcW w:w="10450" w:type="dxa"/>
          </w:tcPr>
          <w:p w14:paraId="75B4A14F" w14:textId="264566F5" w:rsidR="002B2A13" w:rsidRPr="00185835" w:rsidRDefault="002B2A13" w:rsidP="008570AD">
            <w:pPr>
              <w:jc w:val="both"/>
            </w:pPr>
            <w:r w:rsidRPr="00FC50A8">
              <w:rPr>
                <w:b/>
                <w:bCs/>
                <w:sz w:val="22"/>
                <w:szCs w:val="22"/>
              </w:rPr>
              <w:t xml:space="preserve">Figure </w:t>
            </w:r>
            <w:r>
              <w:rPr>
                <w:b/>
                <w:bCs/>
                <w:sz w:val="22"/>
                <w:szCs w:val="22"/>
              </w:rPr>
              <w:t>4</w:t>
            </w:r>
            <w:r w:rsidRPr="00FC50A8">
              <w:rPr>
                <w:b/>
                <w:bCs/>
                <w:sz w:val="22"/>
                <w:szCs w:val="22"/>
              </w:rPr>
              <w:t xml:space="preserve"> </w:t>
            </w:r>
            <w:r>
              <w:rPr>
                <w:b/>
                <w:bCs/>
                <w:sz w:val="22"/>
                <w:szCs w:val="22"/>
              </w:rPr>
              <w:t>–</w:t>
            </w:r>
            <w:r w:rsidRPr="00FC50A8">
              <w:rPr>
                <w:b/>
                <w:bCs/>
                <w:sz w:val="22"/>
                <w:szCs w:val="22"/>
              </w:rPr>
              <w:t xml:space="preserve"> </w:t>
            </w:r>
            <w:r>
              <w:rPr>
                <w:b/>
                <w:bCs/>
                <w:sz w:val="22"/>
                <w:szCs w:val="22"/>
              </w:rPr>
              <w:t>Site-to-site comparison of the terrigenous</w:t>
            </w:r>
            <w:r w:rsidRPr="00FC50A8">
              <w:rPr>
                <w:b/>
                <w:bCs/>
                <w:sz w:val="22"/>
                <w:szCs w:val="22"/>
              </w:rPr>
              <w:t xml:space="preserve"> </w:t>
            </w:r>
            <w:r w:rsidRPr="00FC50A8">
              <w:rPr>
                <w:b/>
                <w:bCs/>
                <w:sz w:val="22"/>
                <w:szCs w:val="22"/>
                <w:vertAlign w:val="superscript"/>
              </w:rPr>
              <w:t>87</w:t>
            </w:r>
            <w:r w:rsidRPr="00FC50A8">
              <w:rPr>
                <w:b/>
                <w:bCs/>
                <w:sz w:val="22"/>
                <w:szCs w:val="22"/>
              </w:rPr>
              <w:t>Sr/</w:t>
            </w:r>
            <w:r w:rsidRPr="00FC50A8">
              <w:rPr>
                <w:b/>
                <w:bCs/>
                <w:sz w:val="22"/>
                <w:szCs w:val="22"/>
                <w:vertAlign w:val="superscript"/>
              </w:rPr>
              <w:t>86</w:t>
            </w:r>
            <w:r w:rsidRPr="00FC50A8">
              <w:rPr>
                <w:b/>
                <w:bCs/>
                <w:sz w:val="22"/>
                <w:szCs w:val="22"/>
              </w:rPr>
              <w:t xml:space="preserve">Sr change </w:t>
            </w:r>
            <w:r>
              <w:rPr>
                <w:b/>
                <w:bCs/>
                <w:sz w:val="22"/>
                <w:szCs w:val="22"/>
              </w:rPr>
              <w:t>achieved by</w:t>
            </w:r>
            <w:r w:rsidRPr="00FC50A8">
              <w:rPr>
                <w:b/>
                <w:bCs/>
                <w:sz w:val="22"/>
                <w:szCs w:val="22"/>
              </w:rPr>
              <w:t xml:space="preserve"> </w:t>
            </w:r>
            <w:r>
              <w:rPr>
                <w:b/>
                <w:bCs/>
                <w:sz w:val="22"/>
                <w:szCs w:val="22"/>
              </w:rPr>
              <w:t>a single</w:t>
            </w:r>
            <w:r w:rsidRPr="00FC50A8">
              <w:rPr>
                <w:b/>
                <w:bCs/>
                <w:sz w:val="22"/>
                <w:szCs w:val="22"/>
              </w:rPr>
              <w:t xml:space="preserve"> DTPA-NaOH</w:t>
            </w:r>
            <w:r>
              <w:rPr>
                <w:b/>
                <w:bCs/>
                <w:sz w:val="22"/>
                <w:szCs w:val="22"/>
              </w:rPr>
              <w:t xml:space="preserve"> treatment. </w:t>
            </w:r>
            <w:r w:rsidRPr="00FC50A8">
              <w:rPr>
                <w:sz w:val="22"/>
                <w:szCs w:val="22"/>
              </w:rPr>
              <w:t xml:space="preserve">A) </w:t>
            </w:r>
            <w:r>
              <w:rPr>
                <w:sz w:val="22"/>
                <w:szCs w:val="22"/>
              </w:rPr>
              <w:t>Terrigenous</w:t>
            </w:r>
            <w:r w:rsidRPr="00FC50A8">
              <w:rPr>
                <w:sz w:val="22"/>
                <w:szCs w:val="22"/>
              </w:rPr>
              <w:t xml:space="preserve"> </w:t>
            </w:r>
            <w:r w:rsidRPr="00FC50A8">
              <w:rPr>
                <w:sz w:val="22"/>
                <w:szCs w:val="22"/>
                <w:vertAlign w:val="superscript"/>
              </w:rPr>
              <w:t>87</w:t>
            </w:r>
            <w:r w:rsidRPr="00FC50A8">
              <w:rPr>
                <w:sz w:val="22"/>
                <w:szCs w:val="22"/>
              </w:rPr>
              <w:t>Sr/</w:t>
            </w:r>
            <w:r w:rsidRPr="00FC50A8">
              <w:rPr>
                <w:sz w:val="22"/>
                <w:szCs w:val="22"/>
                <w:vertAlign w:val="superscript"/>
              </w:rPr>
              <w:t>86</w:t>
            </w:r>
            <w:r w:rsidRPr="00FC50A8">
              <w:rPr>
                <w:sz w:val="22"/>
                <w:szCs w:val="22"/>
              </w:rPr>
              <w:t xml:space="preserve">Sr before (purple) and after (green) one DTPA-NaOH treatment at Ocean Drilling Program (ODP) </w:t>
            </w:r>
            <w:r>
              <w:rPr>
                <w:sz w:val="22"/>
                <w:szCs w:val="22"/>
              </w:rPr>
              <w:t>s</w:t>
            </w:r>
            <w:r w:rsidRPr="00FC50A8">
              <w:rPr>
                <w:sz w:val="22"/>
                <w:szCs w:val="22"/>
              </w:rPr>
              <w:t>ites 84</w:t>
            </w:r>
            <w:r>
              <w:rPr>
                <w:sz w:val="22"/>
                <w:szCs w:val="22"/>
              </w:rPr>
              <w:t xml:space="preserve">9, </w:t>
            </w:r>
            <w:r w:rsidRPr="00FC50A8">
              <w:rPr>
                <w:sz w:val="22"/>
                <w:szCs w:val="22"/>
              </w:rPr>
              <w:t>851 (Xie and Marcantonio, 2012)</w:t>
            </w:r>
            <w:r>
              <w:rPr>
                <w:sz w:val="22"/>
                <w:szCs w:val="22"/>
              </w:rPr>
              <w:t xml:space="preserve">, </w:t>
            </w:r>
            <w:r w:rsidRPr="00FC50A8">
              <w:rPr>
                <w:sz w:val="22"/>
                <w:szCs w:val="22"/>
              </w:rPr>
              <w:t xml:space="preserve">1016 and 662 (this study). B) </w:t>
            </w:r>
            <w:r w:rsidR="00B80613">
              <w:rPr>
                <w:sz w:val="22"/>
                <w:szCs w:val="22"/>
              </w:rPr>
              <w:t>Detail of</w:t>
            </w:r>
            <w:r>
              <w:rPr>
                <w:sz w:val="22"/>
                <w:szCs w:val="22"/>
              </w:rPr>
              <w:t xml:space="preserve"> data from ODP Sites 849 and 851.</w:t>
            </w:r>
            <w:r w:rsidRPr="00FC50A8">
              <w:rPr>
                <w:sz w:val="22"/>
                <w:szCs w:val="22"/>
              </w:rPr>
              <w:t xml:space="preserve"> Modern seawater </w:t>
            </w:r>
            <w:r w:rsidRPr="00FC50A8">
              <w:rPr>
                <w:sz w:val="22"/>
                <w:szCs w:val="22"/>
                <w:vertAlign w:val="superscript"/>
              </w:rPr>
              <w:t>87</w:t>
            </w:r>
            <w:r w:rsidRPr="00FC50A8">
              <w:rPr>
                <w:sz w:val="22"/>
                <w:szCs w:val="22"/>
              </w:rPr>
              <w:t>Sr/</w:t>
            </w:r>
            <w:r w:rsidRPr="00FC50A8">
              <w:rPr>
                <w:sz w:val="22"/>
                <w:szCs w:val="22"/>
                <w:vertAlign w:val="superscript"/>
              </w:rPr>
              <w:t>86</w:t>
            </w:r>
            <w:r w:rsidRPr="00FC50A8">
              <w:rPr>
                <w:sz w:val="22"/>
                <w:szCs w:val="22"/>
              </w:rPr>
              <w:t xml:space="preserve">Sr shown by dashed line. </w:t>
            </w:r>
            <w:r>
              <w:rPr>
                <w:sz w:val="22"/>
                <w:szCs w:val="22"/>
              </w:rPr>
              <w:t xml:space="preserve">Arrows show direction of </w:t>
            </w:r>
            <w:r w:rsidRPr="00FB7553">
              <w:rPr>
                <w:sz w:val="22"/>
                <w:szCs w:val="22"/>
                <w:vertAlign w:val="superscript"/>
              </w:rPr>
              <w:t>87</w:t>
            </w:r>
            <w:r w:rsidRPr="00FB7553">
              <w:rPr>
                <w:sz w:val="22"/>
                <w:szCs w:val="22"/>
              </w:rPr>
              <w:t>Sr/</w:t>
            </w:r>
            <w:r w:rsidRPr="00FB7553">
              <w:rPr>
                <w:sz w:val="22"/>
                <w:szCs w:val="22"/>
                <w:vertAlign w:val="superscript"/>
              </w:rPr>
              <w:t>86</w:t>
            </w:r>
            <w:r w:rsidRPr="00FB7553">
              <w:rPr>
                <w:sz w:val="22"/>
                <w:szCs w:val="22"/>
              </w:rPr>
              <w:t>Sr</w:t>
            </w:r>
            <w:r>
              <w:rPr>
                <w:sz w:val="22"/>
                <w:szCs w:val="22"/>
              </w:rPr>
              <w:t xml:space="preserve"> change following DTPA-NaOH treatment. Error (2SE) falls within size of markers. Site locations shown in Figure 1. </w:t>
            </w:r>
          </w:p>
        </w:tc>
      </w:tr>
    </w:tbl>
    <w:p w14:paraId="1AF8C361" w14:textId="77777777" w:rsidR="002B2A13" w:rsidRPr="002B2A13" w:rsidRDefault="002B2A13" w:rsidP="004906E8"/>
    <w:p w14:paraId="1EFF3A30" w14:textId="76B1EA51" w:rsidR="00BD67A1" w:rsidRPr="00BD67A1" w:rsidRDefault="00C819B8" w:rsidP="004906E8">
      <w:pPr>
        <w:pStyle w:val="Heading2"/>
        <w:numPr>
          <w:ilvl w:val="1"/>
          <w:numId w:val="56"/>
        </w:numPr>
        <w:spacing w:line="480" w:lineRule="auto"/>
      </w:pPr>
      <w:r w:rsidRPr="00B652B3">
        <w:rPr>
          <w:vertAlign w:val="superscript"/>
        </w:rPr>
        <w:t>87</w:t>
      </w:r>
      <w:r w:rsidRPr="00B652B3">
        <w:t>Sr/</w:t>
      </w:r>
      <w:r w:rsidRPr="00B652B3">
        <w:rPr>
          <w:vertAlign w:val="superscript"/>
        </w:rPr>
        <w:t>86</w:t>
      </w:r>
      <w:r w:rsidRPr="00B652B3">
        <w:t>Sr</w:t>
      </w:r>
      <w:r>
        <w:t xml:space="preserve"> </w:t>
      </w:r>
      <w:r w:rsidR="005C38D2">
        <w:t>results</w:t>
      </w:r>
    </w:p>
    <w:p w14:paraId="4A72A00F" w14:textId="65D1311D" w:rsidR="005E3B5E" w:rsidRDefault="009A7A0D" w:rsidP="00C9787B">
      <w:pPr>
        <w:spacing w:line="480" w:lineRule="auto"/>
        <w:jc w:val="both"/>
        <w:rPr>
          <w:rFonts w:cstheme="minorHAnsi"/>
        </w:rPr>
      </w:pPr>
      <w:r>
        <w:rPr>
          <w:rFonts w:cstheme="minorHAnsi"/>
        </w:rPr>
        <w:t>O</w:t>
      </w:r>
      <w:r w:rsidR="00EE5A0F">
        <w:rPr>
          <w:rFonts w:cstheme="minorHAnsi"/>
        </w:rPr>
        <w:t>ur</w:t>
      </w:r>
      <w:r w:rsidR="00F948A5">
        <w:rPr>
          <w:rFonts w:cstheme="minorHAnsi"/>
        </w:rPr>
        <w:t xml:space="preserve"> </w:t>
      </w:r>
      <w:r w:rsidR="00EE5A0F">
        <w:rPr>
          <w:rFonts w:cstheme="minorHAnsi"/>
        </w:rPr>
        <w:t>r</w:t>
      </w:r>
      <w:r w:rsidR="00FA4181">
        <w:rPr>
          <w:rFonts w:cstheme="minorHAnsi"/>
        </w:rPr>
        <w:t xml:space="preserve">esults show that one DTPA-NaOH </w:t>
      </w:r>
      <w:r w:rsidR="00946CF9">
        <w:rPr>
          <w:rFonts w:cstheme="minorHAnsi"/>
        </w:rPr>
        <w:t xml:space="preserve">treatment </w:t>
      </w:r>
      <w:r w:rsidR="00875BC9">
        <w:rPr>
          <w:rFonts w:cstheme="minorHAnsi"/>
        </w:rPr>
        <w:t xml:space="preserve">of </w:t>
      </w:r>
      <w:r w:rsidR="00EA2DDF">
        <w:rPr>
          <w:rFonts w:cstheme="minorHAnsi"/>
        </w:rPr>
        <w:t>sediment</w:t>
      </w:r>
      <w:r w:rsidR="00371CCB">
        <w:rPr>
          <w:rFonts w:cstheme="minorHAnsi"/>
        </w:rPr>
        <w:t xml:space="preserve"> </w:t>
      </w:r>
      <w:r w:rsidR="00875BC9">
        <w:rPr>
          <w:rFonts w:cstheme="minorHAnsi"/>
        </w:rPr>
        <w:t xml:space="preserve">samples from </w:t>
      </w:r>
      <w:r w:rsidR="00FA4181">
        <w:rPr>
          <w:rFonts w:cstheme="minorHAnsi"/>
        </w:rPr>
        <w:t xml:space="preserve">ODP </w:t>
      </w:r>
      <w:r w:rsidR="004B5E4C">
        <w:rPr>
          <w:rFonts w:cstheme="minorHAnsi"/>
        </w:rPr>
        <w:t>s</w:t>
      </w:r>
      <w:r w:rsidR="00FA4181">
        <w:rPr>
          <w:rFonts w:cstheme="minorHAnsi"/>
        </w:rPr>
        <w:t>ite</w:t>
      </w:r>
      <w:r w:rsidR="004B5E4C">
        <w:rPr>
          <w:rFonts w:cstheme="minorHAnsi"/>
        </w:rPr>
        <w:t>s</w:t>
      </w:r>
      <w:r w:rsidR="00FA4181">
        <w:rPr>
          <w:rFonts w:cstheme="minorHAnsi"/>
        </w:rPr>
        <w:t xml:space="preserve"> 662 </w:t>
      </w:r>
      <w:r w:rsidR="004B5E4C">
        <w:rPr>
          <w:rFonts w:cstheme="minorHAnsi"/>
        </w:rPr>
        <w:t xml:space="preserve">and 1016 </w:t>
      </w:r>
      <w:r w:rsidR="00FA4181">
        <w:rPr>
          <w:rFonts w:cstheme="minorHAnsi"/>
        </w:rPr>
        <w:t xml:space="preserve">causes a shift in </w:t>
      </w:r>
      <w:r w:rsidR="00FA4181" w:rsidRPr="00FA4181">
        <w:rPr>
          <w:rFonts w:cstheme="minorHAnsi"/>
          <w:vertAlign w:val="superscript"/>
        </w:rPr>
        <w:t>87</w:t>
      </w:r>
      <w:r w:rsidR="00FA4181" w:rsidRPr="00FA4181">
        <w:rPr>
          <w:rFonts w:cstheme="minorHAnsi"/>
        </w:rPr>
        <w:t>Sr/</w:t>
      </w:r>
      <w:r w:rsidR="00FA4181" w:rsidRPr="00FA4181">
        <w:rPr>
          <w:rFonts w:cstheme="minorHAnsi"/>
          <w:vertAlign w:val="superscript"/>
        </w:rPr>
        <w:t>86</w:t>
      </w:r>
      <w:r w:rsidR="00FA4181" w:rsidRPr="00FA4181">
        <w:rPr>
          <w:rFonts w:cstheme="minorHAnsi"/>
        </w:rPr>
        <w:t>Sr</w:t>
      </w:r>
      <w:r>
        <w:rPr>
          <w:rFonts w:cstheme="minorHAnsi"/>
        </w:rPr>
        <w:t xml:space="preserve"> </w:t>
      </w:r>
      <w:r w:rsidR="00371CCB">
        <w:rPr>
          <w:rFonts w:cstheme="minorHAnsi"/>
        </w:rPr>
        <w:t xml:space="preserve">away from </w:t>
      </w:r>
      <w:r w:rsidR="00F30002">
        <w:rPr>
          <w:rFonts w:cstheme="minorHAnsi"/>
        </w:rPr>
        <w:t xml:space="preserve">the </w:t>
      </w:r>
      <w:r w:rsidR="00371CCB">
        <w:rPr>
          <w:rFonts w:cstheme="minorHAnsi"/>
        </w:rPr>
        <w:t>modern seawater</w:t>
      </w:r>
      <w:r w:rsidR="00F30002">
        <w:rPr>
          <w:rFonts w:cstheme="minorHAnsi"/>
        </w:rPr>
        <w:t xml:space="preserve"> signature</w:t>
      </w:r>
      <w:r w:rsidR="0084278E" w:rsidRPr="0084278E">
        <w:rPr>
          <w:rFonts w:cstheme="minorHAnsi"/>
        </w:rPr>
        <w:t xml:space="preserve"> </w:t>
      </w:r>
      <w:r w:rsidR="009C4E47">
        <w:rPr>
          <w:rFonts w:cstheme="minorHAnsi"/>
        </w:rPr>
        <w:t xml:space="preserve">(0.709175) </w:t>
      </w:r>
      <w:r w:rsidR="0084278E">
        <w:rPr>
          <w:rFonts w:cstheme="minorHAnsi"/>
        </w:rPr>
        <w:t>to more radiogenic values</w:t>
      </w:r>
      <w:r w:rsidR="00371CCB">
        <w:rPr>
          <w:rFonts w:cstheme="minorHAnsi"/>
        </w:rPr>
        <w:t xml:space="preserve"> </w:t>
      </w:r>
      <w:r w:rsidR="00691D05">
        <w:rPr>
          <w:rFonts w:cstheme="minorHAnsi"/>
        </w:rPr>
        <w:t>in all samples</w:t>
      </w:r>
      <w:r w:rsidR="000D238B">
        <w:rPr>
          <w:rFonts w:cstheme="minorHAnsi"/>
        </w:rPr>
        <w:t xml:space="preserve"> tested</w:t>
      </w:r>
      <w:r w:rsidR="00CE7F87">
        <w:rPr>
          <w:rFonts w:cstheme="minorHAnsi"/>
        </w:rPr>
        <w:t xml:space="preserve"> (Figure </w:t>
      </w:r>
      <w:r w:rsidR="009A186C">
        <w:rPr>
          <w:rFonts w:cstheme="minorHAnsi"/>
        </w:rPr>
        <w:t>4A</w:t>
      </w:r>
      <w:r w:rsidR="00CE7F87">
        <w:rPr>
          <w:rFonts w:cstheme="minorHAnsi"/>
        </w:rPr>
        <w:t xml:space="preserve">). These shifts are </w:t>
      </w:r>
      <w:r w:rsidR="00371CCB">
        <w:rPr>
          <w:rFonts w:cstheme="minorHAnsi"/>
        </w:rPr>
        <w:t xml:space="preserve">up to </w:t>
      </w:r>
      <w:r w:rsidR="00FA4181">
        <w:rPr>
          <w:rFonts w:cstheme="minorHAnsi"/>
        </w:rPr>
        <w:t>an</w:t>
      </w:r>
      <w:r w:rsidR="00371CCB">
        <w:rPr>
          <w:rFonts w:cstheme="minorHAnsi"/>
        </w:rPr>
        <w:t xml:space="preserve"> order of magnitude larger than </w:t>
      </w:r>
      <w:r w:rsidR="00CE7F87">
        <w:rPr>
          <w:rFonts w:cstheme="minorHAnsi"/>
        </w:rPr>
        <w:t>those</w:t>
      </w:r>
      <w:r w:rsidR="00C7645C">
        <w:rPr>
          <w:rFonts w:cstheme="minorHAnsi"/>
        </w:rPr>
        <w:t xml:space="preserve"> </w:t>
      </w:r>
      <w:r w:rsidR="00875BC9">
        <w:rPr>
          <w:rFonts w:cstheme="minorHAnsi"/>
        </w:rPr>
        <w:t xml:space="preserve">reported </w:t>
      </w:r>
      <w:r w:rsidR="00CE7F87">
        <w:rPr>
          <w:rFonts w:cstheme="minorHAnsi"/>
        </w:rPr>
        <w:t xml:space="preserve">from the equatorial Pacific Ocean </w:t>
      </w:r>
      <w:r w:rsidR="00875BC9">
        <w:rPr>
          <w:rFonts w:cstheme="minorHAnsi"/>
        </w:rPr>
        <w:t xml:space="preserve">by </w:t>
      </w:r>
      <w:r w:rsidR="00533EB4">
        <w:rPr>
          <w:rFonts w:cstheme="minorHAnsi"/>
        </w:rPr>
        <w:fldChar w:fldCharType="begin" w:fldLock="1"/>
      </w:r>
      <w:r w:rsidR="007C1462">
        <w:rPr>
          <w:rFonts w:cstheme="minorHAnsi"/>
        </w:rPr>
        <w:instrText>ADDIN CSL_CITATION {"citationItems":[{"id":"ITEM-1","itemData":{"DOI":"10.1016/j.epsl.2011.11.014","ISSN":"0012821X","abstract":"The provenance of eolian dust supplied to deep-sea sediments has the potential to offer insights into changes in past atmospheric circulation. Specifically, measuring temporal changes in dust provenance can shed light on changes in the mean position of the Intertropical Convergence Zone (ITCZ), a region acting as a barrier separating wind-blown material derived from northern versus southern hemisphere sources. Here we have analyzed Nd, Sr, and Pb isotope ratios in the operationally-defined detrital component extracted from deep-sea sediments in the eastern equatorial Pacific (EEP) along a meridional transect at 110°W from 3°S to 7°N (ODP Leg 138, sites 848-853).Sr isotope results show that barite Sr has a significant influence on87Sr/86Sr isotope ratios of samples in the upwelling zone of the EEP. However, sites located &gt;3° or more away from the equator (sites 852 and 853) are believed to not be affected by barite Sr and provide useful detrital Sr signals.208Pb/206Pb and207Pb/206Pb ratios in all cores fall into the Pb-isotope space of five potential dust sources (Asia, North and Central/South America, Sahara, and Australia), with no distinct isotopic fingerprinting of the dominant source(s). εNdvalues were most valuable for discerning detrital source provenance, and their values at all sites, ranging from -5.46 to -3.25, were more unradiogenic for sediments deposited during the last glacial than for those deposited during the Holocene. There are distinct latitudinal trends in the εNdvalues, with more radiogenic values further south and less radiogenic values further north, excluding site 848. This distinction holds true for both Holocene and last glacial periods. For the most southerly site, 848, we invoke, for the first time, a distinct southern hemisphere Australian source as being responsible for the unradiogenic Nd isotope ratios. Both average last glacial and Holocene εNdvalues show similar sharp gradients along the transect between 5.29°N and 2.77°N, suggesting little movement of the glacial ITCZ in the EEP. However, during the deglacial, this gradient is stronger and shifted further north between 5.29°N and 7.21°N, suggesting a more northerly, possibly stronger, deglacial ITCZ. © 2011 Elsevier B.V.","author":[{"dropping-particle":"","family":"Xie","given":"Ruifang C.","non-dropping-particle":"","parse-names":false,"suffix":""},{"dropping-particle":"","family":"Marcantonio","given":"Franco","non-dropping-particle":"","parse-names":false,"suffix":""}],"container-title":"Earth and Planetary Science Letters","id":"ITEM-1","issued":{"date-parts":[["2012"]]},"page":"386-395","publisher":"Elsevier B.V.","title":"Deglacial dust provenance changes in the Eastern Equatorial Pacific and implications for ITCZ movement","type":"article-journal","volume":"317-318"},"uris":["http://www.mendeley.com/documents/?uuid=98561796-5d02-4d0a-96f9-f9d9ddb93ec6"]}],"mendeley":{"formattedCitation":"(Xie and Marcantonio, 2012)","manualFormatting":"Xie and Marcantonio (2012)","plainTextFormattedCitation":"(Xie and Marcantonio, 2012)","previouslyFormattedCitation":"(Xie and Marcantonio, 2012)"},"properties":{"noteIndex":0},"schema":"https://github.com/citation-style-language/schema/raw/master/csl-citation.json"}</w:instrText>
      </w:r>
      <w:r w:rsidR="00533EB4">
        <w:rPr>
          <w:rFonts w:cstheme="minorHAnsi"/>
        </w:rPr>
        <w:fldChar w:fldCharType="separate"/>
      </w:r>
      <w:r w:rsidR="00533EB4" w:rsidRPr="00533EB4">
        <w:rPr>
          <w:rFonts w:cstheme="minorHAnsi"/>
          <w:noProof/>
        </w:rPr>
        <w:t>Xie and Marcantonio</w:t>
      </w:r>
      <w:r w:rsidR="00875BC9">
        <w:rPr>
          <w:rFonts w:cstheme="minorHAnsi"/>
          <w:noProof/>
        </w:rPr>
        <w:t xml:space="preserve"> (</w:t>
      </w:r>
      <w:r w:rsidR="00533EB4" w:rsidRPr="00533EB4">
        <w:rPr>
          <w:rFonts w:cstheme="minorHAnsi"/>
          <w:noProof/>
        </w:rPr>
        <w:t>2012)</w:t>
      </w:r>
      <w:r w:rsidR="00533EB4">
        <w:rPr>
          <w:rFonts w:cstheme="minorHAnsi"/>
        </w:rPr>
        <w:fldChar w:fldCharType="end"/>
      </w:r>
      <w:r w:rsidR="00875BC9">
        <w:rPr>
          <w:rFonts w:cstheme="minorHAnsi"/>
        </w:rPr>
        <w:t xml:space="preserve"> </w:t>
      </w:r>
      <w:r w:rsidR="00EB04B0">
        <w:rPr>
          <w:rFonts w:cstheme="minorHAnsi"/>
        </w:rPr>
        <w:t>and</w:t>
      </w:r>
      <w:r w:rsidR="004B5E4C">
        <w:rPr>
          <w:rFonts w:cstheme="minorHAnsi"/>
        </w:rPr>
        <w:t xml:space="preserve"> are </w:t>
      </w:r>
      <w:r w:rsidR="00EB04B0">
        <w:rPr>
          <w:rFonts w:cstheme="minorHAnsi"/>
        </w:rPr>
        <w:t xml:space="preserve">in the opposite direction </w:t>
      </w:r>
      <w:r w:rsidR="004A2DE8">
        <w:rPr>
          <w:rFonts w:cstheme="minorHAnsi"/>
        </w:rPr>
        <w:t xml:space="preserve">(Figure </w:t>
      </w:r>
      <w:r w:rsidR="009A186C">
        <w:rPr>
          <w:rFonts w:cstheme="minorHAnsi"/>
        </w:rPr>
        <w:t>4A</w:t>
      </w:r>
      <w:r w:rsidR="004A2DE8">
        <w:rPr>
          <w:rFonts w:cstheme="minorHAnsi"/>
        </w:rPr>
        <w:t>)</w:t>
      </w:r>
      <w:r w:rsidR="00096A32">
        <w:rPr>
          <w:rFonts w:cstheme="minorHAnsi"/>
        </w:rPr>
        <w:t xml:space="preserve">. </w:t>
      </w:r>
      <w:r w:rsidR="00EB04B0">
        <w:rPr>
          <w:rFonts w:cstheme="minorHAnsi"/>
        </w:rPr>
        <w:t xml:space="preserve">The direction of change in </w:t>
      </w:r>
      <w:r w:rsidR="00EB04B0" w:rsidRPr="00FA4181">
        <w:rPr>
          <w:rFonts w:cstheme="minorHAnsi"/>
          <w:vertAlign w:val="superscript"/>
        </w:rPr>
        <w:t>87</w:t>
      </w:r>
      <w:r w:rsidR="00EB04B0" w:rsidRPr="00FA4181">
        <w:rPr>
          <w:rFonts w:cstheme="minorHAnsi"/>
        </w:rPr>
        <w:t>Sr/</w:t>
      </w:r>
      <w:r w:rsidR="00EB04B0" w:rsidRPr="00FA4181">
        <w:rPr>
          <w:rFonts w:cstheme="minorHAnsi"/>
          <w:vertAlign w:val="superscript"/>
        </w:rPr>
        <w:t>86</w:t>
      </w:r>
      <w:r w:rsidR="00EB04B0" w:rsidRPr="00FA4181">
        <w:rPr>
          <w:rFonts w:cstheme="minorHAnsi"/>
        </w:rPr>
        <w:t>Sr</w:t>
      </w:r>
      <w:r w:rsidR="00EB04B0">
        <w:rPr>
          <w:rFonts w:cstheme="minorHAnsi"/>
        </w:rPr>
        <w:t xml:space="preserve"> values realised by </w:t>
      </w:r>
      <w:r w:rsidR="004B5E4C">
        <w:rPr>
          <w:rFonts w:cstheme="minorHAnsi"/>
        </w:rPr>
        <w:t xml:space="preserve">DTPA </w:t>
      </w:r>
      <w:r w:rsidR="00EB04B0">
        <w:rPr>
          <w:rFonts w:cstheme="minorHAnsi"/>
        </w:rPr>
        <w:t xml:space="preserve">cleaning is controlled by the sign of the </w:t>
      </w:r>
      <w:r w:rsidR="00EB04B0" w:rsidRPr="00FA4181">
        <w:rPr>
          <w:rFonts w:cstheme="minorHAnsi"/>
          <w:vertAlign w:val="superscript"/>
        </w:rPr>
        <w:t>87</w:t>
      </w:r>
      <w:r w:rsidR="00EB04B0" w:rsidRPr="00FA4181">
        <w:rPr>
          <w:rFonts w:cstheme="minorHAnsi"/>
        </w:rPr>
        <w:t>Sr/</w:t>
      </w:r>
      <w:r w:rsidR="00EB04B0" w:rsidRPr="00FA4181">
        <w:rPr>
          <w:rFonts w:cstheme="minorHAnsi"/>
          <w:vertAlign w:val="superscript"/>
        </w:rPr>
        <w:t>86</w:t>
      </w:r>
      <w:r w:rsidR="00EB04B0" w:rsidRPr="00FA4181">
        <w:rPr>
          <w:rFonts w:cstheme="minorHAnsi"/>
        </w:rPr>
        <w:t>Sr</w:t>
      </w:r>
      <w:r w:rsidR="00EB04B0">
        <w:rPr>
          <w:rFonts w:cstheme="minorHAnsi"/>
        </w:rPr>
        <w:t xml:space="preserve"> offset between the </w:t>
      </w:r>
      <w:r w:rsidR="00E869C7">
        <w:rPr>
          <w:rFonts w:cstheme="minorHAnsi"/>
        </w:rPr>
        <w:t>terrigenous</w:t>
      </w:r>
      <w:r w:rsidR="00EB04B0">
        <w:rPr>
          <w:rFonts w:cstheme="minorHAnsi"/>
        </w:rPr>
        <w:t xml:space="preserve"> and sea water </w:t>
      </w:r>
      <w:r w:rsidR="004B5E4C">
        <w:rPr>
          <w:rFonts w:cstheme="minorHAnsi"/>
        </w:rPr>
        <w:t xml:space="preserve">(barite) </w:t>
      </w:r>
      <w:r w:rsidR="00EB04B0">
        <w:rPr>
          <w:rFonts w:cstheme="minorHAnsi"/>
        </w:rPr>
        <w:t>values (Figure</w:t>
      </w:r>
      <w:r w:rsidR="004B5E4C">
        <w:rPr>
          <w:rFonts w:cstheme="minorHAnsi"/>
        </w:rPr>
        <w:t>s 2 and</w:t>
      </w:r>
      <w:r w:rsidR="00EB04B0">
        <w:rPr>
          <w:rFonts w:cstheme="minorHAnsi"/>
        </w:rPr>
        <w:t xml:space="preserve"> </w:t>
      </w:r>
      <w:r w:rsidR="009A186C">
        <w:rPr>
          <w:rFonts w:cstheme="minorHAnsi"/>
        </w:rPr>
        <w:t>4</w:t>
      </w:r>
      <w:r w:rsidR="00EB04B0">
        <w:rPr>
          <w:rFonts w:cstheme="minorHAnsi"/>
        </w:rPr>
        <w:t xml:space="preserve">). </w:t>
      </w:r>
      <w:r w:rsidR="00C9787B">
        <w:rPr>
          <w:rFonts w:cstheme="minorHAnsi"/>
        </w:rPr>
        <w:t xml:space="preserve">The increases in </w:t>
      </w:r>
      <w:r w:rsidR="00C9787B" w:rsidRPr="00096A32">
        <w:rPr>
          <w:rFonts w:cstheme="minorHAnsi"/>
          <w:vertAlign w:val="superscript"/>
        </w:rPr>
        <w:t>87</w:t>
      </w:r>
      <w:r w:rsidR="00C9787B" w:rsidRPr="00096A32">
        <w:rPr>
          <w:rFonts w:cstheme="minorHAnsi"/>
        </w:rPr>
        <w:t>Sr/</w:t>
      </w:r>
      <w:r w:rsidR="00C9787B" w:rsidRPr="00096A32">
        <w:rPr>
          <w:rFonts w:cstheme="minorHAnsi"/>
          <w:vertAlign w:val="superscript"/>
        </w:rPr>
        <w:t>86</w:t>
      </w:r>
      <w:r w:rsidR="00C9787B" w:rsidRPr="00096A32">
        <w:rPr>
          <w:rFonts w:cstheme="minorHAnsi"/>
        </w:rPr>
        <w:t>Sr</w:t>
      </w:r>
      <w:r w:rsidR="00C9787B">
        <w:rPr>
          <w:rFonts w:cstheme="minorHAnsi"/>
        </w:rPr>
        <w:t xml:space="preserve"> evidenced at Site 662 following one DTPA-NaOH </w:t>
      </w:r>
      <w:r w:rsidR="00946CF9">
        <w:rPr>
          <w:rFonts w:cstheme="minorHAnsi"/>
        </w:rPr>
        <w:t xml:space="preserve">treatment </w:t>
      </w:r>
      <w:r w:rsidR="00C9787B">
        <w:rPr>
          <w:rFonts w:cstheme="minorHAnsi"/>
        </w:rPr>
        <w:t>are accompanied by large decreases in sample Sr and Ba concentration (</w:t>
      </w:r>
      <w:r w:rsidR="00F47CA0">
        <w:rPr>
          <w:rFonts w:cstheme="minorHAnsi"/>
        </w:rPr>
        <w:t>Table S1</w:t>
      </w:r>
      <w:r w:rsidR="00F76C49">
        <w:rPr>
          <w:rFonts w:cstheme="minorHAnsi"/>
        </w:rPr>
        <w:t xml:space="preserve">) </w:t>
      </w:r>
      <w:r w:rsidR="00C9787B" w:rsidRPr="004937E3">
        <w:rPr>
          <w:rFonts w:cstheme="minorHAnsi"/>
        </w:rPr>
        <w:t xml:space="preserve">and high </w:t>
      </w:r>
      <w:r w:rsidR="00C9787B" w:rsidRPr="004937E3">
        <w:rPr>
          <w:rFonts w:cstheme="minorHAnsi"/>
        </w:rPr>
        <w:lastRenderedPageBreak/>
        <w:t>concentrations of Sr and Ba in the leachates (</w:t>
      </w:r>
      <w:r w:rsidR="00F47CA0">
        <w:rPr>
          <w:rFonts w:cstheme="minorHAnsi"/>
        </w:rPr>
        <w:t>Table S2</w:t>
      </w:r>
      <w:r w:rsidR="00C9787B" w:rsidRPr="004937E3">
        <w:rPr>
          <w:rFonts w:cstheme="minorHAnsi"/>
        </w:rPr>
        <w:t xml:space="preserve">). The largest </w:t>
      </w:r>
      <w:r w:rsidR="005B1D7B">
        <w:rPr>
          <w:rFonts w:cstheme="minorHAnsi"/>
        </w:rPr>
        <w:t>change</w:t>
      </w:r>
      <w:r w:rsidR="00C9787B" w:rsidRPr="004937E3">
        <w:rPr>
          <w:rFonts w:cstheme="minorHAnsi"/>
        </w:rPr>
        <w:t xml:space="preserve"> in </w:t>
      </w:r>
      <w:r w:rsidR="00C9787B" w:rsidRPr="004937E3">
        <w:rPr>
          <w:rFonts w:cstheme="minorHAnsi"/>
          <w:vertAlign w:val="superscript"/>
        </w:rPr>
        <w:t>87</w:t>
      </w:r>
      <w:r w:rsidR="00C9787B" w:rsidRPr="004937E3">
        <w:rPr>
          <w:rFonts w:cstheme="minorHAnsi"/>
        </w:rPr>
        <w:t>Sr/</w:t>
      </w:r>
      <w:r w:rsidR="00C9787B" w:rsidRPr="004937E3">
        <w:rPr>
          <w:rFonts w:cstheme="minorHAnsi"/>
          <w:vertAlign w:val="superscript"/>
        </w:rPr>
        <w:t>86</w:t>
      </w:r>
      <w:r w:rsidR="00C9787B" w:rsidRPr="004937E3">
        <w:rPr>
          <w:rFonts w:cstheme="minorHAnsi"/>
        </w:rPr>
        <w:t xml:space="preserve">Sr </w:t>
      </w:r>
      <w:r w:rsidR="005B1D7B">
        <w:rPr>
          <w:rFonts w:cstheme="minorHAnsi"/>
        </w:rPr>
        <w:t xml:space="preserve">after one DTPA </w:t>
      </w:r>
      <w:r w:rsidR="000B3E5D">
        <w:rPr>
          <w:rFonts w:cstheme="minorHAnsi"/>
        </w:rPr>
        <w:t xml:space="preserve">treatment </w:t>
      </w:r>
      <w:r w:rsidR="00C9787B" w:rsidRPr="004937E3">
        <w:rPr>
          <w:rFonts w:cstheme="minorHAnsi"/>
        </w:rPr>
        <w:t>is seen in Sample C</w:t>
      </w:r>
      <w:r w:rsidR="00C9787B">
        <w:rPr>
          <w:rFonts w:cstheme="minorHAnsi"/>
        </w:rPr>
        <w:t xml:space="preserve"> from Site 662</w:t>
      </w:r>
      <w:r w:rsidR="00C9787B" w:rsidRPr="004937E3">
        <w:rPr>
          <w:rFonts w:cstheme="minorHAnsi"/>
        </w:rPr>
        <w:t xml:space="preserve">, </w:t>
      </w:r>
      <w:r w:rsidR="00852668">
        <w:rPr>
          <w:rFonts w:cstheme="minorHAnsi"/>
        </w:rPr>
        <w:t xml:space="preserve">where </w:t>
      </w:r>
      <w:r w:rsidR="00852668" w:rsidRPr="004937E3">
        <w:rPr>
          <w:rFonts w:cstheme="minorHAnsi"/>
          <w:vertAlign w:val="superscript"/>
        </w:rPr>
        <w:t>87</w:t>
      </w:r>
      <w:r w:rsidR="00852668" w:rsidRPr="004937E3">
        <w:rPr>
          <w:rFonts w:cstheme="minorHAnsi"/>
        </w:rPr>
        <w:t>Sr/</w:t>
      </w:r>
      <w:r w:rsidR="00852668" w:rsidRPr="004937E3">
        <w:rPr>
          <w:rFonts w:cstheme="minorHAnsi"/>
          <w:vertAlign w:val="superscript"/>
        </w:rPr>
        <w:t>86</w:t>
      </w:r>
      <w:r w:rsidR="00852668" w:rsidRPr="004937E3">
        <w:rPr>
          <w:rFonts w:cstheme="minorHAnsi"/>
        </w:rPr>
        <w:t xml:space="preserve">Sr </w:t>
      </w:r>
      <w:r w:rsidR="00C9787B" w:rsidRPr="004937E3">
        <w:rPr>
          <w:rFonts w:cstheme="minorHAnsi"/>
        </w:rPr>
        <w:t xml:space="preserve">increases by 0.012 after one </w:t>
      </w:r>
      <w:r w:rsidR="000B3E5D">
        <w:rPr>
          <w:rFonts w:cstheme="minorHAnsi"/>
        </w:rPr>
        <w:t>treatment (Figure</w:t>
      </w:r>
      <w:r w:rsidR="00F76C49">
        <w:rPr>
          <w:rFonts w:cstheme="minorHAnsi"/>
        </w:rPr>
        <w:t xml:space="preserve"> 5</w:t>
      </w:r>
      <w:r w:rsidR="000B3E5D">
        <w:rPr>
          <w:rFonts w:cstheme="minorHAnsi"/>
        </w:rPr>
        <w:t>)</w:t>
      </w:r>
      <w:r w:rsidR="00C9787B">
        <w:rPr>
          <w:rFonts w:cstheme="minorHAnsi"/>
        </w:rPr>
        <w:t>,</w:t>
      </w:r>
      <w:r w:rsidR="00C9787B" w:rsidRPr="004937E3">
        <w:rPr>
          <w:rFonts w:cstheme="minorHAnsi"/>
        </w:rPr>
        <w:t xml:space="preserve"> while the </w:t>
      </w:r>
      <w:r w:rsidR="00E869C7">
        <w:rPr>
          <w:rFonts w:cstheme="minorHAnsi"/>
        </w:rPr>
        <w:t>terrigenous</w:t>
      </w:r>
      <w:r w:rsidR="001F2328">
        <w:rPr>
          <w:rFonts w:cstheme="minorHAnsi"/>
        </w:rPr>
        <w:t xml:space="preserve"> </w:t>
      </w:r>
      <w:r w:rsidR="00C9787B" w:rsidRPr="004937E3">
        <w:rPr>
          <w:rFonts w:cstheme="minorHAnsi"/>
        </w:rPr>
        <w:t>Ba and Sr concentration</w:t>
      </w:r>
      <w:r w:rsidR="00C9787B">
        <w:rPr>
          <w:rFonts w:cstheme="minorHAnsi"/>
        </w:rPr>
        <w:t>s</w:t>
      </w:r>
      <w:r>
        <w:rPr>
          <w:rFonts w:cstheme="minorHAnsi"/>
        </w:rPr>
        <w:t xml:space="preserve"> </w:t>
      </w:r>
      <w:r w:rsidR="00C9787B" w:rsidRPr="004937E3">
        <w:rPr>
          <w:rFonts w:cstheme="minorHAnsi"/>
        </w:rPr>
        <w:t xml:space="preserve">decrease from </w:t>
      </w:r>
      <w:r w:rsidR="00B4275B">
        <w:rPr>
          <w:rFonts w:cstheme="minorHAnsi"/>
        </w:rPr>
        <w:t>70</w:t>
      </w:r>
      <w:r w:rsidR="00F4454E">
        <w:rPr>
          <w:rFonts w:cstheme="minorHAnsi"/>
        </w:rPr>
        <w:t xml:space="preserve">40 </w:t>
      </w:r>
      <w:r w:rsidR="00B4275B" w:rsidRPr="004937E3">
        <w:rPr>
          <w:rFonts w:cstheme="minorHAnsi"/>
        </w:rPr>
        <w:t xml:space="preserve">ppm </w:t>
      </w:r>
      <w:r w:rsidR="00C9787B" w:rsidRPr="004937E3">
        <w:rPr>
          <w:rFonts w:cstheme="minorHAnsi"/>
        </w:rPr>
        <w:t>to 6</w:t>
      </w:r>
      <w:r w:rsidR="00B4275B">
        <w:rPr>
          <w:rFonts w:cstheme="minorHAnsi"/>
        </w:rPr>
        <w:t>49</w:t>
      </w:r>
      <w:r w:rsidR="00F4454E">
        <w:rPr>
          <w:rFonts w:cstheme="minorHAnsi"/>
        </w:rPr>
        <w:t xml:space="preserve"> </w:t>
      </w:r>
      <w:r w:rsidR="00C9787B" w:rsidRPr="004937E3">
        <w:rPr>
          <w:rFonts w:cstheme="minorHAnsi"/>
        </w:rPr>
        <w:t xml:space="preserve">ppm (Ba) and from </w:t>
      </w:r>
      <w:r w:rsidR="00B4275B">
        <w:rPr>
          <w:rFonts w:cstheme="minorHAnsi"/>
        </w:rPr>
        <w:t>196</w:t>
      </w:r>
      <w:r w:rsidR="00F4454E">
        <w:rPr>
          <w:rFonts w:cstheme="minorHAnsi"/>
        </w:rPr>
        <w:t xml:space="preserve"> </w:t>
      </w:r>
      <w:r w:rsidR="00C9787B" w:rsidRPr="004937E3">
        <w:rPr>
          <w:rFonts w:cstheme="minorHAnsi"/>
        </w:rPr>
        <w:t xml:space="preserve">ppm to </w:t>
      </w:r>
      <w:r w:rsidR="00B4275B">
        <w:rPr>
          <w:rFonts w:cstheme="minorHAnsi"/>
        </w:rPr>
        <w:t>54</w:t>
      </w:r>
      <w:r w:rsidR="00F4454E">
        <w:rPr>
          <w:rFonts w:cstheme="minorHAnsi"/>
        </w:rPr>
        <w:t xml:space="preserve"> </w:t>
      </w:r>
      <w:r w:rsidR="00C9787B" w:rsidRPr="004937E3">
        <w:rPr>
          <w:rFonts w:cstheme="minorHAnsi"/>
        </w:rPr>
        <w:t>ppm (Sr</w:t>
      </w:r>
      <w:r>
        <w:rPr>
          <w:rFonts w:cstheme="minorHAnsi"/>
        </w:rPr>
        <w:t>)</w:t>
      </w:r>
      <w:r w:rsidR="00C9787B" w:rsidRPr="004937E3">
        <w:rPr>
          <w:rFonts w:cstheme="minorHAnsi"/>
        </w:rPr>
        <w:t xml:space="preserve">. </w:t>
      </w:r>
      <w:r w:rsidR="00C9787B">
        <w:rPr>
          <w:rFonts w:cstheme="minorHAnsi"/>
        </w:rPr>
        <w:t>In</w:t>
      </w:r>
      <w:r w:rsidR="00C9787B" w:rsidRPr="004937E3">
        <w:rPr>
          <w:rFonts w:cstheme="minorHAnsi"/>
        </w:rPr>
        <w:t xml:space="preserve"> contrast, one DTPA</w:t>
      </w:r>
      <w:r w:rsidR="00C9787B">
        <w:rPr>
          <w:rFonts w:cstheme="minorHAnsi"/>
        </w:rPr>
        <w:t xml:space="preserve">-NaOH </w:t>
      </w:r>
      <w:r w:rsidR="00F76C49">
        <w:rPr>
          <w:rFonts w:cstheme="minorHAnsi"/>
        </w:rPr>
        <w:t>treatment</w:t>
      </w:r>
      <w:r w:rsidR="00C9787B">
        <w:rPr>
          <w:rFonts w:cstheme="minorHAnsi"/>
        </w:rPr>
        <w:t xml:space="preserve"> at ODP Site 1016 yields an </w:t>
      </w:r>
      <w:r w:rsidR="00C9787B" w:rsidRPr="00AC5239">
        <w:rPr>
          <w:rFonts w:cstheme="minorHAnsi"/>
        </w:rPr>
        <w:t xml:space="preserve">increase in </w:t>
      </w:r>
      <w:r w:rsidR="00C9787B" w:rsidRPr="00AC5239">
        <w:rPr>
          <w:rFonts w:cstheme="minorHAnsi"/>
          <w:vertAlign w:val="superscript"/>
        </w:rPr>
        <w:t>87</w:t>
      </w:r>
      <w:r w:rsidR="00C9787B" w:rsidRPr="00AC5239">
        <w:rPr>
          <w:rFonts w:cstheme="minorHAnsi"/>
        </w:rPr>
        <w:t>Sr/</w:t>
      </w:r>
      <w:r w:rsidR="00C9787B" w:rsidRPr="00AC5239">
        <w:rPr>
          <w:rFonts w:cstheme="minorHAnsi"/>
          <w:vertAlign w:val="superscript"/>
        </w:rPr>
        <w:t>86</w:t>
      </w:r>
      <w:r w:rsidR="00C9787B" w:rsidRPr="00AC5239">
        <w:rPr>
          <w:rFonts w:cstheme="minorHAnsi"/>
        </w:rPr>
        <w:t xml:space="preserve">Sr of approximately 0.003 away from modern seawater (Figure </w:t>
      </w:r>
      <w:r w:rsidR="009A186C">
        <w:rPr>
          <w:rFonts w:cstheme="minorHAnsi"/>
        </w:rPr>
        <w:t>4</w:t>
      </w:r>
      <w:r w:rsidR="00AA3F26">
        <w:rPr>
          <w:rFonts w:cstheme="minorHAnsi"/>
        </w:rPr>
        <w:t>)</w:t>
      </w:r>
      <w:r w:rsidR="00C9787B" w:rsidRPr="00AC5239">
        <w:rPr>
          <w:rFonts w:cstheme="minorHAnsi"/>
        </w:rPr>
        <w:t xml:space="preserve">, </w:t>
      </w:r>
      <w:r w:rsidR="003C3E4E">
        <w:rPr>
          <w:rFonts w:cstheme="minorHAnsi"/>
        </w:rPr>
        <w:t>a</w:t>
      </w:r>
      <w:r w:rsidR="00C9787B" w:rsidRPr="00AC5239">
        <w:rPr>
          <w:rFonts w:cstheme="minorHAnsi"/>
        </w:rPr>
        <w:t xml:space="preserve"> far smaller </w:t>
      </w:r>
      <w:r w:rsidR="003C3E4E">
        <w:rPr>
          <w:rFonts w:cstheme="minorHAnsi"/>
        </w:rPr>
        <w:t xml:space="preserve">shift </w:t>
      </w:r>
      <w:r w:rsidR="00C9787B" w:rsidRPr="00AC5239">
        <w:rPr>
          <w:rFonts w:cstheme="minorHAnsi"/>
        </w:rPr>
        <w:t xml:space="preserve">than </w:t>
      </w:r>
      <w:r w:rsidR="00CF0060">
        <w:rPr>
          <w:rFonts w:cstheme="minorHAnsi"/>
        </w:rPr>
        <w:t xml:space="preserve">those </w:t>
      </w:r>
      <w:r w:rsidR="003C3E4E">
        <w:rPr>
          <w:rFonts w:cstheme="minorHAnsi"/>
        </w:rPr>
        <w:t xml:space="preserve">observed </w:t>
      </w:r>
      <w:r w:rsidR="00C9787B" w:rsidRPr="00AC5239">
        <w:rPr>
          <w:rFonts w:cstheme="minorHAnsi"/>
        </w:rPr>
        <w:t xml:space="preserve">at Site 662, </w:t>
      </w:r>
      <w:r w:rsidR="00946CF9">
        <w:rPr>
          <w:rFonts w:cstheme="minorHAnsi"/>
        </w:rPr>
        <w:t>and</w:t>
      </w:r>
      <w:r w:rsidR="00C9787B" w:rsidRPr="00AC5239">
        <w:rPr>
          <w:rFonts w:cstheme="minorHAnsi"/>
        </w:rPr>
        <w:t xml:space="preserve"> </w:t>
      </w:r>
      <w:r w:rsidR="004A2DE8">
        <w:rPr>
          <w:rFonts w:cstheme="minorHAnsi"/>
        </w:rPr>
        <w:t xml:space="preserve">closer in </w:t>
      </w:r>
      <w:r w:rsidR="00C9787B" w:rsidRPr="00AC5239">
        <w:rPr>
          <w:rFonts w:cstheme="minorHAnsi"/>
        </w:rPr>
        <w:t>magnitude</w:t>
      </w:r>
      <w:r w:rsidR="00EB04B0">
        <w:rPr>
          <w:rFonts w:cstheme="minorHAnsi"/>
        </w:rPr>
        <w:t xml:space="preserve">, although of the opposite sign, </w:t>
      </w:r>
      <w:r w:rsidR="00C9787B" w:rsidRPr="00AC5239">
        <w:rPr>
          <w:rFonts w:cstheme="minorHAnsi"/>
        </w:rPr>
        <w:t xml:space="preserve">to </w:t>
      </w:r>
      <w:r w:rsidR="003C3E4E">
        <w:rPr>
          <w:rFonts w:cstheme="minorHAnsi"/>
        </w:rPr>
        <w:t>those</w:t>
      </w:r>
      <w:r w:rsidR="003C3E4E" w:rsidRPr="00AC5239">
        <w:rPr>
          <w:rFonts w:cstheme="minorHAnsi"/>
        </w:rPr>
        <w:t xml:space="preserve"> </w:t>
      </w:r>
      <w:r w:rsidR="00323972">
        <w:rPr>
          <w:rFonts w:cstheme="minorHAnsi"/>
        </w:rPr>
        <w:t>reported</w:t>
      </w:r>
      <w:r w:rsidR="00323972" w:rsidRPr="00AC5239">
        <w:rPr>
          <w:rFonts w:cstheme="minorHAnsi"/>
        </w:rPr>
        <w:t xml:space="preserve"> </w:t>
      </w:r>
      <w:r w:rsidR="00323972">
        <w:rPr>
          <w:rFonts w:cstheme="minorHAnsi"/>
        </w:rPr>
        <w:t>for</w:t>
      </w:r>
      <w:r w:rsidR="00323972" w:rsidRPr="00AC5239">
        <w:rPr>
          <w:rFonts w:cstheme="minorHAnsi"/>
        </w:rPr>
        <w:t xml:space="preserve"> </w:t>
      </w:r>
      <w:r w:rsidR="00C9787B" w:rsidRPr="00AC5239">
        <w:rPr>
          <w:rFonts w:cstheme="minorHAnsi"/>
        </w:rPr>
        <w:t xml:space="preserve">ODP Sites 849 and 851 </w:t>
      </w:r>
      <w:r w:rsidR="00C9787B" w:rsidRPr="00AC5239">
        <w:rPr>
          <w:rFonts w:cstheme="minorHAnsi"/>
        </w:rPr>
        <w:fldChar w:fldCharType="begin" w:fldLock="1"/>
      </w:r>
      <w:r w:rsidR="00EF6B3C">
        <w:rPr>
          <w:rFonts w:cstheme="minorHAnsi"/>
        </w:rPr>
        <w:instrText>ADDIN CSL_CITATION {"citationItems":[{"id":"ITEM-1","itemData":{"DOI":"10.1016/j.epsl.2011.11.014","ISSN":"0012821X","abstract":"The provenance of eolian dust supplied to deep-sea sediments has the potential to offer insights into changes in past atmospheric circulation. Specifically, measuring temporal changes in dust provenance can shed light on changes in the mean position of the Intertropical Convergence Zone (ITCZ), a region acting as a barrier separating wind-blown material derived from northern versus southern hemisphere sources. Here we have analyzed Nd, Sr, and Pb isotope ratios in the operationally-defined detrital component extracted from deep-sea sediments in the eastern equatorial Pacific (EEP) along a meridional transect at 110°W from 3°S to 7°N (ODP Leg 138, sites 848-853).Sr isotope results show that barite Sr has a significant influence on87Sr/86Sr isotope ratios of samples in the upwelling zone of the EEP. However, sites located &gt;3° or more away from the equator (sites 852 and 853) are believed to not be affected by barite Sr and provide useful detrital Sr signals.208Pb/206Pb and207Pb/206Pb ratios in all cores fall into the Pb-isotope space of five potential dust sources (Asia, North and Central/South America, Sahara, and Australia), with no distinct isotopic fingerprinting of the dominant source(s). εNdvalues were most valuable for discerning detrital source provenance, and their values at all sites, ranging from -5.46 to -3.25, were more unradiogenic for sediments deposited during the last glacial than for those deposited during the Holocene. There are distinct latitudinal trends in the εNdvalues, with more radiogenic values further south and less radiogenic values further north, excluding site 848. This distinction holds true for both Holocene and last glacial periods. For the most southerly site, 848, we invoke, for the first time, a distinct southern hemisphere Australian source as being responsible for the unradiogenic Nd isotope ratios. Both average last glacial and Holocene εNdvalues show similar sharp gradients along the transect between 5.29°N and 2.77°N, suggesting little movement of the glacial ITCZ in the EEP. However, during the deglacial, this gradient is stronger and shifted further north between 5.29°N and 7.21°N, suggesting a more northerly, possibly stronger, deglacial ITCZ. © 2011 Elsevier B.V.","author":[{"dropping-particle":"","family":"Xie","given":"Ruifang C.","non-dropping-particle":"","parse-names":false,"suffix":""},{"dropping-particle":"","family":"Marcantonio","given":"Franco","non-dropping-particle":"","parse-names":false,"suffix":""}],"container-title":"Earth and Planetary Science Letters","id":"ITEM-1","issued":{"date-parts":[["2012"]]},"page":"386-395","publisher":"Elsevier B.V.","title":"Deglacial dust provenance changes in the Eastern Equatorial Pacific and implications for ITCZ movement","type":"article-journal","volume":"317-318"},"uris":["http://www.mendeley.com/documents/?uuid=98561796-5d02-4d0a-96f9-f9d9ddb93ec6"]}],"mendeley":{"formattedCitation":"(Xie and Marcantonio, 2012)","manualFormatting":"by Xie and Marcantonio, (2012)","plainTextFormattedCitation":"(Xie and Marcantonio, 2012)","previouslyFormattedCitation":"(Xie and Marcantonio, 2012)"},"properties":{"noteIndex":0},"schema":"https://github.com/citation-style-language/schema/raw/master/csl-citation.json"}</w:instrText>
      </w:r>
      <w:r w:rsidR="00C9787B" w:rsidRPr="00AC5239">
        <w:rPr>
          <w:rFonts w:cstheme="minorHAnsi"/>
        </w:rPr>
        <w:fldChar w:fldCharType="separate"/>
      </w:r>
      <w:r w:rsidR="00323972">
        <w:rPr>
          <w:rFonts w:cstheme="minorHAnsi"/>
          <w:noProof/>
        </w:rPr>
        <w:t xml:space="preserve">by </w:t>
      </w:r>
      <w:r w:rsidR="00C9787B" w:rsidRPr="00AC5239">
        <w:rPr>
          <w:rFonts w:cstheme="minorHAnsi"/>
          <w:noProof/>
        </w:rPr>
        <w:t xml:space="preserve">Xie and Marcantonio, </w:t>
      </w:r>
      <w:r w:rsidR="00323972">
        <w:rPr>
          <w:rFonts w:cstheme="minorHAnsi"/>
          <w:noProof/>
        </w:rPr>
        <w:t>(</w:t>
      </w:r>
      <w:r w:rsidR="00C9787B" w:rsidRPr="00AC5239">
        <w:rPr>
          <w:rFonts w:cstheme="minorHAnsi"/>
          <w:noProof/>
        </w:rPr>
        <w:t>2012)</w:t>
      </w:r>
      <w:r w:rsidR="00C9787B" w:rsidRPr="00AC5239">
        <w:rPr>
          <w:rFonts w:cstheme="minorHAnsi"/>
        </w:rPr>
        <w:fldChar w:fldCharType="end"/>
      </w:r>
      <w:r w:rsidR="003C3E4E">
        <w:rPr>
          <w:rFonts w:cstheme="minorHAnsi"/>
        </w:rPr>
        <w:t xml:space="preserve"> (Fig</w:t>
      </w:r>
      <w:r w:rsidR="0071264B">
        <w:rPr>
          <w:rFonts w:cstheme="minorHAnsi"/>
        </w:rPr>
        <w:t>ure</w:t>
      </w:r>
      <w:r w:rsidR="003C3E4E">
        <w:rPr>
          <w:rFonts w:cstheme="minorHAnsi"/>
        </w:rPr>
        <w:t xml:space="preserve"> </w:t>
      </w:r>
      <w:r w:rsidR="009A186C">
        <w:rPr>
          <w:rFonts w:cstheme="minorHAnsi"/>
        </w:rPr>
        <w:t>4</w:t>
      </w:r>
      <w:r w:rsidR="003C3E4E">
        <w:rPr>
          <w:rFonts w:cstheme="minorHAnsi"/>
        </w:rPr>
        <w:t>).</w:t>
      </w:r>
      <w:r w:rsidR="00C9787B">
        <w:rPr>
          <w:rFonts w:cstheme="minorHAnsi"/>
        </w:rPr>
        <w:t xml:space="preserve"> </w:t>
      </w:r>
    </w:p>
    <w:p w14:paraId="73DF0DFB" w14:textId="39EF7095" w:rsidR="00C9787B" w:rsidRPr="005E3B5E" w:rsidRDefault="005E3B5E" w:rsidP="00C9787B">
      <w:pPr>
        <w:spacing w:line="480" w:lineRule="auto"/>
        <w:jc w:val="both"/>
        <w:rPr>
          <w:rFonts w:cstheme="minorHAnsi"/>
        </w:rPr>
      </w:pPr>
      <w:r>
        <w:rPr>
          <w:rFonts w:cstheme="minorHAnsi"/>
          <w:vertAlign w:val="subscript"/>
        </w:rPr>
        <w:softHyphen/>
      </w:r>
      <w:r>
        <w:rPr>
          <w:rFonts w:cstheme="minorHAnsi"/>
          <w:vertAlign w:val="subscript"/>
        </w:rPr>
        <w:softHyphen/>
      </w:r>
    </w:p>
    <w:p w14:paraId="4F2851BD" w14:textId="733A0416" w:rsidR="003824CA" w:rsidRDefault="00EB6BB0" w:rsidP="00A73E7A">
      <w:pPr>
        <w:spacing w:line="480" w:lineRule="auto"/>
        <w:jc w:val="both"/>
        <w:rPr>
          <w:rFonts w:cstheme="minorHAnsi"/>
        </w:rPr>
      </w:pPr>
      <w:r w:rsidRPr="00507F16">
        <w:rPr>
          <w:rFonts w:cstheme="minorHAnsi"/>
        </w:rPr>
        <w:t xml:space="preserve">Similar concentrations of Ba and Sr </w:t>
      </w:r>
      <w:r w:rsidR="0074638A">
        <w:rPr>
          <w:rFonts w:cstheme="minorHAnsi"/>
        </w:rPr>
        <w:t xml:space="preserve">are found </w:t>
      </w:r>
      <w:r w:rsidR="0074638A" w:rsidRPr="00507F16">
        <w:rPr>
          <w:rFonts w:cstheme="minorHAnsi"/>
        </w:rPr>
        <w:t>in the leachate</w:t>
      </w:r>
      <w:r w:rsidR="0074638A">
        <w:rPr>
          <w:rFonts w:cstheme="minorHAnsi"/>
        </w:rPr>
        <w:t>s of samples from</w:t>
      </w:r>
      <w:r w:rsidR="0074638A" w:rsidRPr="00507F16">
        <w:rPr>
          <w:rFonts w:cstheme="minorHAnsi"/>
        </w:rPr>
        <w:t xml:space="preserve"> </w:t>
      </w:r>
      <w:r w:rsidR="00507F16" w:rsidRPr="00507F16">
        <w:rPr>
          <w:rFonts w:cstheme="minorHAnsi"/>
        </w:rPr>
        <w:t xml:space="preserve">both </w:t>
      </w:r>
      <w:r w:rsidR="00D602B5">
        <w:rPr>
          <w:rFonts w:cstheme="minorHAnsi"/>
        </w:rPr>
        <w:t>S</w:t>
      </w:r>
      <w:r w:rsidR="00507F16" w:rsidRPr="00507F16">
        <w:rPr>
          <w:rFonts w:cstheme="minorHAnsi"/>
        </w:rPr>
        <w:t xml:space="preserve">ite 662 and </w:t>
      </w:r>
      <w:r w:rsidR="00D602B5">
        <w:rPr>
          <w:rFonts w:cstheme="minorHAnsi"/>
        </w:rPr>
        <w:t>S</w:t>
      </w:r>
      <w:r w:rsidR="00507F16" w:rsidRPr="00507F16">
        <w:rPr>
          <w:rFonts w:cstheme="minorHAnsi"/>
        </w:rPr>
        <w:t xml:space="preserve">ite 1016 </w:t>
      </w:r>
      <w:r w:rsidR="0074638A" w:rsidRPr="00507F16">
        <w:rPr>
          <w:rFonts w:cstheme="minorHAnsi"/>
        </w:rPr>
        <w:t xml:space="preserve">following the first DTPA-NaOH treatment </w:t>
      </w:r>
      <w:r w:rsidR="00507F16" w:rsidRPr="00507F16">
        <w:rPr>
          <w:rFonts w:cstheme="minorHAnsi"/>
        </w:rPr>
        <w:t>(</w:t>
      </w:r>
      <w:r w:rsidR="00F47CA0">
        <w:rPr>
          <w:rFonts w:cstheme="minorHAnsi"/>
        </w:rPr>
        <w:t>Table S</w:t>
      </w:r>
      <w:r w:rsidR="001F2328">
        <w:rPr>
          <w:rFonts w:cstheme="minorHAnsi"/>
        </w:rPr>
        <w:t>2</w:t>
      </w:r>
      <w:r w:rsidR="00AA3F26">
        <w:rPr>
          <w:rFonts w:cstheme="minorHAnsi"/>
        </w:rPr>
        <w:t>)</w:t>
      </w:r>
      <w:r w:rsidR="00D602B5">
        <w:rPr>
          <w:rFonts w:cstheme="minorHAnsi"/>
        </w:rPr>
        <w:t>. This</w:t>
      </w:r>
      <w:r w:rsidR="00507F16" w:rsidRPr="00507F16">
        <w:rPr>
          <w:rFonts w:cstheme="minorHAnsi"/>
        </w:rPr>
        <w:t xml:space="preserve"> </w:t>
      </w:r>
      <w:r w:rsidR="00946CF9">
        <w:rPr>
          <w:rFonts w:cstheme="minorHAnsi"/>
        </w:rPr>
        <w:t xml:space="preserve">result </w:t>
      </w:r>
      <w:r w:rsidR="00507F16" w:rsidRPr="00507F16">
        <w:rPr>
          <w:rFonts w:cstheme="minorHAnsi"/>
        </w:rPr>
        <w:t>suggest</w:t>
      </w:r>
      <w:r w:rsidR="00D602B5">
        <w:rPr>
          <w:rFonts w:cstheme="minorHAnsi"/>
        </w:rPr>
        <w:t>s</w:t>
      </w:r>
      <w:r w:rsidR="00507F16" w:rsidRPr="00507F16">
        <w:rPr>
          <w:rFonts w:cstheme="minorHAnsi"/>
        </w:rPr>
        <w:t xml:space="preserve"> that the greater</w:t>
      </w:r>
      <w:r w:rsidR="00D602B5">
        <w:rPr>
          <w:rFonts w:cstheme="minorHAnsi"/>
        </w:rPr>
        <w:t xml:space="preserve"> change in </w:t>
      </w:r>
      <w:r w:rsidR="00507F16" w:rsidRPr="00507F16">
        <w:rPr>
          <w:rFonts w:cstheme="minorHAnsi"/>
          <w:vertAlign w:val="superscript"/>
        </w:rPr>
        <w:t>87</w:t>
      </w:r>
      <w:r w:rsidR="00507F16" w:rsidRPr="00507F16">
        <w:rPr>
          <w:rFonts w:cstheme="minorHAnsi"/>
        </w:rPr>
        <w:t>Sr/</w:t>
      </w:r>
      <w:r w:rsidR="00507F16" w:rsidRPr="00507F16">
        <w:rPr>
          <w:rFonts w:cstheme="minorHAnsi"/>
          <w:vertAlign w:val="superscript"/>
        </w:rPr>
        <w:t>86</w:t>
      </w:r>
      <w:r w:rsidR="00507F16" w:rsidRPr="00507F16">
        <w:rPr>
          <w:rFonts w:cstheme="minorHAnsi"/>
        </w:rPr>
        <w:t xml:space="preserve">Sr </w:t>
      </w:r>
      <w:r w:rsidR="007E14B5">
        <w:rPr>
          <w:rFonts w:cstheme="minorHAnsi"/>
        </w:rPr>
        <w:t xml:space="preserve">induced by one treatment </w:t>
      </w:r>
      <w:r w:rsidR="00507F16" w:rsidRPr="00507F16">
        <w:rPr>
          <w:rFonts w:cstheme="minorHAnsi"/>
        </w:rPr>
        <w:t xml:space="preserve">recorded </w:t>
      </w:r>
      <w:r w:rsidR="00507F16">
        <w:rPr>
          <w:rFonts w:cstheme="minorHAnsi"/>
        </w:rPr>
        <w:t>at</w:t>
      </w:r>
      <w:r w:rsidR="00D5065E">
        <w:rPr>
          <w:rFonts w:cstheme="minorHAnsi"/>
        </w:rPr>
        <w:t xml:space="preserve"> </w:t>
      </w:r>
      <w:r w:rsidR="00507F16" w:rsidRPr="00507F16">
        <w:rPr>
          <w:rFonts w:cstheme="minorHAnsi"/>
        </w:rPr>
        <w:t xml:space="preserve">Atlantic </w:t>
      </w:r>
      <w:r w:rsidR="00D5065E">
        <w:rPr>
          <w:rFonts w:cstheme="minorHAnsi"/>
        </w:rPr>
        <w:t xml:space="preserve">Ocean </w:t>
      </w:r>
      <w:r w:rsidR="00A70F56">
        <w:rPr>
          <w:rFonts w:cstheme="minorHAnsi"/>
        </w:rPr>
        <w:t>S</w:t>
      </w:r>
      <w:r w:rsidR="00507F16">
        <w:rPr>
          <w:rFonts w:cstheme="minorHAnsi"/>
        </w:rPr>
        <w:t>ite</w:t>
      </w:r>
      <w:r w:rsidR="00507F16" w:rsidRPr="00507F16">
        <w:rPr>
          <w:rFonts w:cstheme="minorHAnsi"/>
        </w:rPr>
        <w:t xml:space="preserve"> </w:t>
      </w:r>
      <w:r w:rsidR="00D5065E">
        <w:rPr>
          <w:rFonts w:cstheme="minorHAnsi"/>
        </w:rPr>
        <w:t xml:space="preserve">662 </w:t>
      </w:r>
      <w:r w:rsidR="00507F16" w:rsidRPr="00507F16">
        <w:rPr>
          <w:rFonts w:cstheme="minorHAnsi"/>
        </w:rPr>
        <w:t xml:space="preserve">compared to the Pacific </w:t>
      </w:r>
      <w:r w:rsidR="00507F16">
        <w:rPr>
          <w:rFonts w:cstheme="minorHAnsi"/>
        </w:rPr>
        <w:t xml:space="preserve">sites </w:t>
      </w:r>
      <w:r w:rsidR="00507F16" w:rsidRPr="00507F16">
        <w:rPr>
          <w:rFonts w:cstheme="minorHAnsi"/>
        </w:rPr>
        <w:t xml:space="preserve">(Figure </w:t>
      </w:r>
      <w:r w:rsidR="009A186C">
        <w:rPr>
          <w:rFonts w:cstheme="minorHAnsi"/>
        </w:rPr>
        <w:t>4</w:t>
      </w:r>
      <w:r w:rsidR="00507F16" w:rsidRPr="00507F16">
        <w:rPr>
          <w:rFonts w:cstheme="minorHAnsi"/>
        </w:rPr>
        <w:t xml:space="preserve">) </w:t>
      </w:r>
      <w:r w:rsidR="00D602B5">
        <w:rPr>
          <w:rFonts w:cstheme="minorHAnsi"/>
        </w:rPr>
        <w:t>is not</w:t>
      </w:r>
      <w:r w:rsidR="00D602B5" w:rsidRPr="00507F16">
        <w:rPr>
          <w:rFonts w:cstheme="minorHAnsi"/>
        </w:rPr>
        <w:t xml:space="preserve"> </w:t>
      </w:r>
      <w:r w:rsidR="00D602B5">
        <w:rPr>
          <w:rFonts w:cstheme="minorHAnsi"/>
        </w:rPr>
        <w:t>explained</w:t>
      </w:r>
      <w:r w:rsidR="00507F16" w:rsidRPr="00507F16">
        <w:rPr>
          <w:rFonts w:cstheme="minorHAnsi"/>
        </w:rPr>
        <w:t xml:space="preserve"> </w:t>
      </w:r>
      <w:r w:rsidR="00D602B5">
        <w:rPr>
          <w:rFonts w:cstheme="minorHAnsi"/>
        </w:rPr>
        <w:t>by</w:t>
      </w:r>
      <w:r w:rsidR="00D602B5" w:rsidRPr="00507F16">
        <w:rPr>
          <w:rFonts w:cstheme="minorHAnsi"/>
        </w:rPr>
        <w:t xml:space="preserve"> </w:t>
      </w:r>
      <w:r w:rsidR="00507F16" w:rsidRPr="00507F16">
        <w:rPr>
          <w:rFonts w:cstheme="minorHAnsi"/>
        </w:rPr>
        <w:t>higher concentrations of marine barite at Site 662</w:t>
      </w:r>
      <w:r w:rsidR="003A703B">
        <w:rPr>
          <w:rFonts w:cstheme="minorHAnsi"/>
        </w:rPr>
        <w:t>,</w:t>
      </w:r>
      <w:r w:rsidR="00D602B5">
        <w:rPr>
          <w:rFonts w:cstheme="minorHAnsi"/>
        </w:rPr>
        <w:t xml:space="preserve"> but </w:t>
      </w:r>
      <w:r w:rsidR="003A703B">
        <w:rPr>
          <w:rFonts w:cstheme="minorHAnsi"/>
        </w:rPr>
        <w:t>instead</w:t>
      </w:r>
      <w:r w:rsidR="00D602B5">
        <w:rPr>
          <w:rFonts w:cstheme="minorHAnsi"/>
        </w:rPr>
        <w:t xml:space="preserve"> </w:t>
      </w:r>
      <w:r w:rsidR="003A703B">
        <w:rPr>
          <w:rFonts w:cstheme="minorHAnsi"/>
        </w:rPr>
        <w:t>by</w:t>
      </w:r>
      <w:r w:rsidR="00266268">
        <w:rPr>
          <w:rFonts w:cstheme="minorHAnsi"/>
        </w:rPr>
        <w:t xml:space="preserve"> a larger</w:t>
      </w:r>
      <w:r w:rsidR="006D7FA9">
        <w:rPr>
          <w:rFonts w:cstheme="minorHAnsi"/>
        </w:rPr>
        <w:t xml:space="preserve"> offset</w:t>
      </w:r>
      <w:r w:rsidR="00BC2B4C" w:rsidRPr="003824CA">
        <w:rPr>
          <w:rFonts w:cstheme="minorHAnsi"/>
        </w:rPr>
        <w:t xml:space="preserve"> </w:t>
      </w:r>
      <w:r w:rsidR="00266268">
        <w:rPr>
          <w:rFonts w:cstheme="minorHAnsi"/>
        </w:rPr>
        <w:t xml:space="preserve">in Sr isotope composition </w:t>
      </w:r>
      <w:r w:rsidR="00BC2B4C" w:rsidRPr="003824CA">
        <w:rPr>
          <w:rFonts w:cstheme="minorHAnsi"/>
        </w:rPr>
        <w:t xml:space="preserve">between </w:t>
      </w:r>
      <w:r w:rsidR="00266268">
        <w:rPr>
          <w:rFonts w:cstheme="minorHAnsi"/>
        </w:rPr>
        <w:t xml:space="preserve">the </w:t>
      </w:r>
      <w:r w:rsidR="004321F1" w:rsidRPr="003824CA">
        <w:rPr>
          <w:rFonts w:cstheme="minorHAnsi"/>
        </w:rPr>
        <w:t xml:space="preserve">terrigenous </w:t>
      </w:r>
      <w:r w:rsidR="00266268">
        <w:rPr>
          <w:rFonts w:cstheme="minorHAnsi"/>
        </w:rPr>
        <w:t>fraction and modern seawater</w:t>
      </w:r>
      <w:r w:rsidR="00EB04B0">
        <w:rPr>
          <w:rFonts w:cstheme="minorHAnsi"/>
        </w:rPr>
        <w:t xml:space="preserve"> (Figures 2 and </w:t>
      </w:r>
      <w:r w:rsidR="009A186C">
        <w:rPr>
          <w:rFonts w:cstheme="minorHAnsi"/>
        </w:rPr>
        <w:t>4</w:t>
      </w:r>
      <w:r w:rsidR="00EB04B0">
        <w:rPr>
          <w:rFonts w:cstheme="minorHAnsi"/>
        </w:rPr>
        <w:t xml:space="preserve">). </w:t>
      </w:r>
      <w:r w:rsidR="00B1202B" w:rsidRPr="003824CA">
        <w:rPr>
          <w:rFonts w:cstheme="minorHAnsi"/>
        </w:rPr>
        <w:t>North African dust source</w:t>
      </w:r>
      <w:r w:rsidR="006F1891">
        <w:rPr>
          <w:rFonts w:cstheme="minorHAnsi"/>
        </w:rPr>
        <w:t>s</w:t>
      </w:r>
      <w:r w:rsidR="00B1202B" w:rsidRPr="003824CA">
        <w:rPr>
          <w:rFonts w:cstheme="minorHAnsi"/>
        </w:rPr>
        <w:t xml:space="preserve"> </w:t>
      </w:r>
      <w:r w:rsidR="00A70F56">
        <w:rPr>
          <w:rFonts w:cstheme="minorHAnsi"/>
        </w:rPr>
        <w:t xml:space="preserve">upwind of </w:t>
      </w:r>
      <w:r w:rsidR="009656FA">
        <w:rPr>
          <w:rFonts w:cstheme="minorHAnsi"/>
        </w:rPr>
        <w:t xml:space="preserve">Site 662 </w:t>
      </w:r>
      <w:r w:rsidR="00DD0F3E">
        <w:rPr>
          <w:rFonts w:cstheme="minorHAnsi"/>
        </w:rPr>
        <w:t>are markedly more radiogenic</w:t>
      </w:r>
      <w:r w:rsidR="00DD0F3E" w:rsidRPr="003824CA">
        <w:rPr>
          <w:rFonts w:cstheme="minorHAnsi"/>
        </w:rPr>
        <w:t xml:space="preserve"> </w:t>
      </w:r>
      <w:r w:rsidR="00DD0F3E">
        <w:rPr>
          <w:rFonts w:cstheme="minorHAnsi"/>
        </w:rPr>
        <w:t>(</w:t>
      </w:r>
      <w:r w:rsidR="008B7506" w:rsidRPr="003824CA">
        <w:rPr>
          <w:rFonts w:cstheme="minorHAnsi"/>
        </w:rPr>
        <w:t>~</w:t>
      </w:r>
      <w:r w:rsidR="00B1202B" w:rsidRPr="003824CA">
        <w:rPr>
          <w:rFonts w:cstheme="minorHAnsi"/>
        </w:rPr>
        <w:t xml:space="preserve">0.7186 </w:t>
      </w:r>
      <w:r w:rsidR="00DD0F3E">
        <w:rPr>
          <w:rFonts w:cstheme="minorHAnsi"/>
        </w:rPr>
        <w:t>-</w:t>
      </w:r>
      <w:r w:rsidR="00B1202B" w:rsidRPr="003824CA">
        <w:rPr>
          <w:rFonts w:cstheme="minorHAnsi"/>
        </w:rPr>
        <w:t xml:space="preserve"> 0.7279</w:t>
      </w:r>
      <w:r w:rsidR="00DD0F3E">
        <w:rPr>
          <w:rFonts w:cstheme="minorHAnsi"/>
        </w:rPr>
        <w:t>,</w:t>
      </w:r>
      <w:r w:rsidR="00B1202B" w:rsidRPr="003824CA">
        <w:rPr>
          <w:rFonts w:cstheme="minorHAnsi"/>
        </w:rPr>
        <w:t xml:space="preserve"> </w:t>
      </w:r>
      <w:r w:rsidR="00B1202B" w:rsidRPr="003824CA">
        <w:rPr>
          <w:rFonts w:cstheme="minorHAnsi"/>
        </w:rPr>
        <w:fldChar w:fldCharType="begin" w:fldLock="1"/>
      </w:r>
      <w:r w:rsidR="004B11AF">
        <w:rPr>
          <w:rFonts w:cstheme="minorHAnsi"/>
        </w:rPr>
        <w:instrText>ADDIN CSL_CITATION {"citationItems":[{"id":"ITEM-1","itemData":{"DOI":"10.1016/j.epsl.2020.116645","ISSN":"0012821X","abstract":"North Africa produces more than half of the world's atmospheric dust load. Once entrained into the atmosphere, this dust poses a human health hazard locally. It also modifies the radiative budget regionally, and supplies nutrients that fuel primary productivity across the North Atlantic Ocean and as far afield as the Amazonian Basin. Dust accumulation in deep sea and lacustrine sediments also provides a means to study changes in palaeoclimate, particularly those associated with rainfall climate change. Systematic analysis of satellite imagery has greatly improved our understanding of the trajectories of long-range North African dust plumes, but our knowledge of the dust-producing source regions and our ability to fingerprint their contribution to these export routes is surprisingly limited. Here we report new radiogenic isotope (Sr and Nd) data for sediment samples from known dust-producing substrates (dried river and lake beds), integrate them with published isotope data and weight them for dust source activation. We define three isotopically distinct preferential dust source areas (PSAs): a Western, a Central and an Eastern North African PSA. More data are needed, particularly from the Western PSA, but our results show a change in PSA dust source composition to more radiogenic Nd- and less radiogenic Sr-isotope values from west to east, in line with the overall decreasing age of the underlying bedrock. Our data reveal extreme isotopic heterogeneity within the Chadian region of the Central PSA, including an extremely distinctive geochemical fingerprint feeding the Bodélé Depression, the most active dust source on Earth. Our new analysis significantly improves the reliability by which windblown dust deposits can be geochemically fingerprinted to their distant source regions.","author":[{"dropping-particle":"","family":"Jewell","given":"Amy M.","non-dropping-particle":"","parse-names":false,"suffix":""},{"dropping-particle":"","family":"Drake","given":"Nick","non-dropping-particle":"","parse-names":false,"suffix":""},{"dropping-particle":"","family":"Crocker","given":"Anya J.","non-dropping-particle":"","parse-names":false,"suffix":""},{"dropping-particle":"","family":"Bakker","given":"Natalie L.","non-dropping-particle":"","parse-names":false,"suffix":""},{"dropping-particle":"","family":"Kunkelova","given":"Tereza","non-dropping-particle":"","parse-names":false,"suffix":""},{"dropping-particle":"","family":"Bristow","given":"Charlie S.","non-dropping-particle":"","parse-names":false,"suffix":""},{"dropping-particle":"","family":"Cooper","given":"Matthew J.","non-dropping-particle":"","parse-names":false,"suffix":""},{"dropping-particle":"","family":"Milton","given":"J. Andrew","non-dropping-particle":"","parse-names":false,"suffix":""},{"dropping-particle":"","family":"Breeze","given":"Paul S.","non-dropping-particle":"","parse-names":false,"suffix":""},{"dropping-particle":"","family":"Wilson","given":"Paul A.","non-dropping-particle":"","parse-names":false,"suffix":""}],"container-title":"Earth and Planetary Science Letters","id":"ITEM-1","issued":{"date-parts":[["2020"]]},"page":"116645","publisher":"Elsevier B.V.","title":"Three North African dust source areas and their geochemical fingerprint","type":"article-journal","volume":"554"},"uris":["http://www.mendeley.com/documents/?uuid=a3dbfb1a-0382-4c07-aebd-14eb93a0e849"]}],"mendeley":{"formattedCitation":"(Jewell et al., 2020)","manualFormatting":"Jewell et al., 2020)","plainTextFormattedCitation":"(Jewell et al., 2020)","previouslyFormattedCitation":"(Jewell et al., 2020)"},"properties":{"noteIndex":0},"schema":"https://github.com/citation-style-language/schema/raw/master/csl-citation.json"}</w:instrText>
      </w:r>
      <w:r w:rsidR="00B1202B" w:rsidRPr="003824CA">
        <w:rPr>
          <w:rFonts w:cstheme="minorHAnsi"/>
        </w:rPr>
        <w:fldChar w:fldCharType="separate"/>
      </w:r>
      <w:r w:rsidR="00B1202B" w:rsidRPr="003824CA">
        <w:rPr>
          <w:rFonts w:cstheme="minorHAnsi"/>
          <w:noProof/>
        </w:rPr>
        <w:t>Jewell et al., 2020)</w:t>
      </w:r>
      <w:r w:rsidR="00B1202B" w:rsidRPr="003824CA">
        <w:rPr>
          <w:rFonts w:cstheme="minorHAnsi"/>
        </w:rPr>
        <w:fldChar w:fldCharType="end"/>
      </w:r>
      <w:r w:rsidR="00B1202B" w:rsidRPr="003824CA">
        <w:rPr>
          <w:rFonts w:cstheme="minorHAnsi"/>
        </w:rPr>
        <w:t xml:space="preserve"> </w:t>
      </w:r>
      <w:r w:rsidR="00DD0F3E">
        <w:rPr>
          <w:rFonts w:cstheme="minorHAnsi"/>
        </w:rPr>
        <w:t xml:space="preserve">than </w:t>
      </w:r>
      <w:r w:rsidR="004321F1" w:rsidRPr="003824CA">
        <w:rPr>
          <w:rFonts w:cstheme="minorHAnsi"/>
        </w:rPr>
        <w:t>North American dust sour</w:t>
      </w:r>
      <w:r w:rsidR="004321F1" w:rsidRPr="004A2DE8">
        <w:rPr>
          <w:rFonts w:cstheme="minorHAnsi"/>
        </w:rPr>
        <w:t>ce</w:t>
      </w:r>
      <w:r w:rsidR="00DD0F3E">
        <w:rPr>
          <w:rFonts w:cstheme="minorHAnsi"/>
        </w:rPr>
        <w:t>s</w:t>
      </w:r>
      <w:r w:rsidR="004321F1" w:rsidRPr="004A2DE8">
        <w:rPr>
          <w:rFonts w:cstheme="minorHAnsi"/>
        </w:rPr>
        <w:t xml:space="preserve"> </w:t>
      </w:r>
      <w:r w:rsidR="000A12E3">
        <w:rPr>
          <w:rFonts w:cstheme="minorHAnsi"/>
        </w:rPr>
        <w:t xml:space="preserve">and </w:t>
      </w:r>
      <w:r w:rsidR="00DD0F3E">
        <w:rPr>
          <w:rFonts w:cstheme="minorHAnsi"/>
        </w:rPr>
        <w:t>the Central American Volcanic Arc (</w:t>
      </w:r>
      <w:r w:rsidR="008B7506" w:rsidRPr="004A2DE8">
        <w:rPr>
          <w:rFonts w:cstheme="minorHAnsi"/>
        </w:rPr>
        <w:t>~0.70</w:t>
      </w:r>
      <w:r w:rsidR="004A2DE8" w:rsidRPr="004A2DE8">
        <w:rPr>
          <w:rFonts w:cstheme="minorHAnsi"/>
        </w:rPr>
        <w:t>9</w:t>
      </w:r>
      <w:r w:rsidR="008B7506" w:rsidRPr="004A2DE8">
        <w:rPr>
          <w:rFonts w:cstheme="minorHAnsi"/>
        </w:rPr>
        <w:t xml:space="preserve"> - 0.717</w:t>
      </w:r>
      <w:r w:rsidR="004321F1" w:rsidRPr="004A2DE8">
        <w:rPr>
          <w:rFonts w:cstheme="minorHAnsi"/>
        </w:rPr>
        <w:t xml:space="preserve"> </w:t>
      </w:r>
      <w:r w:rsidR="00DD0F3E" w:rsidRPr="00247660">
        <w:rPr>
          <w:rFonts w:cstheme="minorHAnsi"/>
        </w:rPr>
        <w:t xml:space="preserve">and </w:t>
      </w:r>
      <w:r w:rsidR="00247660" w:rsidRPr="00247660">
        <w:rPr>
          <w:rFonts w:cstheme="minorHAnsi"/>
        </w:rPr>
        <w:t>~0.702</w:t>
      </w:r>
      <w:r w:rsidR="001840E9">
        <w:rPr>
          <w:rFonts w:cstheme="minorHAnsi"/>
        </w:rPr>
        <w:t xml:space="preserve"> </w:t>
      </w:r>
      <w:r w:rsidR="00247660" w:rsidRPr="00247660">
        <w:rPr>
          <w:rFonts w:cstheme="minorHAnsi"/>
        </w:rPr>
        <w:t>-</w:t>
      </w:r>
      <w:r w:rsidR="001840E9">
        <w:rPr>
          <w:rFonts w:cstheme="minorHAnsi"/>
        </w:rPr>
        <w:t xml:space="preserve"> </w:t>
      </w:r>
      <w:r w:rsidR="00247660" w:rsidRPr="00247660">
        <w:rPr>
          <w:rFonts w:cstheme="minorHAnsi"/>
        </w:rPr>
        <w:t>0.708</w:t>
      </w:r>
      <w:r w:rsidR="00D602B5">
        <w:rPr>
          <w:rFonts w:cstheme="minorHAnsi"/>
        </w:rPr>
        <w:t>,</w:t>
      </w:r>
      <w:r w:rsidR="00DD0F3E" w:rsidRPr="00247660">
        <w:rPr>
          <w:rFonts w:cstheme="minorHAnsi"/>
        </w:rPr>
        <w:t xml:space="preserve"> </w:t>
      </w:r>
      <w:r w:rsidR="00EB04B0">
        <w:rPr>
          <w:rFonts w:cstheme="minorHAnsi"/>
        </w:rPr>
        <w:t>respectively) (</w:t>
      </w:r>
      <w:r w:rsidR="004A2DE8" w:rsidRPr="00247660">
        <w:rPr>
          <w:rFonts w:cstheme="minorHAnsi"/>
        </w:rPr>
        <w:fldChar w:fldCharType="begin" w:fldLock="1"/>
      </w:r>
      <w:r w:rsidR="00CF58B3">
        <w:rPr>
          <w:rFonts w:cstheme="minorHAnsi"/>
        </w:rPr>
        <w:instrText>ADDIN CSL_CITATION {"citationItems":[{"id":"ITEM-1","itemData":{"author":[{"dropping-particle":"","family":"Jardine","given":"G E","non-dropping-particle":"","parse-names":false,"suffix":""},{"dropping-particle":"","family":"Crocker","given":"A J","non-dropping-particle":"","parse-names":false,"suffix":""},{"dropping-particle":"","family":"Bailey","given":"I","non-dropping-particle":"","parse-names":false,"suffix":""},{"dropping-particle":"","family":"Cooper","given":"M J","non-dropping-particle":"","parse-names":false,"suffix":""},{"dropping-particle":"","family":"Milton","given":"J A","non-dropping-particle":"","parse-names":false,"suffix":""},{"dropping-particle":"","family":"Wilson","given":"P A","non-dropping-particle":"","parse-names":false,"suffix":""}],"container-title":"Quaternary Science Reviews","id":"ITEM-1","issued":{"date-parts":[["2021"]]},"title":"The imprint of windblown dust from the North American Southwest on the California Channel Islands and Paci fic Ocean sediments","type":"article-journal","volume":"261"},"uris":["http://www.mendeley.com/documents/?uuid=deb35f7e-fca9-42f3-820e-d7fec913df52"]},{"id":"ITEM-2","itemData":{"DOI":"10.1130/B32035.1","ISSN":"19432674","abstract":"Detrital terrestrial sediments preserved in near-shore marine basins bear distinctive geochemical identifiers that can be used to identify the on-shore sediment sources and sediment routing through time. Santa Barbara Basin (SBB), offshore of southern California, USA, contains a well-known, continuous, high-resolution Holocene flood record that can provide insights into the frequency and changes in on-shore sources across time for such events. Here SBB-adjacent stream bed sediments are characterized using mineralogical, elemental, and radiogenic strontium and neodymium isotopic compositions. Modern and Holocene SBB flood deposits and Last Glacial Maximum (LGM) sediments were similarly analyzed. The Southern Slopes of the Santa Ynez Mountains and Topatopa Mountains account for ~85% of SBB Holocene flood deposit sediments, as calculated from Sr-Nd isotope mixing models. During the LGM sea level low stand, the Southern Slopes contribution increased (to ≥90%), while relative sediment contribution from Santa Clara River diminished. This loss was likely compensated, however, by increased sediment flux from the Southern Slopes and the Channel Islands.","author":[{"dropping-particle":"","family":"Napier","given":"Tiffany J.","non-dropping-particle":"","parse-names":false,"suffix":""},{"dropping-particle":"","family":"Hendy","given":"Ingrid L.","non-dropping-particle":"","parse-names":false,"suffix":""},{"dropping-particle":"","family":"Fahnestock","given":"M. Florencia","non-dropping-particle":"","parse-names":false,"suffix":""},{"dropping-particle":"","family":"Bryce","given":"Julia G.","non-dropping-particle":"","parse-names":false,"suffix":""}],"container-title":"Bulletin of the Geological Society of America","id":"ITEM-2","issue":"1-2","issued":{"date-parts":[["2020"]]},"page":"65-84","title":"Provenance of detrital sediments in santa Barbara Basin, California, USA: Changes in source contributions between the Last Glacial Maximum and Holocene","type":"article-journal","volume":"132"},"uris":["http://www.mendeley.com/documents/?uuid=07ad1a51-018f-44ca-93fa-d694e9eefa33"]},{"id":"ITEM-3","itemData":{"DOI":"10.1016/j.gca.2017.07.024","ISSN":"00167037","abstract":"The generation, transport, and deposition of mineral dust are detectable in paleoclimate records from land, ocean, and ice, providing valuable insight into earth surface conditions and cycles on a range of timescales. Dust deposited in marine and terrestrial ecosystems can provide critical nutrients to nutrient-limited ecosystems, and variations in dust provenance can indicate changes in dust production, sources and transport pathways as a function of climate variability and land use change. Thus, temporal changes in locations of dust source areas and transport pathways have implications for understanding interactions between mineral dust, global climate, and biogeochemical cycles. This work characterizes dust from areas in the American West known for dust events and/or affected by increasing human settlement and livestock grazing during the last 150 years. Dust generation and uplift from these dust source areas depends on climate and land use practices, and the relative contribution of dust has likely changed since the expansion of industrialization and agriculture into the western United States. We present elemental and isotopic analysis of 28 potential dust source area samples analyzed using Thermal Ionization Mass Spectrometry (TIMS) for 87Sr/86Sr and 143Nd/144Nd composition and Multi-Collector Inductively Coupled Plasma Mass Spectrometer (MC-ICPMS) for 176Hf/177Hf composition, and ICPMS for major and trace element concentrations. We find significant variability in the Sr, Nd, and Hf isotope compositions of potential source areas of dust throughout western North America, ranging from 87Sr/86Sr = 0.703699 to 0.740236, εNd = −26.6 to 2.4, and εHf = −21.7 to −0.1. We also report differences in the trace metal and phosphorus concentrations in the geologic provinces sampled. This research provides an important resource for the geochemical tracing of dust sources and sinks in western North America, and will aid in modeling the biogeochemical impacts of increased dust generation and deposition caused by higher drought frequency and human activity.","author":[{"dropping-particle":"","family":"Aarons","given":"Sarah M.","non-dropping-particle":"","parse-names":false,"suffix":""},{"dropping-particle":"","family":"Blakowski","given":"Molly A.","non-dropping-particle":"","parse-names":false,"suffix":""},{"dropping-particle":"","family":"Aciego","given":"Sarah M.","non-dropping-particle":"","parse-names":false,"suffix":""},{"dropping-particle":"","family":"Stevenson","given":"Emily I.","non-dropping-particle":"","parse-names":false,"suffix":""},{"dropping-particle":"","family":"Sims","given":"Kenneth W.W.","non-dropping-particle":"","parse-names":false,"suffix":""},{"dropping-particle":"","family":"Scott","given":"Sean R.","non-dropping-particle":"","parse-names":false,"suffix":""},{"dropping-particle":"","family":"Aarons","given":"Charles","non-dropping-particle":"","parse-names":false,"suffix":""}],"container-title":"Geochimica et Cosmochimica Acta","id":"ITEM-3","issued":{"date-parts":[["2017"]]},"page":"141-161","publisher":"Elsevier Ltd","title":"Geochemical characterization of critical dust source regions in the American West","type":"article-journal","volume":"215"},"uris":["http://www.mendeley.com/documents/?uuid=5dda710b-08a6-4e3c-94b2-0b88025ff293"]}],"mendeley":{"formattedCitation":"(Aarons et al., 2017; Jardine et al., 2021; Napier et al., 2020)","manualFormatting":"Aarons et al., 2017; Jardine et al., 2021; Napier et al., 2020)","plainTextFormattedCitation":"(Aarons et al., 2017; Jardine et al., 2021; Napier et al., 2020)","previouslyFormattedCitation":"(Aarons et al., 2017; Jardine et al., 2021; Napier et al., 2020)"},"properties":{"noteIndex":0},"schema":"https://github.com/citation-style-language/schema/raw/master/csl-citation.json"}</w:instrText>
      </w:r>
      <w:r w:rsidR="004A2DE8" w:rsidRPr="00247660">
        <w:rPr>
          <w:rFonts w:cstheme="minorHAnsi"/>
        </w:rPr>
        <w:fldChar w:fldCharType="separate"/>
      </w:r>
      <w:r w:rsidR="0096336C" w:rsidRPr="0096336C">
        <w:rPr>
          <w:rFonts w:cstheme="minorHAnsi"/>
          <w:noProof/>
        </w:rPr>
        <w:t>Aarons et al., 2017; Jardine et al., 2021; Napier et al., 2020)</w:t>
      </w:r>
      <w:r w:rsidR="004A2DE8" w:rsidRPr="00247660">
        <w:rPr>
          <w:rFonts w:cstheme="minorHAnsi"/>
        </w:rPr>
        <w:fldChar w:fldCharType="end"/>
      </w:r>
      <w:r w:rsidR="00C9787B" w:rsidRPr="004A2DE8">
        <w:rPr>
          <w:rFonts w:cstheme="minorHAnsi"/>
        </w:rPr>
        <w:t xml:space="preserve"> </w:t>
      </w:r>
      <w:r w:rsidR="00D602B5">
        <w:rPr>
          <w:rFonts w:cstheme="minorHAnsi"/>
        </w:rPr>
        <w:t>and</w:t>
      </w:r>
      <w:r w:rsidR="00D602B5" w:rsidRPr="004A2DE8">
        <w:rPr>
          <w:rFonts w:cstheme="minorHAnsi"/>
        </w:rPr>
        <w:t xml:space="preserve"> </w:t>
      </w:r>
      <w:r w:rsidR="00DD0F3E">
        <w:rPr>
          <w:rFonts w:cstheme="minorHAnsi"/>
        </w:rPr>
        <w:t xml:space="preserve">therefore lie </w:t>
      </w:r>
      <w:r w:rsidR="00D602B5">
        <w:rPr>
          <w:rFonts w:cstheme="minorHAnsi"/>
        </w:rPr>
        <w:t xml:space="preserve">further from </w:t>
      </w:r>
      <w:r w:rsidR="00DD0F3E">
        <w:rPr>
          <w:rFonts w:cstheme="minorHAnsi"/>
        </w:rPr>
        <w:t xml:space="preserve">the </w:t>
      </w:r>
      <w:r w:rsidR="00C9787B">
        <w:rPr>
          <w:rFonts w:cstheme="minorHAnsi"/>
        </w:rPr>
        <w:t xml:space="preserve">modern seawater </w:t>
      </w:r>
      <w:r w:rsidR="001F2328" w:rsidRPr="001F2328">
        <w:rPr>
          <w:rFonts w:cstheme="minorHAnsi"/>
          <w:vertAlign w:val="superscript"/>
        </w:rPr>
        <w:t>87</w:t>
      </w:r>
      <w:r w:rsidR="001F2328" w:rsidRPr="001F2328">
        <w:rPr>
          <w:rFonts w:cstheme="minorHAnsi"/>
        </w:rPr>
        <w:t>Sr/</w:t>
      </w:r>
      <w:r w:rsidR="001F2328" w:rsidRPr="001F2328">
        <w:rPr>
          <w:rFonts w:cstheme="minorHAnsi"/>
          <w:vertAlign w:val="superscript"/>
        </w:rPr>
        <w:t>86</w:t>
      </w:r>
      <w:r w:rsidR="001F2328" w:rsidRPr="001F2328">
        <w:rPr>
          <w:rFonts w:cstheme="minorHAnsi"/>
        </w:rPr>
        <w:t>Sr</w:t>
      </w:r>
      <w:r w:rsidR="001F2328">
        <w:rPr>
          <w:rFonts w:cstheme="minorHAnsi"/>
        </w:rPr>
        <w:t xml:space="preserve"> </w:t>
      </w:r>
      <w:r w:rsidR="00DD0F3E">
        <w:rPr>
          <w:rFonts w:cstheme="minorHAnsi"/>
        </w:rPr>
        <w:t>value (</w:t>
      </w:r>
      <w:r w:rsidR="00763804">
        <w:rPr>
          <w:rFonts w:cstheme="minorHAnsi"/>
        </w:rPr>
        <w:t>Figure 2)</w:t>
      </w:r>
      <w:r w:rsidR="00C9787B">
        <w:rPr>
          <w:rFonts w:cstheme="minorHAnsi"/>
        </w:rPr>
        <w:t>.</w:t>
      </w:r>
      <w:r w:rsidR="00F2147B" w:rsidRPr="003824CA">
        <w:rPr>
          <w:rFonts w:cstheme="minorHAnsi"/>
        </w:rPr>
        <w:t xml:space="preserve"> </w:t>
      </w:r>
      <w:r w:rsidR="00D602B5">
        <w:rPr>
          <w:rFonts w:cstheme="minorHAnsi"/>
        </w:rPr>
        <w:t xml:space="preserve">In other words, the </w:t>
      </w:r>
      <w:r w:rsidR="00AA3F26">
        <w:rPr>
          <w:rFonts w:cstheme="minorHAnsi"/>
        </w:rPr>
        <w:t>contamination</w:t>
      </w:r>
      <w:r w:rsidR="00D602B5">
        <w:rPr>
          <w:rFonts w:cstheme="minorHAnsi"/>
        </w:rPr>
        <w:t xml:space="preserve"> effect of marine barite on </w:t>
      </w:r>
      <w:r w:rsidR="00E869C7">
        <w:rPr>
          <w:rFonts w:cstheme="minorHAnsi"/>
        </w:rPr>
        <w:t>terrigenous</w:t>
      </w:r>
      <w:r w:rsidR="00D602B5">
        <w:rPr>
          <w:rFonts w:cstheme="minorHAnsi"/>
        </w:rPr>
        <w:t xml:space="preserve"> </w:t>
      </w:r>
      <w:r w:rsidR="00D602B5" w:rsidRPr="00507F16">
        <w:rPr>
          <w:rFonts w:cstheme="minorHAnsi"/>
          <w:vertAlign w:val="superscript"/>
        </w:rPr>
        <w:t>87</w:t>
      </w:r>
      <w:r w:rsidR="00D602B5" w:rsidRPr="00507F16">
        <w:rPr>
          <w:rFonts w:cstheme="minorHAnsi"/>
        </w:rPr>
        <w:t>Sr/</w:t>
      </w:r>
      <w:r w:rsidR="00D602B5" w:rsidRPr="00507F16">
        <w:rPr>
          <w:rFonts w:cstheme="minorHAnsi"/>
          <w:vertAlign w:val="superscript"/>
        </w:rPr>
        <w:t>86</w:t>
      </w:r>
      <w:r w:rsidR="00D602B5" w:rsidRPr="00507F16">
        <w:rPr>
          <w:rFonts w:cstheme="minorHAnsi"/>
        </w:rPr>
        <w:t xml:space="preserve">Sr </w:t>
      </w:r>
      <w:r w:rsidR="00D602B5">
        <w:rPr>
          <w:rFonts w:cstheme="minorHAnsi"/>
        </w:rPr>
        <w:t xml:space="preserve">is greater in the North Atlantic Ocean than in the eastern </w:t>
      </w:r>
      <w:r w:rsidR="00EB04B0">
        <w:rPr>
          <w:rFonts w:cstheme="minorHAnsi"/>
        </w:rPr>
        <w:t xml:space="preserve">and equatorial </w:t>
      </w:r>
      <w:r w:rsidR="00D602B5">
        <w:rPr>
          <w:rFonts w:cstheme="minorHAnsi"/>
        </w:rPr>
        <w:t>Pacific Ocean</w:t>
      </w:r>
      <w:r w:rsidR="00EB04B0">
        <w:rPr>
          <w:rFonts w:cstheme="minorHAnsi"/>
        </w:rPr>
        <w:t xml:space="preserve"> because the sources feeding terrigenous supply are </w:t>
      </w:r>
      <w:r w:rsidR="00AA63A2">
        <w:rPr>
          <w:rFonts w:cstheme="minorHAnsi"/>
        </w:rPr>
        <w:t>more radiogenic there</w:t>
      </w:r>
      <w:r w:rsidR="00D602B5">
        <w:rPr>
          <w:rFonts w:cstheme="minorHAnsi"/>
        </w:rPr>
        <w:t>.</w:t>
      </w:r>
      <w:r w:rsidR="00CF0060">
        <w:rPr>
          <w:rFonts w:cstheme="minorHAnsi"/>
        </w:rPr>
        <w:t xml:space="preserve"> For the same reason, </w:t>
      </w:r>
      <w:r w:rsidR="00255789">
        <w:rPr>
          <w:rFonts w:cstheme="minorHAnsi"/>
        </w:rPr>
        <w:t xml:space="preserve">all other things being equal, </w:t>
      </w:r>
      <w:r w:rsidR="00CF0060">
        <w:rPr>
          <w:rFonts w:cstheme="minorHAnsi"/>
        </w:rPr>
        <w:t xml:space="preserve">the potential for barite contamination of the </w:t>
      </w:r>
      <w:r w:rsidR="00E869C7">
        <w:rPr>
          <w:rFonts w:cstheme="minorHAnsi"/>
        </w:rPr>
        <w:t>terrigenous</w:t>
      </w:r>
      <w:r w:rsidR="00CF0060">
        <w:rPr>
          <w:rFonts w:cstheme="minorHAnsi"/>
        </w:rPr>
        <w:t xml:space="preserve"> fraction in the Pacific Ocean is greatest </w:t>
      </w:r>
      <w:r w:rsidR="00255789">
        <w:rPr>
          <w:rFonts w:cstheme="minorHAnsi"/>
        </w:rPr>
        <w:t>at sites situated in</w:t>
      </w:r>
      <w:r w:rsidR="00CF0060">
        <w:rPr>
          <w:rFonts w:cstheme="minorHAnsi"/>
        </w:rPr>
        <w:t xml:space="preserve"> the North Pacific where windblown transport is dominated by the Asian dust plume (</w:t>
      </w:r>
      <w:r w:rsidR="00255789">
        <w:rPr>
          <w:rFonts w:cstheme="minorHAnsi"/>
        </w:rPr>
        <w:t>Hyeong et al., 201</w:t>
      </w:r>
      <w:r w:rsidR="001A2524">
        <w:rPr>
          <w:rFonts w:cstheme="minorHAnsi"/>
        </w:rPr>
        <w:t>6</w:t>
      </w:r>
      <w:r w:rsidR="00255789">
        <w:rPr>
          <w:rFonts w:cstheme="minorHAnsi"/>
        </w:rPr>
        <w:t xml:space="preserve">; </w:t>
      </w:r>
      <w:r w:rsidR="00CF0060">
        <w:rPr>
          <w:rFonts w:cstheme="minorHAnsi"/>
        </w:rPr>
        <w:t>Figure 2).</w:t>
      </w:r>
      <w:r w:rsidR="008060B2">
        <w:rPr>
          <w:rFonts w:cstheme="minorHAnsi"/>
        </w:rPr>
        <w:t xml:space="preserve"> The same phenomenon </w:t>
      </w:r>
      <w:r w:rsidR="006F1891">
        <w:rPr>
          <w:rFonts w:cstheme="minorHAnsi"/>
        </w:rPr>
        <w:t>can be seen</w:t>
      </w:r>
      <w:r w:rsidR="008060B2">
        <w:rPr>
          <w:rFonts w:cstheme="minorHAnsi"/>
        </w:rPr>
        <w:t xml:space="preserve"> in the </w:t>
      </w:r>
      <w:r w:rsidR="00C4253D">
        <w:rPr>
          <w:rFonts w:cstheme="minorHAnsi"/>
        </w:rPr>
        <w:t xml:space="preserve">Eastern </w:t>
      </w:r>
      <w:r w:rsidR="008060B2">
        <w:rPr>
          <w:rFonts w:cstheme="minorHAnsi"/>
        </w:rPr>
        <w:t xml:space="preserve">Mediterranean (Wu et al., 2021). Marine sediments in the </w:t>
      </w:r>
      <w:r w:rsidR="00C4253D">
        <w:rPr>
          <w:rFonts w:cstheme="minorHAnsi"/>
        </w:rPr>
        <w:t>Gulf of Sirte</w:t>
      </w:r>
      <w:r w:rsidR="00255789">
        <w:rPr>
          <w:rFonts w:cstheme="minorHAnsi"/>
        </w:rPr>
        <w:t>,</w:t>
      </w:r>
      <w:r w:rsidR="00C4253D">
        <w:rPr>
          <w:rFonts w:cstheme="minorHAnsi"/>
        </w:rPr>
        <w:t xml:space="preserve"> </w:t>
      </w:r>
      <w:r w:rsidR="008060B2">
        <w:rPr>
          <w:rFonts w:cstheme="minorHAnsi"/>
        </w:rPr>
        <w:t xml:space="preserve">which receive terrigenous </w:t>
      </w:r>
      <w:r w:rsidR="008060B2">
        <w:rPr>
          <w:rFonts w:cstheme="minorHAnsi"/>
        </w:rPr>
        <w:lastRenderedPageBreak/>
        <w:t xml:space="preserve">material mainly from </w:t>
      </w:r>
      <w:r w:rsidR="006F1891">
        <w:rPr>
          <w:rFonts w:cstheme="minorHAnsi"/>
        </w:rPr>
        <w:t xml:space="preserve">the Western </w:t>
      </w:r>
      <w:r w:rsidR="008060B2">
        <w:rPr>
          <w:rFonts w:cstheme="minorHAnsi"/>
        </w:rPr>
        <w:t>Sahara</w:t>
      </w:r>
      <w:r w:rsidR="006F1891">
        <w:rPr>
          <w:rFonts w:cstheme="minorHAnsi"/>
        </w:rPr>
        <w:t>n preferential dust source area</w:t>
      </w:r>
      <w:r w:rsidR="008060B2">
        <w:rPr>
          <w:rFonts w:cstheme="minorHAnsi"/>
        </w:rPr>
        <w:t xml:space="preserve"> </w:t>
      </w:r>
      <w:r w:rsidR="006F1891">
        <w:rPr>
          <w:rFonts w:cstheme="minorHAnsi"/>
        </w:rPr>
        <w:t>(PSA) (</w:t>
      </w:r>
      <w:r w:rsidR="00B619BD" w:rsidRPr="00B619BD">
        <w:rPr>
          <w:rFonts w:cstheme="minorHAnsi"/>
          <w:vertAlign w:val="superscript"/>
        </w:rPr>
        <w:t>87</w:t>
      </w:r>
      <w:r w:rsidR="00B619BD" w:rsidRPr="00B619BD">
        <w:rPr>
          <w:rFonts w:cstheme="minorHAnsi"/>
        </w:rPr>
        <w:t>Sr/</w:t>
      </w:r>
      <w:r w:rsidR="00B619BD" w:rsidRPr="00B619BD">
        <w:rPr>
          <w:rFonts w:cstheme="minorHAnsi"/>
          <w:vertAlign w:val="superscript"/>
        </w:rPr>
        <w:t>86</w:t>
      </w:r>
      <w:r w:rsidR="00B619BD" w:rsidRPr="00B619BD">
        <w:rPr>
          <w:rFonts w:cstheme="minorHAnsi"/>
        </w:rPr>
        <w:t>Sr</w:t>
      </w:r>
      <w:r w:rsidR="00B619BD">
        <w:rPr>
          <w:rFonts w:cstheme="minorHAnsi"/>
        </w:rPr>
        <w:t xml:space="preserve"> </w:t>
      </w:r>
      <w:r w:rsidR="006F1891">
        <w:rPr>
          <w:rFonts w:cstheme="minorHAnsi"/>
        </w:rPr>
        <w:t>0.7</w:t>
      </w:r>
      <w:r w:rsidR="00B619BD">
        <w:rPr>
          <w:rFonts w:cstheme="minorHAnsi"/>
        </w:rPr>
        <w:t>279</w:t>
      </w:r>
      <w:r w:rsidR="006F1891">
        <w:rPr>
          <w:rFonts w:cstheme="minorHAnsi"/>
        </w:rPr>
        <w:t xml:space="preserve"> </w:t>
      </w:r>
      <w:r w:rsidR="00B619BD">
        <w:rPr>
          <w:rFonts w:cstheme="minorHAnsi"/>
        </w:rPr>
        <w:t>± 0.0052,</w:t>
      </w:r>
      <w:r w:rsidR="006F1891">
        <w:rPr>
          <w:rFonts w:cstheme="minorHAnsi"/>
        </w:rPr>
        <w:t xml:space="preserve"> Jewell et al., 2020</w:t>
      </w:r>
      <w:r w:rsidR="008060B2">
        <w:rPr>
          <w:rFonts w:cstheme="minorHAnsi"/>
        </w:rPr>
        <w:t>) are more affected by barite contamination than marine sediments in the east</w:t>
      </w:r>
      <w:r w:rsidR="006F1891">
        <w:rPr>
          <w:rFonts w:cstheme="minorHAnsi"/>
        </w:rPr>
        <w:t>ern</w:t>
      </w:r>
      <w:r w:rsidR="00C4253D">
        <w:rPr>
          <w:rFonts w:cstheme="minorHAnsi"/>
        </w:rPr>
        <w:t>most</w:t>
      </w:r>
      <w:r w:rsidR="006F1891">
        <w:rPr>
          <w:rFonts w:cstheme="minorHAnsi"/>
        </w:rPr>
        <w:t xml:space="preserve"> Mediterranean</w:t>
      </w:r>
      <w:r w:rsidR="008060B2">
        <w:rPr>
          <w:rFonts w:cstheme="minorHAnsi"/>
        </w:rPr>
        <w:t xml:space="preserve"> which are fed by </w:t>
      </w:r>
      <w:r w:rsidR="006F1891">
        <w:rPr>
          <w:rFonts w:cstheme="minorHAnsi"/>
        </w:rPr>
        <w:t>non</w:t>
      </w:r>
      <w:r w:rsidR="005302E1">
        <w:rPr>
          <w:rFonts w:cstheme="minorHAnsi"/>
        </w:rPr>
        <w:t>-</w:t>
      </w:r>
      <w:r w:rsidR="006F1891">
        <w:rPr>
          <w:rFonts w:cstheme="minorHAnsi"/>
        </w:rPr>
        <w:t xml:space="preserve">radiogenic </w:t>
      </w:r>
      <w:r w:rsidR="008C6823">
        <w:rPr>
          <w:rFonts w:cstheme="minorHAnsi"/>
        </w:rPr>
        <w:t xml:space="preserve">strontium </w:t>
      </w:r>
      <w:r w:rsidR="005302E1">
        <w:rPr>
          <w:rFonts w:cstheme="minorHAnsi"/>
        </w:rPr>
        <w:t xml:space="preserve">(&lt; 0.712) down the River </w:t>
      </w:r>
      <w:r w:rsidR="00255789">
        <w:rPr>
          <w:rFonts w:cstheme="minorHAnsi"/>
        </w:rPr>
        <w:t xml:space="preserve">Nile </w:t>
      </w:r>
      <w:r w:rsidR="005302E1">
        <w:rPr>
          <w:rFonts w:cstheme="minorHAnsi"/>
        </w:rPr>
        <w:t>(W</w:t>
      </w:r>
      <w:r w:rsidR="00B619BD">
        <w:rPr>
          <w:rFonts w:cstheme="minorHAnsi"/>
        </w:rPr>
        <w:t>e</w:t>
      </w:r>
      <w:r w:rsidR="005302E1">
        <w:rPr>
          <w:rFonts w:cstheme="minorHAnsi"/>
        </w:rPr>
        <w:t>ldeab et al., 200</w:t>
      </w:r>
      <w:r w:rsidR="006D049D">
        <w:rPr>
          <w:rFonts w:cstheme="minorHAnsi"/>
        </w:rPr>
        <w:t>2</w:t>
      </w:r>
      <w:r w:rsidR="005302E1">
        <w:rPr>
          <w:rFonts w:cstheme="minorHAnsi"/>
        </w:rPr>
        <w:t xml:space="preserve">) and </w:t>
      </w:r>
      <w:r w:rsidR="007350FC">
        <w:rPr>
          <w:rFonts w:cstheme="minorHAnsi"/>
        </w:rPr>
        <w:t xml:space="preserve">from </w:t>
      </w:r>
      <w:r w:rsidR="005302E1">
        <w:rPr>
          <w:rFonts w:cstheme="minorHAnsi"/>
        </w:rPr>
        <w:t xml:space="preserve">the </w:t>
      </w:r>
      <w:r w:rsidR="006F1891">
        <w:rPr>
          <w:rFonts w:cstheme="minorHAnsi"/>
        </w:rPr>
        <w:t xml:space="preserve">Eastern Saharan PSA </w:t>
      </w:r>
      <w:r w:rsidR="008060B2">
        <w:rPr>
          <w:rFonts w:cstheme="minorHAnsi"/>
        </w:rPr>
        <w:t>(</w:t>
      </w:r>
      <w:r w:rsidR="005302E1">
        <w:rPr>
          <w:rFonts w:cstheme="minorHAnsi"/>
        </w:rPr>
        <w:t>Jewell et al., 2020).</w:t>
      </w:r>
    </w:p>
    <w:tbl>
      <w:tblPr>
        <w:tblStyle w:val="TableGrid"/>
        <w:tblpPr w:leftFromText="180" w:rightFromText="180" w:vertAnchor="page" w:horzAnchor="margin" w:tblpY="45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0"/>
      </w:tblGrid>
      <w:tr w:rsidR="005E3B5E" w14:paraId="42796C49" w14:textId="77777777" w:rsidTr="004906E8">
        <w:tc>
          <w:tcPr>
            <w:tcW w:w="9740" w:type="dxa"/>
          </w:tcPr>
          <w:p w14:paraId="1FCE254B" w14:textId="77777777" w:rsidR="005E3B5E" w:rsidRDefault="005E3B5E" w:rsidP="006D049D">
            <w:pPr>
              <w:jc w:val="center"/>
            </w:pPr>
            <w:r w:rsidRPr="00B7148C">
              <w:rPr>
                <w:noProof/>
                <w:lang w:val="en-US"/>
              </w:rPr>
              <w:drawing>
                <wp:inline distT="0" distB="0" distL="0" distR="0" wp14:anchorId="4DF524C3" wp14:editId="50902315">
                  <wp:extent cx="4590917" cy="3279227"/>
                  <wp:effectExtent l="0" t="0" r="0" b="0"/>
                  <wp:docPr id="11" name="Picture 1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scatter chart&#10;&#10;Description automatically generated"/>
                          <pic:cNvPicPr/>
                        </pic:nvPicPr>
                        <pic:blipFill>
                          <a:blip r:embed="rId15"/>
                          <a:stretch>
                            <a:fillRect/>
                          </a:stretch>
                        </pic:blipFill>
                        <pic:spPr>
                          <a:xfrm>
                            <a:off x="0" y="0"/>
                            <a:ext cx="4596499" cy="3283214"/>
                          </a:xfrm>
                          <a:prstGeom prst="rect">
                            <a:avLst/>
                          </a:prstGeom>
                        </pic:spPr>
                      </pic:pic>
                    </a:graphicData>
                  </a:graphic>
                </wp:inline>
              </w:drawing>
            </w:r>
          </w:p>
        </w:tc>
      </w:tr>
      <w:tr w:rsidR="005E3B5E" w14:paraId="7F67D8CD" w14:textId="77777777" w:rsidTr="004906E8">
        <w:tc>
          <w:tcPr>
            <w:tcW w:w="9740" w:type="dxa"/>
          </w:tcPr>
          <w:p w14:paraId="473C15A5" w14:textId="77777777" w:rsidR="005E3B5E" w:rsidRPr="001921C8" w:rsidRDefault="005E3B5E" w:rsidP="006D049D">
            <w:r w:rsidRPr="0019349B">
              <w:rPr>
                <w:b/>
                <w:bCs/>
                <w:sz w:val="22"/>
                <w:szCs w:val="22"/>
              </w:rPr>
              <w:t xml:space="preserve">Figure </w:t>
            </w:r>
            <w:r>
              <w:rPr>
                <w:b/>
                <w:bCs/>
                <w:sz w:val="22"/>
                <w:szCs w:val="22"/>
              </w:rPr>
              <w:t>5</w:t>
            </w:r>
            <w:r w:rsidRPr="0019349B">
              <w:rPr>
                <w:b/>
                <w:bCs/>
                <w:sz w:val="22"/>
                <w:szCs w:val="22"/>
              </w:rPr>
              <w:t xml:space="preserve"> - Strong relationship between proportion of the Ba removed from </w:t>
            </w:r>
            <w:r>
              <w:rPr>
                <w:b/>
                <w:bCs/>
                <w:sz w:val="22"/>
                <w:szCs w:val="22"/>
              </w:rPr>
              <w:t xml:space="preserve">sediment </w:t>
            </w:r>
            <w:r w:rsidRPr="0019349B">
              <w:rPr>
                <w:b/>
                <w:bCs/>
                <w:sz w:val="22"/>
                <w:szCs w:val="22"/>
              </w:rPr>
              <w:t>samples by the first DTPA</w:t>
            </w:r>
            <w:r>
              <w:rPr>
                <w:b/>
                <w:bCs/>
                <w:sz w:val="22"/>
                <w:szCs w:val="22"/>
              </w:rPr>
              <w:t>-NaOH</w:t>
            </w:r>
            <w:r w:rsidRPr="0019349B">
              <w:rPr>
                <w:b/>
                <w:bCs/>
                <w:sz w:val="22"/>
                <w:szCs w:val="22"/>
              </w:rPr>
              <w:t xml:space="preserve"> </w:t>
            </w:r>
            <w:r>
              <w:rPr>
                <w:b/>
                <w:bCs/>
                <w:sz w:val="22"/>
                <w:szCs w:val="22"/>
              </w:rPr>
              <w:t>treatment</w:t>
            </w:r>
            <w:r w:rsidRPr="0019349B">
              <w:rPr>
                <w:b/>
                <w:bCs/>
                <w:sz w:val="22"/>
                <w:szCs w:val="22"/>
              </w:rPr>
              <w:t xml:space="preserve"> and the corresponding change in </w:t>
            </w:r>
            <w:r w:rsidRPr="0019349B">
              <w:rPr>
                <w:b/>
                <w:bCs/>
                <w:sz w:val="22"/>
                <w:szCs w:val="22"/>
                <w:vertAlign w:val="superscript"/>
              </w:rPr>
              <w:t>87</w:t>
            </w:r>
            <w:r w:rsidRPr="0019349B">
              <w:rPr>
                <w:b/>
                <w:bCs/>
                <w:sz w:val="22"/>
                <w:szCs w:val="22"/>
              </w:rPr>
              <w:t>Sr/</w:t>
            </w:r>
            <w:r w:rsidRPr="0019349B">
              <w:rPr>
                <w:b/>
                <w:bCs/>
                <w:sz w:val="22"/>
                <w:szCs w:val="22"/>
                <w:vertAlign w:val="superscript"/>
              </w:rPr>
              <w:t>86</w:t>
            </w:r>
            <w:r w:rsidRPr="0019349B">
              <w:rPr>
                <w:b/>
                <w:bCs/>
                <w:sz w:val="22"/>
                <w:szCs w:val="22"/>
              </w:rPr>
              <w:t xml:space="preserve">Sr. </w:t>
            </w:r>
            <w:r w:rsidRPr="00EE367B">
              <w:rPr>
                <w:bCs/>
                <w:sz w:val="22"/>
                <w:szCs w:val="22"/>
              </w:rPr>
              <w:t xml:space="preserve">Samples from </w:t>
            </w:r>
            <w:r w:rsidRPr="00230C02">
              <w:rPr>
                <w:sz w:val="22"/>
                <w:szCs w:val="22"/>
              </w:rPr>
              <w:t xml:space="preserve">ODP Site 662 in blue, Site 1016 </w:t>
            </w:r>
            <w:r w:rsidRPr="001D0589">
              <w:rPr>
                <w:sz w:val="22"/>
                <w:szCs w:val="22"/>
              </w:rPr>
              <w:t>in red.</w:t>
            </w:r>
            <w:r>
              <w:rPr>
                <w:sz w:val="22"/>
                <w:szCs w:val="22"/>
              </w:rPr>
              <w:t xml:space="preserve"> Sample Identifiers shown by labels. </w:t>
            </w:r>
            <w:r w:rsidRPr="004906E8">
              <w:rPr>
                <w:sz w:val="22"/>
                <w:szCs w:val="22"/>
              </w:rPr>
              <w:t>A: 662A 1H 1W 101-105cm, B: 662B 1H 4W 93-95cm, C: 662B 1H 5W 14-16cm, D: 662B 8H 4W 108-110cm, E: 662A 20H 2W 80-82cm, 1016: 1016B 2H 3W 90-92cm.</w:t>
            </w:r>
          </w:p>
          <w:p w14:paraId="67172EB6" w14:textId="77777777" w:rsidR="005E3B5E" w:rsidRPr="00BC37A3" w:rsidRDefault="005E3B5E" w:rsidP="006D049D">
            <w:pPr>
              <w:jc w:val="both"/>
            </w:pPr>
          </w:p>
        </w:tc>
      </w:tr>
    </w:tbl>
    <w:p w14:paraId="5A090B22" w14:textId="77777777" w:rsidR="00F76C49" w:rsidRDefault="00F76C49" w:rsidP="00A73E7A">
      <w:pPr>
        <w:spacing w:line="480" w:lineRule="auto"/>
        <w:jc w:val="both"/>
        <w:rPr>
          <w:rFonts w:cstheme="minorHAnsi"/>
        </w:rPr>
      </w:pPr>
    </w:p>
    <w:p w14:paraId="27FCFFA7" w14:textId="77777777" w:rsidR="00F76C49" w:rsidRDefault="00F76C49" w:rsidP="00A73E7A">
      <w:pPr>
        <w:spacing w:line="480" w:lineRule="auto"/>
        <w:jc w:val="both"/>
        <w:rPr>
          <w:rFonts w:cstheme="minorHAnsi"/>
        </w:rPr>
      </w:pPr>
    </w:p>
    <w:p w14:paraId="2FE87D84" w14:textId="77777777" w:rsidR="00DE51FC" w:rsidRDefault="00DE51FC" w:rsidP="00A73E7A">
      <w:pPr>
        <w:spacing w:line="48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0"/>
      </w:tblGrid>
      <w:tr w:rsidR="00DE51FC" w14:paraId="4E77B0B1" w14:textId="77777777" w:rsidTr="00DB6666">
        <w:tc>
          <w:tcPr>
            <w:tcW w:w="10224" w:type="dxa"/>
          </w:tcPr>
          <w:p w14:paraId="0523EE40" w14:textId="77777777" w:rsidR="00DE51FC" w:rsidRDefault="00DE51FC" w:rsidP="00DB6666">
            <w:pPr>
              <w:jc w:val="center"/>
            </w:pPr>
            <w:r>
              <w:rPr>
                <w:noProof/>
                <w:lang w:val="en-US"/>
              </w:rPr>
              <w:lastRenderedPageBreak/>
              <w:drawing>
                <wp:inline distT="0" distB="0" distL="0" distR="0" wp14:anchorId="784EE607" wp14:editId="05DB9042">
                  <wp:extent cx="4024545" cy="333355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stretch>
                            <a:fillRect/>
                          </a:stretch>
                        </pic:blipFill>
                        <pic:spPr>
                          <a:xfrm>
                            <a:off x="0" y="0"/>
                            <a:ext cx="4024545" cy="3333555"/>
                          </a:xfrm>
                          <a:prstGeom prst="rect">
                            <a:avLst/>
                          </a:prstGeom>
                        </pic:spPr>
                      </pic:pic>
                    </a:graphicData>
                  </a:graphic>
                </wp:inline>
              </w:drawing>
            </w:r>
          </w:p>
        </w:tc>
      </w:tr>
      <w:tr w:rsidR="00DE51FC" w14:paraId="190DAC50" w14:textId="77777777" w:rsidTr="00DB6666">
        <w:tc>
          <w:tcPr>
            <w:tcW w:w="10224" w:type="dxa"/>
          </w:tcPr>
          <w:p w14:paraId="60C24CEB" w14:textId="5464031B" w:rsidR="00DE51FC" w:rsidRDefault="00DE51FC" w:rsidP="004906E8">
            <w:r w:rsidRPr="0019349B">
              <w:rPr>
                <w:b/>
                <w:bCs/>
                <w:sz w:val="22"/>
                <w:szCs w:val="22"/>
              </w:rPr>
              <w:t xml:space="preserve">Figure </w:t>
            </w:r>
            <w:r w:rsidR="00F76C49">
              <w:rPr>
                <w:b/>
                <w:bCs/>
                <w:sz w:val="22"/>
                <w:szCs w:val="22"/>
              </w:rPr>
              <w:t>6</w:t>
            </w:r>
            <w:r w:rsidRPr="0019349B">
              <w:rPr>
                <w:b/>
                <w:bCs/>
                <w:sz w:val="22"/>
                <w:szCs w:val="22"/>
              </w:rPr>
              <w:t xml:space="preserve"> </w:t>
            </w:r>
            <w:r w:rsidR="00BE3407">
              <w:rPr>
                <w:b/>
                <w:bCs/>
                <w:sz w:val="22"/>
                <w:szCs w:val="22"/>
              </w:rPr>
              <w:t>–</w:t>
            </w:r>
            <w:r w:rsidRPr="0019349B">
              <w:rPr>
                <w:sz w:val="22"/>
                <w:szCs w:val="22"/>
              </w:rPr>
              <w:t xml:space="preserve"> </w:t>
            </w:r>
            <w:r w:rsidR="00BE3407" w:rsidRPr="00EE367B">
              <w:rPr>
                <w:b/>
                <w:sz w:val="22"/>
                <w:szCs w:val="22"/>
              </w:rPr>
              <w:t xml:space="preserve">Measured </w:t>
            </w:r>
            <w:r w:rsidR="00BE3407">
              <w:rPr>
                <w:b/>
                <w:sz w:val="22"/>
                <w:szCs w:val="22"/>
              </w:rPr>
              <w:t>versus</w:t>
            </w:r>
            <w:r w:rsidR="00BE3407" w:rsidRPr="00EE367B">
              <w:rPr>
                <w:b/>
                <w:sz w:val="22"/>
                <w:szCs w:val="22"/>
              </w:rPr>
              <w:t xml:space="preserve"> calculated</w:t>
            </w:r>
            <w:r w:rsidR="00BE3407">
              <w:rPr>
                <w:sz w:val="22"/>
                <w:szCs w:val="22"/>
              </w:rPr>
              <w:t xml:space="preserve"> </w:t>
            </w:r>
            <w:r w:rsidRPr="0019349B">
              <w:rPr>
                <w:b/>
                <w:bCs/>
                <w:sz w:val="22"/>
                <w:szCs w:val="22"/>
              </w:rPr>
              <w:t>Sr isotope composition of the contaminated sample (</w:t>
            </w:r>
            <w:r w:rsidR="00E42301">
              <w:rPr>
                <w:b/>
                <w:bCs/>
                <w:sz w:val="22"/>
                <w:szCs w:val="22"/>
              </w:rPr>
              <w:t xml:space="preserve">calculated value </w:t>
            </w:r>
            <w:r w:rsidRPr="0019349B">
              <w:rPr>
                <w:b/>
                <w:bCs/>
                <w:sz w:val="22"/>
                <w:szCs w:val="22"/>
              </w:rPr>
              <w:t xml:space="preserve">determined by </w:t>
            </w:r>
            <w:r w:rsidR="00E42301">
              <w:rPr>
                <w:b/>
                <w:bCs/>
                <w:sz w:val="22"/>
                <w:szCs w:val="22"/>
              </w:rPr>
              <w:t xml:space="preserve">equation </w:t>
            </w:r>
            <w:r w:rsidR="00EE367B">
              <w:rPr>
                <w:b/>
                <w:bCs/>
                <w:sz w:val="22"/>
                <w:szCs w:val="22"/>
              </w:rPr>
              <w:t>2</w:t>
            </w:r>
            <w:r w:rsidRPr="0019349B">
              <w:rPr>
                <w:b/>
                <w:bCs/>
                <w:sz w:val="22"/>
                <w:szCs w:val="22"/>
              </w:rPr>
              <w:t xml:space="preserve">). </w:t>
            </w:r>
            <w:r w:rsidRPr="0019349B">
              <w:rPr>
                <w:sz w:val="22"/>
                <w:szCs w:val="22"/>
              </w:rPr>
              <w:t xml:space="preserve">Samples from ODP Site 662 shown in blue, Site 1016 in red. </w:t>
            </w:r>
            <w:r w:rsidR="00195F92">
              <w:rPr>
                <w:sz w:val="22"/>
                <w:szCs w:val="22"/>
              </w:rPr>
              <w:t xml:space="preserve">Sample Identifiers shown by labels. </w:t>
            </w:r>
            <w:r w:rsidR="00195F92" w:rsidRPr="00F52DA8">
              <w:rPr>
                <w:sz w:val="22"/>
                <w:szCs w:val="22"/>
              </w:rPr>
              <w:t>A: 662A 1H 1W 101-105cm, B: 662B 1H 4W 93-95cm, C: 662B 1H 5W 14-16cm, D: 662B 8H 4W 108-110cm, E: 662A 20H 2W 80-82cm, 1016: 1016B 2H 3W 90-92cm.</w:t>
            </w:r>
            <w:r w:rsidR="00295682">
              <w:rPr>
                <w:sz w:val="22"/>
                <w:szCs w:val="22"/>
              </w:rPr>
              <w:t xml:space="preserve"> </w:t>
            </w:r>
            <w:r w:rsidR="00BE3407">
              <w:rPr>
                <w:sz w:val="22"/>
                <w:szCs w:val="22"/>
              </w:rPr>
              <w:t xml:space="preserve">1:1 line </w:t>
            </w:r>
            <w:r w:rsidR="00171C23">
              <w:rPr>
                <w:sz w:val="22"/>
                <w:szCs w:val="22"/>
              </w:rPr>
              <w:t xml:space="preserve">also </w:t>
            </w:r>
            <w:r w:rsidR="00BE3407">
              <w:rPr>
                <w:sz w:val="22"/>
                <w:szCs w:val="22"/>
              </w:rPr>
              <w:t>shown.</w:t>
            </w:r>
          </w:p>
        </w:tc>
      </w:tr>
    </w:tbl>
    <w:p w14:paraId="3C9843D7" w14:textId="77777777" w:rsidR="00691D05" w:rsidRDefault="00691D05" w:rsidP="00691D05">
      <w:pPr>
        <w:spacing w:line="480" w:lineRule="auto"/>
        <w:jc w:val="both"/>
        <w:rPr>
          <w:rFonts w:cstheme="minorHAnsi"/>
        </w:rPr>
      </w:pPr>
    </w:p>
    <w:p w14:paraId="386F7396" w14:textId="718B65EE" w:rsidR="0071264B" w:rsidRDefault="00171C23" w:rsidP="0071264B">
      <w:pPr>
        <w:spacing w:line="480" w:lineRule="auto"/>
        <w:jc w:val="both"/>
        <w:rPr>
          <w:rFonts w:cstheme="minorHAnsi"/>
        </w:rPr>
      </w:pPr>
      <w:r>
        <w:rPr>
          <w:rFonts w:cstheme="minorHAnsi"/>
        </w:rPr>
        <w:t xml:space="preserve">We calculated the expected </w:t>
      </w:r>
      <w:r w:rsidRPr="00C920D5">
        <w:rPr>
          <w:rFonts w:cstheme="minorHAnsi"/>
          <w:vertAlign w:val="superscript"/>
        </w:rPr>
        <w:t>87</w:t>
      </w:r>
      <w:r w:rsidRPr="00C920D5">
        <w:rPr>
          <w:rFonts w:cstheme="minorHAnsi"/>
        </w:rPr>
        <w:t>Sr/</w:t>
      </w:r>
      <w:r w:rsidRPr="00C920D5">
        <w:rPr>
          <w:rFonts w:cstheme="minorHAnsi"/>
          <w:vertAlign w:val="superscript"/>
        </w:rPr>
        <w:t>86</w:t>
      </w:r>
      <w:r w:rsidRPr="00C920D5">
        <w:rPr>
          <w:rFonts w:cstheme="minorHAnsi"/>
        </w:rPr>
        <w:t>Sr</w:t>
      </w:r>
      <w:r>
        <w:rPr>
          <w:rFonts w:cstheme="minorHAnsi"/>
        </w:rPr>
        <w:t xml:space="preserve"> of the barite-contaminated </w:t>
      </w:r>
      <w:r w:rsidR="00946CF9">
        <w:rPr>
          <w:rFonts w:cstheme="minorHAnsi"/>
        </w:rPr>
        <w:t xml:space="preserve">terrigenous </w:t>
      </w:r>
      <w:r>
        <w:rPr>
          <w:rFonts w:cstheme="minorHAnsi"/>
        </w:rPr>
        <w:t>fraction using the measured</w:t>
      </w:r>
      <w:r w:rsidR="005E1E71">
        <w:rPr>
          <w:rFonts w:cstheme="minorHAnsi"/>
        </w:rPr>
        <w:t xml:space="preserve"> terrigenous</w:t>
      </w:r>
      <w:r>
        <w:rPr>
          <w:rFonts w:cstheme="minorHAnsi"/>
        </w:rPr>
        <w:t xml:space="preserve"> </w:t>
      </w:r>
      <w:r w:rsidRPr="00155C4D">
        <w:rPr>
          <w:rFonts w:cstheme="minorHAnsi"/>
          <w:vertAlign w:val="superscript"/>
        </w:rPr>
        <w:t>87</w:t>
      </w:r>
      <w:r w:rsidRPr="00155C4D">
        <w:rPr>
          <w:rFonts w:cstheme="minorHAnsi"/>
        </w:rPr>
        <w:t>Sr/</w:t>
      </w:r>
      <w:r w:rsidRPr="00155C4D">
        <w:rPr>
          <w:rFonts w:cstheme="minorHAnsi"/>
          <w:vertAlign w:val="superscript"/>
        </w:rPr>
        <w:t>86</w:t>
      </w:r>
      <w:r w:rsidRPr="00155C4D">
        <w:rPr>
          <w:rFonts w:cstheme="minorHAnsi"/>
        </w:rPr>
        <w:t>Sr</w:t>
      </w:r>
      <w:r>
        <w:rPr>
          <w:rFonts w:cstheme="minorHAnsi"/>
        </w:rPr>
        <w:t xml:space="preserve"> value following the final DTPA-NaOH </w:t>
      </w:r>
      <w:r w:rsidR="005E1E71">
        <w:rPr>
          <w:rFonts w:cstheme="minorHAnsi"/>
        </w:rPr>
        <w:t>treatment</w:t>
      </w:r>
      <w:r>
        <w:rPr>
          <w:rFonts w:cstheme="minorHAnsi"/>
        </w:rPr>
        <w:t xml:space="preserve"> </w:t>
      </w:r>
      <w:r w:rsidR="00297356">
        <w:rPr>
          <w:rFonts w:cstheme="minorHAnsi"/>
        </w:rPr>
        <w:t xml:space="preserve">to represent </w:t>
      </w:r>
      <w:r>
        <w:rPr>
          <w:rFonts w:cstheme="minorHAnsi"/>
        </w:rPr>
        <w:t xml:space="preserve">the terrestrial </w:t>
      </w:r>
      <w:r w:rsidRPr="00155C4D">
        <w:rPr>
          <w:rFonts w:cstheme="minorHAnsi"/>
          <w:vertAlign w:val="superscript"/>
        </w:rPr>
        <w:t>87</w:t>
      </w:r>
      <w:r w:rsidRPr="00155C4D">
        <w:rPr>
          <w:rFonts w:cstheme="minorHAnsi"/>
        </w:rPr>
        <w:t>Sr/</w:t>
      </w:r>
      <w:r w:rsidRPr="00155C4D">
        <w:rPr>
          <w:rFonts w:cstheme="minorHAnsi"/>
          <w:vertAlign w:val="superscript"/>
        </w:rPr>
        <w:t>86</w:t>
      </w:r>
      <w:r w:rsidRPr="00155C4D">
        <w:rPr>
          <w:rFonts w:cstheme="minorHAnsi"/>
        </w:rPr>
        <w:t>Sr</w:t>
      </w:r>
      <w:r>
        <w:rPr>
          <w:rFonts w:cstheme="minorHAnsi"/>
        </w:rPr>
        <w:t xml:space="preserve"> endmember</w:t>
      </w:r>
      <w:r w:rsidR="00EE367B">
        <w:rPr>
          <w:rFonts w:cstheme="minorHAnsi"/>
        </w:rPr>
        <w:t xml:space="preserve"> </w:t>
      </w:r>
      <w:r w:rsidR="005E1E71">
        <w:rPr>
          <w:rFonts w:cstheme="minorHAnsi"/>
        </w:rPr>
        <w:t xml:space="preserve">and </w:t>
      </w:r>
      <w:r w:rsidR="00297356">
        <w:rPr>
          <w:rFonts w:cstheme="minorHAnsi"/>
        </w:rPr>
        <w:t xml:space="preserve">by </w:t>
      </w:r>
      <w:r w:rsidR="005E1E71">
        <w:rPr>
          <w:rFonts w:cstheme="minorHAnsi"/>
        </w:rPr>
        <w:t xml:space="preserve">assuming all the Sr removed has the </w:t>
      </w:r>
      <w:r w:rsidR="005E1E71" w:rsidRPr="005E1E71">
        <w:rPr>
          <w:rFonts w:cstheme="minorHAnsi"/>
          <w:vertAlign w:val="superscript"/>
        </w:rPr>
        <w:t>87</w:t>
      </w:r>
      <w:r w:rsidR="005E1E71" w:rsidRPr="005E1E71">
        <w:rPr>
          <w:rFonts w:cstheme="minorHAnsi"/>
        </w:rPr>
        <w:t>Sr/</w:t>
      </w:r>
      <w:r w:rsidR="005E1E71" w:rsidRPr="005E1E71">
        <w:rPr>
          <w:rFonts w:cstheme="minorHAnsi"/>
          <w:vertAlign w:val="superscript"/>
        </w:rPr>
        <w:t>86</w:t>
      </w:r>
      <w:r w:rsidR="005E1E71" w:rsidRPr="005E1E71">
        <w:rPr>
          <w:rFonts w:cstheme="minorHAnsi"/>
        </w:rPr>
        <w:t>Sr</w:t>
      </w:r>
      <w:r w:rsidR="005E1E71">
        <w:rPr>
          <w:rFonts w:cstheme="minorHAnsi"/>
        </w:rPr>
        <w:t xml:space="preserve"> </w:t>
      </w:r>
      <w:r w:rsidR="000B3E5D">
        <w:rPr>
          <w:rFonts w:cstheme="minorHAnsi"/>
        </w:rPr>
        <w:t>composition</w:t>
      </w:r>
      <w:r w:rsidR="005E1E71">
        <w:rPr>
          <w:rFonts w:cstheme="minorHAnsi"/>
        </w:rPr>
        <w:t xml:space="preserve"> of modern seawater (0.709175) </w:t>
      </w:r>
      <w:r w:rsidR="00EE367B">
        <w:rPr>
          <w:rFonts w:cstheme="minorHAnsi"/>
        </w:rPr>
        <w:t>(equation 2)</w:t>
      </w:r>
      <w:r>
        <w:rPr>
          <w:rFonts w:cstheme="minorHAnsi"/>
        </w:rPr>
        <w:t xml:space="preserve">. We find that calculated </w:t>
      </w:r>
      <w:r w:rsidRPr="000831CE">
        <w:rPr>
          <w:rFonts w:cstheme="minorHAnsi"/>
          <w:vertAlign w:val="superscript"/>
        </w:rPr>
        <w:t>87</w:t>
      </w:r>
      <w:r w:rsidRPr="000831CE">
        <w:rPr>
          <w:rFonts w:cstheme="minorHAnsi"/>
        </w:rPr>
        <w:t>Sr/</w:t>
      </w:r>
      <w:r w:rsidRPr="000831CE">
        <w:rPr>
          <w:rFonts w:cstheme="minorHAnsi"/>
          <w:vertAlign w:val="superscript"/>
        </w:rPr>
        <w:t>86</w:t>
      </w:r>
      <w:r w:rsidRPr="000831CE">
        <w:rPr>
          <w:rFonts w:cstheme="minorHAnsi"/>
        </w:rPr>
        <w:t>Sr</w:t>
      </w:r>
      <w:r>
        <w:rPr>
          <w:rFonts w:cstheme="minorHAnsi"/>
        </w:rPr>
        <w:t xml:space="preserve"> for the contaminated samples are almost identical to the measured values (Figure </w:t>
      </w:r>
      <w:r w:rsidR="00F76C49">
        <w:rPr>
          <w:rFonts w:cstheme="minorHAnsi"/>
        </w:rPr>
        <w:t>6</w:t>
      </w:r>
      <w:r>
        <w:rPr>
          <w:rFonts w:cstheme="minorHAnsi"/>
        </w:rPr>
        <w:t>). This result shows</w:t>
      </w:r>
      <w:r w:rsidR="0071264B">
        <w:rPr>
          <w:rFonts w:cstheme="minorHAnsi"/>
        </w:rPr>
        <w:t xml:space="preserve"> that the phase </w:t>
      </w:r>
      <w:r>
        <w:rPr>
          <w:rFonts w:cstheme="minorHAnsi"/>
        </w:rPr>
        <w:t xml:space="preserve">(barite) </w:t>
      </w:r>
      <w:r w:rsidR="0071264B">
        <w:rPr>
          <w:rFonts w:cstheme="minorHAnsi"/>
        </w:rPr>
        <w:t xml:space="preserve">removed </w:t>
      </w:r>
      <w:r>
        <w:rPr>
          <w:rFonts w:cstheme="minorHAnsi"/>
        </w:rPr>
        <w:t xml:space="preserve">by the </w:t>
      </w:r>
      <w:r w:rsidR="0071264B">
        <w:rPr>
          <w:rFonts w:cstheme="minorHAnsi"/>
        </w:rPr>
        <w:t>DTPA</w:t>
      </w:r>
      <w:r w:rsidR="001F2328">
        <w:rPr>
          <w:rFonts w:cstheme="minorHAnsi"/>
        </w:rPr>
        <w:t>-NaOH</w:t>
      </w:r>
      <w:r w:rsidR="0071264B">
        <w:rPr>
          <w:rFonts w:cstheme="minorHAnsi"/>
        </w:rPr>
        <w:t xml:space="preserve"> </w:t>
      </w:r>
      <w:r w:rsidR="0065789A">
        <w:rPr>
          <w:rFonts w:cstheme="minorHAnsi"/>
        </w:rPr>
        <w:t>leaching</w:t>
      </w:r>
      <w:r w:rsidR="000B3E5D">
        <w:rPr>
          <w:rFonts w:cstheme="minorHAnsi"/>
        </w:rPr>
        <w:t xml:space="preserve"> step</w:t>
      </w:r>
      <w:r>
        <w:rPr>
          <w:rFonts w:cstheme="minorHAnsi"/>
        </w:rPr>
        <w:t xml:space="preserve"> in our </w:t>
      </w:r>
      <w:r w:rsidR="0071264B">
        <w:rPr>
          <w:rFonts w:cstheme="minorHAnsi"/>
        </w:rPr>
        <w:t xml:space="preserve">protocol is </w:t>
      </w:r>
      <w:r>
        <w:rPr>
          <w:rFonts w:cstheme="minorHAnsi"/>
        </w:rPr>
        <w:t>one</w:t>
      </w:r>
      <w:r w:rsidR="0071264B">
        <w:rPr>
          <w:rFonts w:cstheme="minorHAnsi"/>
        </w:rPr>
        <w:t xml:space="preserve"> with a strontium isotope signature </w:t>
      </w:r>
      <w:r>
        <w:rPr>
          <w:rFonts w:cstheme="minorHAnsi"/>
        </w:rPr>
        <w:t xml:space="preserve">very close to the modern </w:t>
      </w:r>
      <w:r w:rsidR="0071264B">
        <w:rPr>
          <w:rFonts w:cstheme="minorHAnsi"/>
        </w:rPr>
        <w:t>seawater</w:t>
      </w:r>
      <w:r>
        <w:rPr>
          <w:rFonts w:cstheme="minorHAnsi"/>
        </w:rPr>
        <w:t xml:space="preserve"> value</w:t>
      </w:r>
      <w:r w:rsidR="00AA63A2">
        <w:rPr>
          <w:rFonts w:cstheme="minorHAnsi"/>
        </w:rPr>
        <w:t xml:space="preserve"> (Figure </w:t>
      </w:r>
      <w:r w:rsidR="00F76C49">
        <w:rPr>
          <w:rFonts w:cstheme="minorHAnsi"/>
        </w:rPr>
        <w:t>6</w:t>
      </w:r>
      <w:r w:rsidR="00AA63A2">
        <w:rPr>
          <w:rFonts w:cstheme="minorHAnsi"/>
        </w:rPr>
        <w:t>)</w:t>
      </w:r>
      <w:r w:rsidR="0071264B">
        <w:rPr>
          <w:rFonts w:cstheme="minorHAnsi"/>
        </w:rPr>
        <w:t xml:space="preserve">. </w:t>
      </w:r>
    </w:p>
    <w:p w14:paraId="26B20B39" w14:textId="77777777" w:rsidR="0071264B" w:rsidRDefault="00EE367B" w:rsidP="0071264B">
      <w:pPr>
        <w:spacing w:line="480" w:lineRule="auto"/>
        <w:jc w:val="both"/>
        <w:rPr>
          <w:rFonts w:cstheme="minorHAnsi"/>
        </w:rPr>
      </w:pPr>
      <w:r>
        <w:rPr>
          <w:rFonts w:cstheme="minorHAnsi"/>
        </w:rPr>
        <w:t xml:space="preserve">Equation 2: </w:t>
      </w:r>
    </w:p>
    <w:p w14:paraId="1765595C" w14:textId="77777777" w:rsidR="0071264B" w:rsidRPr="00F948A5" w:rsidRDefault="004D3711" w:rsidP="0071264B">
      <w:pPr>
        <w:spacing w:line="480" w:lineRule="auto"/>
        <w:jc w:val="both"/>
        <w:rPr>
          <w:rFonts w:eastAsiaTheme="minorEastAsia" w:cstheme="minorHAnsi"/>
          <w:sz w:val="22"/>
          <w:szCs w:val="22"/>
        </w:rPr>
      </w:pPr>
      <m:oMathPara>
        <m:oMath>
          <m:sPre>
            <m:sPrePr>
              <m:ctrlPr>
                <w:rPr>
                  <w:rFonts w:ascii="Cambria Math" w:hAnsi="Cambria Math"/>
                  <w:sz w:val="22"/>
                  <w:szCs w:val="22"/>
                  <w:vertAlign w:val="superscript"/>
                </w:rPr>
              </m:ctrlPr>
            </m:sPrePr>
            <m:sub/>
            <m:sup>
              <m:r>
                <w:rPr>
                  <w:rFonts w:ascii="Cambria Math" w:hAnsi="Cambria Math"/>
                  <w:sz w:val="22"/>
                  <w:szCs w:val="22"/>
                  <w:vertAlign w:val="superscript"/>
                </w:rPr>
                <m:t>87</m:t>
              </m:r>
            </m:sup>
            <m:e>
              <m:r>
                <w:rPr>
                  <w:rFonts w:ascii="Cambria Math" w:hAnsi="Cambria Math"/>
                  <w:sz w:val="22"/>
                  <w:szCs w:val="22"/>
                  <w:vertAlign w:val="superscript"/>
                </w:rPr>
                <m:t>Sr</m:t>
              </m:r>
            </m:e>
          </m:sPre>
          <m:r>
            <m:rPr>
              <m:sty m:val="p"/>
            </m:rPr>
            <w:rPr>
              <w:rFonts w:ascii="Cambria Math" w:hAnsi="Cambria Math"/>
              <w:sz w:val="22"/>
              <w:szCs w:val="22"/>
            </w:rPr>
            <m:t>/</m:t>
          </m:r>
          <m:sPre>
            <m:sPrePr>
              <m:ctrlPr>
                <w:rPr>
                  <w:rFonts w:ascii="Cambria Math" w:hAnsi="Cambria Math"/>
                  <w:sz w:val="22"/>
                  <w:szCs w:val="22"/>
                  <w:vertAlign w:val="superscript"/>
                </w:rPr>
              </m:ctrlPr>
            </m:sPrePr>
            <m:sub/>
            <m:sup>
              <m:r>
                <w:rPr>
                  <w:rFonts w:ascii="Cambria Math" w:hAnsi="Cambria Math"/>
                  <w:sz w:val="22"/>
                  <w:szCs w:val="22"/>
                  <w:vertAlign w:val="superscript"/>
                </w:rPr>
                <m:t>86</m:t>
              </m:r>
            </m:sup>
            <m:e>
              <m:sSub>
                <m:sSubPr>
                  <m:ctrlPr>
                    <w:rPr>
                      <w:rFonts w:ascii="Cambria Math" w:hAnsi="Cambria Math"/>
                      <w:i/>
                      <w:sz w:val="22"/>
                      <w:szCs w:val="22"/>
                      <w:vertAlign w:val="superscript"/>
                    </w:rPr>
                  </m:ctrlPr>
                </m:sSubPr>
                <m:e>
                  <m:r>
                    <w:rPr>
                      <w:rFonts w:ascii="Cambria Math" w:hAnsi="Cambria Math"/>
                      <w:sz w:val="22"/>
                      <w:szCs w:val="22"/>
                      <w:vertAlign w:val="superscript"/>
                    </w:rPr>
                    <m:t>Sr</m:t>
                  </m:r>
                </m:e>
                <m:sub>
                  <m:r>
                    <w:rPr>
                      <w:rFonts w:ascii="Cambria Math" w:hAnsi="Cambria Math"/>
                      <w:sz w:val="22"/>
                      <w:szCs w:val="22"/>
                      <w:vertAlign w:val="superscript"/>
                    </w:rPr>
                    <m:t>contaminated</m:t>
                  </m:r>
                </m:sub>
              </m:sSub>
              <m:r>
                <w:rPr>
                  <w:rFonts w:ascii="Cambria Math" w:hAnsi="Cambria Math"/>
                  <w:sz w:val="22"/>
                  <w:szCs w:val="22"/>
                  <w:vertAlign w:val="superscript"/>
                </w:rPr>
                <m:t xml:space="preserve">= </m:t>
              </m:r>
            </m:e>
          </m:sPre>
          <m:d>
            <m:dPr>
              <m:ctrlPr>
                <w:rPr>
                  <w:rFonts w:ascii="Cambria Math" w:hAnsi="Cambria Math"/>
                  <w:sz w:val="22"/>
                  <w:szCs w:val="22"/>
                </w:rPr>
              </m:ctrlPr>
            </m:dPr>
            <m:e>
              <m:sPre>
                <m:sPrePr>
                  <m:ctrlPr>
                    <w:rPr>
                      <w:rFonts w:ascii="Cambria Math" w:hAnsi="Cambria Math"/>
                      <w:sz w:val="22"/>
                      <w:szCs w:val="22"/>
                      <w:vertAlign w:val="superscript"/>
                    </w:rPr>
                  </m:ctrlPr>
                </m:sPrePr>
                <m:sub/>
                <m:sup>
                  <m:r>
                    <w:rPr>
                      <w:rFonts w:ascii="Cambria Math" w:hAnsi="Cambria Math"/>
                      <w:sz w:val="22"/>
                      <w:szCs w:val="22"/>
                      <w:vertAlign w:val="superscript"/>
                    </w:rPr>
                    <m:t>87</m:t>
                  </m:r>
                </m:sup>
                <m:e>
                  <m:r>
                    <w:rPr>
                      <w:rFonts w:ascii="Cambria Math" w:hAnsi="Cambria Math"/>
                      <w:sz w:val="22"/>
                      <w:szCs w:val="22"/>
                      <w:vertAlign w:val="superscript"/>
                    </w:rPr>
                    <m:t>Sr</m:t>
                  </m:r>
                </m:e>
              </m:sPre>
              <m:r>
                <m:rPr>
                  <m:sty m:val="p"/>
                </m:rPr>
                <w:rPr>
                  <w:rFonts w:ascii="Cambria Math" w:hAnsi="Cambria Math"/>
                  <w:sz w:val="22"/>
                  <w:szCs w:val="22"/>
                </w:rPr>
                <m:t>/</m:t>
              </m:r>
              <m:sPre>
                <m:sPrePr>
                  <m:ctrlPr>
                    <w:rPr>
                      <w:rFonts w:ascii="Cambria Math" w:hAnsi="Cambria Math"/>
                      <w:sz w:val="22"/>
                      <w:szCs w:val="22"/>
                      <w:vertAlign w:val="superscript"/>
                    </w:rPr>
                  </m:ctrlPr>
                </m:sPrePr>
                <m:sub/>
                <m:sup>
                  <m:r>
                    <w:rPr>
                      <w:rFonts w:ascii="Cambria Math" w:hAnsi="Cambria Math"/>
                      <w:sz w:val="22"/>
                      <w:szCs w:val="22"/>
                      <w:vertAlign w:val="superscript"/>
                    </w:rPr>
                    <m:t>86</m:t>
                  </m:r>
                </m:sup>
                <m:e>
                  <m:sSub>
                    <m:sSubPr>
                      <m:ctrlPr>
                        <w:rPr>
                          <w:rFonts w:ascii="Cambria Math" w:hAnsi="Cambria Math"/>
                          <w:i/>
                          <w:sz w:val="22"/>
                          <w:szCs w:val="22"/>
                          <w:vertAlign w:val="superscript"/>
                        </w:rPr>
                      </m:ctrlPr>
                    </m:sSubPr>
                    <m:e>
                      <m:r>
                        <w:rPr>
                          <w:rFonts w:ascii="Cambria Math" w:hAnsi="Cambria Math"/>
                          <w:sz w:val="22"/>
                          <w:szCs w:val="22"/>
                          <w:vertAlign w:val="superscript"/>
                        </w:rPr>
                        <m:t>Sr</m:t>
                      </m:r>
                    </m:e>
                    <m:sub>
                      <m:r>
                        <w:rPr>
                          <w:rFonts w:ascii="Cambria Math" w:hAnsi="Cambria Math"/>
                          <w:sz w:val="22"/>
                          <w:szCs w:val="22"/>
                          <w:vertAlign w:val="superscript"/>
                        </w:rPr>
                        <m:t>seawater</m:t>
                      </m:r>
                    </m:sub>
                  </m:sSub>
                </m:e>
              </m:sPre>
              <m:r>
                <m:rPr>
                  <m:sty m:val="p"/>
                </m:rPr>
                <w:rPr>
                  <w:rFonts w:ascii="Cambria Math" w:hAnsi="Cambria Math"/>
                  <w:sz w:val="22"/>
                  <w:szCs w:val="22"/>
                </w:rPr>
                <m:t xml:space="preserve"> ×</m:t>
              </m:r>
              <m:r>
                <m:rPr>
                  <m:sty m:val="p"/>
                </m:rPr>
                <w:rPr>
                  <w:rFonts w:ascii="Cambria Math"/>
                  <w:sz w:val="22"/>
                  <w:szCs w:val="22"/>
                </w:rPr>
                <m:t xml:space="preserve"> </m:t>
              </m:r>
              <m:sSub>
                <m:sSubPr>
                  <m:ctrlPr>
                    <w:rPr>
                      <w:rFonts w:ascii="Cambria Math" w:hAnsi="Cambria Math"/>
                      <w:sz w:val="22"/>
                      <w:szCs w:val="22"/>
                    </w:rPr>
                  </m:ctrlPr>
                </m:sSubPr>
                <m:e>
                  <m:r>
                    <w:rPr>
                      <w:rFonts w:ascii="Cambria Math"/>
                      <w:sz w:val="22"/>
                      <w:szCs w:val="22"/>
                    </w:rPr>
                    <m:t>f</m:t>
                  </m:r>
                </m:e>
                <m:sub>
                  <m:r>
                    <w:rPr>
                      <w:rFonts w:ascii="Cambria Math"/>
                      <w:sz w:val="22"/>
                      <w:szCs w:val="22"/>
                    </w:rPr>
                    <m:t>removed</m:t>
                  </m:r>
                </m:sub>
              </m:sSub>
            </m:e>
          </m:d>
          <m:r>
            <w:rPr>
              <w:rFonts w:ascii="Cambria Math"/>
              <w:sz w:val="22"/>
              <w:szCs w:val="22"/>
            </w:rPr>
            <m:t>+</m:t>
          </m:r>
          <m:d>
            <m:dPr>
              <m:ctrlPr>
                <w:rPr>
                  <w:rFonts w:ascii="Cambria Math" w:hAnsi="Cambria Math"/>
                  <w:i/>
                  <w:sz w:val="22"/>
                  <w:szCs w:val="22"/>
                </w:rPr>
              </m:ctrlPr>
            </m:dPr>
            <m:e>
              <m:sPre>
                <m:sPrePr>
                  <m:ctrlPr>
                    <w:rPr>
                      <w:rFonts w:ascii="Cambria Math" w:hAnsi="Cambria Math"/>
                      <w:sz w:val="22"/>
                      <w:szCs w:val="22"/>
                      <w:vertAlign w:val="superscript"/>
                    </w:rPr>
                  </m:ctrlPr>
                </m:sPrePr>
                <m:sub/>
                <m:sup>
                  <m:r>
                    <w:rPr>
                      <w:rFonts w:ascii="Cambria Math" w:hAnsi="Cambria Math"/>
                      <w:sz w:val="22"/>
                      <w:szCs w:val="22"/>
                      <w:vertAlign w:val="superscript"/>
                    </w:rPr>
                    <m:t>87</m:t>
                  </m:r>
                </m:sup>
                <m:e>
                  <m:r>
                    <w:rPr>
                      <w:rFonts w:ascii="Cambria Math" w:hAnsi="Cambria Math"/>
                      <w:sz w:val="22"/>
                      <w:szCs w:val="22"/>
                      <w:vertAlign w:val="superscript"/>
                    </w:rPr>
                    <m:t>Sr</m:t>
                  </m:r>
                </m:e>
              </m:sPre>
              <m:r>
                <m:rPr>
                  <m:sty m:val="p"/>
                </m:rPr>
                <w:rPr>
                  <w:rFonts w:ascii="Cambria Math" w:hAnsi="Cambria Math"/>
                  <w:sz w:val="22"/>
                  <w:szCs w:val="22"/>
                </w:rPr>
                <m:t>/</m:t>
              </m:r>
              <m:sPre>
                <m:sPrePr>
                  <m:ctrlPr>
                    <w:rPr>
                      <w:rFonts w:ascii="Cambria Math" w:hAnsi="Cambria Math"/>
                      <w:sz w:val="22"/>
                      <w:szCs w:val="22"/>
                      <w:vertAlign w:val="superscript"/>
                    </w:rPr>
                  </m:ctrlPr>
                </m:sPrePr>
                <m:sub/>
                <m:sup>
                  <m:r>
                    <w:rPr>
                      <w:rFonts w:ascii="Cambria Math" w:hAnsi="Cambria Math"/>
                      <w:sz w:val="22"/>
                      <w:szCs w:val="22"/>
                      <w:vertAlign w:val="superscript"/>
                    </w:rPr>
                    <m:t>86</m:t>
                  </m:r>
                </m:sup>
                <m:e>
                  <m:sSub>
                    <m:sSubPr>
                      <m:ctrlPr>
                        <w:rPr>
                          <w:rFonts w:ascii="Cambria Math" w:hAnsi="Cambria Math"/>
                          <w:i/>
                          <w:sz w:val="22"/>
                          <w:szCs w:val="22"/>
                          <w:vertAlign w:val="superscript"/>
                        </w:rPr>
                      </m:ctrlPr>
                    </m:sSubPr>
                    <m:e>
                      <m:r>
                        <w:rPr>
                          <w:rFonts w:ascii="Cambria Math" w:hAnsi="Cambria Math"/>
                          <w:sz w:val="22"/>
                          <w:szCs w:val="22"/>
                          <w:vertAlign w:val="superscript"/>
                        </w:rPr>
                        <m:t>Sr</m:t>
                      </m:r>
                    </m:e>
                    <m:sub>
                      <m:r>
                        <w:rPr>
                          <w:rFonts w:ascii="Cambria Math" w:hAnsi="Cambria Math"/>
                          <w:sz w:val="22"/>
                          <w:szCs w:val="22"/>
                          <w:vertAlign w:val="superscript"/>
                        </w:rPr>
                        <m:t>terrestrial</m:t>
                      </m:r>
                    </m:sub>
                  </m:sSub>
                  <m:r>
                    <w:rPr>
                      <w:rFonts w:ascii="Cambria Math" w:hAnsi="Cambria Math"/>
                      <w:sz w:val="22"/>
                      <w:szCs w:val="22"/>
                      <w:vertAlign w:val="superscript"/>
                    </w:rPr>
                    <m:t>×</m:t>
                  </m:r>
                  <m:sSub>
                    <m:sSubPr>
                      <m:ctrlPr>
                        <w:rPr>
                          <w:rFonts w:ascii="Cambria Math" w:hAnsi="Cambria Math"/>
                          <w:sz w:val="22"/>
                          <w:szCs w:val="22"/>
                        </w:rPr>
                      </m:ctrlPr>
                    </m:sSubPr>
                    <m:e>
                      <m:r>
                        <w:rPr>
                          <w:rFonts w:ascii="Cambria Math"/>
                          <w:sz w:val="22"/>
                          <w:szCs w:val="22"/>
                        </w:rPr>
                        <m:t>f</m:t>
                      </m:r>
                    </m:e>
                    <m:sub>
                      <m:r>
                        <w:rPr>
                          <w:rFonts w:ascii="Cambria Math"/>
                          <w:sz w:val="22"/>
                          <w:szCs w:val="22"/>
                        </w:rPr>
                        <m:t>terrestrial</m:t>
                      </m:r>
                    </m:sub>
                  </m:sSub>
                </m:e>
              </m:sPre>
            </m:e>
          </m:d>
        </m:oMath>
      </m:oMathPara>
    </w:p>
    <w:p w14:paraId="2621D51F" w14:textId="77777777" w:rsidR="0071264B" w:rsidRDefault="0071264B" w:rsidP="0071264B">
      <w:pPr>
        <w:spacing w:line="480" w:lineRule="auto"/>
        <w:jc w:val="both"/>
        <w:rPr>
          <w:rFonts w:cstheme="minorHAnsi"/>
        </w:rPr>
      </w:pPr>
    </w:p>
    <w:p w14:paraId="7AF9D0AA" w14:textId="197352D4" w:rsidR="0071264B" w:rsidRPr="00C920D5" w:rsidRDefault="004D3711" w:rsidP="0071264B">
      <w:pPr>
        <w:spacing w:line="480" w:lineRule="auto"/>
        <w:jc w:val="both"/>
        <w:rPr>
          <w:rFonts w:eastAsiaTheme="minorEastAsia" w:cstheme="minorHAnsi"/>
        </w:rPr>
      </w:pPr>
      <m:oMathPara>
        <m:oMathParaPr>
          <m:jc m:val="left"/>
        </m:oMathParaPr>
        <m:oMath>
          <m:sSub>
            <m:sSubPr>
              <m:ctrlPr>
                <w:rPr>
                  <w:rFonts w:ascii="Cambria Math" w:hAnsi="Cambria Math"/>
                  <w:sz w:val="22"/>
                  <w:szCs w:val="22"/>
                </w:rPr>
              </m:ctrlPr>
            </m:sSubPr>
            <m:e>
              <m:r>
                <w:rPr>
                  <w:rFonts w:ascii="Cambria Math"/>
                  <w:sz w:val="22"/>
                  <w:szCs w:val="22"/>
                </w:rPr>
                <m:t>f</m:t>
              </m:r>
            </m:e>
            <m:sub>
              <m:r>
                <w:rPr>
                  <w:rFonts w:ascii="Cambria Math"/>
                  <w:sz w:val="22"/>
                  <w:szCs w:val="22"/>
                </w:rPr>
                <m:t>removed</m:t>
              </m:r>
            </m:sub>
          </m:sSub>
          <m:r>
            <w:rPr>
              <w:rFonts w:ascii="Cambria Math"/>
              <w:sz w:val="22"/>
              <w:szCs w:val="22"/>
            </w:rPr>
            <m:t xml:space="preserve">= </m:t>
          </m:r>
          <m:f>
            <m:fPr>
              <m:ctrlPr>
                <w:rPr>
                  <w:rFonts w:ascii="Cambria Math" w:hAnsi="Cambria Math"/>
                  <w:i/>
                  <w:sz w:val="22"/>
                  <w:szCs w:val="22"/>
                </w:rPr>
              </m:ctrlPr>
            </m:fPr>
            <m:num>
              <m:d>
                <m:dPr>
                  <m:ctrlPr>
                    <w:rPr>
                      <w:rFonts w:ascii="Cambria Math" w:hAnsi="Cambria Math"/>
                      <w:i/>
                      <w:sz w:val="22"/>
                      <w:szCs w:val="22"/>
                    </w:rPr>
                  </m:ctrlPr>
                </m:dPr>
                <m:e>
                  <m:sSub>
                    <m:sSubPr>
                      <m:ctrlPr>
                        <w:rPr>
                          <w:rFonts w:ascii="Cambria Math" w:hAnsi="Cambria Math"/>
                          <w:i/>
                          <w:sz w:val="22"/>
                          <w:szCs w:val="22"/>
                        </w:rPr>
                      </m:ctrlPr>
                    </m:sSubPr>
                    <m:e>
                      <m:r>
                        <w:rPr>
                          <w:rFonts w:ascii="Cambria Math"/>
                          <w:sz w:val="22"/>
                          <w:szCs w:val="22"/>
                        </w:rPr>
                        <m:t>Sr conc</m:t>
                      </m:r>
                    </m:e>
                    <m:sub>
                      <m:r>
                        <w:rPr>
                          <w:rFonts w:ascii="Cambria Math"/>
                          <w:sz w:val="22"/>
                          <w:szCs w:val="22"/>
                        </w:rPr>
                        <m:t>before treatment</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sz w:val="22"/>
                          <w:szCs w:val="22"/>
                        </w:rPr>
                        <m:t>Sr conc</m:t>
                      </m:r>
                    </m:e>
                    <m:sub>
                      <m:r>
                        <w:rPr>
                          <w:rFonts w:ascii="Cambria Math"/>
                          <w:sz w:val="22"/>
                          <w:szCs w:val="22"/>
                        </w:rPr>
                        <m:t xml:space="preserve">  after treatment</m:t>
                      </m:r>
                    </m:sub>
                  </m:sSub>
                </m:e>
              </m:d>
            </m:num>
            <m:den>
              <m:sSub>
                <m:sSubPr>
                  <m:ctrlPr>
                    <w:rPr>
                      <w:rFonts w:ascii="Cambria Math" w:hAnsi="Cambria Math"/>
                      <w:i/>
                      <w:sz w:val="22"/>
                      <w:szCs w:val="22"/>
                    </w:rPr>
                  </m:ctrlPr>
                </m:sSubPr>
                <m:e>
                  <m:r>
                    <w:rPr>
                      <w:rFonts w:ascii="Cambria Math"/>
                      <w:sz w:val="22"/>
                      <w:szCs w:val="22"/>
                    </w:rPr>
                    <m:t>Sr conc</m:t>
                  </m:r>
                </m:e>
                <m:sub>
                  <m:r>
                    <w:rPr>
                      <w:rFonts w:ascii="Cambria Math"/>
                      <w:sz w:val="22"/>
                      <w:szCs w:val="22"/>
                    </w:rPr>
                    <m:t>before treatment</m:t>
                  </m:r>
                </m:sub>
              </m:sSub>
            </m:den>
          </m:f>
          <m:r>
            <w:rPr>
              <w:rFonts w:ascii="Cambria Math"/>
              <w:sz w:val="22"/>
              <w:szCs w:val="22"/>
            </w:rPr>
            <m:t xml:space="preserve"> </m:t>
          </m:r>
        </m:oMath>
      </m:oMathPara>
    </w:p>
    <w:p w14:paraId="5CC6F1C2" w14:textId="77777777" w:rsidR="0071264B" w:rsidRPr="00C920D5" w:rsidRDefault="004D3711" w:rsidP="0071264B">
      <w:pPr>
        <w:spacing w:line="480" w:lineRule="auto"/>
        <w:jc w:val="both"/>
        <w:rPr>
          <w:rFonts w:eastAsiaTheme="minorEastAsia" w:cstheme="minorHAnsi"/>
        </w:rPr>
      </w:pPr>
      <m:oMathPara>
        <m:oMathParaPr>
          <m:jc m:val="left"/>
        </m:oMathParaPr>
        <m:oMath>
          <m:sSub>
            <m:sSubPr>
              <m:ctrlPr>
                <w:rPr>
                  <w:rFonts w:ascii="Cambria Math" w:hAnsi="Cambria Math"/>
                  <w:sz w:val="22"/>
                  <w:szCs w:val="22"/>
                </w:rPr>
              </m:ctrlPr>
            </m:sSubPr>
            <m:e>
              <m:r>
                <w:rPr>
                  <w:rFonts w:ascii="Cambria Math"/>
                  <w:sz w:val="22"/>
                  <w:szCs w:val="22"/>
                </w:rPr>
                <m:t>f</m:t>
              </m:r>
            </m:e>
            <m:sub>
              <m:r>
                <w:rPr>
                  <w:rFonts w:ascii="Cambria Math"/>
                  <w:sz w:val="22"/>
                  <w:szCs w:val="22"/>
                </w:rPr>
                <m:t>terrestrial</m:t>
              </m:r>
            </m:sub>
          </m:sSub>
          <m:r>
            <w:rPr>
              <w:rFonts w:ascii="Cambria Math"/>
              <w:sz w:val="22"/>
              <w:szCs w:val="22"/>
            </w:rPr>
            <m:t>=1</m:t>
          </m:r>
          <m:r>
            <w:rPr>
              <w:rFonts w:ascii="Cambria Math"/>
              <w:sz w:val="22"/>
              <w:szCs w:val="22"/>
            </w:rPr>
            <m:t>-</m:t>
          </m:r>
          <m:sSub>
            <m:sSubPr>
              <m:ctrlPr>
                <w:rPr>
                  <w:rFonts w:ascii="Cambria Math" w:hAnsi="Cambria Math"/>
                  <w:sz w:val="22"/>
                  <w:szCs w:val="22"/>
                </w:rPr>
              </m:ctrlPr>
            </m:sSubPr>
            <m:e>
              <m:r>
                <w:rPr>
                  <w:rFonts w:ascii="Cambria Math"/>
                  <w:sz w:val="22"/>
                  <w:szCs w:val="22"/>
                </w:rPr>
                <m:t>f</m:t>
              </m:r>
            </m:e>
            <m:sub>
              <m:r>
                <w:rPr>
                  <w:rFonts w:ascii="Cambria Math"/>
                  <w:sz w:val="22"/>
                  <w:szCs w:val="22"/>
                </w:rPr>
                <m:t>removed</m:t>
              </m:r>
            </m:sub>
          </m:sSub>
          <m:r>
            <w:rPr>
              <w:rFonts w:ascii="Cambria Math"/>
              <w:sz w:val="22"/>
              <w:szCs w:val="22"/>
            </w:rPr>
            <m:t xml:space="preserve">  </m:t>
          </m:r>
        </m:oMath>
      </m:oMathPara>
    </w:p>
    <w:p w14:paraId="57357DCF" w14:textId="77777777" w:rsidR="0071264B" w:rsidRPr="00C920D5" w:rsidRDefault="0071264B" w:rsidP="0071264B">
      <w:pPr>
        <w:spacing w:line="480" w:lineRule="auto"/>
        <w:jc w:val="both"/>
        <w:rPr>
          <w:rFonts w:eastAsiaTheme="minorEastAsia" w:cstheme="minorHAnsi"/>
        </w:rPr>
      </w:pPr>
    </w:p>
    <w:p w14:paraId="3A286257" w14:textId="783D5B70" w:rsidR="0071264B" w:rsidRDefault="005E1E71" w:rsidP="00691D05">
      <w:pPr>
        <w:spacing w:line="480" w:lineRule="auto"/>
        <w:jc w:val="both"/>
        <w:rPr>
          <w:rFonts w:cstheme="minorHAnsi"/>
        </w:rPr>
      </w:pPr>
      <w:r>
        <w:rPr>
          <w:rFonts w:cstheme="minorHAnsi"/>
        </w:rPr>
        <w:t>To determine the concentration of contaminating barite in our sediment samples</w:t>
      </w:r>
      <w:r w:rsidR="005A5076" w:rsidRPr="00320F20">
        <w:rPr>
          <w:rFonts w:cstheme="minorHAnsi"/>
        </w:rPr>
        <w:t xml:space="preserve">, we </w:t>
      </w:r>
      <w:r>
        <w:rPr>
          <w:rFonts w:cstheme="minorHAnsi"/>
        </w:rPr>
        <w:t xml:space="preserve">first </w:t>
      </w:r>
      <w:r w:rsidR="005A5076" w:rsidRPr="00320F20">
        <w:rPr>
          <w:rFonts w:cstheme="minorHAnsi"/>
        </w:rPr>
        <w:t xml:space="preserve">calculated </w:t>
      </w:r>
      <w:r w:rsidR="000B3E5D">
        <w:rPr>
          <w:rFonts w:cstheme="minorHAnsi"/>
        </w:rPr>
        <w:t>the amount of Ba present in our samples that is not associated with the terrigenous fraction (</w:t>
      </w:r>
      <w:r w:rsidR="005A5076" w:rsidRPr="00320F20">
        <w:rPr>
          <w:rFonts w:cstheme="minorHAnsi"/>
        </w:rPr>
        <w:t>Ba</w:t>
      </w:r>
      <w:r w:rsidR="005A5076" w:rsidRPr="00320F20">
        <w:rPr>
          <w:rFonts w:cstheme="minorHAnsi"/>
          <w:vertAlign w:val="subscript"/>
        </w:rPr>
        <w:t>excess</w:t>
      </w:r>
      <w:r w:rsidR="000B3E5D">
        <w:rPr>
          <w:rFonts w:cstheme="minorHAnsi"/>
        </w:rPr>
        <w:t xml:space="preserve">, </w:t>
      </w:r>
      <w:r w:rsidR="005A5076" w:rsidRPr="00320F20">
        <w:rPr>
          <w:rFonts w:cstheme="minorHAnsi"/>
        </w:rPr>
        <w:t>Equation 3)</w:t>
      </w:r>
      <w:r>
        <w:rPr>
          <w:rFonts w:cstheme="minorHAnsi"/>
        </w:rPr>
        <w:t>. We then used Ba</w:t>
      </w:r>
      <w:r w:rsidRPr="00E44CD0">
        <w:rPr>
          <w:rFonts w:cstheme="minorHAnsi"/>
          <w:vertAlign w:val="subscript"/>
        </w:rPr>
        <w:t>excess</w:t>
      </w:r>
      <w:r>
        <w:rPr>
          <w:rFonts w:cstheme="minorHAnsi"/>
        </w:rPr>
        <w:t xml:space="preserve"> to estimate both the</w:t>
      </w:r>
      <w:r w:rsidR="005A5076" w:rsidRPr="00320F20">
        <w:rPr>
          <w:rFonts w:cstheme="minorHAnsi"/>
        </w:rPr>
        <w:t xml:space="preserve"> sediment </w:t>
      </w:r>
      <w:r>
        <w:rPr>
          <w:rFonts w:cstheme="minorHAnsi"/>
        </w:rPr>
        <w:t xml:space="preserve">barite </w:t>
      </w:r>
      <w:r w:rsidR="005A5076" w:rsidRPr="00320F20">
        <w:rPr>
          <w:rFonts w:cstheme="minorHAnsi"/>
        </w:rPr>
        <w:t xml:space="preserve">content </w:t>
      </w:r>
      <w:r w:rsidR="001906C5" w:rsidRPr="00320F20">
        <w:rPr>
          <w:rFonts w:cstheme="minorHAnsi"/>
        </w:rPr>
        <w:t>(Ba</w:t>
      </w:r>
      <w:r w:rsidR="001906C5" w:rsidRPr="00320F20">
        <w:rPr>
          <w:rFonts w:cstheme="minorHAnsi"/>
          <w:vertAlign w:val="subscript"/>
        </w:rPr>
        <w:t>barite</w:t>
      </w:r>
      <w:r w:rsidR="001906C5" w:rsidRPr="004906E8">
        <w:rPr>
          <w:rFonts w:cstheme="minorHAnsi"/>
        </w:rPr>
        <w:t>)</w:t>
      </w:r>
      <w:r w:rsidR="001906C5" w:rsidRPr="00320F20">
        <w:rPr>
          <w:rFonts w:cstheme="minorHAnsi"/>
          <w:vertAlign w:val="subscript"/>
        </w:rPr>
        <w:t xml:space="preserve"> </w:t>
      </w:r>
      <w:r w:rsidR="005A5076" w:rsidRPr="00320F20">
        <w:rPr>
          <w:rFonts w:cstheme="minorHAnsi"/>
        </w:rPr>
        <w:t xml:space="preserve">and </w:t>
      </w:r>
      <w:r>
        <w:rPr>
          <w:rFonts w:cstheme="minorHAnsi"/>
        </w:rPr>
        <w:t xml:space="preserve">barite </w:t>
      </w:r>
      <w:r w:rsidR="005A5076" w:rsidRPr="00320F20">
        <w:rPr>
          <w:rFonts w:cstheme="minorHAnsi"/>
        </w:rPr>
        <w:t xml:space="preserve">accumulation rate </w:t>
      </w:r>
      <w:r w:rsidR="001906C5" w:rsidRPr="00320F20">
        <w:rPr>
          <w:rFonts w:cstheme="minorHAnsi"/>
        </w:rPr>
        <w:t>(AR Ba</w:t>
      </w:r>
      <w:r w:rsidR="001906C5" w:rsidRPr="00320F20">
        <w:rPr>
          <w:rFonts w:cstheme="minorHAnsi"/>
          <w:vertAlign w:val="subscript"/>
        </w:rPr>
        <w:t>barite</w:t>
      </w:r>
      <w:r w:rsidR="001906C5" w:rsidRPr="00B42160">
        <w:rPr>
          <w:rFonts w:cstheme="minorHAnsi"/>
        </w:rPr>
        <w:t>)</w:t>
      </w:r>
      <w:r w:rsidR="001906C5" w:rsidRPr="00320F20">
        <w:rPr>
          <w:rFonts w:cstheme="minorHAnsi"/>
        </w:rPr>
        <w:t xml:space="preserve"> </w:t>
      </w:r>
      <w:r w:rsidR="005A5076" w:rsidRPr="00320F20">
        <w:rPr>
          <w:rFonts w:cstheme="minorHAnsi"/>
        </w:rPr>
        <w:t xml:space="preserve">of Ba associated with barite </w:t>
      </w:r>
      <w:r w:rsidR="001906C5" w:rsidRPr="00320F20">
        <w:rPr>
          <w:rFonts w:cstheme="minorHAnsi"/>
        </w:rPr>
        <w:t>(</w:t>
      </w:r>
      <w:r w:rsidR="005A5076" w:rsidRPr="00320F20">
        <w:rPr>
          <w:rFonts w:cstheme="minorHAnsi"/>
        </w:rPr>
        <w:t xml:space="preserve">Equation 4) following Eagle et al., </w:t>
      </w:r>
      <w:r w:rsidR="008561B9">
        <w:rPr>
          <w:rFonts w:cstheme="minorHAnsi"/>
        </w:rPr>
        <w:t>(</w:t>
      </w:r>
      <w:r w:rsidR="005A5076" w:rsidRPr="00320F20">
        <w:rPr>
          <w:rFonts w:cstheme="minorHAnsi"/>
        </w:rPr>
        <w:t xml:space="preserve">2003). </w:t>
      </w:r>
      <w:r w:rsidR="001906C5" w:rsidRPr="00320F20">
        <w:rPr>
          <w:rFonts w:cstheme="minorHAnsi"/>
        </w:rPr>
        <w:t>Results are shown in Table 2.</w:t>
      </w:r>
    </w:p>
    <w:p w14:paraId="3A516BE9" w14:textId="77777777" w:rsidR="00642585" w:rsidRPr="00320F20" w:rsidRDefault="00642585" w:rsidP="00691D05">
      <w:pPr>
        <w:spacing w:line="480" w:lineRule="auto"/>
        <w:jc w:val="both"/>
        <w:rPr>
          <w:rFonts w:cstheme="minorHAnsi"/>
        </w:rPr>
      </w:pPr>
    </w:p>
    <w:p w14:paraId="60A5AE59" w14:textId="77777777" w:rsidR="00C70A17" w:rsidRPr="00320F20" w:rsidRDefault="00C70A17" w:rsidP="00691D05">
      <w:pPr>
        <w:spacing w:line="480" w:lineRule="auto"/>
        <w:jc w:val="both"/>
        <w:rPr>
          <w:rFonts w:cstheme="minorHAnsi"/>
        </w:rPr>
      </w:pPr>
      <w:r w:rsidRPr="00320F20">
        <w:rPr>
          <w:rFonts w:cstheme="minorHAnsi"/>
        </w:rPr>
        <w:t>Equation 3:</w:t>
      </w:r>
    </w:p>
    <w:p w14:paraId="4F1E6AF7" w14:textId="77777777" w:rsidR="00622AD8" w:rsidRPr="00320F20" w:rsidRDefault="004D3711" w:rsidP="00691D05">
      <w:pPr>
        <w:spacing w:line="480" w:lineRule="auto"/>
        <w:jc w:val="both"/>
        <w:rPr>
          <w:rFonts w:eastAsiaTheme="minorEastAsia" w:cstheme="minorHAnsi"/>
        </w:rPr>
      </w:pPr>
      <m:oMathPara>
        <m:oMath>
          <m:sSub>
            <m:sSubPr>
              <m:ctrlPr>
                <w:rPr>
                  <w:rFonts w:ascii="Cambria Math" w:hAnsi="Cambria Math" w:cstheme="minorHAnsi"/>
                </w:rPr>
              </m:ctrlPr>
            </m:sSubPr>
            <m:e>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Ba</m:t>
                  </m:r>
                </m:e>
                <m:sub>
                  <m:r>
                    <m:rPr>
                      <m:sty m:val="p"/>
                    </m:rPr>
                    <w:rPr>
                      <w:rFonts w:ascii="Cambria Math" w:hAnsi="Cambria Math" w:cstheme="minorHAnsi"/>
                    </w:rPr>
                    <m:t>excess</m:t>
                  </m:r>
                </m:sub>
              </m:sSub>
              <m:r>
                <m:rPr>
                  <m:sty m:val="p"/>
                </m:rPr>
                <w:rPr>
                  <w:rFonts w:ascii="Cambria Math" w:hAnsi="Cambria Math" w:cstheme="minorHAnsi"/>
                </w:rPr>
                <m:t>]</m:t>
              </m:r>
            </m:e>
            <m:sub>
              <m:r>
                <m:rPr>
                  <m:sty m:val="p"/>
                </m:rPr>
                <w:rPr>
                  <w:rFonts w:ascii="Cambria Math" w:hAnsi="Cambria Math" w:cstheme="minorHAnsi"/>
                </w:rPr>
                <m:t>ppm</m:t>
              </m:r>
            </m:sub>
          </m:sSub>
          <m:r>
            <m:rPr>
              <m:sty m:val="p"/>
            </m:rPr>
            <w:rPr>
              <w:rFonts w:ascii="Cambria Math" w:hAnsi="Cambria Math" w:cstheme="minorHAnsi"/>
            </w:rPr>
            <m:t xml:space="preserve">= </m:t>
          </m:r>
          <m:sSub>
            <m:sSubPr>
              <m:ctrlPr>
                <w:rPr>
                  <w:rFonts w:ascii="Cambria Math" w:hAnsi="Cambria Math" w:cstheme="minorHAnsi"/>
                </w:rPr>
              </m:ctrlPr>
            </m:sSubPr>
            <m:e>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Ba</m:t>
                  </m:r>
                </m:e>
                <m:sub>
                  <m:r>
                    <m:rPr>
                      <m:sty m:val="p"/>
                    </m:rPr>
                    <w:rPr>
                      <w:rFonts w:ascii="Cambria Math" w:hAnsi="Cambria Math" w:cstheme="minorHAnsi"/>
                    </w:rPr>
                    <m:t>total</m:t>
                  </m:r>
                </m:sub>
              </m:sSub>
              <m:r>
                <m:rPr>
                  <m:sty m:val="p"/>
                </m:rPr>
                <w:rPr>
                  <w:rFonts w:ascii="Cambria Math" w:hAnsi="Cambria Math" w:cstheme="minorHAnsi"/>
                </w:rPr>
                <m:t>]</m:t>
              </m:r>
            </m:e>
            <m:sub>
              <m:r>
                <m:rPr>
                  <m:sty m:val="p"/>
                </m:rPr>
                <w:rPr>
                  <w:rFonts w:ascii="Cambria Math" w:hAnsi="Cambria Math" w:cstheme="minorHAnsi"/>
                </w:rPr>
                <m:t>ppm</m:t>
              </m:r>
            </m:sub>
          </m:sSub>
          <m:r>
            <m:rPr>
              <m:sty m:val="p"/>
            </m:rPr>
            <w:rPr>
              <w:rFonts w:ascii="Cambria Math" w:hAnsi="Cambria Math" w:cstheme="minorHAnsi"/>
            </w:rPr>
            <m:t>-</m:t>
          </m:r>
          <m:d>
            <m:dPr>
              <m:ctrlPr>
                <w:rPr>
                  <w:rFonts w:ascii="Cambria Math" w:hAnsi="Cambria Math" w:cstheme="minorHAnsi"/>
                </w:rPr>
              </m:ctrlPr>
            </m:dPr>
            <m:e>
              <m:sSub>
                <m:sSubPr>
                  <m:ctrlPr>
                    <w:rPr>
                      <w:rFonts w:ascii="Cambria Math" w:hAnsi="Cambria Math" w:cstheme="minorHAnsi"/>
                    </w:rPr>
                  </m:ctrlPr>
                </m:sSubPr>
                <m:e>
                  <m:f>
                    <m:fPr>
                      <m:ctrlPr>
                        <w:rPr>
                          <w:rFonts w:ascii="Cambria Math" w:hAnsi="Cambria Math" w:cstheme="minorHAnsi"/>
                        </w:rPr>
                      </m:ctrlPr>
                    </m:fPr>
                    <m:num>
                      <m:r>
                        <m:rPr>
                          <m:sty m:val="p"/>
                        </m:rPr>
                        <w:rPr>
                          <w:rFonts w:ascii="Cambria Math" w:hAnsi="Cambria Math" w:cstheme="minorHAnsi"/>
                        </w:rPr>
                        <m:t>Ba</m:t>
                      </m:r>
                    </m:num>
                    <m:den>
                      <m:r>
                        <m:rPr>
                          <m:sty m:val="p"/>
                        </m:rPr>
                        <w:rPr>
                          <w:rFonts w:ascii="Cambria Math" w:hAnsi="Cambria Math" w:cstheme="minorHAnsi"/>
                        </w:rPr>
                        <m:t>Al</m:t>
                      </m:r>
                    </m:den>
                  </m:f>
                </m:e>
                <m:sub>
                  <m:r>
                    <m:rPr>
                      <m:sty m:val="p"/>
                    </m:rPr>
                    <w:rPr>
                      <w:rFonts w:ascii="Cambria Math" w:hAnsi="Cambria Math" w:cstheme="minorHAnsi"/>
                    </w:rPr>
                    <m:t>terrigenous</m:t>
                  </m:r>
                </m:sub>
              </m:sSub>
            </m:e>
          </m:d>
          <m:r>
            <m:rPr>
              <m:sty m:val="p"/>
            </m:rPr>
            <w:rPr>
              <w:rFonts w:ascii="Cambria Math" w:hAnsi="Cambria Math" w:cstheme="minorHAnsi"/>
            </w:rPr>
            <m:t xml:space="preserve">× </m:t>
          </m:r>
          <m:sSub>
            <m:sSubPr>
              <m:ctrlPr>
                <w:rPr>
                  <w:rFonts w:ascii="Cambria Math" w:hAnsi="Cambria Math" w:cstheme="minorHAnsi"/>
                </w:rPr>
              </m:ctrlPr>
            </m:sSubPr>
            <m:e>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Al</m:t>
                  </m:r>
                </m:e>
                <m:sub>
                  <m:r>
                    <m:rPr>
                      <m:sty m:val="p"/>
                    </m:rPr>
                    <w:rPr>
                      <w:rFonts w:ascii="Cambria Math" w:hAnsi="Cambria Math" w:cstheme="minorHAnsi"/>
                    </w:rPr>
                    <m:t>total</m:t>
                  </m:r>
                </m:sub>
              </m:sSub>
              <m:r>
                <m:rPr>
                  <m:sty m:val="p"/>
                </m:rPr>
                <w:rPr>
                  <w:rFonts w:ascii="Cambria Math" w:hAnsi="Cambria Math" w:cstheme="minorHAnsi"/>
                </w:rPr>
                <m:t>]</m:t>
              </m:r>
            </m:e>
            <m:sub>
              <m:r>
                <m:rPr>
                  <m:sty m:val="p"/>
                </m:rPr>
                <w:rPr>
                  <w:rFonts w:ascii="Cambria Math" w:hAnsi="Cambria Math" w:cstheme="minorHAnsi"/>
                </w:rPr>
                <m:t>ppm</m:t>
              </m:r>
            </m:sub>
          </m:sSub>
        </m:oMath>
      </m:oMathPara>
    </w:p>
    <w:p w14:paraId="5CFA6F61" w14:textId="004B4005" w:rsidR="00C70A17" w:rsidRPr="00320F20" w:rsidRDefault="005E1E71" w:rsidP="00691D05">
      <w:pPr>
        <w:spacing w:line="480" w:lineRule="auto"/>
        <w:jc w:val="both"/>
        <w:rPr>
          <w:rFonts w:eastAsiaTheme="minorEastAsia" w:cstheme="minorHAnsi"/>
        </w:rPr>
      </w:pPr>
      <w:r>
        <w:rPr>
          <w:rFonts w:eastAsiaTheme="minorEastAsia" w:cstheme="minorHAnsi"/>
        </w:rPr>
        <w:t>w</w:t>
      </w:r>
      <w:r w:rsidR="00C70A17" w:rsidRPr="00320F20">
        <w:rPr>
          <w:rFonts w:eastAsiaTheme="minorEastAsia" w:cstheme="minorHAnsi"/>
        </w:rPr>
        <w:t>here Ba/Al</w:t>
      </w:r>
      <w:r w:rsidR="00C70A17" w:rsidRPr="00320F20">
        <w:rPr>
          <w:rFonts w:eastAsiaTheme="minorEastAsia" w:cstheme="minorHAnsi"/>
          <w:vertAlign w:val="subscript"/>
        </w:rPr>
        <w:t xml:space="preserve">terrigenous </w:t>
      </w:r>
      <w:r w:rsidR="00867BD2">
        <w:rPr>
          <w:rFonts w:eastAsiaTheme="minorEastAsia" w:cstheme="minorHAnsi"/>
        </w:rPr>
        <w:t xml:space="preserve">is the Ba/Al </w:t>
      </w:r>
      <w:r w:rsidR="00EB7A1C">
        <w:rPr>
          <w:rFonts w:eastAsiaTheme="minorEastAsia" w:cstheme="minorHAnsi"/>
        </w:rPr>
        <w:t>of</w:t>
      </w:r>
      <w:r w:rsidR="00867BD2">
        <w:rPr>
          <w:rFonts w:eastAsiaTheme="minorEastAsia" w:cstheme="minorHAnsi"/>
        </w:rPr>
        <w:t xml:space="preserve"> the sample residue following the final DTPA-NaOH treatment. </w:t>
      </w:r>
    </w:p>
    <w:p w14:paraId="0E8FBA6D" w14:textId="77777777" w:rsidR="00C70A17" w:rsidRPr="00320F20" w:rsidRDefault="00C70A17" w:rsidP="00691D05">
      <w:pPr>
        <w:spacing w:line="480" w:lineRule="auto"/>
        <w:jc w:val="both"/>
        <w:rPr>
          <w:rFonts w:eastAsiaTheme="minorEastAsia" w:cstheme="minorHAnsi"/>
        </w:rPr>
      </w:pPr>
    </w:p>
    <w:p w14:paraId="3AEFA770" w14:textId="77777777" w:rsidR="00C70A17" w:rsidRPr="00320F20" w:rsidRDefault="00C70A17" w:rsidP="00691D05">
      <w:pPr>
        <w:spacing w:line="480" w:lineRule="auto"/>
        <w:jc w:val="both"/>
        <w:rPr>
          <w:rFonts w:eastAsiaTheme="minorEastAsia" w:cstheme="minorHAnsi"/>
        </w:rPr>
      </w:pPr>
      <w:r w:rsidRPr="00320F20">
        <w:rPr>
          <w:rFonts w:eastAsiaTheme="minorEastAsia" w:cstheme="minorHAnsi"/>
        </w:rPr>
        <w:t xml:space="preserve">Equation 4: </w:t>
      </w:r>
    </w:p>
    <w:p w14:paraId="16F7443D" w14:textId="77777777" w:rsidR="000B3E5D" w:rsidRPr="00320F20" w:rsidRDefault="000B3E5D" w:rsidP="00691D05">
      <w:pPr>
        <w:spacing w:line="480" w:lineRule="auto"/>
        <w:jc w:val="both"/>
        <w:rPr>
          <w:rFonts w:eastAsiaTheme="minorEastAsia" w:cstheme="minorHAnsi"/>
        </w:rPr>
      </w:pPr>
      <m:oMathPara>
        <m:oMath>
          <m:r>
            <w:rPr>
              <w:rFonts w:ascii="Cambria Math" w:eastAsiaTheme="minorEastAsia" w:hAnsi="Cambria Math" w:cstheme="minorHAnsi"/>
            </w:rPr>
            <m:t xml:space="preserve">AR </m:t>
          </m:r>
          <m:sSub>
            <m:sSubPr>
              <m:ctrlPr>
                <w:rPr>
                  <w:rFonts w:ascii="Cambria Math" w:eastAsiaTheme="minorEastAsia" w:hAnsi="Cambria Math" w:cstheme="minorHAnsi"/>
                  <w:i/>
                </w:rPr>
              </m:ctrlPr>
            </m:sSubPr>
            <m:e>
              <m:r>
                <w:rPr>
                  <w:rFonts w:ascii="Cambria Math" w:eastAsiaTheme="minorEastAsia" w:hAnsi="Cambria Math" w:cstheme="minorHAnsi"/>
                </w:rPr>
                <m:t>Ba</m:t>
              </m:r>
            </m:e>
            <m:sub>
              <m:r>
                <w:rPr>
                  <w:rFonts w:ascii="Cambria Math" w:eastAsiaTheme="minorEastAsia" w:hAnsi="Cambria Math" w:cstheme="minorHAnsi"/>
                </w:rPr>
                <m:t xml:space="preserve">Barite </m:t>
              </m:r>
            </m:sub>
          </m:sSub>
          <m:r>
            <w:rPr>
              <w:rFonts w:ascii="Cambria Math" w:eastAsiaTheme="minorEastAsia" w:hAnsi="Cambria Math" w:cstheme="minorHAnsi"/>
            </w:rPr>
            <m:t>=</m:t>
          </m:r>
          <m:d>
            <m:dPr>
              <m:ctrlPr>
                <w:rPr>
                  <w:rFonts w:ascii="Cambria Math" w:eastAsiaTheme="minorEastAsia" w:hAnsi="Cambria Math" w:cstheme="minorHAnsi"/>
                  <w:i/>
                </w:rPr>
              </m:ctrlPr>
            </m:dPr>
            <m:e>
              <m:sSub>
                <m:sSubPr>
                  <m:ctrlPr>
                    <w:rPr>
                      <w:rFonts w:ascii="Cambria Math" w:eastAsiaTheme="minorEastAsia" w:hAnsi="Cambria Math" w:cstheme="minorHAnsi"/>
                      <w:i/>
                    </w:rPr>
                  </m:ctrlPr>
                </m:sSubPr>
                <m:e>
                  <m:r>
                    <w:rPr>
                      <w:rFonts w:ascii="Cambria Math" w:eastAsiaTheme="minorEastAsia" w:hAnsi="Cambria Math" w:cstheme="minorHAnsi"/>
                    </w:rPr>
                    <m:t>Ba</m:t>
                  </m:r>
                </m:e>
                <m:sub>
                  <m:r>
                    <w:rPr>
                      <w:rFonts w:ascii="Cambria Math" w:eastAsiaTheme="minorEastAsia" w:hAnsi="Cambria Math" w:cstheme="minorHAnsi"/>
                    </w:rPr>
                    <m:t>excess</m:t>
                  </m:r>
                </m:sub>
              </m:sSub>
              <m:r>
                <w:rPr>
                  <w:rFonts w:ascii="Cambria Math" w:eastAsiaTheme="minorEastAsia" w:hAnsi="Cambria Math" w:cstheme="minorHAnsi"/>
                </w:rPr>
                <m:t>× SR × DBD</m:t>
              </m:r>
            </m:e>
          </m:d>
          <m:r>
            <w:rPr>
              <w:rFonts w:ascii="Cambria Math" w:eastAsiaTheme="minorEastAsia" w:hAnsi="Cambria Math" w:cstheme="minorHAnsi"/>
            </w:rPr>
            <m:t xml:space="preserve">× </m:t>
          </m:r>
          <m:sSup>
            <m:sSupPr>
              <m:ctrlPr>
                <w:rPr>
                  <w:rFonts w:ascii="Cambria Math" w:eastAsiaTheme="minorEastAsia" w:hAnsi="Cambria Math" w:cstheme="minorHAnsi"/>
                  <w:i/>
                </w:rPr>
              </m:ctrlPr>
            </m:sSupPr>
            <m:e>
              <m:r>
                <w:rPr>
                  <w:rFonts w:ascii="Cambria Math" w:eastAsiaTheme="minorEastAsia" w:hAnsi="Cambria Math" w:cstheme="minorHAnsi"/>
                </w:rPr>
                <m:t>10</m:t>
              </m:r>
            </m:e>
            <m:sup>
              <m:r>
                <w:rPr>
                  <w:rFonts w:ascii="Cambria Math" w:eastAsiaTheme="minorEastAsia" w:hAnsi="Cambria Math" w:cstheme="minorHAnsi"/>
                </w:rPr>
                <m:t>-3</m:t>
              </m:r>
            </m:sup>
          </m:sSup>
        </m:oMath>
      </m:oMathPara>
    </w:p>
    <w:p w14:paraId="270195C1" w14:textId="77777777" w:rsidR="005A5076" w:rsidRPr="00320F20" w:rsidRDefault="005A5076" w:rsidP="00691D05">
      <w:pPr>
        <w:spacing w:line="480" w:lineRule="auto"/>
        <w:jc w:val="both"/>
        <w:rPr>
          <w:rFonts w:cstheme="minorHAnsi"/>
        </w:rPr>
      </w:pPr>
    </w:p>
    <w:p w14:paraId="02DACC6F" w14:textId="22F53F23" w:rsidR="00C70A17" w:rsidRPr="00320F20" w:rsidRDefault="00222838" w:rsidP="00691D05">
      <w:pPr>
        <w:spacing w:line="480" w:lineRule="auto"/>
        <w:jc w:val="both"/>
        <w:rPr>
          <w:rFonts w:cstheme="minorHAnsi"/>
        </w:rPr>
      </w:pPr>
      <w:r w:rsidRPr="00320F20">
        <w:rPr>
          <w:rFonts w:cstheme="minorHAnsi"/>
        </w:rPr>
        <w:t>S</w:t>
      </w:r>
      <w:r w:rsidR="006B5C89" w:rsidRPr="00320F20">
        <w:rPr>
          <w:rFonts w:cstheme="minorHAnsi"/>
        </w:rPr>
        <w:t xml:space="preserve">edimentation rate </w:t>
      </w:r>
      <w:r w:rsidR="000B3E5D">
        <w:rPr>
          <w:rFonts w:cstheme="minorHAnsi"/>
        </w:rPr>
        <w:t xml:space="preserve">(SR, m/yr) </w:t>
      </w:r>
      <w:r w:rsidR="006B5C89" w:rsidRPr="00320F20">
        <w:rPr>
          <w:rFonts w:cstheme="minorHAnsi"/>
        </w:rPr>
        <w:t xml:space="preserve">and dry bulk density </w:t>
      </w:r>
      <w:r w:rsidR="005A5076" w:rsidRPr="00320F20">
        <w:rPr>
          <w:rFonts w:cstheme="minorHAnsi"/>
        </w:rPr>
        <w:t>(DBD</w:t>
      </w:r>
      <w:r w:rsidR="000B3E5D">
        <w:rPr>
          <w:rFonts w:cstheme="minorHAnsi"/>
        </w:rPr>
        <w:t>, g/m</w:t>
      </w:r>
      <w:r w:rsidR="000B3E5D" w:rsidRPr="00E44CD0">
        <w:rPr>
          <w:rFonts w:cstheme="minorHAnsi"/>
          <w:vertAlign w:val="superscript"/>
        </w:rPr>
        <w:t>3</w:t>
      </w:r>
      <w:r w:rsidR="005A5076" w:rsidRPr="00320F20">
        <w:rPr>
          <w:rFonts w:cstheme="minorHAnsi"/>
        </w:rPr>
        <w:t xml:space="preserve">) for </w:t>
      </w:r>
      <w:r w:rsidR="005E1E71">
        <w:rPr>
          <w:rFonts w:cstheme="minorHAnsi"/>
        </w:rPr>
        <w:t>sites 662 and 1</w:t>
      </w:r>
      <w:r w:rsidR="00411C09">
        <w:rPr>
          <w:rFonts w:cstheme="minorHAnsi"/>
        </w:rPr>
        <w:t>0</w:t>
      </w:r>
      <w:r w:rsidR="005E1E71">
        <w:rPr>
          <w:rFonts w:cstheme="minorHAnsi"/>
        </w:rPr>
        <w:t>16</w:t>
      </w:r>
      <w:r w:rsidR="005A5076" w:rsidRPr="00320F20">
        <w:rPr>
          <w:rFonts w:cstheme="minorHAnsi"/>
        </w:rPr>
        <w:t xml:space="preserve"> </w:t>
      </w:r>
      <w:r w:rsidR="006B5C89" w:rsidRPr="00320F20">
        <w:rPr>
          <w:rFonts w:cstheme="minorHAnsi"/>
        </w:rPr>
        <w:t>were taken</w:t>
      </w:r>
      <w:r w:rsidR="005E1E71">
        <w:rPr>
          <w:rFonts w:cstheme="minorHAnsi"/>
        </w:rPr>
        <w:t xml:space="preserve"> from</w:t>
      </w:r>
      <w:r w:rsidR="006B5C89" w:rsidRPr="00320F20">
        <w:rPr>
          <w:rFonts w:cstheme="minorHAnsi"/>
        </w:rPr>
        <w:t xml:space="preserve"> </w:t>
      </w:r>
      <w:r w:rsidR="005A5076" w:rsidRPr="00320F20">
        <w:rPr>
          <w:rFonts w:cstheme="minorHAnsi"/>
        </w:rPr>
        <w:fldChar w:fldCharType="begin" w:fldLock="1"/>
      </w:r>
      <w:r w:rsidR="00A97ED1">
        <w:rPr>
          <w:rFonts w:cstheme="minorHAnsi"/>
        </w:rPr>
        <w:instrText>ADDIN CSL_CITATION {"citationItems":[{"id":"ITEM-1","itemData":{"author":[{"dropping-particle":"","family":"Ruddiman","given":"W.","non-dropping-particle":"","parse-names":false,"suffix":""},{"dropping-particle":"","family":"Sarnthein","given":"M","non-dropping-particle":"","parse-names":false,"suffix":""},{"dropping-particle":"","family":"Baldauf","given":"J","non-dropping-particle":"","parse-names":false,"suffix":""}],"container-title":"Proceedings of the Ocean Drilling Program, Leg 108 Initial Reports","id":"ITEM-1","issued":{"date-parts":[["1988"]]},"page":"487-556","title":"Site 662","type":"chapter"},"uris":["http://www.mendeley.com/documents/?uuid=8ad11b0f-9def-4aed-be80-3700670b0395"]}],"mendeley":{"formattedCitation":"(Ruddiman et al., 1988b)","manualFormatting":"Ruddiman et al., (1988)","plainTextFormattedCitation":"(Ruddiman et al., 1988b)","previouslyFormattedCitation":"(Ruddiman et al., 1988b)"},"properties":{"noteIndex":0},"schema":"https://github.com/citation-style-language/schema/raw/master/csl-citation.json"}</w:instrText>
      </w:r>
      <w:r w:rsidR="005A5076" w:rsidRPr="00320F20">
        <w:rPr>
          <w:rFonts w:cstheme="minorHAnsi"/>
        </w:rPr>
        <w:fldChar w:fldCharType="separate"/>
      </w:r>
      <w:r w:rsidR="005A5076" w:rsidRPr="00320F20">
        <w:rPr>
          <w:rFonts w:cstheme="minorHAnsi"/>
          <w:noProof/>
        </w:rPr>
        <w:t xml:space="preserve">Ruddiman et al., </w:t>
      </w:r>
      <w:r w:rsidR="005E1E71">
        <w:rPr>
          <w:rFonts w:cstheme="minorHAnsi"/>
          <w:noProof/>
        </w:rPr>
        <w:t>(</w:t>
      </w:r>
      <w:r w:rsidR="005A5076" w:rsidRPr="00320F20">
        <w:rPr>
          <w:rFonts w:cstheme="minorHAnsi"/>
          <w:noProof/>
        </w:rPr>
        <w:t>1988)</w:t>
      </w:r>
      <w:r w:rsidR="005A5076" w:rsidRPr="00320F20">
        <w:rPr>
          <w:rFonts w:cstheme="minorHAnsi"/>
        </w:rPr>
        <w:fldChar w:fldCharType="end"/>
      </w:r>
      <w:r w:rsidR="005E1E71">
        <w:rPr>
          <w:rFonts w:cstheme="minorHAnsi"/>
        </w:rPr>
        <w:t xml:space="preserve"> and</w:t>
      </w:r>
      <w:r w:rsidR="005A5076" w:rsidRPr="00320F20">
        <w:rPr>
          <w:rFonts w:cstheme="minorHAnsi"/>
        </w:rPr>
        <w:t xml:space="preserve"> </w:t>
      </w:r>
      <w:r w:rsidR="005A5076" w:rsidRPr="00320F20">
        <w:rPr>
          <w:rFonts w:cstheme="minorHAnsi"/>
        </w:rPr>
        <w:fldChar w:fldCharType="begin" w:fldLock="1"/>
      </w:r>
      <w:r w:rsidR="00A97ED1">
        <w:rPr>
          <w:rFonts w:cstheme="minorHAnsi"/>
        </w:rPr>
        <w:instrText>ADDIN CSL_CITATION {"citationItems":[{"id":"ITEM-1","itemData":{"author":[{"dropping-particle":"","family":"Lyle","given":"Mitchell","non-dropping-particle":"","parse-names":false,"suffix":""},{"dropping-particle":"","family":"Koizumi","given":"I","non-dropping-particle":"","parse-names":false,"suffix":""},{"dropping-particle":"","family":"Richter","given":"C","non-dropping-particle":"","parse-names":false,"suffix":""},{"dropping-particle":"","family":"Moore","given":"T. C.","non-dropping-particle":"","parse-names":false,"suffix":""}],"container-title":"Proceedings of the Ocean Drilling Program, Initial Reports","id":"ITEM-1","issued":{"date-parts":[["1997"]]},"page":"239-283","title":"Site 1016","type":"chapter","volume":"167"},"uris":["http://www.mendeley.com/documents/?uuid=8c16c277-316d-424c-b5fc-12ccd05408ed"]}],"mendeley":{"formattedCitation":"(Lyle et al., 1997b)","manualFormatting":"Lyle et al., (1997)","plainTextFormattedCitation":"(Lyle et al., 1997b)","previouslyFormattedCitation":"(Lyle et al., 1997b)"},"properties":{"noteIndex":0},"schema":"https://github.com/citation-style-language/schema/raw/master/csl-citation.json"}</w:instrText>
      </w:r>
      <w:r w:rsidR="005A5076" w:rsidRPr="00320F20">
        <w:rPr>
          <w:rFonts w:cstheme="minorHAnsi"/>
        </w:rPr>
        <w:fldChar w:fldCharType="separate"/>
      </w:r>
      <w:r w:rsidR="005A5076" w:rsidRPr="00320F20">
        <w:rPr>
          <w:rFonts w:cstheme="minorHAnsi"/>
          <w:noProof/>
        </w:rPr>
        <w:t xml:space="preserve">Lyle et al., </w:t>
      </w:r>
      <w:r w:rsidR="005E1E71">
        <w:rPr>
          <w:rFonts w:cstheme="minorHAnsi"/>
          <w:noProof/>
        </w:rPr>
        <w:t>(</w:t>
      </w:r>
      <w:r w:rsidR="005A5076" w:rsidRPr="00320F20">
        <w:rPr>
          <w:rFonts w:cstheme="minorHAnsi"/>
          <w:noProof/>
        </w:rPr>
        <w:t>1997)</w:t>
      </w:r>
      <w:r w:rsidR="005A5076" w:rsidRPr="00320F20">
        <w:rPr>
          <w:rFonts w:cstheme="minorHAnsi"/>
        </w:rPr>
        <w:fldChar w:fldCharType="end"/>
      </w:r>
      <w:r w:rsidR="005A5076" w:rsidRPr="00320F20">
        <w:rPr>
          <w:rFonts w:cstheme="minorHAnsi"/>
        </w:rPr>
        <w:t xml:space="preserve">, </w:t>
      </w:r>
      <w:r w:rsidR="005E1E71">
        <w:rPr>
          <w:rFonts w:cstheme="minorHAnsi"/>
        </w:rPr>
        <w:t xml:space="preserve">respectively. </w:t>
      </w:r>
    </w:p>
    <w:p w14:paraId="1EE15E19" w14:textId="77777777" w:rsidR="005A5076" w:rsidRPr="00320F20" w:rsidRDefault="005A5076" w:rsidP="00691D05">
      <w:pPr>
        <w:spacing w:line="480" w:lineRule="auto"/>
        <w:jc w:val="both"/>
        <w:rPr>
          <w:rFonts w:cstheme="minorHAnsi"/>
        </w:rPr>
      </w:pPr>
    </w:p>
    <w:p w14:paraId="46E39929" w14:textId="77E88761" w:rsidR="005A5076" w:rsidRPr="00320F20" w:rsidRDefault="005E1E71" w:rsidP="00691D05">
      <w:pPr>
        <w:spacing w:line="480" w:lineRule="auto"/>
        <w:jc w:val="both"/>
        <w:rPr>
          <w:rFonts w:cstheme="minorHAnsi"/>
        </w:rPr>
      </w:pPr>
      <w:r>
        <w:rPr>
          <w:rFonts w:cstheme="minorHAnsi"/>
        </w:rPr>
        <w:t>Our estimate for</w:t>
      </w:r>
      <w:r w:rsidR="001906C5" w:rsidRPr="00320F20">
        <w:rPr>
          <w:rFonts w:cstheme="minorHAnsi"/>
          <w:b/>
          <w:bCs/>
        </w:rPr>
        <w:t xml:space="preserve"> </w:t>
      </w:r>
      <w:r w:rsidR="00F4454E" w:rsidRPr="00E44CD0">
        <w:rPr>
          <w:rFonts w:cstheme="minorHAnsi"/>
        </w:rPr>
        <w:t>the</w:t>
      </w:r>
      <w:r w:rsidR="00F4454E">
        <w:rPr>
          <w:rFonts w:cstheme="minorHAnsi"/>
          <w:b/>
          <w:bCs/>
        </w:rPr>
        <w:t xml:space="preserve"> </w:t>
      </w:r>
      <w:r w:rsidR="001906C5" w:rsidRPr="00320F20">
        <w:rPr>
          <w:rFonts w:cstheme="minorHAnsi"/>
        </w:rPr>
        <w:t xml:space="preserve">Holocene </w:t>
      </w:r>
      <w:r w:rsidR="00F4454E">
        <w:rPr>
          <w:rFonts w:cstheme="minorHAnsi"/>
        </w:rPr>
        <w:t>barite accumulation rate at</w:t>
      </w:r>
      <w:r w:rsidR="001906C5" w:rsidRPr="00320F20">
        <w:rPr>
          <w:rFonts w:cstheme="minorHAnsi"/>
        </w:rPr>
        <w:t xml:space="preserve"> Site 662 (Sample A, </w:t>
      </w:r>
      <w:r w:rsidR="00F4212A">
        <w:rPr>
          <w:rFonts w:cstheme="minorHAnsi"/>
        </w:rPr>
        <w:t>5</w:t>
      </w:r>
      <w:r w:rsidR="001906C5" w:rsidRPr="00320F20">
        <w:rPr>
          <w:rFonts w:cstheme="minorHAnsi"/>
        </w:rPr>
        <w:t>.5 mg/m</w:t>
      </w:r>
      <w:r w:rsidR="001906C5" w:rsidRPr="00320F20">
        <w:rPr>
          <w:rFonts w:cstheme="minorHAnsi"/>
          <w:vertAlign w:val="superscript"/>
        </w:rPr>
        <w:t>2</w:t>
      </w:r>
      <w:r w:rsidR="001906C5" w:rsidRPr="00320F20">
        <w:rPr>
          <w:rFonts w:cstheme="minorHAnsi"/>
        </w:rPr>
        <w:t>/</w:t>
      </w:r>
      <w:r w:rsidR="008561B9" w:rsidRPr="00320F20">
        <w:rPr>
          <w:rFonts w:cstheme="minorHAnsi"/>
        </w:rPr>
        <w:t xml:space="preserve">yr) </w:t>
      </w:r>
      <w:r>
        <w:rPr>
          <w:rFonts w:cstheme="minorHAnsi"/>
        </w:rPr>
        <w:t>agrees</w:t>
      </w:r>
      <w:r w:rsidR="001906C5" w:rsidRPr="00320F20">
        <w:rPr>
          <w:rFonts w:cstheme="minorHAnsi"/>
        </w:rPr>
        <w:t xml:space="preserve"> </w:t>
      </w:r>
      <w:r w:rsidR="002419E4">
        <w:rPr>
          <w:rFonts w:cstheme="minorHAnsi"/>
        </w:rPr>
        <w:t xml:space="preserve">broadly </w:t>
      </w:r>
      <w:r w:rsidR="001906C5" w:rsidRPr="00320F20">
        <w:rPr>
          <w:rFonts w:cstheme="minorHAnsi"/>
        </w:rPr>
        <w:t xml:space="preserve">with AR </w:t>
      </w:r>
      <w:r w:rsidR="001906C5" w:rsidRPr="008561B9">
        <w:rPr>
          <w:rFonts w:cstheme="minorHAnsi"/>
        </w:rPr>
        <w:t>Ba</w:t>
      </w:r>
      <w:r w:rsidR="001906C5" w:rsidRPr="008561B9">
        <w:rPr>
          <w:rFonts w:cstheme="minorHAnsi"/>
          <w:vertAlign w:val="subscript"/>
        </w:rPr>
        <w:t>barite</w:t>
      </w:r>
      <w:r w:rsidR="001906C5" w:rsidRPr="00320F20">
        <w:rPr>
          <w:rFonts w:cstheme="minorHAnsi"/>
          <w:vertAlign w:val="subscript"/>
        </w:rPr>
        <w:t xml:space="preserve"> </w:t>
      </w:r>
      <w:r w:rsidR="001906C5" w:rsidRPr="0044664B">
        <w:rPr>
          <w:rFonts w:cstheme="minorHAnsi"/>
        </w:rPr>
        <w:t xml:space="preserve">values </w:t>
      </w:r>
      <w:r w:rsidR="000B3E5D">
        <w:rPr>
          <w:rFonts w:cstheme="minorHAnsi"/>
        </w:rPr>
        <w:t>estimated</w:t>
      </w:r>
      <w:r w:rsidR="0044664B">
        <w:rPr>
          <w:rFonts w:cstheme="minorHAnsi"/>
        </w:rPr>
        <w:t xml:space="preserve"> from the</w:t>
      </w:r>
      <w:r w:rsidR="001906C5" w:rsidRPr="00320F20">
        <w:rPr>
          <w:rFonts w:cstheme="minorHAnsi"/>
        </w:rPr>
        <w:t xml:space="preserve"> observed modern </w:t>
      </w:r>
      <w:r>
        <w:rPr>
          <w:rFonts w:cstheme="minorHAnsi"/>
        </w:rPr>
        <w:t xml:space="preserve">annual </w:t>
      </w:r>
      <w:r w:rsidR="001906C5" w:rsidRPr="00320F20">
        <w:rPr>
          <w:rFonts w:cstheme="minorHAnsi"/>
        </w:rPr>
        <w:t xml:space="preserve">carbon export </w:t>
      </w:r>
      <w:r w:rsidR="007F38AA">
        <w:rPr>
          <w:rFonts w:cstheme="minorHAnsi"/>
        </w:rPr>
        <w:t xml:space="preserve">for </w:t>
      </w:r>
      <w:r w:rsidR="00E5776D" w:rsidRPr="00320F20">
        <w:rPr>
          <w:rFonts w:cstheme="minorHAnsi"/>
        </w:rPr>
        <w:t>the eastern equatorial Atlantic</w:t>
      </w:r>
      <w:r w:rsidR="001906C5" w:rsidRPr="00320F20">
        <w:rPr>
          <w:rFonts w:cstheme="minorHAnsi"/>
        </w:rPr>
        <w:t xml:space="preserve"> </w:t>
      </w:r>
      <w:r w:rsidR="007F38AA">
        <w:rPr>
          <w:rFonts w:cstheme="minorHAnsi"/>
        </w:rPr>
        <w:t xml:space="preserve">Ocean </w:t>
      </w:r>
      <w:r w:rsidR="001906C5" w:rsidRPr="00320F20">
        <w:rPr>
          <w:rFonts w:cstheme="minorHAnsi"/>
        </w:rPr>
        <w:t>(Figure 1</w:t>
      </w:r>
      <w:r w:rsidR="006D74E3" w:rsidRPr="00320F20">
        <w:rPr>
          <w:rFonts w:cstheme="minorHAnsi"/>
        </w:rPr>
        <w:t>, Eagle et al., 2003</w:t>
      </w:r>
      <w:r w:rsidR="001906C5" w:rsidRPr="00320F20">
        <w:rPr>
          <w:rFonts w:cstheme="minorHAnsi"/>
        </w:rPr>
        <w:t xml:space="preserve">). </w:t>
      </w:r>
      <w:r w:rsidR="006D74E3" w:rsidRPr="00320F20">
        <w:rPr>
          <w:rFonts w:cstheme="minorHAnsi"/>
        </w:rPr>
        <w:t>AR Ba</w:t>
      </w:r>
      <w:r w:rsidR="006D74E3" w:rsidRPr="00320F20">
        <w:rPr>
          <w:rFonts w:cstheme="minorHAnsi"/>
          <w:vertAlign w:val="subscript"/>
        </w:rPr>
        <w:t xml:space="preserve">barite </w:t>
      </w:r>
      <w:r w:rsidR="001906C5" w:rsidRPr="00320F20">
        <w:rPr>
          <w:rFonts w:cstheme="minorHAnsi"/>
        </w:rPr>
        <w:t xml:space="preserve">varies downcore by a factor of </w:t>
      </w:r>
      <w:r>
        <w:rPr>
          <w:rFonts w:cstheme="minorHAnsi"/>
        </w:rPr>
        <w:t xml:space="preserve">about </w:t>
      </w:r>
      <w:r w:rsidR="001906C5" w:rsidRPr="00320F20">
        <w:rPr>
          <w:rFonts w:cstheme="minorHAnsi"/>
        </w:rPr>
        <w:t xml:space="preserve">four and increases to </w:t>
      </w:r>
      <w:r w:rsidR="00F4212A">
        <w:rPr>
          <w:rFonts w:cstheme="minorHAnsi"/>
        </w:rPr>
        <w:t>16.4</w:t>
      </w:r>
      <w:r w:rsidR="001906C5" w:rsidRPr="00320F20">
        <w:rPr>
          <w:rFonts w:cstheme="minorHAnsi"/>
        </w:rPr>
        <w:t xml:space="preserve"> and </w:t>
      </w:r>
      <w:r w:rsidR="00F4212A">
        <w:rPr>
          <w:rFonts w:cstheme="minorHAnsi"/>
        </w:rPr>
        <w:t>25</w:t>
      </w:r>
      <w:r w:rsidR="001906C5" w:rsidRPr="00320F20">
        <w:rPr>
          <w:rFonts w:cstheme="minorHAnsi"/>
        </w:rPr>
        <w:t xml:space="preserve">.6 </w:t>
      </w:r>
      <w:r w:rsidR="0044664B" w:rsidRPr="00320F20">
        <w:rPr>
          <w:rFonts w:cstheme="minorHAnsi"/>
        </w:rPr>
        <w:t>mg/m</w:t>
      </w:r>
      <w:r w:rsidR="0044664B" w:rsidRPr="00320F20">
        <w:rPr>
          <w:rFonts w:cstheme="minorHAnsi"/>
          <w:vertAlign w:val="superscript"/>
        </w:rPr>
        <w:t>2</w:t>
      </w:r>
      <w:r w:rsidR="0044664B" w:rsidRPr="00320F20">
        <w:rPr>
          <w:rFonts w:cstheme="minorHAnsi"/>
        </w:rPr>
        <w:t xml:space="preserve">/yr </w:t>
      </w:r>
      <w:r w:rsidR="001906C5" w:rsidRPr="00320F20">
        <w:rPr>
          <w:rFonts w:cstheme="minorHAnsi"/>
        </w:rPr>
        <w:t xml:space="preserve">for Pliocene samples D and E respectively, indicating that productivity in </w:t>
      </w:r>
      <w:r w:rsidR="00E5776D" w:rsidRPr="00320F20">
        <w:rPr>
          <w:rFonts w:cstheme="minorHAnsi"/>
        </w:rPr>
        <w:t>this region</w:t>
      </w:r>
      <w:r w:rsidR="001906C5" w:rsidRPr="00320F20">
        <w:rPr>
          <w:rFonts w:cstheme="minorHAnsi"/>
        </w:rPr>
        <w:t xml:space="preserve"> was likely much higher during the Pliocene</w:t>
      </w:r>
      <w:r w:rsidR="00747C7D" w:rsidRPr="00320F20">
        <w:rPr>
          <w:rFonts w:cstheme="minorHAnsi"/>
        </w:rPr>
        <w:t xml:space="preserve"> </w:t>
      </w:r>
      <w:r w:rsidR="00E5776D" w:rsidRPr="00320F20">
        <w:rPr>
          <w:rFonts w:cstheme="minorHAnsi"/>
        </w:rPr>
        <w:t xml:space="preserve">than today </w:t>
      </w:r>
      <w:r w:rsidR="00747C7D" w:rsidRPr="00320F20">
        <w:rPr>
          <w:rFonts w:cstheme="minorHAnsi"/>
        </w:rPr>
        <w:t>(Table 2)</w:t>
      </w:r>
      <w:r w:rsidR="001906C5" w:rsidRPr="00320F20">
        <w:rPr>
          <w:rFonts w:cstheme="minorHAnsi"/>
        </w:rPr>
        <w:t>. The estimated AR Ba</w:t>
      </w:r>
      <w:r w:rsidR="001906C5" w:rsidRPr="00320F20">
        <w:rPr>
          <w:rFonts w:cstheme="minorHAnsi"/>
          <w:vertAlign w:val="subscript"/>
        </w:rPr>
        <w:t xml:space="preserve">barite </w:t>
      </w:r>
      <w:r w:rsidR="001906C5" w:rsidRPr="00320F20">
        <w:rPr>
          <w:rFonts w:cstheme="minorHAnsi"/>
        </w:rPr>
        <w:t>from Site 1016 (</w:t>
      </w:r>
      <w:r w:rsidR="00F4212A">
        <w:rPr>
          <w:rFonts w:cstheme="minorHAnsi"/>
        </w:rPr>
        <w:t>3.0</w:t>
      </w:r>
      <w:r w:rsidR="001906C5" w:rsidRPr="00320F20">
        <w:rPr>
          <w:rFonts w:cstheme="minorHAnsi"/>
        </w:rPr>
        <w:t xml:space="preserve"> mg/m</w:t>
      </w:r>
      <w:r w:rsidR="001906C5" w:rsidRPr="00320F20">
        <w:rPr>
          <w:rFonts w:cstheme="minorHAnsi"/>
          <w:vertAlign w:val="superscript"/>
        </w:rPr>
        <w:t>2</w:t>
      </w:r>
      <w:r w:rsidR="001906C5" w:rsidRPr="00320F20">
        <w:rPr>
          <w:rFonts w:cstheme="minorHAnsi"/>
        </w:rPr>
        <w:t>/yr) is lower than at Site 662</w:t>
      </w:r>
      <w:r w:rsidR="003D4C72">
        <w:rPr>
          <w:rFonts w:cstheme="minorHAnsi"/>
        </w:rPr>
        <w:t xml:space="preserve"> and also</w:t>
      </w:r>
      <w:r w:rsidR="001906C5" w:rsidRPr="00320F20">
        <w:rPr>
          <w:rFonts w:cstheme="minorHAnsi"/>
        </w:rPr>
        <w:t xml:space="preserve"> </w:t>
      </w:r>
      <w:r w:rsidR="001906C5" w:rsidRPr="00320F20">
        <w:rPr>
          <w:rFonts w:cstheme="minorHAnsi"/>
        </w:rPr>
        <w:lastRenderedPageBreak/>
        <w:t xml:space="preserve">in </w:t>
      </w:r>
      <w:r w:rsidR="000B0E8B">
        <w:rPr>
          <w:rFonts w:cstheme="minorHAnsi"/>
        </w:rPr>
        <w:t>agreement</w:t>
      </w:r>
      <w:r w:rsidR="001906C5" w:rsidRPr="00320F20">
        <w:rPr>
          <w:rFonts w:cstheme="minorHAnsi"/>
        </w:rPr>
        <w:t xml:space="preserve"> with expectation</w:t>
      </w:r>
      <w:r w:rsidR="003D4C72">
        <w:rPr>
          <w:rFonts w:cstheme="minorHAnsi"/>
        </w:rPr>
        <w:t>s based on</w:t>
      </w:r>
      <w:r w:rsidR="001906C5" w:rsidRPr="00320F20">
        <w:rPr>
          <w:rFonts w:cstheme="minorHAnsi"/>
        </w:rPr>
        <w:t xml:space="preserve"> </w:t>
      </w:r>
      <w:r w:rsidR="009D0179" w:rsidRPr="00320F20">
        <w:rPr>
          <w:rFonts w:cstheme="minorHAnsi"/>
        </w:rPr>
        <w:t>local</w:t>
      </w:r>
      <w:r w:rsidR="003D4C72">
        <w:rPr>
          <w:rFonts w:cstheme="minorHAnsi"/>
        </w:rPr>
        <w:t xml:space="preserve"> annual</w:t>
      </w:r>
      <w:r w:rsidR="009D0179" w:rsidRPr="00320F20">
        <w:rPr>
          <w:rFonts w:cstheme="minorHAnsi"/>
        </w:rPr>
        <w:t xml:space="preserve"> </w:t>
      </w:r>
      <w:r w:rsidR="001906C5" w:rsidRPr="00320F20">
        <w:rPr>
          <w:rFonts w:cstheme="minorHAnsi"/>
        </w:rPr>
        <w:t>carbon export production (F</w:t>
      </w:r>
      <w:r w:rsidR="00747C7D" w:rsidRPr="00320F20">
        <w:rPr>
          <w:rFonts w:cstheme="minorHAnsi"/>
        </w:rPr>
        <w:t>i</w:t>
      </w:r>
      <w:r w:rsidR="001906C5" w:rsidRPr="00320F20">
        <w:rPr>
          <w:rFonts w:cstheme="minorHAnsi"/>
        </w:rPr>
        <w:t xml:space="preserve">gure 1). </w:t>
      </w:r>
      <w:r w:rsidR="00F2080C">
        <w:rPr>
          <w:rFonts w:cstheme="minorHAnsi"/>
        </w:rPr>
        <w:t>C</w:t>
      </w:r>
      <w:r w:rsidR="00A97ED1">
        <w:rPr>
          <w:rFonts w:cstheme="minorHAnsi"/>
        </w:rPr>
        <w:t>omparison of our estimates of AR Ba</w:t>
      </w:r>
      <w:r w:rsidR="00A97ED1" w:rsidRPr="004906E8">
        <w:rPr>
          <w:rFonts w:cstheme="minorHAnsi"/>
          <w:vertAlign w:val="subscript"/>
        </w:rPr>
        <w:t>barite</w:t>
      </w:r>
      <w:r w:rsidR="00A97ED1">
        <w:rPr>
          <w:rFonts w:cstheme="minorHAnsi"/>
        </w:rPr>
        <w:t xml:space="preserve"> at sites 662 and 1016 (Table 2) with global estimates of excess Ba flux </w:t>
      </w:r>
      <w:r w:rsidR="00A97ED1">
        <w:rPr>
          <w:rFonts w:cstheme="minorHAnsi"/>
        </w:rPr>
        <w:fldChar w:fldCharType="begin" w:fldLock="1"/>
      </w:r>
      <w:r w:rsidR="00A97ED1">
        <w:rPr>
          <w:rFonts w:cstheme="minorHAnsi"/>
        </w:rPr>
        <w:instrText>ADDIN CSL_CITATION {"citationItems":[{"id":"ITEM-1","itemData":{"DOI":"10.1029/2020GB006769","ISSN":"19449224","abstract":"Quantitative knowledge about the burial of sedimentary components at the seafloor has wide-ranging implications in ocean science, from global climate to continental weathering. The use of 230Th-normalized fluxes reduces uncertainties that many prior studies faced by accounting for the effects of sediment redistribution by bottom currents and minimizing the impact of age model uncertainty. Here we employ a recently compiled global data set of 230Th-normalized fluxes with an updated database of seafloor surface sediment composition to derive atlases of the deep-sea burial flux of calcium carbonate, biogenic opal, total organic carbon (TOC), nonbiogenic material, iron, mercury, and excess barium (Baxs). The spatial patterns of major component burial are mainly consistent with prior work, but the new quantitative estimates allow evaluations of deep-sea budgets. Our integrated deep-sea burial fluxes are 136 Tg C/yr CaCO3, 153 Tg Si/yr opal, 20Tg C/yr TOC, 220 Mg Hg/yr, and 2.6 Tg Baxs/yr. This opal flux is roughly a factor of 2 increase over previous estimates, with important implications for the global Si cycle. Sedimentary Fe fluxes reflect a mixture of sources including lithogenic material, hydrothermal inputs and authigenic phases. The fluxes of some commonly used paleo-productivity proxies (TOC, biogenic opal, and Baxs) are not well-correlated geographically with satellite-based productivity estimates. Our new compilation of sedimentary fluxes provides detailed regional and global information, which will help refine the understanding of sediment preservation.","author":[{"dropping-particle":"","family":"Hayes","given":"Christopher T.","non-dropping-particle":"","parse-names":false,"suffix":""},{"dropping-particle":"","family":"Costa","given":"Kassandra M.","non-dropping-particle":"","parse-names":false,"suffix":""},{"dropping-particle":"","family":"Anderson","given":"Robert F.","non-dropping-particle":"","parse-names":false,"suffix":""},{"dropping-particle":"","family":"Calvo","given":"Eva","non-dropping-particle":"","parse-names":false,"suffix":""},{"dropping-particle":"","family":"Chase","given":"Zanna","non-dropping-particle":"","parse-names":false,"suffix":""},{"dropping-particle":"","family":"Demina","given":"Ludmila L.","non-dropping-particle":"","parse-names":false,"suffix":""},{"dropping-particle":"","family":"Dutay","given":"Jean Claude","non-dropping-particle":"","parse-names":false,"suffix":""},{"dropping-particle":"","family":"German","given":"Christopher R.","non-dropping-particle":"","parse-names":false,"suffix":""},{"dropping-particle":"","family":"Heimbürger-Boavida","given":"Lars Eric","non-dropping-particle":"","parse-names":false,"suffix":""},{"dropping-particle":"","family":"Jaccard","given":"Samuel L.","non-dropping-particle":"","parse-names":false,"suffix":""},{"dropping-particle":"","family":"Jacobel","given":"Allison","non-dropping-particle":"","parse-names":false,"suffix":""},{"dropping-particle":"","family":"Kohfeld","given":"Karen E.","non-dropping-particle":"","parse-names":false,"suffix":""},{"dropping-particle":"","family":"Kravchishina","given":"Marina D.","non-dropping-particle":"","parse-names":false,"suffix":""},{"dropping-particle":"","family":"Lippold","given":"Jörg","non-dropping-particle":"","parse-names":false,"suffix":""},{"dropping-particle":"","family":"Mekik","given":"Figen","non-dropping-particle":"","parse-names":false,"suffix":""},{"dropping-particle":"","family":"Missiaen","given":"Lise","non-dropping-particle":"","parse-names":false,"suffix":""},{"dropping-particle":"","family":"Pavia","given":"Frank J.","non-dropping-particle":"","parse-names":false,"suffix":""},{"dropping-particle":"","family":"Paytan","given":"Adina","non-dropping-particle":"","parse-names":false,"suffix":""},{"dropping-particle":"","family":"Pedrosa-Pamies","given":"Rut","non-dropping-particle":"","parse-names":false,"suffix":""},{"dropping-particle":"V.","family":"Petrova","given":"Mariia","non-dropping-particle":"","parse-names":false,"suffix":""},{"dropping-particle":"","family":"Rahman","given":"Shaily","non-dropping-particle":"","parse-names":false,"suffix":""},{"dropping-particle":"","family":"Robinson","given":"Laura F.","non-dropping-particle":"","parse-names":false,"suffix":""},{"dropping-particle":"","family":"Roy-Barman","given":"Matthieu","non-dropping-particle":"","parse-names":false,"suffix":""},{"dropping-particle":"","family":"Sanchez-Vidal","given":"Anna","non-dropping-particle":"","parse-names":false,"suffix":""},{"dropping-particle":"","family":"Shiller","given":"Alan","non-dropping-particle":"","parse-names":false,"suffix":""},{"dropping-particle":"","family":"Tagliabue","given":"Alessandro","non-dropping-particle":"","parse-names":false,"suffix":""},{"dropping-particle":"","family":"Tessin","given":"Allyson C.","non-dropping-particle":"","parse-names":false,"suffix":""},{"dropping-particle":"","family":"Hulten","given":"Marco","non-dropping-particle":"van","parse-names":false,"suffix":""},{"dropping-particle":"","family":"Zhang","given":"Jing","non-dropping-particle":"","parse-names":false,"suffix":""}],"container-title":"Global Biogeochemical Cycles","id":"ITEM-1","issue":"4","issued":{"date-parts":[["2021"]]},"page":"0-25","title":"Global Ocean Sediment Composition and Burial Flux in the Deep Sea","type":"article-journal","volume":"35"},"uris":["http://www.mendeley.com/documents/?uuid=fad7d67a-a1e4-443e-9d67-0ba04e023bd3"]}],"mendeley":{"formattedCitation":"(Hayes et al., 2021)","plainTextFormattedCitation":"(Hayes et al., 2021)","previouslyFormattedCitation":"(Hayes et al., 2021)"},"properties":{"noteIndex":0},"schema":"https://github.com/citation-style-language/schema/raw/master/csl-citation.json"}</w:instrText>
      </w:r>
      <w:r w:rsidR="00A97ED1">
        <w:rPr>
          <w:rFonts w:cstheme="minorHAnsi"/>
        </w:rPr>
        <w:fldChar w:fldCharType="separate"/>
      </w:r>
      <w:r w:rsidR="00A97ED1" w:rsidRPr="00A97ED1">
        <w:rPr>
          <w:rFonts w:cstheme="minorHAnsi"/>
          <w:noProof/>
        </w:rPr>
        <w:t>(Hayes et al., 2021)</w:t>
      </w:r>
      <w:r w:rsidR="00A97ED1">
        <w:rPr>
          <w:rFonts w:cstheme="minorHAnsi"/>
        </w:rPr>
        <w:fldChar w:fldCharType="end"/>
      </w:r>
      <w:r w:rsidR="00A97ED1">
        <w:rPr>
          <w:rFonts w:cstheme="minorHAnsi"/>
        </w:rPr>
        <w:t xml:space="preserve"> and </w:t>
      </w:r>
      <w:r w:rsidR="006D049D">
        <w:rPr>
          <w:rFonts w:cstheme="minorHAnsi"/>
        </w:rPr>
        <w:t xml:space="preserve">global </w:t>
      </w:r>
      <w:r w:rsidR="00A97ED1">
        <w:rPr>
          <w:rFonts w:cstheme="minorHAnsi"/>
        </w:rPr>
        <w:t xml:space="preserve">annual carbon export </w:t>
      </w:r>
      <w:r w:rsidR="00A97ED1">
        <w:rPr>
          <w:rFonts w:cstheme="minorHAnsi"/>
        </w:rPr>
        <w:fldChar w:fldCharType="begin" w:fldLock="1"/>
      </w:r>
      <w:r w:rsidR="00305925">
        <w:rPr>
          <w:rFonts w:cstheme="minorHAnsi"/>
        </w:rPr>
        <w:instrText>ADDIN CSL_CITATION {"citationItems":[{"id":"ITEM-1","itemData":{"DOI":"10.1126/science.281.5374.200","ISSN":"00368075","PMID":"9660741","abstract":"Changes in oceanic primary production, linked to changes in the network of global biogeochemical cycles, have profoundly influenced the geochemistry of Earth for over 3 billion years. In the contemporary ocean, photosynthetic carbon fixation by marine phytoplankton leads to formation of ~45 gigatons of organic carbon per annum, of which 16 gigatons are exported to the ocean interior. Changes in the magnitude of total and export production can strongly influence atmospheric CO2 levels (and hence climate) on geological time scales, as well as set upper bounds for sustainable fisheries harvest. The two fluxes are critically dependent on geophysical processes that determine mixed-layer depth, nutrient fluxes to and within the ocean, and food-web structure. Because the average turnover time of phytoplankton carbon in the ocean is on the order of a week or less, total and export production are extremely sensitive to external forcing and consequently are seldom in steady state. Elucidating the biogeochemical controls and feedbacks on primary production is essential to understanding how oceanic biota responded to and affected natural climatic variability in the geological past, and will respond to anthropogenically influenced changes in coming decades. One of the most crucial feedbacks results from changes in radiative forcing on the hydrological cycle, which influences the aeolian iron flux and, in turn, affects nitrogen fixation and primary production in the oceans.","author":[{"dropping-particle":"","family":"Falkowski","given":"Paul G.","non-dropping-particle":"","parse-names":false,"suffix":""},{"dropping-particle":"","family":"Barber","given":"Richard T.","non-dropping-particle":"","parse-names":false,"suffix":""},{"dropping-particle":"","family":"Smetacek","given":"Victor","non-dropping-particle":"","parse-names":false,"suffix":""}],"container-title":"Science","id":"ITEM-1","issue":"5374","issued":{"date-parts":[["1998"]]},"note":"Great figure showing C export - useful for methods paper Barite removal calcs","page":"200-206","title":"Biogeochemical controls and feedbacks on ocean primary production","type":"article-journal","volume":"281"},"uris":["http://www.mendeley.com/documents/?uuid=78e51afd-826f-4f22-90f4-801efa19b2ff"]}],"mendeley":{"formattedCitation":"(Falkowski et al., 1998)","plainTextFormattedCitation":"(Falkowski et al., 1998)","previouslyFormattedCitation":"(Falkowski et al., 1998)"},"properties":{"noteIndex":0},"schema":"https://github.com/citation-style-language/schema/raw/master/csl-citation.json"}</w:instrText>
      </w:r>
      <w:r w:rsidR="00A97ED1">
        <w:rPr>
          <w:rFonts w:cstheme="minorHAnsi"/>
        </w:rPr>
        <w:fldChar w:fldCharType="separate"/>
      </w:r>
      <w:r w:rsidR="00A97ED1" w:rsidRPr="00A97ED1">
        <w:rPr>
          <w:rFonts w:cstheme="minorHAnsi"/>
          <w:noProof/>
        </w:rPr>
        <w:t>(Falkowski et al., 1998)</w:t>
      </w:r>
      <w:r w:rsidR="00A97ED1">
        <w:rPr>
          <w:rFonts w:cstheme="minorHAnsi"/>
        </w:rPr>
        <w:fldChar w:fldCharType="end"/>
      </w:r>
      <w:r w:rsidR="00A97ED1">
        <w:rPr>
          <w:rFonts w:cstheme="minorHAnsi"/>
        </w:rPr>
        <w:t xml:space="preserve"> </w:t>
      </w:r>
      <w:r w:rsidR="00D15C9A">
        <w:rPr>
          <w:rFonts w:cstheme="minorHAnsi"/>
        </w:rPr>
        <w:t xml:space="preserve">(Figure 1) </w:t>
      </w:r>
      <w:r w:rsidR="00A97ED1">
        <w:rPr>
          <w:rFonts w:cstheme="minorHAnsi"/>
        </w:rPr>
        <w:t xml:space="preserve">indicate that our </w:t>
      </w:r>
      <w:r w:rsidR="004842A9">
        <w:rPr>
          <w:rFonts w:cstheme="minorHAnsi"/>
        </w:rPr>
        <w:t>sample</w:t>
      </w:r>
      <w:r w:rsidR="00A97ED1">
        <w:rPr>
          <w:rFonts w:cstheme="minorHAnsi"/>
        </w:rPr>
        <w:t xml:space="preserve"> set is</w:t>
      </w:r>
      <w:r w:rsidR="004842A9">
        <w:rPr>
          <w:rFonts w:cstheme="minorHAnsi"/>
        </w:rPr>
        <w:t xml:space="preserve"> broadly</w:t>
      </w:r>
      <w:r w:rsidR="00A97ED1">
        <w:rPr>
          <w:rFonts w:cstheme="minorHAnsi"/>
        </w:rPr>
        <w:t xml:space="preserve"> representative of </w:t>
      </w:r>
      <w:r w:rsidR="00E24AD7">
        <w:rPr>
          <w:rFonts w:cstheme="minorHAnsi"/>
        </w:rPr>
        <w:t xml:space="preserve">measured values from </w:t>
      </w:r>
      <w:r w:rsidR="004842A9">
        <w:rPr>
          <w:rFonts w:cstheme="minorHAnsi"/>
        </w:rPr>
        <w:t>sediments</w:t>
      </w:r>
      <w:r w:rsidR="00E24AD7">
        <w:rPr>
          <w:rFonts w:cstheme="minorHAnsi"/>
        </w:rPr>
        <w:t xml:space="preserve"> across the globe</w:t>
      </w:r>
      <w:r w:rsidR="00BE0128">
        <w:rPr>
          <w:rFonts w:cstheme="minorHAnsi"/>
        </w:rPr>
        <w:t xml:space="preserve"> (</w:t>
      </w:r>
      <w:r w:rsidR="001A2524">
        <w:rPr>
          <w:rFonts w:cstheme="minorHAnsi"/>
        </w:rPr>
        <w:t>22</w:t>
      </w:r>
      <w:r w:rsidR="001A2524" w:rsidRPr="004906E8">
        <w:rPr>
          <w:rFonts w:cstheme="minorHAnsi"/>
          <w:vertAlign w:val="superscript"/>
        </w:rPr>
        <w:t>nd</w:t>
      </w:r>
      <w:r w:rsidR="001A2524">
        <w:rPr>
          <w:rFonts w:cstheme="minorHAnsi"/>
        </w:rPr>
        <w:t xml:space="preserve"> - 91</w:t>
      </w:r>
      <w:r w:rsidR="001A2524" w:rsidRPr="004906E8">
        <w:rPr>
          <w:rFonts w:cstheme="minorHAnsi"/>
          <w:vertAlign w:val="superscript"/>
        </w:rPr>
        <w:t>st</w:t>
      </w:r>
      <w:r w:rsidR="001A2524">
        <w:rPr>
          <w:rFonts w:cstheme="minorHAnsi"/>
        </w:rPr>
        <w:t xml:space="preserve"> percentile</w:t>
      </w:r>
      <w:r w:rsidR="00BE0128">
        <w:rPr>
          <w:rFonts w:cstheme="minorHAnsi"/>
        </w:rPr>
        <w:t>)</w:t>
      </w:r>
      <w:r w:rsidR="00DC14EE">
        <w:rPr>
          <w:rFonts w:cstheme="minorHAnsi"/>
        </w:rPr>
        <w:t>,</w:t>
      </w:r>
      <w:r w:rsidR="00E24AD7">
        <w:rPr>
          <w:rFonts w:cstheme="minorHAnsi"/>
        </w:rPr>
        <w:t xml:space="preserve"> with the exceptions of</w:t>
      </w:r>
      <w:r w:rsidR="00DC14EE">
        <w:rPr>
          <w:rFonts w:cstheme="minorHAnsi"/>
        </w:rPr>
        <w:t xml:space="preserve"> regions of extreme</w:t>
      </w:r>
      <w:r w:rsidR="007F38AA">
        <w:rPr>
          <w:rFonts w:cstheme="minorHAnsi"/>
        </w:rPr>
        <w:t>ly</w:t>
      </w:r>
      <w:r w:rsidR="00DC14EE">
        <w:rPr>
          <w:rFonts w:cstheme="minorHAnsi"/>
        </w:rPr>
        <w:t xml:space="preserve"> low and high export production. </w:t>
      </w:r>
    </w:p>
    <w:p w14:paraId="24778D97" w14:textId="77777777" w:rsidR="005A5076" w:rsidRPr="00C70A17" w:rsidRDefault="005A5076" w:rsidP="00691D05">
      <w:pPr>
        <w:spacing w:line="480" w:lineRule="auto"/>
        <w:jc w:val="both"/>
        <w:rPr>
          <w:rFonts w:cstheme="minorHAnsi"/>
          <w:i/>
          <w:iCs/>
        </w:rPr>
      </w:pPr>
    </w:p>
    <w:p w14:paraId="527F6C73" w14:textId="2E9E7C77" w:rsidR="00464478" w:rsidRDefault="002473D8" w:rsidP="00691D05">
      <w:pPr>
        <w:spacing w:line="480" w:lineRule="auto"/>
        <w:jc w:val="both"/>
        <w:rPr>
          <w:rFonts w:cstheme="minorHAnsi"/>
        </w:rPr>
      </w:pPr>
      <w:r>
        <w:rPr>
          <w:rFonts w:cstheme="minorHAnsi"/>
        </w:rPr>
        <w:t>We</w:t>
      </w:r>
      <w:r w:rsidR="00754B68">
        <w:rPr>
          <w:rFonts w:cstheme="minorHAnsi"/>
        </w:rPr>
        <w:t xml:space="preserve"> </w:t>
      </w:r>
      <w:r>
        <w:rPr>
          <w:rFonts w:cstheme="minorHAnsi"/>
        </w:rPr>
        <w:t xml:space="preserve">find large variability in the degree of </w:t>
      </w:r>
      <w:r w:rsidRPr="007A08E4">
        <w:rPr>
          <w:rFonts w:cstheme="minorHAnsi"/>
          <w:vertAlign w:val="superscript"/>
        </w:rPr>
        <w:t>87</w:t>
      </w:r>
      <w:r w:rsidRPr="007A08E4">
        <w:rPr>
          <w:rFonts w:cstheme="minorHAnsi"/>
        </w:rPr>
        <w:t>Sr/</w:t>
      </w:r>
      <w:r w:rsidRPr="007A08E4">
        <w:rPr>
          <w:rFonts w:cstheme="minorHAnsi"/>
          <w:vertAlign w:val="superscript"/>
        </w:rPr>
        <w:t>86</w:t>
      </w:r>
      <w:r w:rsidRPr="007A08E4">
        <w:rPr>
          <w:rFonts w:cstheme="minorHAnsi"/>
        </w:rPr>
        <w:t>Sr</w:t>
      </w:r>
      <w:r>
        <w:rPr>
          <w:rFonts w:cstheme="minorHAnsi"/>
        </w:rPr>
        <w:t xml:space="preserve"> </w:t>
      </w:r>
      <w:r w:rsidR="00C74B6A">
        <w:rPr>
          <w:rFonts w:cstheme="minorHAnsi"/>
        </w:rPr>
        <w:t>contamination</w:t>
      </w:r>
      <w:r>
        <w:rPr>
          <w:rFonts w:cstheme="minorHAnsi"/>
        </w:rPr>
        <w:t xml:space="preserve"> by marine barite </w:t>
      </w:r>
      <w:r w:rsidR="00581CCC">
        <w:rPr>
          <w:rFonts w:cstheme="minorHAnsi"/>
        </w:rPr>
        <w:t xml:space="preserve">among different </w:t>
      </w:r>
      <w:r w:rsidR="00754B68">
        <w:rPr>
          <w:rFonts w:cstheme="minorHAnsi"/>
        </w:rPr>
        <w:t>samples from</w:t>
      </w:r>
      <w:r>
        <w:rPr>
          <w:rFonts w:cstheme="minorHAnsi"/>
        </w:rPr>
        <w:t xml:space="preserve"> Site 662. T</w:t>
      </w:r>
      <w:r w:rsidR="00A43058">
        <w:rPr>
          <w:rFonts w:cstheme="minorHAnsi"/>
        </w:rPr>
        <w:t>h</w:t>
      </w:r>
      <w:r w:rsidR="007A08E4">
        <w:rPr>
          <w:rFonts w:cstheme="minorHAnsi"/>
        </w:rPr>
        <w:t xml:space="preserve">e </w:t>
      </w:r>
      <w:r w:rsidR="00A43058">
        <w:rPr>
          <w:rFonts w:cstheme="minorHAnsi"/>
        </w:rPr>
        <w:t xml:space="preserve">magnitude of </w:t>
      </w:r>
      <w:r w:rsidR="007A08E4">
        <w:rPr>
          <w:rFonts w:cstheme="minorHAnsi"/>
        </w:rPr>
        <w:t xml:space="preserve">increase in </w:t>
      </w:r>
      <w:r w:rsidRPr="003824CA">
        <w:rPr>
          <w:rFonts w:cstheme="minorHAnsi"/>
          <w:vertAlign w:val="superscript"/>
        </w:rPr>
        <w:t>87</w:t>
      </w:r>
      <w:r w:rsidRPr="003824CA">
        <w:rPr>
          <w:rFonts w:cstheme="minorHAnsi"/>
        </w:rPr>
        <w:t>Sr/</w:t>
      </w:r>
      <w:r w:rsidRPr="003824CA">
        <w:rPr>
          <w:rFonts w:cstheme="minorHAnsi"/>
          <w:vertAlign w:val="superscript"/>
        </w:rPr>
        <w:t>86</w:t>
      </w:r>
      <w:r w:rsidRPr="003824CA">
        <w:rPr>
          <w:rFonts w:cstheme="minorHAnsi"/>
        </w:rPr>
        <w:t xml:space="preserve">Sr </w:t>
      </w:r>
      <w:r w:rsidR="007A08E4">
        <w:rPr>
          <w:rFonts w:cstheme="minorHAnsi"/>
        </w:rPr>
        <w:t xml:space="preserve">after one </w:t>
      </w:r>
      <w:r w:rsidR="0065789A">
        <w:rPr>
          <w:rFonts w:cstheme="minorHAnsi"/>
        </w:rPr>
        <w:t xml:space="preserve">DTPA-NaOH </w:t>
      </w:r>
      <w:r w:rsidR="003D4C72">
        <w:rPr>
          <w:rFonts w:cstheme="minorHAnsi"/>
        </w:rPr>
        <w:t xml:space="preserve">treatment </w:t>
      </w:r>
      <w:r w:rsidR="00A43058">
        <w:rPr>
          <w:rFonts w:cstheme="minorHAnsi"/>
        </w:rPr>
        <w:t>varies</w:t>
      </w:r>
      <w:r w:rsidR="007A08E4">
        <w:rPr>
          <w:rFonts w:cstheme="minorHAnsi"/>
        </w:rPr>
        <w:t xml:space="preserve"> by approximately a factor of three</w:t>
      </w:r>
      <w:r w:rsidR="00A43058">
        <w:rPr>
          <w:rFonts w:cstheme="minorHAnsi"/>
        </w:rPr>
        <w:t xml:space="preserve"> </w:t>
      </w:r>
      <w:r w:rsidR="00581CCC">
        <w:rPr>
          <w:rFonts w:cstheme="minorHAnsi"/>
        </w:rPr>
        <w:t xml:space="preserve">among </w:t>
      </w:r>
      <w:r w:rsidR="00A43058">
        <w:rPr>
          <w:rFonts w:cstheme="minorHAnsi"/>
        </w:rPr>
        <w:t>samples</w:t>
      </w:r>
      <w:r w:rsidR="00EA4886">
        <w:rPr>
          <w:rFonts w:cstheme="minorHAnsi"/>
        </w:rPr>
        <w:t xml:space="preserve"> from this site</w:t>
      </w:r>
      <w:r w:rsidR="00CF58B3">
        <w:rPr>
          <w:rFonts w:cstheme="minorHAnsi"/>
        </w:rPr>
        <w:t xml:space="preserve"> (Figure </w:t>
      </w:r>
      <w:r w:rsidR="00F76C49">
        <w:rPr>
          <w:rFonts w:cstheme="minorHAnsi"/>
        </w:rPr>
        <w:t>5</w:t>
      </w:r>
      <w:r w:rsidR="00CF58B3">
        <w:rPr>
          <w:rFonts w:cstheme="minorHAnsi"/>
        </w:rPr>
        <w:t>)</w:t>
      </w:r>
      <w:r w:rsidR="00396E7C" w:rsidRPr="00464478">
        <w:rPr>
          <w:rFonts w:cstheme="minorHAnsi"/>
          <w:i/>
          <w:iCs/>
        </w:rPr>
        <w:t>.</w:t>
      </w:r>
      <w:r w:rsidR="00396E7C">
        <w:rPr>
          <w:rFonts w:cstheme="minorHAnsi"/>
        </w:rPr>
        <w:t xml:space="preserve"> </w:t>
      </w:r>
      <w:r w:rsidR="00581CCC">
        <w:rPr>
          <w:rFonts w:cstheme="minorHAnsi"/>
        </w:rPr>
        <w:t>We attribute this result mainly to time-varying export production</w:t>
      </w:r>
      <w:r w:rsidR="00CF58B3">
        <w:rPr>
          <w:rFonts w:cstheme="minorHAnsi"/>
        </w:rPr>
        <w:t xml:space="preserve"> </w:t>
      </w:r>
      <w:r w:rsidR="00CF58B3">
        <w:rPr>
          <w:rFonts w:cstheme="minorHAnsi"/>
        </w:rPr>
        <w:fldChar w:fldCharType="begin" w:fldLock="1"/>
      </w:r>
      <w:r w:rsidR="00F8361A">
        <w:rPr>
          <w:rFonts w:cstheme="minorHAnsi"/>
        </w:rPr>
        <w:instrText>ADDIN CSL_CITATION {"citationItems":[{"id":"ITEM-1","itemData":{"author":[{"dropping-particle":"","family":"Ruddiman","given":"W F","non-dropping-particle":"","parse-names":false,"suffix":""},{"dropping-particle":"","family":"Janecek","given":"T R","non-dropping-particle":"","parse-names":false,"suffix":""}],"container-title":"Proceedings of the Ocean Drilling Program, Scientific Results","id":"ITEM-1","issued":{"date-parts":[["1989"]]},"note":"Site 662, 663 and 664 - Last 3.7 Ma. \nAccumulation rates of biogenically produced CaCo3. opal, and eolian dust from North Africa.\n\n\nNear 2.5Ma, opal increased (due to increased upwelling and therefore increased productivity). Winter plume dust also increased.\n\n-&amp;gt; They suggest a stronger &amp;quot;zonal component of the southern trade winds&amp;quot; (S. hem winter). Also a &amp;quot;weaker southwesterly monsoonal flow&amp;quot; into African in boreal summer, leading to increased aridity. \nDust fluxes may have also increased due to stronger N. hem winter trade winds (i.e. harmattan?) and a more southerly ITCZ. \n\nThese results imply a link with the appearance of northern hem ice sheets. \n\nSteady aridification from the late Pliocene to the middle Pleistocene due to the gradual uplift of the tibetan Plateau.","page":"211-240","title":"Pliocene-Pleistocene biogenic and terrigenous fluxes at equatorial Atlantic sites 662, 663, and 664","type":"article-journal","volume":"108"},"uris":["http://www.mendeley.com/documents/?uuid=ada0afb1-7488-47e2-9a61-8c21da8999e5"]}],"mendeley":{"formattedCitation":"(Ruddiman and Janecek, 1989)","plainTextFormattedCitation":"(Ruddiman and Janecek, 1989)","previouslyFormattedCitation":"(Ruddiman and Janecek, 1989)"},"properties":{"noteIndex":0},"schema":"https://github.com/citation-style-language/schema/raw/master/csl-citation.json"}</w:instrText>
      </w:r>
      <w:r w:rsidR="00CF58B3">
        <w:rPr>
          <w:rFonts w:cstheme="minorHAnsi"/>
        </w:rPr>
        <w:fldChar w:fldCharType="separate"/>
      </w:r>
      <w:r w:rsidR="00CF58B3" w:rsidRPr="00CF58B3">
        <w:rPr>
          <w:rFonts w:cstheme="minorHAnsi"/>
          <w:noProof/>
        </w:rPr>
        <w:t>(Ruddiman and Janecek, 1989)</w:t>
      </w:r>
      <w:r w:rsidR="00CF58B3">
        <w:rPr>
          <w:rFonts w:cstheme="minorHAnsi"/>
        </w:rPr>
        <w:fldChar w:fldCharType="end"/>
      </w:r>
      <w:r w:rsidR="00581CCC">
        <w:rPr>
          <w:rFonts w:cstheme="minorHAnsi"/>
        </w:rPr>
        <w:t xml:space="preserve"> </w:t>
      </w:r>
      <w:r w:rsidR="00676883">
        <w:rPr>
          <w:rFonts w:cstheme="minorHAnsi"/>
        </w:rPr>
        <w:t xml:space="preserve">which leads </w:t>
      </w:r>
      <w:r w:rsidR="00581CCC">
        <w:rPr>
          <w:rFonts w:cstheme="minorHAnsi"/>
        </w:rPr>
        <w:t>to marked downcore changes in</w:t>
      </w:r>
      <w:r w:rsidR="006264DC">
        <w:rPr>
          <w:rFonts w:cstheme="minorHAnsi"/>
        </w:rPr>
        <w:t xml:space="preserve"> </w:t>
      </w:r>
      <w:r w:rsidR="00464478">
        <w:rPr>
          <w:rFonts w:cstheme="minorHAnsi"/>
        </w:rPr>
        <w:t>sediment Ba</w:t>
      </w:r>
      <w:r w:rsidR="00464478" w:rsidRPr="00464478">
        <w:rPr>
          <w:rFonts w:cstheme="minorHAnsi"/>
          <w:vertAlign w:val="subscript"/>
        </w:rPr>
        <w:t>Barite</w:t>
      </w:r>
      <w:r w:rsidR="00464478">
        <w:rPr>
          <w:rFonts w:cstheme="minorHAnsi"/>
        </w:rPr>
        <w:t xml:space="preserve"> content. T</w:t>
      </w:r>
      <w:r>
        <w:rPr>
          <w:rFonts w:cstheme="minorHAnsi"/>
        </w:rPr>
        <w:t xml:space="preserve">here is a </w:t>
      </w:r>
      <w:r w:rsidR="00581CCC">
        <w:rPr>
          <w:rFonts w:cstheme="minorHAnsi"/>
        </w:rPr>
        <w:t xml:space="preserve">very </w:t>
      </w:r>
      <w:r>
        <w:rPr>
          <w:rFonts w:cstheme="minorHAnsi"/>
        </w:rPr>
        <w:t xml:space="preserve">strong linear correlation between the proportion of </w:t>
      </w:r>
      <w:r w:rsidR="00747C7D">
        <w:rPr>
          <w:rFonts w:cstheme="minorHAnsi"/>
        </w:rPr>
        <w:t>Ba</w:t>
      </w:r>
      <w:r w:rsidRPr="00400030">
        <w:rPr>
          <w:rFonts w:cstheme="minorHAnsi"/>
        </w:rPr>
        <w:t xml:space="preserve"> rem</w:t>
      </w:r>
      <w:r>
        <w:rPr>
          <w:rFonts w:cstheme="minorHAnsi"/>
        </w:rPr>
        <w:t>oved</w:t>
      </w:r>
      <w:r w:rsidRPr="00400030">
        <w:rPr>
          <w:rFonts w:cstheme="minorHAnsi"/>
        </w:rPr>
        <w:t xml:space="preserve"> and the</w:t>
      </w:r>
      <w:r>
        <w:rPr>
          <w:rFonts w:cstheme="minorHAnsi"/>
        </w:rPr>
        <w:t xml:space="preserve"> extent of </w:t>
      </w:r>
      <w:r w:rsidR="00581CCC">
        <w:rPr>
          <w:rFonts w:cstheme="minorHAnsi"/>
        </w:rPr>
        <w:t xml:space="preserve">barite </w:t>
      </w:r>
      <w:r>
        <w:rPr>
          <w:rFonts w:cstheme="minorHAnsi"/>
        </w:rPr>
        <w:t xml:space="preserve">contamination </w:t>
      </w:r>
      <w:r w:rsidR="00581CCC">
        <w:rPr>
          <w:rFonts w:cstheme="minorHAnsi"/>
        </w:rPr>
        <w:t xml:space="preserve">measured by </w:t>
      </w:r>
      <w:r w:rsidR="00581CCC" w:rsidRPr="00691D05">
        <w:rPr>
          <w:rFonts w:cstheme="minorHAnsi"/>
          <w:vertAlign w:val="superscript"/>
        </w:rPr>
        <w:t>87</w:t>
      </w:r>
      <w:r w:rsidR="00581CCC" w:rsidRPr="00691D05">
        <w:rPr>
          <w:rFonts w:cstheme="minorHAnsi"/>
        </w:rPr>
        <w:t>Sr/</w:t>
      </w:r>
      <w:r w:rsidR="00581CCC" w:rsidRPr="00691D05">
        <w:rPr>
          <w:rFonts w:cstheme="minorHAnsi"/>
          <w:vertAlign w:val="superscript"/>
        </w:rPr>
        <w:t>86</w:t>
      </w:r>
      <w:r w:rsidR="00581CCC" w:rsidRPr="00691D05">
        <w:rPr>
          <w:rFonts w:cstheme="minorHAnsi"/>
        </w:rPr>
        <w:t>Sr</w:t>
      </w:r>
      <w:r w:rsidR="00581CCC">
        <w:rPr>
          <w:rFonts w:cstheme="minorHAnsi"/>
        </w:rPr>
        <w:t xml:space="preserve"> </w:t>
      </w:r>
      <w:r>
        <w:rPr>
          <w:rFonts w:cstheme="minorHAnsi"/>
        </w:rPr>
        <w:t xml:space="preserve">(Figure </w:t>
      </w:r>
      <w:r w:rsidR="00F76C49">
        <w:rPr>
          <w:rFonts w:cstheme="minorHAnsi"/>
        </w:rPr>
        <w:t>5</w:t>
      </w:r>
      <w:r>
        <w:rPr>
          <w:rFonts w:cstheme="minorHAnsi"/>
        </w:rPr>
        <w:t xml:space="preserve">). </w:t>
      </w:r>
    </w:p>
    <w:p w14:paraId="7D704DA4" w14:textId="77777777" w:rsidR="0044664B" w:rsidRPr="002473D8" w:rsidRDefault="0044664B" w:rsidP="00691D05">
      <w:pPr>
        <w:spacing w:line="48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0"/>
      </w:tblGrid>
      <w:tr w:rsidR="00CF41AB" w14:paraId="4708C27B" w14:textId="77777777" w:rsidTr="00E44CD0">
        <w:tc>
          <w:tcPr>
            <w:tcW w:w="9730" w:type="dxa"/>
          </w:tcPr>
          <w:tbl>
            <w:tblPr>
              <w:tblW w:w="9504" w:type="dxa"/>
              <w:tblLook w:val="04A0" w:firstRow="1" w:lastRow="0" w:firstColumn="1" w:lastColumn="0" w:noHBand="0" w:noVBand="1"/>
            </w:tblPr>
            <w:tblGrid>
              <w:gridCol w:w="1011"/>
              <w:gridCol w:w="1121"/>
              <w:gridCol w:w="1181"/>
              <w:gridCol w:w="1181"/>
              <w:gridCol w:w="1181"/>
              <w:gridCol w:w="1181"/>
              <w:gridCol w:w="1324"/>
              <w:gridCol w:w="1324"/>
            </w:tblGrid>
            <w:tr w:rsidR="0091654E" w14:paraId="6344568C" w14:textId="77777777" w:rsidTr="004906E8">
              <w:trPr>
                <w:trHeight w:val="680"/>
              </w:trPr>
              <w:tc>
                <w:tcPr>
                  <w:tcW w:w="101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A931B2B" w14:textId="77777777" w:rsidR="0091654E" w:rsidRDefault="0091654E" w:rsidP="002F5ECE">
                  <w:pPr>
                    <w:rPr>
                      <w:rFonts w:ascii="Calibri" w:hAnsi="Calibri" w:cs="Calibri"/>
                      <w:b/>
                      <w:bCs/>
                      <w:color w:val="000000"/>
                    </w:rPr>
                  </w:pPr>
                  <w:r>
                    <w:rPr>
                      <w:rFonts w:ascii="Calibri" w:hAnsi="Calibri" w:cs="Calibri"/>
                      <w:b/>
                      <w:bCs/>
                      <w:color w:val="000000"/>
                    </w:rPr>
                    <w:t>Sample</w:t>
                  </w:r>
                </w:p>
                <w:p w14:paraId="585F92EC" w14:textId="18860B2D" w:rsidR="0091654E" w:rsidRDefault="0091654E" w:rsidP="002F5ECE">
                  <w:pPr>
                    <w:jc w:val="center"/>
                    <w:rPr>
                      <w:rFonts w:ascii="Calibri" w:hAnsi="Calibri" w:cs="Calibri"/>
                      <w:b/>
                      <w:bCs/>
                      <w:color w:val="000000"/>
                    </w:rPr>
                  </w:pPr>
                  <w:r>
                    <w:rPr>
                      <w:rFonts w:ascii="Microsoft Sans Serif" w:hAnsi="Microsoft Sans Serif" w:cs="Microsoft Sans Serif"/>
                      <w:color w:val="000000"/>
                      <w:sz w:val="18"/>
                      <w:szCs w:val="18"/>
                    </w:rPr>
                    <w:t> </w:t>
                  </w:r>
                </w:p>
              </w:tc>
              <w:tc>
                <w:tcPr>
                  <w:tcW w:w="1121" w:type="dxa"/>
                  <w:tcBorders>
                    <w:top w:val="single" w:sz="4" w:space="0" w:color="auto"/>
                    <w:left w:val="nil"/>
                    <w:bottom w:val="single" w:sz="4" w:space="0" w:color="auto"/>
                    <w:right w:val="single" w:sz="4" w:space="0" w:color="auto"/>
                  </w:tcBorders>
                  <w:shd w:val="clear" w:color="auto" w:fill="auto"/>
                  <w:vAlign w:val="bottom"/>
                  <w:hideMark/>
                </w:tcPr>
                <w:p w14:paraId="65945BCC" w14:textId="77777777" w:rsidR="0091654E" w:rsidRDefault="0091654E" w:rsidP="002F5ECE">
                  <w:pPr>
                    <w:rPr>
                      <w:rFonts w:ascii="Calibri" w:hAnsi="Calibri" w:cs="Calibri"/>
                      <w:b/>
                      <w:bCs/>
                      <w:color w:val="000000"/>
                    </w:rPr>
                  </w:pPr>
                  <w:r>
                    <w:rPr>
                      <w:rFonts w:ascii="Calibri" w:hAnsi="Calibri" w:cs="Calibri"/>
                      <w:b/>
                      <w:bCs/>
                      <w:color w:val="000000"/>
                    </w:rPr>
                    <w:t>Al</w:t>
                  </w:r>
                  <w:r w:rsidRPr="002F5ECE">
                    <w:rPr>
                      <w:rFonts w:ascii="Calibri" w:hAnsi="Calibri" w:cs="Calibri"/>
                      <w:b/>
                      <w:bCs/>
                      <w:color w:val="000000"/>
                      <w:vertAlign w:val="subscript"/>
                    </w:rPr>
                    <w:t>total</w:t>
                  </w:r>
                  <w:r>
                    <w:rPr>
                      <w:rFonts w:ascii="Calibri" w:hAnsi="Calibri" w:cs="Calibri"/>
                      <w:b/>
                      <w:bCs/>
                      <w:color w:val="000000"/>
                    </w:rPr>
                    <w:t xml:space="preserve"> </w:t>
                  </w:r>
                </w:p>
              </w:tc>
              <w:tc>
                <w:tcPr>
                  <w:tcW w:w="1181" w:type="dxa"/>
                  <w:tcBorders>
                    <w:top w:val="single" w:sz="4" w:space="0" w:color="auto"/>
                    <w:left w:val="nil"/>
                    <w:bottom w:val="single" w:sz="4" w:space="0" w:color="auto"/>
                    <w:right w:val="single" w:sz="4" w:space="0" w:color="auto"/>
                  </w:tcBorders>
                  <w:shd w:val="clear" w:color="auto" w:fill="auto"/>
                  <w:vAlign w:val="bottom"/>
                  <w:hideMark/>
                </w:tcPr>
                <w:p w14:paraId="079288D0" w14:textId="77777777" w:rsidR="0091654E" w:rsidRDefault="0091654E" w:rsidP="002F5ECE">
                  <w:pPr>
                    <w:rPr>
                      <w:rFonts w:ascii="Calibri" w:hAnsi="Calibri" w:cs="Calibri"/>
                      <w:b/>
                      <w:bCs/>
                      <w:color w:val="000000"/>
                    </w:rPr>
                  </w:pPr>
                  <w:r>
                    <w:rPr>
                      <w:rFonts w:ascii="Calibri" w:hAnsi="Calibri" w:cs="Calibri"/>
                      <w:b/>
                      <w:bCs/>
                      <w:color w:val="000000"/>
                    </w:rPr>
                    <w:t>Ba</w:t>
                  </w:r>
                  <w:r w:rsidRPr="002F5ECE">
                    <w:rPr>
                      <w:rFonts w:ascii="Calibri" w:hAnsi="Calibri" w:cs="Calibri"/>
                      <w:b/>
                      <w:bCs/>
                      <w:color w:val="000000"/>
                      <w:vertAlign w:val="subscript"/>
                    </w:rPr>
                    <w:t>total</w:t>
                  </w:r>
                </w:p>
              </w:tc>
              <w:tc>
                <w:tcPr>
                  <w:tcW w:w="1181" w:type="dxa"/>
                  <w:tcBorders>
                    <w:top w:val="single" w:sz="4" w:space="0" w:color="auto"/>
                    <w:left w:val="nil"/>
                    <w:bottom w:val="single" w:sz="4" w:space="0" w:color="auto"/>
                    <w:right w:val="single" w:sz="4" w:space="0" w:color="auto"/>
                  </w:tcBorders>
                  <w:shd w:val="clear" w:color="auto" w:fill="auto"/>
                  <w:vAlign w:val="bottom"/>
                  <w:hideMark/>
                </w:tcPr>
                <w:p w14:paraId="1B975607" w14:textId="77777777" w:rsidR="0091654E" w:rsidRDefault="0091654E" w:rsidP="002F5ECE">
                  <w:pPr>
                    <w:rPr>
                      <w:rFonts w:ascii="Calibri" w:hAnsi="Calibri" w:cs="Calibri"/>
                      <w:b/>
                      <w:bCs/>
                      <w:color w:val="000000"/>
                    </w:rPr>
                  </w:pPr>
                  <w:r>
                    <w:rPr>
                      <w:rFonts w:ascii="Calibri" w:hAnsi="Calibri" w:cs="Calibri"/>
                      <w:b/>
                      <w:bCs/>
                      <w:color w:val="000000"/>
                    </w:rPr>
                    <w:t>Ba</w:t>
                  </w:r>
                  <w:r w:rsidRPr="002F5ECE">
                    <w:rPr>
                      <w:rFonts w:ascii="Calibri" w:hAnsi="Calibri" w:cs="Calibri"/>
                      <w:b/>
                      <w:bCs/>
                      <w:color w:val="000000"/>
                      <w:vertAlign w:val="subscript"/>
                    </w:rPr>
                    <w:t>excess</w:t>
                  </w:r>
                </w:p>
              </w:tc>
              <w:tc>
                <w:tcPr>
                  <w:tcW w:w="1181" w:type="dxa"/>
                  <w:tcBorders>
                    <w:top w:val="single" w:sz="4" w:space="0" w:color="auto"/>
                    <w:left w:val="nil"/>
                    <w:bottom w:val="single" w:sz="4" w:space="0" w:color="auto"/>
                    <w:right w:val="single" w:sz="4" w:space="0" w:color="auto"/>
                  </w:tcBorders>
                  <w:shd w:val="clear" w:color="auto" w:fill="auto"/>
                  <w:vAlign w:val="bottom"/>
                  <w:hideMark/>
                </w:tcPr>
                <w:p w14:paraId="17CC0271" w14:textId="77777777" w:rsidR="0091654E" w:rsidRDefault="0091654E" w:rsidP="002F5ECE">
                  <w:pPr>
                    <w:rPr>
                      <w:rFonts w:ascii="Calibri" w:hAnsi="Calibri" w:cs="Calibri"/>
                      <w:b/>
                      <w:bCs/>
                      <w:color w:val="000000"/>
                    </w:rPr>
                  </w:pPr>
                  <w:r>
                    <w:rPr>
                      <w:rFonts w:ascii="Calibri" w:hAnsi="Calibri" w:cs="Calibri"/>
                      <w:b/>
                      <w:bCs/>
                      <w:color w:val="000000"/>
                    </w:rPr>
                    <w:t>Dry Bulk Density</w:t>
                  </w:r>
                </w:p>
              </w:tc>
              <w:tc>
                <w:tcPr>
                  <w:tcW w:w="1181" w:type="dxa"/>
                  <w:tcBorders>
                    <w:top w:val="single" w:sz="4" w:space="0" w:color="auto"/>
                    <w:left w:val="nil"/>
                    <w:bottom w:val="single" w:sz="4" w:space="0" w:color="auto"/>
                    <w:right w:val="single" w:sz="4" w:space="0" w:color="auto"/>
                  </w:tcBorders>
                  <w:shd w:val="clear" w:color="auto" w:fill="auto"/>
                  <w:vAlign w:val="bottom"/>
                  <w:hideMark/>
                </w:tcPr>
                <w:p w14:paraId="08866FDD" w14:textId="77777777" w:rsidR="0091654E" w:rsidRDefault="0091654E" w:rsidP="002F5ECE">
                  <w:pPr>
                    <w:rPr>
                      <w:rFonts w:ascii="Calibri" w:hAnsi="Calibri" w:cs="Calibri"/>
                      <w:b/>
                      <w:bCs/>
                      <w:color w:val="000000"/>
                    </w:rPr>
                  </w:pPr>
                  <w:r>
                    <w:rPr>
                      <w:rFonts w:ascii="Calibri" w:hAnsi="Calibri" w:cs="Calibri"/>
                      <w:b/>
                      <w:bCs/>
                      <w:color w:val="000000"/>
                    </w:rPr>
                    <w:t>Sed. rate</w:t>
                  </w:r>
                </w:p>
              </w:tc>
              <w:tc>
                <w:tcPr>
                  <w:tcW w:w="1324" w:type="dxa"/>
                  <w:tcBorders>
                    <w:top w:val="single" w:sz="4" w:space="0" w:color="auto"/>
                    <w:left w:val="nil"/>
                    <w:bottom w:val="single" w:sz="4" w:space="0" w:color="auto"/>
                    <w:right w:val="single" w:sz="4" w:space="0" w:color="auto"/>
                  </w:tcBorders>
                  <w:shd w:val="clear" w:color="auto" w:fill="auto"/>
                  <w:vAlign w:val="bottom"/>
                  <w:hideMark/>
                </w:tcPr>
                <w:p w14:paraId="287E175A" w14:textId="77777777" w:rsidR="0091654E" w:rsidRDefault="0091654E" w:rsidP="002F5ECE">
                  <w:pPr>
                    <w:rPr>
                      <w:rFonts w:ascii="Calibri" w:hAnsi="Calibri" w:cs="Calibri"/>
                      <w:b/>
                      <w:bCs/>
                      <w:color w:val="000000"/>
                    </w:rPr>
                  </w:pPr>
                  <w:r>
                    <w:rPr>
                      <w:rFonts w:ascii="Calibri" w:hAnsi="Calibri" w:cs="Calibri"/>
                      <w:b/>
                      <w:bCs/>
                      <w:color w:val="000000"/>
                    </w:rPr>
                    <w:t>Sediment Ba</w:t>
                  </w:r>
                  <w:r w:rsidRPr="002F5ECE">
                    <w:rPr>
                      <w:rFonts w:ascii="Calibri" w:hAnsi="Calibri" w:cs="Calibri"/>
                      <w:b/>
                      <w:bCs/>
                      <w:color w:val="000000"/>
                      <w:vertAlign w:val="subscript"/>
                    </w:rPr>
                    <w:t xml:space="preserve">Barite </w:t>
                  </w:r>
                </w:p>
              </w:tc>
              <w:tc>
                <w:tcPr>
                  <w:tcW w:w="1324" w:type="dxa"/>
                  <w:tcBorders>
                    <w:top w:val="single" w:sz="4" w:space="0" w:color="auto"/>
                    <w:left w:val="nil"/>
                    <w:bottom w:val="single" w:sz="4" w:space="0" w:color="auto"/>
                    <w:right w:val="single" w:sz="4" w:space="0" w:color="auto"/>
                  </w:tcBorders>
                  <w:shd w:val="clear" w:color="auto" w:fill="auto"/>
                  <w:vAlign w:val="bottom"/>
                  <w:hideMark/>
                </w:tcPr>
                <w:p w14:paraId="085295AA" w14:textId="6053924B" w:rsidR="0091654E" w:rsidRDefault="0091654E" w:rsidP="002F5ECE">
                  <w:pPr>
                    <w:rPr>
                      <w:rFonts w:ascii="Calibri" w:hAnsi="Calibri" w:cs="Calibri"/>
                      <w:b/>
                      <w:bCs/>
                      <w:color w:val="000000"/>
                    </w:rPr>
                  </w:pPr>
                  <w:r>
                    <w:rPr>
                      <w:rFonts w:ascii="Calibri" w:hAnsi="Calibri" w:cs="Calibri"/>
                      <w:b/>
                      <w:bCs/>
                      <w:color w:val="000000"/>
                    </w:rPr>
                    <w:t>AR Ba</w:t>
                  </w:r>
                  <w:r w:rsidRPr="002F5ECE">
                    <w:rPr>
                      <w:rFonts w:ascii="Calibri" w:hAnsi="Calibri" w:cs="Calibri"/>
                      <w:b/>
                      <w:bCs/>
                      <w:color w:val="000000"/>
                      <w:vertAlign w:val="subscript"/>
                    </w:rPr>
                    <w:t>Barite</w:t>
                  </w:r>
                </w:p>
              </w:tc>
            </w:tr>
            <w:tr w:rsidR="0091654E" w14:paraId="26CDD0BF" w14:textId="77777777" w:rsidTr="004906E8">
              <w:trPr>
                <w:trHeight w:val="340"/>
              </w:trPr>
              <w:tc>
                <w:tcPr>
                  <w:tcW w:w="1011" w:type="dxa"/>
                  <w:vMerge/>
                  <w:tcBorders>
                    <w:left w:val="single" w:sz="4" w:space="0" w:color="auto"/>
                    <w:bottom w:val="single" w:sz="4" w:space="0" w:color="auto"/>
                    <w:right w:val="single" w:sz="4" w:space="0" w:color="auto"/>
                  </w:tcBorders>
                  <w:shd w:val="clear" w:color="auto" w:fill="auto"/>
                  <w:noWrap/>
                  <w:vAlign w:val="center"/>
                  <w:hideMark/>
                </w:tcPr>
                <w:p w14:paraId="4FB9371D" w14:textId="0C25A0B6" w:rsidR="0091654E" w:rsidRDefault="0091654E" w:rsidP="002F5ECE">
                  <w:pPr>
                    <w:jc w:val="center"/>
                    <w:rPr>
                      <w:rFonts w:ascii="Microsoft Sans Serif" w:hAnsi="Microsoft Sans Serif" w:cs="Microsoft Sans Serif"/>
                      <w:color w:val="000000"/>
                      <w:sz w:val="18"/>
                      <w:szCs w:val="18"/>
                    </w:rPr>
                  </w:pPr>
                </w:p>
              </w:tc>
              <w:tc>
                <w:tcPr>
                  <w:tcW w:w="1121" w:type="dxa"/>
                  <w:tcBorders>
                    <w:top w:val="nil"/>
                    <w:left w:val="nil"/>
                    <w:bottom w:val="nil"/>
                    <w:right w:val="single" w:sz="4" w:space="0" w:color="auto"/>
                  </w:tcBorders>
                  <w:shd w:val="clear" w:color="auto" w:fill="auto"/>
                  <w:noWrap/>
                  <w:vAlign w:val="bottom"/>
                  <w:hideMark/>
                </w:tcPr>
                <w:p w14:paraId="0F842FDA" w14:textId="77777777" w:rsidR="0091654E" w:rsidRDefault="0091654E" w:rsidP="002F5ECE">
                  <w:pPr>
                    <w:rPr>
                      <w:rFonts w:ascii="Calibri" w:hAnsi="Calibri" w:cs="Calibri"/>
                      <w:i/>
                      <w:iCs/>
                      <w:color w:val="000000"/>
                    </w:rPr>
                  </w:pPr>
                  <w:r>
                    <w:rPr>
                      <w:rFonts w:ascii="Calibri" w:hAnsi="Calibri" w:cs="Calibri"/>
                      <w:i/>
                      <w:iCs/>
                      <w:color w:val="000000"/>
                    </w:rPr>
                    <w:t>ppm</w:t>
                  </w:r>
                </w:p>
              </w:tc>
              <w:tc>
                <w:tcPr>
                  <w:tcW w:w="1181" w:type="dxa"/>
                  <w:tcBorders>
                    <w:top w:val="nil"/>
                    <w:left w:val="nil"/>
                    <w:bottom w:val="nil"/>
                    <w:right w:val="single" w:sz="4" w:space="0" w:color="auto"/>
                  </w:tcBorders>
                  <w:shd w:val="clear" w:color="auto" w:fill="auto"/>
                  <w:noWrap/>
                  <w:vAlign w:val="bottom"/>
                  <w:hideMark/>
                </w:tcPr>
                <w:p w14:paraId="5D2C6947" w14:textId="77777777" w:rsidR="0091654E" w:rsidRDefault="0091654E" w:rsidP="002F5ECE">
                  <w:pPr>
                    <w:rPr>
                      <w:rFonts w:ascii="Calibri" w:hAnsi="Calibri" w:cs="Calibri"/>
                      <w:i/>
                      <w:iCs/>
                      <w:color w:val="000000"/>
                    </w:rPr>
                  </w:pPr>
                  <w:r>
                    <w:rPr>
                      <w:rFonts w:ascii="Calibri" w:hAnsi="Calibri" w:cs="Calibri"/>
                      <w:i/>
                      <w:iCs/>
                      <w:color w:val="000000"/>
                    </w:rPr>
                    <w:t>ppm</w:t>
                  </w:r>
                </w:p>
              </w:tc>
              <w:tc>
                <w:tcPr>
                  <w:tcW w:w="1181" w:type="dxa"/>
                  <w:tcBorders>
                    <w:top w:val="nil"/>
                    <w:left w:val="nil"/>
                    <w:bottom w:val="nil"/>
                    <w:right w:val="single" w:sz="4" w:space="0" w:color="auto"/>
                  </w:tcBorders>
                  <w:shd w:val="clear" w:color="auto" w:fill="auto"/>
                  <w:noWrap/>
                  <w:vAlign w:val="bottom"/>
                  <w:hideMark/>
                </w:tcPr>
                <w:p w14:paraId="0BCFB3A5" w14:textId="77777777" w:rsidR="0091654E" w:rsidRDefault="0091654E" w:rsidP="002F5ECE">
                  <w:pPr>
                    <w:rPr>
                      <w:rFonts w:ascii="Calibri" w:hAnsi="Calibri" w:cs="Calibri"/>
                      <w:i/>
                      <w:iCs/>
                      <w:color w:val="000000"/>
                    </w:rPr>
                  </w:pPr>
                  <w:r>
                    <w:rPr>
                      <w:rFonts w:ascii="Calibri" w:hAnsi="Calibri" w:cs="Calibri"/>
                      <w:i/>
                      <w:iCs/>
                      <w:color w:val="000000"/>
                    </w:rPr>
                    <w:t>ppm</w:t>
                  </w:r>
                </w:p>
              </w:tc>
              <w:tc>
                <w:tcPr>
                  <w:tcW w:w="1181" w:type="dxa"/>
                  <w:tcBorders>
                    <w:top w:val="nil"/>
                    <w:left w:val="nil"/>
                    <w:bottom w:val="nil"/>
                    <w:right w:val="single" w:sz="4" w:space="0" w:color="auto"/>
                  </w:tcBorders>
                  <w:shd w:val="clear" w:color="auto" w:fill="auto"/>
                  <w:noWrap/>
                  <w:vAlign w:val="bottom"/>
                  <w:hideMark/>
                </w:tcPr>
                <w:p w14:paraId="3A2B752B" w14:textId="77777777" w:rsidR="0091654E" w:rsidRDefault="0091654E" w:rsidP="002F5ECE">
                  <w:pPr>
                    <w:rPr>
                      <w:rFonts w:ascii="Calibri" w:hAnsi="Calibri" w:cs="Calibri"/>
                      <w:i/>
                      <w:iCs/>
                      <w:color w:val="000000"/>
                    </w:rPr>
                  </w:pPr>
                  <w:r>
                    <w:rPr>
                      <w:rFonts w:ascii="Calibri" w:hAnsi="Calibri" w:cs="Calibri"/>
                      <w:i/>
                      <w:iCs/>
                      <w:color w:val="000000"/>
                    </w:rPr>
                    <w:t>g/cm</w:t>
                  </w:r>
                  <w:r w:rsidRPr="002F5ECE">
                    <w:rPr>
                      <w:rFonts w:ascii="Calibri" w:hAnsi="Calibri" w:cs="Calibri"/>
                      <w:i/>
                      <w:iCs/>
                      <w:color w:val="000000"/>
                      <w:vertAlign w:val="superscript"/>
                    </w:rPr>
                    <w:t>3</w:t>
                  </w:r>
                </w:p>
              </w:tc>
              <w:tc>
                <w:tcPr>
                  <w:tcW w:w="1181" w:type="dxa"/>
                  <w:tcBorders>
                    <w:top w:val="nil"/>
                    <w:left w:val="nil"/>
                    <w:bottom w:val="nil"/>
                    <w:right w:val="single" w:sz="4" w:space="0" w:color="auto"/>
                  </w:tcBorders>
                  <w:shd w:val="clear" w:color="auto" w:fill="auto"/>
                  <w:noWrap/>
                  <w:vAlign w:val="bottom"/>
                  <w:hideMark/>
                </w:tcPr>
                <w:p w14:paraId="303ABD40" w14:textId="77777777" w:rsidR="0091654E" w:rsidRDefault="0091654E" w:rsidP="002F5ECE">
                  <w:pPr>
                    <w:rPr>
                      <w:rFonts w:ascii="Calibri" w:hAnsi="Calibri" w:cs="Calibri"/>
                      <w:i/>
                      <w:iCs/>
                      <w:color w:val="000000"/>
                    </w:rPr>
                  </w:pPr>
                  <w:r>
                    <w:rPr>
                      <w:rFonts w:ascii="Calibri" w:hAnsi="Calibri" w:cs="Calibri"/>
                      <w:i/>
                      <w:iCs/>
                      <w:color w:val="000000"/>
                    </w:rPr>
                    <w:t>m/Myr</w:t>
                  </w:r>
                </w:p>
              </w:tc>
              <w:tc>
                <w:tcPr>
                  <w:tcW w:w="1324" w:type="dxa"/>
                  <w:tcBorders>
                    <w:top w:val="nil"/>
                    <w:left w:val="nil"/>
                    <w:bottom w:val="nil"/>
                    <w:right w:val="single" w:sz="4" w:space="0" w:color="auto"/>
                  </w:tcBorders>
                  <w:shd w:val="clear" w:color="auto" w:fill="auto"/>
                  <w:vAlign w:val="bottom"/>
                  <w:hideMark/>
                </w:tcPr>
                <w:p w14:paraId="587B16CA" w14:textId="2074F135" w:rsidR="0091654E" w:rsidRDefault="0091654E" w:rsidP="002F5ECE">
                  <w:pPr>
                    <w:rPr>
                      <w:rFonts w:ascii="Calibri" w:hAnsi="Calibri" w:cs="Calibri"/>
                      <w:i/>
                      <w:iCs/>
                      <w:color w:val="000000"/>
                    </w:rPr>
                  </w:pPr>
                  <w:r>
                    <w:rPr>
                      <w:rFonts w:ascii="Calibri" w:hAnsi="Calibri" w:cs="Calibri"/>
                      <w:i/>
                      <w:iCs/>
                      <w:color w:val="000000"/>
                    </w:rPr>
                    <w:t>kg/m</w:t>
                  </w:r>
                  <w:r w:rsidRPr="002F5ECE">
                    <w:rPr>
                      <w:rFonts w:ascii="Calibri" w:hAnsi="Calibri" w:cs="Calibri"/>
                      <w:i/>
                      <w:iCs/>
                      <w:color w:val="000000"/>
                      <w:vertAlign w:val="superscript"/>
                    </w:rPr>
                    <w:t>3</w:t>
                  </w:r>
                </w:p>
              </w:tc>
              <w:tc>
                <w:tcPr>
                  <w:tcW w:w="1324" w:type="dxa"/>
                  <w:tcBorders>
                    <w:top w:val="nil"/>
                    <w:left w:val="nil"/>
                    <w:bottom w:val="nil"/>
                    <w:right w:val="single" w:sz="4" w:space="0" w:color="auto"/>
                  </w:tcBorders>
                  <w:shd w:val="clear" w:color="auto" w:fill="auto"/>
                  <w:noWrap/>
                  <w:vAlign w:val="bottom"/>
                  <w:hideMark/>
                </w:tcPr>
                <w:p w14:paraId="05263BB9" w14:textId="77777777" w:rsidR="0091654E" w:rsidRDefault="0091654E" w:rsidP="002F5ECE">
                  <w:pPr>
                    <w:rPr>
                      <w:rFonts w:ascii="Calibri" w:hAnsi="Calibri" w:cs="Calibri"/>
                      <w:i/>
                      <w:iCs/>
                      <w:color w:val="000000"/>
                    </w:rPr>
                  </w:pPr>
                  <w:r>
                    <w:rPr>
                      <w:rFonts w:ascii="Calibri" w:hAnsi="Calibri" w:cs="Calibri"/>
                      <w:i/>
                      <w:iCs/>
                      <w:color w:val="000000"/>
                    </w:rPr>
                    <w:t>mg/m</w:t>
                  </w:r>
                  <w:r w:rsidRPr="002F5ECE">
                    <w:rPr>
                      <w:rFonts w:ascii="Calibri" w:hAnsi="Calibri" w:cs="Calibri"/>
                      <w:i/>
                      <w:iCs/>
                      <w:color w:val="000000"/>
                      <w:vertAlign w:val="superscript"/>
                    </w:rPr>
                    <w:t>2</w:t>
                  </w:r>
                  <w:r>
                    <w:rPr>
                      <w:rFonts w:ascii="Calibri" w:hAnsi="Calibri" w:cs="Calibri"/>
                      <w:i/>
                      <w:iCs/>
                      <w:color w:val="000000"/>
                    </w:rPr>
                    <w:t>/yr</w:t>
                  </w:r>
                </w:p>
              </w:tc>
            </w:tr>
            <w:tr w:rsidR="00975B18" w14:paraId="00C34D9C" w14:textId="77777777" w:rsidTr="004906E8">
              <w:trPr>
                <w:trHeight w:val="320"/>
              </w:trPr>
              <w:tc>
                <w:tcPr>
                  <w:tcW w:w="1011" w:type="dxa"/>
                  <w:tcBorders>
                    <w:top w:val="single" w:sz="4" w:space="0" w:color="auto"/>
                    <w:left w:val="single" w:sz="4" w:space="0" w:color="auto"/>
                  </w:tcBorders>
                  <w:shd w:val="clear" w:color="auto" w:fill="auto"/>
                  <w:noWrap/>
                  <w:vAlign w:val="bottom"/>
                  <w:hideMark/>
                </w:tcPr>
                <w:p w14:paraId="40CDED21" w14:textId="77777777" w:rsidR="00975B18" w:rsidRDefault="00975B18" w:rsidP="00975B18">
                  <w:pPr>
                    <w:rPr>
                      <w:rFonts w:ascii="Calibri" w:hAnsi="Calibri" w:cs="Calibri"/>
                      <w:color w:val="000000"/>
                    </w:rPr>
                  </w:pPr>
                  <w:r>
                    <w:rPr>
                      <w:rFonts w:ascii="Calibri" w:hAnsi="Calibri" w:cs="Calibri"/>
                      <w:color w:val="000000"/>
                    </w:rPr>
                    <w:t>A</w:t>
                  </w:r>
                </w:p>
              </w:tc>
              <w:tc>
                <w:tcPr>
                  <w:tcW w:w="1121" w:type="dxa"/>
                  <w:tcBorders>
                    <w:top w:val="single" w:sz="4" w:space="0" w:color="auto"/>
                    <w:left w:val="nil"/>
                    <w:bottom w:val="nil"/>
                    <w:right w:val="nil"/>
                  </w:tcBorders>
                  <w:shd w:val="clear" w:color="auto" w:fill="auto"/>
                  <w:noWrap/>
                  <w:vAlign w:val="bottom"/>
                  <w:hideMark/>
                </w:tcPr>
                <w:p w14:paraId="370ED83D" w14:textId="01202C8E" w:rsidR="00975B18" w:rsidRDefault="00975B18" w:rsidP="00975B18">
                  <w:pPr>
                    <w:jc w:val="right"/>
                    <w:rPr>
                      <w:rFonts w:ascii="Calibri" w:hAnsi="Calibri" w:cs="Calibri"/>
                      <w:color w:val="000000"/>
                    </w:rPr>
                  </w:pPr>
                  <w:r>
                    <w:rPr>
                      <w:rFonts w:ascii="Calibri" w:hAnsi="Calibri" w:cs="Calibri"/>
                      <w:color w:val="000000"/>
                    </w:rPr>
                    <w:t>97900</w:t>
                  </w:r>
                </w:p>
              </w:tc>
              <w:tc>
                <w:tcPr>
                  <w:tcW w:w="1181" w:type="dxa"/>
                  <w:tcBorders>
                    <w:top w:val="single" w:sz="4" w:space="0" w:color="auto"/>
                    <w:left w:val="nil"/>
                    <w:bottom w:val="nil"/>
                    <w:right w:val="nil"/>
                  </w:tcBorders>
                  <w:shd w:val="clear" w:color="auto" w:fill="auto"/>
                  <w:noWrap/>
                  <w:vAlign w:val="bottom"/>
                  <w:hideMark/>
                </w:tcPr>
                <w:p w14:paraId="4F8A806A" w14:textId="4A59E6E0" w:rsidR="00975B18" w:rsidRDefault="00975B18" w:rsidP="00975B18">
                  <w:pPr>
                    <w:jc w:val="right"/>
                    <w:rPr>
                      <w:rFonts w:ascii="Calibri" w:hAnsi="Calibri" w:cs="Calibri"/>
                      <w:color w:val="000000"/>
                    </w:rPr>
                  </w:pPr>
                  <w:r>
                    <w:rPr>
                      <w:rFonts w:ascii="Calibri" w:hAnsi="Calibri" w:cs="Calibri"/>
                      <w:color w:val="000000"/>
                    </w:rPr>
                    <w:t>5000</w:t>
                  </w:r>
                </w:p>
              </w:tc>
              <w:tc>
                <w:tcPr>
                  <w:tcW w:w="1181" w:type="dxa"/>
                  <w:tcBorders>
                    <w:top w:val="single" w:sz="4" w:space="0" w:color="auto"/>
                    <w:left w:val="nil"/>
                    <w:bottom w:val="nil"/>
                    <w:right w:val="nil"/>
                  </w:tcBorders>
                  <w:shd w:val="clear" w:color="auto" w:fill="auto"/>
                  <w:noWrap/>
                  <w:vAlign w:val="bottom"/>
                  <w:hideMark/>
                </w:tcPr>
                <w:p w14:paraId="0F6D3DB3" w14:textId="75FB0E6B" w:rsidR="00975B18" w:rsidRDefault="00975B18" w:rsidP="00975B18">
                  <w:pPr>
                    <w:jc w:val="right"/>
                    <w:rPr>
                      <w:rFonts w:ascii="Calibri" w:hAnsi="Calibri" w:cs="Calibri"/>
                      <w:color w:val="000000"/>
                    </w:rPr>
                  </w:pPr>
                  <w:r>
                    <w:rPr>
                      <w:rFonts w:ascii="Calibri" w:hAnsi="Calibri" w:cs="Calibri"/>
                      <w:color w:val="000000"/>
                    </w:rPr>
                    <w:t>4810</w:t>
                  </w:r>
                </w:p>
              </w:tc>
              <w:tc>
                <w:tcPr>
                  <w:tcW w:w="1181" w:type="dxa"/>
                  <w:tcBorders>
                    <w:top w:val="single" w:sz="4" w:space="0" w:color="auto"/>
                    <w:left w:val="nil"/>
                    <w:bottom w:val="nil"/>
                    <w:right w:val="nil"/>
                  </w:tcBorders>
                  <w:shd w:val="clear" w:color="auto" w:fill="auto"/>
                  <w:noWrap/>
                  <w:vAlign w:val="bottom"/>
                  <w:hideMark/>
                </w:tcPr>
                <w:p w14:paraId="6CE4B1AC" w14:textId="77777777" w:rsidR="00975B18" w:rsidRDefault="00975B18" w:rsidP="00975B18">
                  <w:pPr>
                    <w:jc w:val="right"/>
                    <w:rPr>
                      <w:rFonts w:ascii="Calibri" w:hAnsi="Calibri" w:cs="Calibri"/>
                      <w:color w:val="000000"/>
                    </w:rPr>
                  </w:pPr>
                  <w:r>
                    <w:rPr>
                      <w:rFonts w:ascii="Calibri" w:hAnsi="Calibri" w:cs="Calibri"/>
                      <w:color w:val="000000"/>
                    </w:rPr>
                    <w:t>0.42</w:t>
                  </w:r>
                </w:p>
              </w:tc>
              <w:tc>
                <w:tcPr>
                  <w:tcW w:w="1181" w:type="dxa"/>
                  <w:tcBorders>
                    <w:top w:val="single" w:sz="4" w:space="0" w:color="auto"/>
                    <w:left w:val="nil"/>
                    <w:bottom w:val="nil"/>
                    <w:right w:val="nil"/>
                  </w:tcBorders>
                  <w:shd w:val="clear" w:color="auto" w:fill="auto"/>
                  <w:noWrap/>
                  <w:vAlign w:val="bottom"/>
                  <w:hideMark/>
                </w:tcPr>
                <w:p w14:paraId="1C8115CA" w14:textId="77777777" w:rsidR="00975B18" w:rsidRDefault="00975B18" w:rsidP="00975B18">
                  <w:pPr>
                    <w:jc w:val="right"/>
                    <w:rPr>
                      <w:rFonts w:ascii="Calibri" w:hAnsi="Calibri" w:cs="Calibri"/>
                      <w:color w:val="000000"/>
                    </w:rPr>
                  </w:pPr>
                  <w:r>
                    <w:rPr>
                      <w:rFonts w:ascii="Calibri" w:hAnsi="Calibri" w:cs="Calibri"/>
                      <w:color w:val="000000"/>
                    </w:rPr>
                    <w:t>42</w:t>
                  </w:r>
                </w:p>
              </w:tc>
              <w:tc>
                <w:tcPr>
                  <w:tcW w:w="1324" w:type="dxa"/>
                  <w:tcBorders>
                    <w:top w:val="single" w:sz="4" w:space="0" w:color="auto"/>
                    <w:left w:val="nil"/>
                    <w:bottom w:val="nil"/>
                    <w:right w:val="nil"/>
                  </w:tcBorders>
                  <w:shd w:val="clear" w:color="auto" w:fill="auto"/>
                  <w:noWrap/>
                  <w:vAlign w:val="bottom"/>
                  <w:hideMark/>
                </w:tcPr>
                <w:p w14:paraId="1F2D9511" w14:textId="1119AE2F" w:rsidR="00975B18" w:rsidRDefault="00975B18" w:rsidP="00975B18">
                  <w:pPr>
                    <w:jc w:val="right"/>
                    <w:rPr>
                      <w:rFonts w:ascii="Calibri" w:hAnsi="Calibri" w:cs="Calibri"/>
                      <w:color w:val="000000"/>
                    </w:rPr>
                  </w:pPr>
                  <w:r>
                    <w:rPr>
                      <w:rFonts w:ascii="Calibri" w:hAnsi="Calibri" w:cs="Calibri"/>
                      <w:color w:val="000000"/>
                    </w:rPr>
                    <w:t>1.308</w:t>
                  </w:r>
                </w:p>
              </w:tc>
              <w:tc>
                <w:tcPr>
                  <w:tcW w:w="1324" w:type="dxa"/>
                  <w:tcBorders>
                    <w:top w:val="single" w:sz="4" w:space="0" w:color="auto"/>
                    <w:left w:val="nil"/>
                    <w:bottom w:val="nil"/>
                    <w:right w:val="single" w:sz="4" w:space="0" w:color="auto"/>
                  </w:tcBorders>
                  <w:shd w:val="clear" w:color="auto" w:fill="auto"/>
                  <w:noWrap/>
                  <w:vAlign w:val="bottom"/>
                  <w:hideMark/>
                </w:tcPr>
                <w:p w14:paraId="32BC66DF" w14:textId="213C0975" w:rsidR="00975B18" w:rsidRDefault="00975B18" w:rsidP="00975B18">
                  <w:pPr>
                    <w:jc w:val="right"/>
                    <w:rPr>
                      <w:rFonts w:ascii="Calibri" w:hAnsi="Calibri" w:cs="Calibri"/>
                      <w:color w:val="000000"/>
                    </w:rPr>
                  </w:pPr>
                  <w:r>
                    <w:rPr>
                      <w:rFonts w:ascii="Calibri" w:hAnsi="Calibri" w:cs="Calibri"/>
                      <w:color w:val="000000"/>
                    </w:rPr>
                    <w:t>5.5</w:t>
                  </w:r>
                </w:p>
              </w:tc>
            </w:tr>
            <w:tr w:rsidR="00975B18" w14:paraId="04DA27A1" w14:textId="77777777" w:rsidTr="004906E8">
              <w:trPr>
                <w:trHeight w:val="320"/>
              </w:trPr>
              <w:tc>
                <w:tcPr>
                  <w:tcW w:w="1011" w:type="dxa"/>
                  <w:tcBorders>
                    <w:top w:val="nil"/>
                    <w:left w:val="single" w:sz="4" w:space="0" w:color="auto"/>
                  </w:tcBorders>
                  <w:shd w:val="clear" w:color="auto" w:fill="auto"/>
                  <w:noWrap/>
                  <w:vAlign w:val="bottom"/>
                  <w:hideMark/>
                </w:tcPr>
                <w:p w14:paraId="5F850FEB" w14:textId="77777777" w:rsidR="00975B18" w:rsidRDefault="00975B18" w:rsidP="00975B18">
                  <w:pPr>
                    <w:rPr>
                      <w:rFonts w:ascii="Calibri" w:hAnsi="Calibri" w:cs="Calibri"/>
                      <w:color w:val="000000"/>
                    </w:rPr>
                  </w:pPr>
                  <w:r>
                    <w:rPr>
                      <w:rFonts w:ascii="Calibri" w:hAnsi="Calibri" w:cs="Calibri"/>
                      <w:color w:val="000000"/>
                    </w:rPr>
                    <w:t>B</w:t>
                  </w:r>
                </w:p>
              </w:tc>
              <w:tc>
                <w:tcPr>
                  <w:tcW w:w="1121" w:type="dxa"/>
                  <w:tcBorders>
                    <w:top w:val="nil"/>
                    <w:left w:val="nil"/>
                    <w:bottom w:val="nil"/>
                    <w:right w:val="nil"/>
                  </w:tcBorders>
                  <w:shd w:val="clear" w:color="auto" w:fill="auto"/>
                  <w:noWrap/>
                  <w:vAlign w:val="bottom"/>
                  <w:hideMark/>
                </w:tcPr>
                <w:p w14:paraId="0EC097B2" w14:textId="3B650B85" w:rsidR="00975B18" w:rsidRDefault="00975B18" w:rsidP="00975B18">
                  <w:pPr>
                    <w:jc w:val="right"/>
                    <w:rPr>
                      <w:rFonts w:ascii="Calibri" w:hAnsi="Calibri" w:cs="Calibri"/>
                      <w:color w:val="000000"/>
                    </w:rPr>
                  </w:pPr>
                  <w:r>
                    <w:rPr>
                      <w:rFonts w:ascii="Calibri" w:hAnsi="Calibri" w:cs="Calibri"/>
                      <w:color w:val="000000"/>
                    </w:rPr>
                    <w:t>87700</w:t>
                  </w:r>
                </w:p>
              </w:tc>
              <w:tc>
                <w:tcPr>
                  <w:tcW w:w="1181" w:type="dxa"/>
                  <w:tcBorders>
                    <w:top w:val="nil"/>
                    <w:left w:val="nil"/>
                    <w:bottom w:val="nil"/>
                    <w:right w:val="nil"/>
                  </w:tcBorders>
                  <w:shd w:val="clear" w:color="auto" w:fill="auto"/>
                  <w:noWrap/>
                  <w:vAlign w:val="bottom"/>
                  <w:hideMark/>
                </w:tcPr>
                <w:p w14:paraId="0D884722" w14:textId="2E77AF7B" w:rsidR="00975B18" w:rsidRDefault="00975B18" w:rsidP="00975B18">
                  <w:pPr>
                    <w:jc w:val="right"/>
                    <w:rPr>
                      <w:rFonts w:ascii="Calibri" w:hAnsi="Calibri" w:cs="Calibri"/>
                      <w:color w:val="000000"/>
                    </w:rPr>
                  </w:pPr>
                  <w:r>
                    <w:rPr>
                      <w:rFonts w:ascii="Calibri" w:hAnsi="Calibri" w:cs="Calibri"/>
                      <w:color w:val="000000"/>
                    </w:rPr>
                    <w:t>2690</w:t>
                  </w:r>
                </w:p>
              </w:tc>
              <w:tc>
                <w:tcPr>
                  <w:tcW w:w="1181" w:type="dxa"/>
                  <w:tcBorders>
                    <w:top w:val="nil"/>
                    <w:left w:val="nil"/>
                    <w:bottom w:val="nil"/>
                    <w:right w:val="nil"/>
                  </w:tcBorders>
                  <w:shd w:val="clear" w:color="auto" w:fill="auto"/>
                  <w:noWrap/>
                  <w:vAlign w:val="bottom"/>
                  <w:hideMark/>
                </w:tcPr>
                <w:p w14:paraId="401D910F" w14:textId="4093C412" w:rsidR="00975B18" w:rsidRDefault="00975B18" w:rsidP="00975B18">
                  <w:pPr>
                    <w:jc w:val="right"/>
                    <w:rPr>
                      <w:rFonts w:ascii="Calibri" w:hAnsi="Calibri" w:cs="Calibri"/>
                      <w:color w:val="000000"/>
                    </w:rPr>
                  </w:pPr>
                  <w:r>
                    <w:rPr>
                      <w:rFonts w:ascii="Calibri" w:hAnsi="Calibri" w:cs="Calibri"/>
                      <w:color w:val="000000"/>
                    </w:rPr>
                    <w:t>2520</w:t>
                  </w:r>
                </w:p>
              </w:tc>
              <w:tc>
                <w:tcPr>
                  <w:tcW w:w="1181" w:type="dxa"/>
                  <w:tcBorders>
                    <w:top w:val="nil"/>
                    <w:left w:val="nil"/>
                    <w:bottom w:val="nil"/>
                    <w:right w:val="nil"/>
                  </w:tcBorders>
                  <w:shd w:val="clear" w:color="auto" w:fill="auto"/>
                  <w:noWrap/>
                  <w:vAlign w:val="bottom"/>
                  <w:hideMark/>
                </w:tcPr>
                <w:p w14:paraId="4952BEA5" w14:textId="77777777" w:rsidR="00975B18" w:rsidRDefault="00975B18" w:rsidP="00975B18">
                  <w:pPr>
                    <w:jc w:val="right"/>
                    <w:rPr>
                      <w:rFonts w:ascii="Calibri" w:hAnsi="Calibri" w:cs="Calibri"/>
                      <w:color w:val="000000"/>
                    </w:rPr>
                  </w:pPr>
                  <w:r>
                    <w:rPr>
                      <w:rFonts w:ascii="Calibri" w:hAnsi="Calibri" w:cs="Calibri"/>
                      <w:color w:val="000000"/>
                    </w:rPr>
                    <w:t>0.48</w:t>
                  </w:r>
                </w:p>
              </w:tc>
              <w:tc>
                <w:tcPr>
                  <w:tcW w:w="1181" w:type="dxa"/>
                  <w:tcBorders>
                    <w:top w:val="nil"/>
                    <w:left w:val="nil"/>
                    <w:bottom w:val="nil"/>
                    <w:right w:val="nil"/>
                  </w:tcBorders>
                  <w:shd w:val="clear" w:color="auto" w:fill="auto"/>
                  <w:noWrap/>
                  <w:vAlign w:val="bottom"/>
                  <w:hideMark/>
                </w:tcPr>
                <w:p w14:paraId="0668A3C0" w14:textId="77777777" w:rsidR="00975B18" w:rsidRDefault="00975B18" w:rsidP="00975B18">
                  <w:pPr>
                    <w:jc w:val="right"/>
                    <w:rPr>
                      <w:rFonts w:ascii="Calibri" w:hAnsi="Calibri" w:cs="Calibri"/>
                      <w:color w:val="000000"/>
                    </w:rPr>
                  </w:pPr>
                  <w:r>
                    <w:rPr>
                      <w:rFonts w:ascii="Calibri" w:hAnsi="Calibri" w:cs="Calibri"/>
                      <w:color w:val="000000"/>
                    </w:rPr>
                    <w:t>42</w:t>
                  </w:r>
                </w:p>
              </w:tc>
              <w:tc>
                <w:tcPr>
                  <w:tcW w:w="1324" w:type="dxa"/>
                  <w:tcBorders>
                    <w:top w:val="nil"/>
                    <w:left w:val="nil"/>
                    <w:bottom w:val="nil"/>
                    <w:right w:val="nil"/>
                  </w:tcBorders>
                  <w:shd w:val="clear" w:color="auto" w:fill="auto"/>
                  <w:noWrap/>
                  <w:vAlign w:val="bottom"/>
                  <w:hideMark/>
                </w:tcPr>
                <w:p w14:paraId="775EAE20" w14:textId="174392D1" w:rsidR="00975B18" w:rsidRDefault="00975B18" w:rsidP="00975B18">
                  <w:pPr>
                    <w:jc w:val="right"/>
                    <w:rPr>
                      <w:rFonts w:ascii="Calibri" w:hAnsi="Calibri" w:cs="Calibri"/>
                      <w:color w:val="000000"/>
                    </w:rPr>
                  </w:pPr>
                  <w:r>
                    <w:rPr>
                      <w:rFonts w:ascii="Calibri" w:hAnsi="Calibri" w:cs="Calibri"/>
                      <w:color w:val="000000"/>
                    </w:rPr>
                    <w:t>1.101</w:t>
                  </w:r>
                </w:p>
              </w:tc>
              <w:tc>
                <w:tcPr>
                  <w:tcW w:w="1324" w:type="dxa"/>
                  <w:tcBorders>
                    <w:top w:val="nil"/>
                    <w:left w:val="nil"/>
                    <w:bottom w:val="nil"/>
                    <w:right w:val="single" w:sz="4" w:space="0" w:color="auto"/>
                  </w:tcBorders>
                  <w:shd w:val="clear" w:color="auto" w:fill="auto"/>
                  <w:noWrap/>
                  <w:vAlign w:val="bottom"/>
                  <w:hideMark/>
                </w:tcPr>
                <w:p w14:paraId="064AF65E" w14:textId="16641014" w:rsidR="00975B18" w:rsidRDefault="00975B18" w:rsidP="00975B18">
                  <w:pPr>
                    <w:jc w:val="right"/>
                    <w:rPr>
                      <w:rFonts w:ascii="Calibri" w:hAnsi="Calibri" w:cs="Calibri"/>
                      <w:color w:val="000000"/>
                    </w:rPr>
                  </w:pPr>
                  <w:r>
                    <w:rPr>
                      <w:rFonts w:ascii="Calibri" w:hAnsi="Calibri" w:cs="Calibri"/>
                      <w:color w:val="000000"/>
                    </w:rPr>
                    <w:t>4.6</w:t>
                  </w:r>
                </w:p>
              </w:tc>
            </w:tr>
            <w:tr w:rsidR="00975B18" w14:paraId="200AADCE" w14:textId="77777777" w:rsidTr="004906E8">
              <w:trPr>
                <w:trHeight w:val="320"/>
              </w:trPr>
              <w:tc>
                <w:tcPr>
                  <w:tcW w:w="1011" w:type="dxa"/>
                  <w:tcBorders>
                    <w:top w:val="nil"/>
                    <w:left w:val="single" w:sz="4" w:space="0" w:color="auto"/>
                  </w:tcBorders>
                  <w:shd w:val="clear" w:color="auto" w:fill="auto"/>
                  <w:noWrap/>
                  <w:vAlign w:val="bottom"/>
                  <w:hideMark/>
                </w:tcPr>
                <w:p w14:paraId="402EF6CC" w14:textId="77777777" w:rsidR="00975B18" w:rsidRDefault="00975B18" w:rsidP="00975B18">
                  <w:pPr>
                    <w:rPr>
                      <w:rFonts w:ascii="Calibri" w:hAnsi="Calibri" w:cs="Calibri"/>
                      <w:color w:val="000000"/>
                    </w:rPr>
                  </w:pPr>
                  <w:r>
                    <w:rPr>
                      <w:rFonts w:ascii="Calibri" w:hAnsi="Calibri" w:cs="Calibri"/>
                      <w:color w:val="000000"/>
                    </w:rPr>
                    <w:t>C</w:t>
                  </w:r>
                </w:p>
              </w:tc>
              <w:tc>
                <w:tcPr>
                  <w:tcW w:w="1121" w:type="dxa"/>
                  <w:tcBorders>
                    <w:top w:val="nil"/>
                    <w:left w:val="nil"/>
                    <w:bottom w:val="nil"/>
                    <w:right w:val="nil"/>
                  </w:tcBorders>
                  <w:shd w:val="clear" w:color="auto" w:fill="auto"/>
                  <w:noWrap/>
                  <w:vAlign w:val="bottom"/>
                  <w:hideMark/>
                </w:tcPr>
                <w:p w14:paraId="64BEC97F" w14:textId="7FD5BDD4" w:rsidR="00975B18" w:rsidRDefault="00975B18" w:rsidP="00975B18">
                  <w:pPr>
                    <w:jc w:val="right"/>
                    <w:rPr>
                      <w:rFonts w:ascii="Calibri" w:hAnsi="Calibri" w:cs="Calibri"/>
                      <w:color w:val="000000"/>
                    </w:rPr>
                  </w:pPr>
                  <w:r>
                    <w:rPr>
                      <w:rFonts w:ascii="Calibri" w:hAnsi="Calibri" w:cs="Calibri"/>
                      <w:color w:val="000000"/>
                    </w:rPr>
                    <w:t>80000</w:t>
                  </w:r>
                </w:p>
              </w:tc>
              <w:tc>
                <w:tcPr>
                  <w:tcW w:w="1181" w:type="dxa"/>
                  <w:tcBorders>
                    <w:top w:val="nil"/>
                    <w:left w:val="nil"/>
                    <w:bottom w:val="nil"/>
                    <w:right w:val="nil"/>
                  </w:tcBorders>
                  <w:shd w:val="clear" w:color="auto" w:fill="auto"/>
                  <w:noWrap/>
                  <w:vAlign w:val="bottom"/>
                  <w:hideMark/>
                </w:tcPr>
                <w:p w14:paraId="064501BB" w14:textId="45E05F4F" w:rsidR="00975B18" w:rsidRDefault="00975B18" w:rsidP="00975B18">
                  <w:pPr>
                    <w:jc w:val="right"/>
                    <w:rPr>
                      <w:rFonts w:ascii="Calibri" w:hAnsi="Calibri" w:cs="Calibri"/>
                      <w:color w:val="000000"/>
                    </w:rPr>
                  </w:pPr>
                  <w:r>
                    <w:rPr>
                      <w:rFonts w:ascii="Calibri" w:hAnsi="Calibri" w:cs="Calibri"/>
                      <w:color w:val="000000"/>
                    </w:rPr>
                    <w:t>7040</w:t>
                  </w:r>
                </w:p>
              </w:tc>
              <w:tc>
                <w:tcPr>
                  <w:tcW w:w="1181" w:type="dxa"/>
                  <w:tcBorders>
                    <w:top w:val="nil"/>
                    <w:left w:val="nil"/>
                    <w:bottom w:val="nil"/>
                    <w:right w:val="nil"/>
                  </w:tcBorders>
                  <w:shd w:val="clear" w:color="auto" w:fill="auto"/>
                  <w:noWrap/>
                  <w:vAlign w:val="bottom"/>
                  <w:hideMark/>
                </w:tcPr>
                <w:p w14:paraId="20600853" w14:textId="4BB525C0" w:rsidR="00975B18" w:rsidRDefault="00975B18" w:rsidP="00975B18">
                  <w:pPr>
                    <w:jc w:val="right"/>
                    <w:rPr>
                      <w:rFonts w:ascii="Calibri" w:hAnsi="Calibri" w:cs="Calibri"/>
                      <w:color w:val="000000"/>
                    </w:rPr>
                  </w:pPr>
                  <w:r>
                    <w:rPr>
                      <w:rFonts w:ascii="Calibri" w:hAnsi="Calibri" w:cs="Calibri"/>
                      <w:color w:val="000000"/>
                    </w:rPr>
                    <w:t>6880</w:t>
                  </w:r>
                </w:p>
              </w:tc>
              <w:tc>
                <w:tcPr>
                  <w:tcW w:w="1181" w:type="dxa"/>
                  <w:tcBorders>
                    <w:top w:val="nil"/>
                    <w:left w:val="nil"/>
                    <w:bottom w:val="nil"/>
                    <w:right w:val="nil"/>
                  </w:tcBorders>
                  <w:shd w:val="clear" w:color="auto" w:fill="auto"/>
                  <w:noWrap/>
                  <w:vAlign w:val="bottom"/>
                  <w:hideMark/>
                </w:tcPr>
                <w:p w14:paraId="1F2C2422" w14:textId="77777777" w:rsidR="00975B18" w:rsidRDefault="00975B18" w:rsidP="00975B18">
                  <w:pPr>
                    <w:jc w:val="right"/>
                    <w:rPr>
                      <w:rFonts w:ascii="Calibri" w:hAnsi="Calibri" w:cs="Calibri"/>
                      <w:color w:val="000000"/>
                    </w:rPr>
                  </w:pPr>
                  <w:r>
                    <w:rPr>
                      <w:rFonts w:ascii="Calibri" w:hAnsi="Calibri" w:cs="Calibri"/>
                      <w:color w:val="000000"/>
                    </w:rPr>
                    <w:t>0.52</w:t>
                  </w:r>
                </w:p>
              </w:tc>
              <w:tc>
                <w:tcPr>
                  <w:tcW w:w="1181" w:type="dxa"/>
                  <w:tcBorders>
                    <w:top w:val="nil"/>
                    <w:left w:val="nil"/>
                    <w:bottom w:val="nil"/>
                    <w:right w:val="nil"/>
                  </w:tcBorders>
                  <w:shd w:val="clear" w:color="auto" w:fill="auto"/>
                  <w:noWrap/>
                  <w:vAlign w:val="bottom"/>
                  <w:hideMark/>
                </w:tcPr>
                <w:p w14:paraId="7B72E6DE" w14:textId="77777777" w:rsidR="00975B18" w:rsidRDefault="00975B18" w:rsidP="00975B18">
                  <w:pPr>
                    <w:jc w:val="right"/>
                    <w:rPr>
                      <w:rFonts w:ascii="Calibri" w:hAnsi="Calibri" w:cs="Calibri"/>
                      <w:color w:val="000000"/>
                    </w:rPr>
                  </w:pPr>
                  <w:r>
                    <w:rPr>
                      <w:rFonts w:ascii="Calibri" w:hAnsi="Calibri" w:cs="Calibri"/>
                      <w:color w:val="000000"/>
                    </w:rPr>
                    <w:t>42</w:t>
                  </w:r>
                </w:p>
              </w:tc>
              <w:tc>
                <w:tcPr>
                  <w:tcW w:w="1324" w:type="dxa"/>
                  <w:tcBorders>
                    <w:top w:val="nil"/>
                    <w:left w:val="nil"/>
                    <w:bottom w:val="nil"/>
                    <w:right w:val="nil"/>
                  </w:tcBorders>
                  <w:shd w:val="clear" w:color="auto" w:fill="auto"/>
                  <w:noWrap/>
                  <w:vAlign w:val="bottom"/>
                  <w:hideMark/>
                </w:tcPr>
                <w:p w14:paraId="020FCD89" w14:textId="17C992EE" w:rsidR="00975B18" w:rsidRDefault="00975B18" w:rsidP="00975B18">
                  <w:pPr>
                    <w:jc w:val="right"/>
                    <w:rPr>
                      <w:rFonts w:ascii="Calibri" w:hAnsi="Calibri" w:cs="Calibri"/>
                      <w:color w:val="000000"/>
                    </w:rPr>
                  </w:pPr>
                  <w:r>
                    <w:rPr>
                      <w:rFonts w:ascii="Calibri" w:hAnsi="Calibri" w:cs="Calibri"/>
                      <w:color w:val="000000"/>
                    </w:rPr>
                    <w:t>3.433</w:t>
                  </w:r>
                </w:p>
              </w:tc>
              <w:tc>
                <w:tcPr>
                  <w:tcW w:w="1324" w:type="dxa"/>
                  <w:tcBorders>
                    <w:top w:val="nil"/>
                    <w:left w:val="nil"/>
                    <w:bottom w:val="nil"/>
                    <w:right w:val="single" w:sz="4" w:space="0" w:color="auto"/>
                  </w:tcBorders>
                  <w:shd w:val="clear" w:color="auto" w:fill="auto"/>
                  <w:noWrap/>
                  <w:vAlign w:val="bottom"/>
                  <w:hideMark/>
                </w:tcPr>
                <w:p w14:paraId="334CB00D" w14:textId="2B1668C3" w:rsidR="00975B18" w:rsidRDefault="00975B18" w:rsidP="00975B18">
                  <w:pPr>
                    <w:jc w:val="right"/>
                    <w:rPr>
                      <w:rFonts w:ascii="Calibri" w:hAnsi="Calibri" w:cs="Calibri"/>
                      <w:color w:val="000000"/>
                    </w:rPr>
                  </w:pPr>
                  <w:r>
                    <w:rPr>
                      <w:rFonts w:ascii="Calibri" w:hAnsi="Calibri" w:cs="Calibri"/>
                      <w:color w:val="000000"/>
                    </w:rPr>
                    <w:t>14.4</w:t>
                  </w:r>
                </w:p>
              </w:tc>
            </w:tr>
            <w:tr w:rsidR="00975B18" w14:paraId="68C52157" w14:textId="77777777" w:rsidTr="004906E8">
              <w:trPr>
                <w:trHeight w:val="320"/>
              </w:trPr>
              <w:tc>
                <w:tcPr>
                  <w:tcW w:w="1011" w:type="dxa"/>
                  <w:tcBorders>
                    <w:top w:val="nil"/>
                    <w:left w:val="single" w:sz="4" w:space="0" w:color="auto"/>
                  </w:tcBorders>
                  <w:shd w:val="clear" w:color="auto" w:fill="auto"/>
                  <w:noWrap/>
                  <w:vAlign w:val="bottom"/>
                  <w:hideMark/>
                </w:tcPr>
                <w:p w14:paraId="54BA8277" w14:textId="77777777" w:rsidR="00975B18" w:rsidRDefault="00975B18" w:rsidP="00975B18">
                  <w:pPr>
                    <w:rPr>
                      <w:rFonts w:ascii="Calibri" w:hAnsi="Calibri" w:cs="Calibri"/>
                      <w:color w:val="000000"/>
                    </w:rPr>
                  </w:pPr>
                  <w:r>
                    <w:rPr>
                      <w:rFonts w:ascii="Calibri" w:hAnsi="Calibri" w:cs="Calibri"/>
                      <w:color w:val="000000"/>
                    </w:rPr>
                    <w:t>D</w:t>
                  </w:r>
                </w:p>
              </w:tc>
              <w:tc>
                <w:tcPr>
                  <w:tcW w:w="1121" w:type="dxa"/>
                  <w:tcBorders>
                    <w:top w:val="nil"/>
                    <w:left w:val="nil"/>
                    <w:bottom w:val="nil"/>
                    <w:right w:val="nil"/>
                  </w:tcBorders>
                  <w:shd w:val="clear" w:color="auto" w:fill="auto"/>
                  <w:noWrap/>
                  <w:vAlign w:val="bottom"/>
                  <w:hideMark/>
                </w:tcPr>
                <w:p w14:paraId="122BE5C7" w14:textId="7F761E99" w:rsidR="00975B18" w:rsidRDefault="00975B18" w:rsidP="00975B18">
                  <w:pPr>
                    <w:jc w:val="right"/>
                    <w:rPr>
                      <w:rFonts w:ascii="Calibri" w:hAnsi="Calibri" w:cs="Calibri"/>
                      <w:color w:val="000000"/>
                    </w:rPr>
                  </w:pPr>
                  <w:r>
                    <w:rPr>
                      <w:rFonts w:ascii="Calibri" w:hAnsi="Calibri" w:cs="Calibri"/>
                      <w:color w:val="000000"/>
                    </w:rPr>
                    <w:t>99600</w:t>
                  </w:r>
                </w:p>
              </w:tc>
              <w:tc>
                <w:tcPr>
                  <w:tcW w:w="1181" w:type="dxa"/>
                  <w:tcBorders>
                    <w:top w:val="nil"/>
                    <w:left w:val="nil"/>
                    <w:bottom w:val="nil"/>
                    <w:right w:val="nil"/>
                  </w:tcBorders>
                  <w:shd w:val="clear" w:color="auto" w:fill="auto"/>
                  <w:noWrap/>
                  <w:vAlign w:val="bottom"/>
                  <w:hideMark/>
                </w:tcPr>
                <w:p w14:paraId="391AAEE7" w14:textId="7180CA57" w:rsidR="00975B18" w:rsidRDefault="00975B18" w:rsidP="00975B18">
                  <w:pPr>
                    <w:jc w:val="right"/>
                    <w:rPr>
                      <w:rFonts w:ascii="Calibri" w:hAnsi="Calibri" w:cs="Calibri"/>
                      <w:color w:val="000000"/>
                    </w:rPr>
                  </w:pPr>
                  <w:r>
                    <w:rPr>
                      <w:rFonts w:ascii="Calibri" w:hAnsi="Calibri" w:cs="Calibri"/>
                      <w:color w:val="000000"/>
                    </w:rPr>
                    <w:t>7260</w:t>
                  </w:r>
                </w:p>
              </w:tc>
              <w:tc>
                <w:tcPr>
                  <w:tcW w:w="1181" w:type="dxa"/>
                  <w:tcBorders>
                    <w:top w:val="nil"/>
                    <w:left w:val="nil"/>
                    <w:bottom w:val="nil"/>
                    <w:right w:val="nil"/>
                  </w:tcBorders>
                  <w:shd w:val="clear" w:color="auto" w:fill="auto"/>
                  <w:noWrap/>
                  <w:vAlign w:val="bottom"/>
                  <w:hideMark/>
                </w:tcPr>
                <w:p w14:paraId="4FB4A2D1" w14:textId="74DF680F" w:rsidR="00975B18" w:rsidRDefault="00975B18" w:rsidP="00975B18">
                  <w:pPr>
                    <w:jc w:val="right"/>
                    <w:rPr>
                      <w:rFonts w:ascii="Calibri" w:hAnsi="Calibri" w:cs="Calibri"/>
                      <w:color w:val="000000"/>
                    </w:rPr>
                  </w:pPr>
                  <w:r>
                    <w:rPr>
                      <w:rFonts w:ascii="Calibri" w:hAnsi="Calibri" w:cs="Calibri"/>
                      <w:color w:val="000000"/>
                    </w:rPr>
                    <w:t>7060</w:t>
                  </w:r>
                </w:p>
              </w:tc>
              <w:tc>
                <w:tcPr>
                  <w:tcW w:w="1181" w:type="dxa"/>
                  <w:tcBorders>
                    <w:top w:val="nil"/>
                    <w:left w:val="nil"/>
                    <w:bottom w:val="nil"/>
                    <w:right w:val="nil"/>
                  </w:tcBorders>
                  <w:shd w:val="clear" w:color="auto" w:fill="auto"/>
                  <w:noWrap/>
                  <w:vAlign w:val="bottom"/>
                  <w:hideMark/>
                </w:tcPr>
                <w:p w14:paraId="5FD71007" w14:textId="77777777" w:rsidR="00975B18" w:rsidRDefault="00975B18" w:rsidP="00975B18">
                  <w:pPr>
                    <w:jc w:val="right"/>
                    <w:rPr>
                      <w:rFonts w:ascii="Calibri" w:hAnsi="Calibri" w:cs="Calibri"/>
                      <w:color w:val="000000"/>
                    </w:rPr>
                  </w:pPr>
                  <w:r>
                    <w:rPr>
                      <w:rFonts w:ascii="Calibri" w:hAnsi="Calibri" w:cs="Calibri"/>
                      <w:color w:val="000000"/>
                    </w:rPr>
                    <w:t>0.92</w:t>
                  </w:r>
                </w:p>
              </w:tc>
              <w:tc>
                <w:tcPr>
                  <w:tcW w:w="1181" w:type="dxa"/>
                  <w:tcBorders>
                    <w:top w:val="nil"/>
                    <w:left w:val="nil"/>
                    <w:bottom w:val="nil"/>
                    <w:right w:val="nil"/>
                  </w:tcBorders>
                  <w:shd w:val="clear" w:color="auto" w:fill="auto"/>
                  <w:noWrap/>
                  <w:vAlign w:val="bottom"/>
                  <w:hideMark/>
                </w:tcPr>
                <w:p w14:paraId="588ED028" w14:textId="77777777" w:rsidR="00975B18" w:rsidRDefault="00975B18" w:rsidP="00975B18">
                  <w:pPr>
                    <w:jc w:val="right"/>
                    <w:rPr>
                      <w:rFonts w:ascii="Calibri" w:hAnsi="Calibri" w:cs="Calibri"/>
                      <w:color w:val="000000"/>
                    </w:rPr>
                  </w:pPr>
                  <w:r>
                    <w:rPr>
                      <w:rFonts w:ascii="Calibri" w:hAnsi="Calibri" w:cs="Calibri"/>
                      <w:color w:val="000000"/>
                    </w:rPr>
                    <w:t>42</w:t>
                  </w:r>
                </w:p>
              </w:tc>
              <w:tc>
                <w:tcPr>
                  <w:tcW w:w="1324" w:type="dxa"/>
                  <w:tcBorders>
                    <w:top w:val="nil"/>
                    <w:left w:val="nil"/>
                    <w:bottom w:val="nil"/>
                    <w:right w:val="nil"/>
                  </w:tcBorders>
                  <w:shd w:val="clear" w:color="auto" w:fill="auto"/>
                  <w:noWrap/>
                  <w:vAlign w:val="bottom"/>
                  <w:hideMark/>
                </w:tcPr>
                <w:p w14:paraId="79D472C8" w14:textId="15BDD271" w:rsidR="00975B18" w:rsidRDefault="00975B18" w:rsidP="00975B18">
                  <w:pPr>
                    <w:jc w:val="right"/>
                    <w:rPr>
                      <w:rFonts w:ascii="Calibri" w:hAnsi="Calibri" w:cs="Calibri"/>
                      <w:color w:val="000000"/>
                    </w:rPr>
                  </w:pPr>
                  <w:r>
                    <w:rPr>
                      <w:rFonts w:ascii="Calibri" w:hAnsi="Calibri" w:cs="Calibri"/>
                      <w:color w:val="000000"/>
                    </w:rPr>
                    <w:t>3.893</w:t>
                  </w:r>
                </w:p>
              </w:tc>
              <w:tc>
                <w:tcPr>
                  <w:tcW w:w="1324" w:type="dxa"/>
                  <w:tcBorders>
                    <w:top w:val="nil"/>
                    <w:left w:val="nil"/>
                    <w:bottom w:val="nil"/>
                    <w:right w:val="single" w:sz="4" w:space="0" w:color="auto"/>
                  </w:tcBorders>
                  <w:shd w:val="clear" w:color="auto" w:fill="auto"/>
                  <w:noWrap/>
                  <w:vAlign w:val="bottom"/>
                  <w:hideMark/>
                </w:tcPr>
                <w:p w14:paraId="66446435" w14:textId="2E3EE51C" w:rsidR="00975B18" w:rsidRDefault="00975B18" w:rsidP="00975B18">
                  <w:pPr>
                    <w:jc w:val="right"/>
                    <w:rPr>
                      <w:rFonts w:ascii="Calibri" w:hAnsi="Calibri" w:cs="Calibri"/>
                      <w:color w:val="000000"/>
                    </w:rPr>
                  </w:pPr>
                  <w:r>
                    <w:rPr>
                      <w:rFonts w:ascii="Calibri" w:hAnsi="Calibri" w:cs="Calibri"/>
                      <w:color w:val="000000"/>
                    </w:rPr>
                    <w:t>16.4</w:t>
                  </w:r>
                </w:p>
              </w:tc>
            </w:tr>
            <w:tr w:rsidR="00975B18" w14:paraId="12FFCA18" w14:textId="77777777" w:rsidTr="004906E8">
              <w:trPr>
                <w:trHeight w:val="320"/>
              </w:trPr>
              <w:tc>
                <w:tcPr>
                  <w:tcW w:w="1011" w:type="dxa"/>
                  <w:tcBorders>
                    <w:top w:val="nil"/>
                    <w:left w:val="single" w:sz="4" w:space="0" w:color="auto"/>
                  </w:tcBorders>
                  <w:shd w:val="clear" w:color="auto" w:fill="auto"/>
                  <w:noWrap/>
                  <w:vAlign w:val="bottom"/>
                  <w:hideMark/>
                </w:tcPr>
                <w:p w14:paraId="6D9CE982" w14:textId="77777777" w:rsidR="00975B18" w:rsidRDefault="00975B18" w:rsidP="00975B18">
                  <w:pPr>
                    <w:rPr>
                      <w:rFonts w:ascii="Calibri" w:hAnsi="Calibri" w:cs="Calibri"/>
                      <w:color w:val="000000"/>
                    </w:rPr>
                  </w:pPr>
                  <w:r>
                    <w:rPr>
                      <w:rFonts w:ascii="Calibri" w:hAnsi="Calibri" w:cs="Calibri"/>
                      <w:color w:val="000000"/>
                    </w:rPr>
                    <w:t>E</w:t>
                  </w:r>
                </w:p>
              </w:tc>
              <w:tc>
                <w:tcPr>
                  <w:tcW w:w="1121" w:type="dxa"/>
                  <w:tcBorders>
                    <w:top w:val="nil"/>
                    <w:left w:val="nil"/>
                    <w:bottom w:val="nil"/>
                    <w:right w:val="nil"/>
                  </w:tcBorders>
                  <w:shd w:val="clear" w:color="auto" w:fill="auto"/>
                  <w:noWrap/>
                  <w:vAlign w:val="bottom"/>
                  <w:hideMark/>
                </w:tcPr>
                <w:p w14:paraId="37B71770" w14:textId="39A7FC6A" w:rsidR="00975B18" w:rsidRDefault="00975B18" w:rsidP="00975B18">
                  <w:pPr>
                    <w:jc w:val="right"/>
                    <w:rPr>
                      <w:rFonts w:ascii="Calibri" w:hAnsi="Calibri" w:cs="Calibri"/>
                      <w:color w:val="000000"/>
                    </w:rPr>
                  </w:pPr>
                  <w:r>
                    <w:rPr>
                      <w:rFonts w:ascii="Calibri" w:hAnsi="Calibri" w:cs="Calibri"/>
                      <w:color w:val="000000"/>
                    </w:rPr>
                    <w:t>80700</w:t>
                  </w:r>
                </w:p>
              </w:tc>
              <w:tc>
                <w:tcPr>
                  <w:tcW w:w="1181" w:type="dxa"/>
                  <w:tcBorders>
                    <w:top w:val="nil"/>
                    <w:left w:val="nil"/>
                    <w:bottom w:val="nil"/>
                    <w:right w:val="nil"/>
                  </w:tcBorders>
                  <w:shd w:val="clear" w:color="auto" w:fill="auto"/>
                  <w:noWrap/>
                  <w:vAlign w:val="bottom"/>
                  <w:hideMark/>
                </w:tcPr>
                <w:p w14:paraId="060AFD3B" w14:textId="7C8B36CF" w:rsidR="00975B18" w:rsidRDefault="00975B18" w:rsidP="00975B18">
                  <w:pPr>
                    <w:jc w:val="right"/>
                    <w:rPr>
                      <w:rFonts w:ascii="Calibri" w:hAnsi="Calibri" w:cs="Calibri"/>
                      <w:color w:val="000000"/>
                    </w:rPr>
                  </w:pPr>
                  <w:r>
                    <w:rPr>
                      <w:rFonts w:ascii="Calibri" w:hAnsi="Calibri" w:cs="Calibri"/>
                      <w:color w:val="000000"/>
                    </w:rPr>
                    <w:t>8160</w:t>
                  </w:r>
                </w:p>
              </w:tc>
              <w:tc>
                <w:tcPr>
                  <w:tcW w:w="1181" w:type="dxa"/>
                  <w:tcBorders>
                    <w:top w:val="nil"/>
                    <w:left w:val="nil"/>
                    <w:bottom w:val="nil"/>
                    <w:right w:val="nil"/>
                  </w:tcBorders>
                  <w:shd w:val="clear" w:color="auto" w:fill="auto"/>
                  <w:noWrap/>
                  <w:vAlign w:val="bottom"/>
                  <w:hideMark/>
                </w:tcPr>
                <w:p w14:paraId="6EA1763B" w14:textId="77777777" w:rsidR="00975B18" w:rsidRDefault="00975B18" w:rsidP="00975B18">
                  <w:pPr>
                    <w:jc w:val="right"/>
                    <w:rPr>
                      <w:rFonts w:ascii="Calibri" w:hAnsi="Calibri" w:cs="Calibri"/>
                      <w:color w:val="000000"/>
                    </w:rPr>
                  </w:pPr>
                  <w:r>
                    <w:rPr>
                      <w:rFonts w:ascii="Calibri" w:hAnsi="Calibri" w:cs="Calibri"/>
                      <w:color w:val="000000"/>
                    </w:rPr>
                    <w:t>8000</w:t>
                  </w:r>
                </w:p>
              </w:tc>
              <w:tc>
                <w:tcPr>
                  <w:tcW w:w="1181" w:type="dxa"/>
                  <w:tcBorders>
                    <w:top w:val="nil"/>
                    <w:left w:val="nil"/>
                    <w:bottom w:val="nil"/>
                    <w:right w:val="nil"/>
                  </w:tcBorders>
                  <w:shd w:val="clear" w:color="auto" w:fill="auto"/>
                  <w:noWrap/>
                  <w:vAlign w:val="bottom"/>
                  <w:hideMark/>
                </w:tcPr>
                <w:p w14:paraId="43419F4F" w14:textId="77777777" w:rsidR="00975B18" w:rsidRDefault="00975B18" w:rsidP="00975B18">
                  <w:pPr>
                    <w:jc w:val="right"/>
                    <w:rPr>
                      <w:rFonts w:ascii="Calibri" w:hAnsi="Calibri" w:cs="Calibri"/>
                      <w:color w:val="000000"/>
                    </w:rPr>
                  </w:pPr>
                  <w:r>
                    <w:rPr>
                      <w:rFonts w:ascii="Calibri" w:hAnsi="Calibri" w:cs="Calibri"/>
                      <w:color w:val="000000"/>
                    </w:rPr>
                    <w:t>0.94</w:t>
                  </w:r>
                </w:p>
              </w:tc>
              <w:tc>
                <w:tcPr>
                  <w:tcW w:w="1181" w:type="dxa"/>
                  <w:tcBorders>
                    <w:top w:val="nil"/>
                    <w:left w:val="nil"/>
                    <w:bottom w:val="nil"/>
                    <w:right w:val="nil"/>
                  </w:tcBorders>
                  <w:shd w:val="clear" w:color="auto" w:fill="auto"/>
                  <w:noWrap/>
                  <w:vAlign w:val="bottom"/>
                  <w:hideMark/>
                </w:tcPr>
                <w:p w14:paraId="47896680" w14:textId="77777777" w:rsidR="00975B18" w:rsidRDefault="00975B18" w:rsidP="00975B18">
                  <w:pPr>
                    <w:jc w:val="right"/>
                    <w:rPr>
                      <w:rFonts w:ascii="Calibri" w:hAnsi="Calibri" w:cs="Calibri"/>
                      <w:color w:val="000000"/>
                    </w:rPr>
                  </w:pPr>
                  <w:r>
                    <w:rPr>
                      <w:rFonts w:ascii="Calibri" w:hAnsi="Calibri" w:cs="Calibri"/>
                      <w:color w:val="000000"/>
                    </w:rPr>
                    <w:t>42</w:t>
                  </w:r>
                </w:p>
              </w:tc>
              <w:tc>
                <w:tcPr>
                  <w:tcW w:w="1324" w:type="dxa"/>
                  <w:tcBorders>
                    <w:top w:val="nil"/>
                    <w:left w:val="nil"/>
                    <w:bottom w:val="nil"/>
                    <w:right w:val="nil"/>
                  </w:tcBorders>
                  <w:shd w:val="clear" w:color="auto" w:fill="auto"/>
                  <w:noWrap/>
                  <w:vAlign w:val="bottom"/>
                  <w:hideMark/>
                </w:tcPr>
                <w:p w14:paraId="7D2E1D4E" w14:textId="3DE83585" w:rsidR="00975B18" w:rsidRDefault="00975B18" w:rsidP="00975B18">
                  <w:pPr>
                    <w:jc w:val="right"/>
                    <w:rPr>
                      <w:rFonts w:ascii="Calibri" w:hAnsi="Calibri" w:cs="Calibri"/>
                      <w:color w:val="000000"/>
                    </w:rPr>
                  </w:pPr>
                  <w:r>
                    <w:rPr>
                      <w:rFonts w:ascii="Calibri" w:hAnsi="Calibri" w:cs="Calibri"/>
                      <w:color w:val="000000"/>
                    </w:rPr>
                    <w:t>6.107</w:t>
                  </w:r>
                </w:p>
              </w:tc>
              <w:tc>
                <w:tcPr>
                  <w:tcW w:w="1324" w:type="dxa"/>
                  <w:tcBorders>
                    <w:top w:val="nil"/>
                    <w:left w:val="nil"/>
                    <w:bottom w:val="nil"/>
                    <w:right w:val="single" w:sz="4" w:space="0" w:color="auto"/>
                  </w:tcBorders>
                  <w:shd w:val="clear" w:color="auto" w:fill="auto"/>
                  <w:noWrap/>
                  <w:vAlign w:val="bottom"/>
                  <w:hideMark/>
                </w:tcPr>
                <w:p w14:paraId="6D272D3F" w14:textId="1059FAB3" w:rsidR="00975B18" w:rsidRDefault="00975B18" w:rsidP="00975B18">
                  <w:pPr>
                    <w:jc w:val="right"/>
                    <w:rPr>
                      <w:rFonts w:ascii="Calibri" w:hAnsi="Calibri" w:cs="Calibri"/>
                      <w:color w:val="000000"/>
                    </w:rPr>
                  </w:pPr>
                  <w:r>
                    <w:rPr>
                      <w:rFonts w:ascii="Calibri" w:hAnsi="Calibri" w:cs="Calibri"/>
                      <w:color w:val="000000"/>
                    </w:rPr>
                    <w:t>25.6</w:t>
                  </w:r>
                </w:p>
              </w:tc>
            </w:tr>
            <w:tr w:rsidR="00975B18" w14:paraId="42C7EFE2" w14:textId="77777777" w:rsidTr="004906E8">
              <w:trPr>
                <w:trHeight w:val="320"/>
              </w:trPr>
              <w:tc>
                <w:tcPr>
                  <w:tcW w:w="1011" w:type="dxa"/>
                  <w:tcBorders>
                    <w:top w:val="nil"/>
                    <w:left w:val="single" w:sz="4" w:space="0" w:color="auto"/>
                    <w:bottom w:val="single" w:sz="4" w:space="0" w:color="auto"/>
                  </w:tcBorders>
                  <w:shd w:val="clear" w:color="auto" w:fill="auto"/>
                  <w:noWrap/>
                  <w:vAlign w:val="bottom"/>
                  <w:hideMark/>
                </w:tcPr>
                <w:p w14:paraId="79F8A619" w14:textId="77777777" w:rsidR="00975B18" w:rsidRDefault="00975B18" w:rsidP="00975B18">
                  <w:pPr>
                    <w:rPr>
                      <w:rFonts w:ascii="Calibri" w:hAnsi="Calibri" w:cs="Calibri"/>
                      <w:color w:val="000000"/>
                    </w:rPr>
                  </w:pPr>
                  <w:r>
                    <w:rPr>
                      <w:rFonts w:ascii="Calibri" w:hAnsi="Calibri" w:cs="Calibri"/>
                      <w:color w:val="000000"/>
                    </w:rPr>
                    <w:t>1016</w:t>
                  </w:r>
                </w:p>
              </w:tc>
              <w:tc>
                <w:tcPr>
                  <w:tcW w:w="1121" w:type="dxa"/>
                  <w:tcBorders>
                    <w:top w:val="nil"/>
                    <w:left w:val="nil"/>
                    <w:bottom w:val="single" w:sz="4" w:space="0" w:color="auto"/>
                    <w:right w:val="nil"/>
                  </w:tcBorders>
                  <w:shd w:val="clear" w:color="auto" w:fill="auto"/>
                  <w:noWrap/>
                  <w:vAlign w:val="bottom"/>
                  <w:hideMark/>
                </w:tcPr>
                <w:p w14:paraId="530913CD" w14:textId="03C2AE45" w:rsidR="00975B18" w:rsidRDefault="00975B18" w:rsidP="00975B18">
                  <w:pPr>
                    <w:jc w:val="right"/>
                    <w:rPr>
                      <w:rFonts w:ascii="Calibri" w:hAnsi="Calibri" w:cs="Calibri"/>
                      <w:color w:val="000000"/>
                    </w:rPr>
                  </w:pPr>
                  <w:r>
                    <w:rPr>
                      <w:rFonts w:ascii="Calibri" w:hAnsi="Calibri" w:cs="Calibri"/>
                      <w:color w:val="000000"/>
                    </w:rPr>
                    <w:t>96700</w:t>
                  </w:r>
                </w:p>
              </w:tc>
              <w:tc>
                <w:tcPr>
                  <w:tcW w:w="1181" w:type="dxa"/>
                  <w:tcBorders>
                    <w:top w:val="nil"/>
                    <w:left w:val="nil"/>
                    <w:bottom w:val="single" w:sz="4" w:space="0" w:color="auto"/>
                    <w:right w:val="nil"/>
                  </w:tcBorders>
                  <w:shd w:val="clear" w:color="auto" w:fill="auto"/>
                  <w:noWrap/>
                  <w:vAlign w:val="bottom"/>
                  <w:hideMark/>
                </w:tcPr>
                <w:p w14:paraId="1E499018" w14:textId="5EA44556" w:rsidR="00975B18" w:rsidRDefault="00975B18" w:rsidP="00975B18">
                  <w:pPr>
                    <w:jc w:val="right"/>
                    <w:rPr>
                      <w:rFonts w:ascii="Calibri" w:hAnsi="Calibri" w:cs="Calibri"/>
                      <w:color w:val="000000"/>
                    </w:rPr>
                  </w:pPr>
                  <w:r>
                    <w:rPr>
                      <w:rFonts w:ascii="Calibri" w:hAnsi="Calibri" w:cs="Calibri"/>
                      <w:color w:val="000000"/>
                    </w:rPr>
                    <w:t>1710</w:t>
                  </w:r>
                </w:p>
              </w:tc>
              <w:tc>
                <w:tcPr>
                  <w:tcW w:w="1181" w:type="dxa"/>
                  <w:tcBorders>
                    <w:top w:val="nil"/>
                    <w:left w:val="nil"/>
                    <w:bottom w:val="single" w:sz="4" w:space="0" w:color="auto"/>
                    <w:right w:val="nil"/>
                  </w:tcBorders>
                  <w:shd w:val="clear" w:color="auto" w:fill="auto"/>
                  <w:noWrap/>
                  <w:vAlign w:val="bottom"/>
                  <w:hideMark/>
                </w:tcPr>
                <w:p w14:paraId="07299C6C" w14:textId="77777777" w:rsidR="00975B18" w:rsidRDefault="00975B18" w:rsidP="00975B18">
                  <w:pPr>
                    <w:jc w:val="right"/>
                    <w:rPr>
                      <w:rFonts w:ascii="Calibri" w:hAnsi="Calibri" w:cs="Calibri"/>
                      <w:color w:val="000000"/>
                    </w:rPr>
                  </w:pPr>
                  <w:r>
                    <w:rPr>
                      <w:rFonts w:ascii="Calibri" w:hAnsi="Calibri" w:cs="Calibri"/>
                      <w:color w:val="000000"/>
                    </w:rPr>
                    <w:t>1520</w:t>
                  </w:r>
                </w:p>
              </w:tc>
              <w:tc>
                <w:tcPr>
                  <w:tcW w:w="1181" w:type="dxa"/>
                  <w:tcBorders>
                    <w:top w:val="nil"/>
                    <w:left w:val="nil"/>
                    <w:bottom w:val="single" w:sz="4" w:space="0" w:color="auto"/>
                    <w:right w:val="nil"/>
                  </w:tcBorders>
                  <w:shd w:val="clear" w:color="auto" w:fill="auto"/>
                  <w:noWrap/>
                  <w:vAlign w:val="bottom"/>
                  <w:hideMark/>
                </w:tcPr>
                <w:p w14:paraId="62629B72" w14:textId="77777777" w:rsidR="00975B18" w:rsidRDefault="00975B18" w:rsidP="00975B18">
                  <w:pPr>
                    <w:jc w:val="right"/>
                    <w:rPr>
                      <w:rFonts w:ascii="Calibri" w:hAnsi="Calibri" w:cs="Calibri"/>
                      <w:color w:val="000000"/>
                    </w:rPr>
                  </w:pPr>
                  <w:r>
                    <w:rPr>
                      <w:rFonts w:ascii="Calibri" w:hAnsi="Calibri" w:cs="Calibri"/>
                      <w:color w:val="000000"/>
                    </w:rPr>
                    <w:t>0.60</w:t>
                  </w:r>
                </w:p>
              </w:tc>
              <w:tc>
                <w:tcPr>
                  <w:tcW w:w="1181" w:type="dxa"/>
                  <w:tcBorders>
                    <w:top w:val="nil"/>
                    <w:left w:val="nil"/>
                    <w:bottom w:val="single" w:sz="4" w:space="0" w:color="auto"/>
                    <w:right w:val="nil"/>
                  </w:tcBorders>
                  <w:shd w:val="clear" w:color="auto" w:fill="auto"/>
                  <w:noWrap/>
                  <w:vAlign w:val="bottom"/>
                  <w:hideMark/>
                </w:tcPr>
                <w:p w14:paraId="7BF257CD" w14:textId="77777777" w:rsidR="00975B18" w:rsidRDefault="00975B18" w:rsidP="00975B18">
                  <w:pPr>
                    <w:jc w:val="right"/>
                    <w:rPr>
                      <w:rFonts w:ascii="Calibri" w:hAnsi="Calibri" w:cs="Calibri"/>
                      <w:color w:val="000000"/>
                    </w:rPr>
                  </w:pPr>
                  <w:r>
                    <w:rPr>
                      <w:rFonts w:ascii="Calibri" w:hAnsi="Calibri" w:cs="Calibri"/>
                      <w:color w:val="000000"/>
                    </w:rPr>
                    <w:t>50</w:t>
                  </w:r>
                </w:p>
              </w:tc>
              <w:tc>
                <w:tcPr>
                  <w:tcW w:w="1324" w:type="dxa"/>
                  <w:tcBorders>
                    <w:top w:val="nil"/>
                    <w:left w:val="nil"/>
                    <w:bottom w:val="single" w:sz="4" w:space="0" w:color="auto"/>
                    <w:right w:val="nil"/>
                  </w:tcBorders>
                  <w:shd w:val="clear" w:color="auto" w:fill="auto"/>
                  <w:noWrap/>
                  <w:vAlign w:val="bottom"/>
                  <w:hideMark/>
                </w:tcPr>
                <w:p w14:paraId="1B1F4930" w14:textId="66F34E29" w:rsidR="00975B18" w:rsidRDefault="00975B18" w:rsidP="00975B18">
                  <w:pPr>
                    <w:jc w:val="right"/>
                    <w:rPr>
                      <w:rFonts w:ascii="Calibri" w:hAnsi="Calibri" w:cs="Calibri"/>
                      <w:color w:val="000000"/>
                    </w:rPr>
                  </w:pPr>
                  <w:r>
                    <w:rPr>
                      <w:rFonts w:ascii="Calibri" w:hAnsi="Calibri" w:cs="Calibri"/>
                      <w:color w:val="000000"/>
                    </w:rPr>
                    <w:t>0.598</w:t>
                  </w:r>
                </w:p>
              </w:tc>
              <w:tc>
                <w:tcPr>
                  <w:tcW w:w="1324" w:type="dxa"/>
                  <w:tcBorders>
                    <w:top w:val="nil"/>
                    <w:left w:val="nil"/>
                    <w:bottom w:val="single" w:sz="4" w:space="0" w:color="auto"/>
                    <w:right w:val="single" w:sz="4" w:space="0" w:color="auto"/>
                  </w:tcBorders>
                  <w:shd w:val="clear" w:color="auto" w:fill="auto"/>
                  <w:noWrap/>
                  <w:vAlign w:val="bottom"/>
                  <w:hideMark/>
                </w:tcPr>
                <w:p w14:paraId="1A4777B4" w14:textId="1F0A7062" w:rsidR="00975B18" w:rsidRDefault="00975B18" w:rsidP="00975B18">
                  <w:pPr>
                    <w:jc w:val="right"/>
                    <w:rPr>
                      <w:rFonts w:ascii="Calibri" w:hAnsi="Calibri" w:cs="Calibri"/>
                      <w:color w:val="000000"/>
                    </w:rPr>
                  </w:pPr>
                  <w:r>
                    <w:rPr>
                      <w:rFonts w:ascii="Calibri" w:hAnsi="Calibri" w:cs="Calibri"/>
                      <w:color w:val="000000"/>
                    </w:rPr>
                    <w:t>3.0</w:t>
                  </w:r>
                </w:p>
              </w:tc>
            </w:tr>
          </w:tbl>
          <w:p w14:paraId="0B4A937C" w14:textId="77777777" w:rsidR="00CF41AB" w:rsidRDefault="00CF41AB" w:rsidP="007E326B">
            <w:pPr>
              <w:spacing w:line="480" w:lineRule="auto"/>
              <w:jc w:val="both"/>
              <w:rPr>
                <w:rFonts w:cstheme="minorHAnsi"/>
              </w:rPr>
            </w:pPr>
          </w:p>
        </w:tc>
      </w:tr>
      <w:tr w:rsidR="00CF41AB" w14:paraId="13CCF16D" w14:textId="77777777" w:rsidTr="00E44CD0">
        <w:tc>
          <w:tcPr>
            <w:tcW w:w="9730" w:type="dxa"/>
          </w:tcPr>
          <w:p w14:paraId="3619B8A2" w14:textId="2B55E7F9" w:rsidR="00CF41AB" w:rsidRPr="00767191" w:rsidRDefault="00CF41AB" w:rsidP="00731A55">
            <w:pPr>
              <w:jc w:val="both"/>
              <w:rPr>
                <w:rFonts w:cstheme="minorHAnsi"/>
              </w:rPr>
            </w:pPr>
            <w:r w:rsidRPr="00767191">
              <w:rPr>
                <w:rFonts w:cstheme="minorHAnsi"/>
              </w:rPr>
              <w:t xml:space="preserve">Table 2 - </w:t>
            </w:r>
            <w:r w:rsidR="00206A96" w:rsidRPr="00767191">
              <w:rPr>
                <w:rFonts w:cstheme="minorHAnsi"/>
              </w:rPr>
              <w:t>Calculat</w:t>
            </w:r>
            <w:r w:rsidR="007F38AA">
              <w:rPr>
                <w:rFonts w:cstheme="minorHAnsi"/>
              </w:rPr>
              <w:t xml:space="preserve">ed </w:t>
            </w:r>
            <w:r w:rsidR="00206A96" w:rsidRPr="00767191">
              <w:rPr>
                <w:rFonts w:cstheme="minorHAnsi"/>
              </w:rPr>
              <w:t>Ba</w:t>
            </w:r>
            <w:r w:rsidR="00206A96" w:rsidRPr="00767191">
              <w:rPr>
                <w:rFonts w:cstheme="minorHAnsi"/>
                <w:vertAlign w:val="subscript"/>
              </w:rPr>
              <w:t>excess</w:t>
            </w:r>
            <w:r w:rsidR="00206A96" w:rsidRPr="00767191">
              <w:rPr>
                <w:rFonts w:cstheme="minorHAnsi"/>
              </w:rPr>
              <w:t xml:space="preserve">, </w:t>
            </w:r>
            <w:r w:rsidR="007F38AA">
              <w:rPr>
                <w:rFonts w:cstheme="minorHAnsi"/>
              </w:rPr>
              <w:t>s</w:t>
            </w:r>
            <w:r w:rsidR="00206A96" w:rsidRPr="00767191">
              <w:rPr>
                <w:rFonts w:cstheme="minorHAnsi"/>
              </w:rPr>
              <w:t>ediment</w:t>
            </w:r>
            <w:r w:rsidR="007F38AA">
              <w:rPr>
                <w:rFonts w:cstheme="minorHAnsi"/>
              </w:rPr>
              <w:t>ary</w:t>
            </w:r>
            <w:r w:rsidR="00206A96" w:rsidRPr="00767191">
              <w:rPr>
                <w:rFonts w:cstheme="minorHAnsi"/>
              </w:rPr>
              <w:t xml:space="preserve"> Ba</w:t>
            </w:r>
            <w:r w:rsidR="00206A96" w:rsidRPr="00767191">
              <w:rPr>
                <w:rFonts w:cstheme="minorHAnsi"/>
                <w:vertAlign w:val="subscript"/>
              </w:rPr>
              <w:t>Barite</w:t>
            </w:r>
            <w:r w:rsidR="00206A96" w:rsidRPr="00767191">
              <w:rPr>
                <w:rFonts w:cstheme="minorHAnsi"/>
              </w:rPr>
              <w:t xml:space="preserve"> concentration and Ba</w:t>
            </w:r>
            <w:r w:rsidR="00206A96" w:rsidRPr="00E44CD0">
              <w:rPr>
                <w:rFonts w:cstheme="minorHAnsi"/>
                <w:vertAlign w:val="subscript"/>
              </w:rPr>
              <w:t>B</w:t>
            </w:r>
            <w:r w:rsidR="00206A96" w:rsidRPr="00767191">
              <w:rPr>
                <w:rFonts w:cstheme="minorHAnsi"/>
                <w:vertAlign w:val="subscript"/>
              </w:rPr>
              <w:t>arite</w:t>
            </w:r>
            <w:r w:rsidR="00206A96" w:rsidRPr="00767191">
              <w:rPr>
                <w:rFonts w:cstheme="minorHAnsi"/>
              </w:rPr>
              <w:t xml:space="preserve"> </w:t>
            </w:r>
            <w:r w:rsidR="007F38AA" w:rsidRPr="00767191">
              <w:rPr>
                <w:rFonts w:cstheme="minorHAnsi"/>
              </w:rPr>
              <w:t xml:space="preserve">accumulation rate </w:t>
            </w:r>
            <w:r w:rsidR="00206A96" w:rsidRPr="00767191">
              <w:rPr>
                <w:rFonts w:cstheme="minorHAnsi"/>
              </w:rPr>
              <w:t>in samples from OD</w:t>
            </w:r>
            <w:r w:rsidR="003F315F">
              <w:rPr>
                <w:rFonts w:cstheme="minorHAnsi"/>
              </w:rPr>
              <w:t>P</w:t>
            </w:r>
            <w:r w:rsidR="00206A96" w:rsidRPr="00767191">
              <w:rPr>
                <w:rFonts w:cstheme="minorHAnsi"/>
              </w:rPr>
              <w:t xml:space="preserve"> </w:t>
            </w:r>
            <w:r w:rsidR="003F315F">
              <w:rPr>
                <w:rFonts w:cstheme="minorHAnsi"/>
              </w:rPr>
              <w:t>s</w:t>
            </w:r>
            <w:r w:rsidR="00206A96" w:rsidRPr="00767191">
              <w:rPr>
                <w:rFonts w:cstheme="minorHAnsi"/>
              </w:rPr>
              <w:t>ite</w:t>
            </w:r>
            <w:r w:rsidR="003F315F">
              <w:rPr>
                <w:rFonts w:cstheme="minorHAnsi"/>
              </w:rPr>
              <w:t>s</w:t>
            </w:r>
            <w:r w:rsidR="00206A96" w:rsidRPr="00767191">
              <w:rPr>
                <w:rFonts w:cstheme="minorHAnsi"/>
              </w:rPr>
              <w:t xml:space="preserve"> 662 and 1016, following the methodology of Eagle et al. (2003). See Table 1 for sample IDs. Sedimentation rate and dry bulk density for Site 662 taken from ODP initial reports </w:t>
            </w:r>
            <w:r w:rsidR="00206A96" w:rsidRPr="00767191">
              <w:rPr>
                <w:rFonts w:cstheme="minorHAnsi"/>
              </w:rPr>
              <w:fldChar w:fldCharType="begin" w:fldLock="1"/>
            </w:r>
            <w:r w:rsidR="00A97ED1">
              <w:rPr>
                <w:rFonts w:cstheme="minorHAnsi"/>
              </w:rPr>
              <w:instrText>ADDIN CSL_CITATION {"citationItems":[{"id":"ITEM-1","itemData":{"author":[{"dropping-particle":"","family":"Ruddiman","given":"W.","non-dropping-particle":"","parse-names":false,"suffix":""},{"dropping-particle":"","family":"Sarnthein","given":"M","non-dropping-particle":"","parse-names":false,"suffix":""},{"dropping-particle":"","family":"Baldauf","given":"J","non-dropping-particle":"","parse-names":false,"suffix":""}],"container-title":"Proceedings of the Ocean Drilling Program, Leg 108 Initial Reports","id":"ITEM-1","issued":{"date-parts":[["1988"]]},"page":"487-556","title":"Site 662","type":"chapter"},"uris":["http://www.mendeley.com/documents/?uuid=8ad11b0f-9def-4aed-be80-3700670b0395"]}],"mendeley":{"formattedCitation":"(Ruddiman et al., 1988b)","manualFormatting":"(Ruddiman et al., 1988)","plainTextFormattedCitation":"(Ruddiman et al., 1988b)","previouslyFormattedCitation":"(Ruddiman et al., 1988b)"},"properties":{"noteIndex":0},"schema":"https://github.com/citation-style-language/schema/raw/master/csl-citation.json"}</w:instrText>
            </w:r>
            <w:r w:rsidR="00206A96" w:rsidRPr="00767191">
              <w:rPr>
                <w:rFonts w:cstheme="minorHAnsi"/>
              </w:rPr>
              <w:fldChar w:fldCharType="separate"/>
            </w:r>
            <w:r w:rsidR="00206A96" w:rsidRPr="00767191">
              <w:rPr>
                <w:rFonts w:cstheme="minorHAnsi"/>
                <w:noProof/>
              </w:rPr>
              <w:t>(Ruddiman et al., 1988)</w:t>
            </w:r>
            <w:r w:rsidR="00206A96" w:rsidRPr="00767191">
              <w:rPr>
                <w:rFonts w:cstheme="minorHAnsi"/>
              </w:rPr>
              <w:fldChar w:fldCharType="end"/>
            </w:r>
            <w:r w:rsidR="00206A96" w:rsidRPr="00767191">
              <w:rPr>
                <w:rFonts w:cstheme="minorHAnsi"/>
              </w:rPr>
              <w:t xml:space="preserve">. </w:t>
            </w:r>
            <w:r w:rsidRPr="00767191">
              <w:rPr>
                <w:rFonts w:cstheme="minorHAnsi"/>
              </w:rPr>
              <w:t>Sed</w:t>
            </w:r>
            <w:r w:rsidR="00414769">
              <w:rPr>
                <w:rFonts w:cstheme="minorHAnsi"/>
              </w:rPr>
              <w:t>imentation</w:t>
            </w:r>
            <w:r w:rsidR="00206A96" w:rsidRPr="00767191">
              <w:rPr>
                <w:rFonts w:cstheme="minorHAnsi"/>
              </w:rPr>
              <w:t xml:space="preserve"> rate from Site 1016 from </w:t>
            </w:r>
            <w:r w:rsidR="00206A96" w:rsidRPr="00767191">
              <w:rPr>
                <w:rFonts w:cstheme="minorHAnsi"/>
              </w:rPr>
              <w:fldChar w:fldCharType="begin" w:fldLock="1"/>
            </w:r>
            <w:r w:rsidR="00A97ED1">
              <w:rPr>
                <w:rFonts w:cstheme="minorHAnsi"/>
              </w:rPr>
              <w:instrText>ADDIN CSL_CITATION {"citationItems":[{"id":"ITEM-1","itemData":{"author":[{"dropping-particle":"","family":"Lyle","given":"Mitchell","non-dropping-particle":"","parse-names":false,"suffix":""},{"dropping-particle":"","family":"Koizumi","given":"I","non-dropping-particle":"","parse-names":false,"suffix":""},{"dropping-particle":"","family":"Richter","given":"C","non-dropping-particle":"","parse-names":false,"suffix":""},{"dropping-particle":"","family":"Moore","given":"T. C.","non-dropping-particle":"","parse-names":false,"suffix":""}],"container-title":"Proceedings of the Ocean Drilling Program, Initial Reports","id":"ITEM-1","issued":{"date-parts":[["1997"]]},"page":"239-283","title":"Site 1016","type":"chapter","volume":"167"},"uris":["http://www.mendeley.com/documents/?uuid=8c16c277-316d-424c-b5fc-12ccd05408ed"]}],"mendeley":{"formattedCitation":"(Lyle et al., 1997b)","manualFormatting":"Lyle et al., (1997)","plainTextFormattedCitation":"(Lyle et al., 1997b)","previouslyFormattedCitation":"(Lyle et al., 1997b)"},"properties":{"noteIndex":0},"schema":"https://github.com/citation-style-language/schema/raw/master/csl-citation.json"}</w:instrText>
            </w:r>
            <w:r w:rsidR="00206A96" w:rsidRPr="00767191">
              <w:rPr>
                <w:rFonts w:cstheme="minorHAnsi"/>
              </w:rPr>
              <w:fldChar w:fldCharType="separate"/>
            </w:r>
            <w:r w:rsidR="00206A96" w:rsidRPr="00767191">
              <w:rPr>
                <w:rFonts w:cstheme="minorHAnsi"/>
                <w:noProof/>
              </w:rPr>
              <w:t xml:space="preserve">Lyle et al., </w:t>
            </w:r>
            <w:r w:rsidR="003F315F">
              <w:rPr>
                <w:rFonts w:cstheme="minorHAnsi"/>
                <w:noProof/>
              </w:rPr>
              <w:t>(</w:t>
            </w:r>
            <w:r w:rsidR="00206A96" w:rsidRPr="00767191">
              <w:rPr>
                <w:rFonts w:cstheme="minorHAnsi"/>
                <w:noProof/>
              </w:rPr>
              <w:t>1997)</w:t>
            </w:r>
            <w:r w:rsidR="00206A96" w:rsidRPr="00767191">
              <w:rPr>
                <w:rFonts w:cstheme="minorHAnsi"/>
              </w:rPr>
              <w:fldChar w:fldCharType="end"/>
            </w:r>
            <w:r w:rsidR="00206A96" w:rsidRPr="00767191">
              <w:rPr>
                <w:rFonts w:cstheme="minorHAnsi"/>
              </w:rPr>
              <w:t xml:space="preserve">. Dry bulk density from </w:t>
            </w:r>
            <w:r w:rsidR="000B0E8B">
              <w:rPr>
                <w:rFonts w:cstheme="minorHAnsi"/>
              </w:rPr>
              <w:t>correlative sediments</w:t>
            </w:r>
            <w:r w:rsidR="00206A96" w:rsidRPr="00767191">
              <w:rPr>
                <w:rFonts w:cstheme="minorHAnsi"/>
              </w:rPr>
              <w:t xml:space="preserve"> in Hole 1016A. </w:t>
            </w:r>
            <w:r w:rsidRPr="00767191">
              <w:rPr>
                <w:rFonts w:cstheme="minorHAnsi"/>
              </w:rPr>
              <w:t xml:space="preserve">  </w:t>
            </w:r>
          </w:p>
        </w:tc>
      </w:tr>
    </w:tbl>
    <w:p w14:paraId="38569C85" w14:textId="77777777" w:rsidR="00CF41AB" w:rsidRDefault="00CF41AB" w:rsidP="007E326B">
      <w:pPr>
        <w:spacing w:line="480" w:lineRule="auto"/>
        <w:jc w:val="both"/>
        <w:rPr>
          <w:rFonts w:cstheme="minorHAnsi"/>
        </w:rPr>
      </w:pPr>
    </w:p>
    <w:p w14:paraId="6DBF5D73" w14:textId="3B7D24D8" w:rsidR="00B966F9" w:rsidRDefault="00731A55" w:rsidP="007E326B">
      <w:pPr>
        <w:spacing w:line="480" w:lineRule="auto"/>
        <w:jc w:val="both"/>
        <w:rPr>
          <w:rFonts w:cstheme="minorHAnsi"/>
        </w:rPr>
      </w:pPr>
      <w:r>
        <w:rPr>
          <w:rFonts w:cstheme="minorHAnsi"/>
        </w:rPr>
        <w:lastRenderedPageBreak/>
        <w:t>Additional</w:t>
      </w:r>
      <w:r w:rsidR="00DB4E9C" w:rsidRPr="0000739C">
        <w:rPr>
          <w:rFonts w:cstheme="minorHAnsi"/>
        </w:rPr>
        <w:t xml:space="preserve"> </w:t>
      </w:r>
      <w:r w:rsidR="003D4C72">
        <w:rPr>
          <w:rFonts w:cstheme="minorHAnsi"/>
        </w:rPr>
        <w:t>DTPA-NaOH treatments</w:t>
      </w:r>
      <w:r w:rsidR="00DB4E9C" w:rsidRPr="0000739C">
        <w:rPr>
          <w:rFonts w:cstheme="minorHAnsi"/>
        </w:rPr>
        <w:t xml:space="preserve"> on</w:t>
      </w:r>
      <w:r w:rsidR="00581CCC" w:rsidRPr="0000739C">
        <w:rPr>
          <w:rFonts w:cstheme="minorHAnsi"/>
        </w:rPr>
        <w:t xml:space="preserve"> samples from </w:t>
      </w:r>
      <w:r w:rsidR="00DB4E9C" w:rsidRPr="0000739C">
        <w:rPr>
          <w:rFonts w:cstheme="minorHAnsi"/>
        </w:rPr>
        <w:t xml:space="preserve">Site 662 </w:t>
      </w:r>
      <w:r w:rsidR="00A667C3" w:rsidRPr="0000739C">
        <w:rPr>
          <w:rFonts w:cstheme="minorHAnsi"/>
        </w:rPr>
        <w:t xml:space="preserve">lead to </w:t>
      </w:r>
      <w:r w:rsidR="00BE1C9F" w:rsidRPr="0000739C">
        <w:rPr>
          <w:rFonts w:cstheme="minorHAnsi"/>
        </w:rPr>
        <w:t>further</w:t>
      </w:r>
      <w:r w:rsidR="00155C4D">
        <w:rPr>
          <w:rFonts w:cstheme="minorHAnsi"/>
        </w:rPr>
        <w:t xml:space="preserve"> </w:t>
      </w:r>
      <w:r w:rsidR="00230C02">
        <w:rPr>
          <w:rFonts w:cstheme="minorHAnsi"/>
        </w:rPr>
        <w:t xml:space="preserve">but </w:t>
      </w:r>
      <w:r w:rsidR="00155C4D">
        <w:rPr>
          <w:rFonts w:cstheme="minorHAnsi"/>
        </w:rPr>
        <w:t>small</w:t>
      </w:r>
      <w:r w:rsidR="00230C02">
        <w:rPr>
          <w:rFonts w:cstheme="minorHAnsi"/>
        </w:rPr>
        <w:t>er</w:t>
      </w:r>
      <w:r w:rsidR="00BE1C9F" w:rsidRPr="0000739C">
        <w:rPr>
          <w:rFonts w:cstheme="minorHAnsi"/>
        </w:rPr>
        <w:t xml:space="preserve"> </w:t>
      </w:r>
      <w:r w:rsidR="00A667C3" w:rsidRPr="0000739C">
        <w:rPr>
          <w:rFonts w:cstheme="minorHAnsi"/>
        </w:rPr>
        <w:t>changes in</w:t>
      </w:r>
      <w:r w:rsidR="00581CCC" w:rsidRPr="0000739C">
        <w:rPr>
          <w:rFonts w:cstheme="minorHAnsi"/>
        </w:rPr>
        <w:t xml:space="preserve"> </w:t>
      </w:r>
      <w:r w:rsidR="00264D9F">
        <w:rPr>
          <w:rFonts w:cstheme="minorHAnsi"/>
        </w:rPr>
        <w:t>sediment</w:t>
      </w:r>
      <w:r w:rsidR="00A667C3" w:rsidRPr="0000739C">
        <w:rPr>
          <w:rFonts w:cstheme="minorHAnsi"/>
        </w:rPr>
        <w:t xml:space="preserve"> </w:t>
      </w:r>
      <w:r w:rsidR="00A667C3" w:rsidRPr="0000739C">
        <w:rPr>
          <w:rFonts w:cstheme="minorHAnsi"/>
          <w:vertAlign w:val="superscript"/>
        </w:rPr>
        <w:t>87</w:t>
      </w:r>
      <w:r w:rsidR="00A667C3" w:rsidRPr="0000739C">
        <w:rPr>
          <w:rFonts w:cstheme="minorHAnsi"/>
        </w:rPr>
        <w:t>Sr/</w:t>
      </w:r>
      <w:r w:rsidR="00A667C3" w:rsidRPr="0000739C">
        <w:rPr>
          <w:rFonts w:cstheme="minorHAnsi"/>
          <w:vertAlign w:val="superscript"/>
        </w:rPr>
        <w:t>86</w:t>
      </w:r>
      <w:r w:rsidR="00A667C3" w:rsidRPr="0000739C">
        <w:rPr>
          <w:rFonts w:cstheme="minorHAnsi"/>
        </w:rPr>
        <w:t>Sr</w:t>
      </w:r>
      <w:r w:rsidR="00DB4E9C" w:rsidRPr="0000739C">
        <w:rPr>
          <w:rFonts w:cstheme="minorHAnsi"/>
        </w:rPr>
        <w:t xml:space="preserve"> </w:t>
      </w:r>
      <w:r w:rsidR="00691D05" w:rsidRPr="0000739C">
        <w:rPr>
          <w:rFonts w:cstheme="minorHAnsi"/>
        </w:rPr>
        <w:t xml:space="preserve">(Figure </w:t>
      </w:r>
      <w:r w:rsidR="00453DA5" w:rsidRPr="0000739C">
        <w:rPr>
          <w:rFonts w:cstheme="minorHAnsi"/>
        </w:rPr>
        <w:t>7</w:t>
      </w:r>
      <w:r w:rsidR="00691D05" w:rsidRPr="0000739C">
        <w:rPr>
          <w:rFonts w:cstheme="minorHAnsi"/>
        </w:rPr>
        <w:t>)</w:t>
      </w:r>
      <w:r w:rsidR="00DB4E9C" w:rsidRPr="0000739C">
        <w:rPr>
          <w:rFonts w:cstheme="minorHAnsi"/>
        </w:rPr>
        <w:t xml:space="preserve">. </w:t>
      </w:r>
      <w:r w:rsidR="00C205D4">
        <w:rPr>
          <w:rFonts w:cstheme="minorHAnsi"/>
        </w:rPr>
        <w:t>The amount of Ba</w:t>
      </w:r>
      <w:r w:rsidR="00C205D4" w:rsidRPr="00053D16">
        <w:rPr>
          <w:rFonts w:cstheme="minorHAnsi"/>
          <w:vertAlign w:val="subscript"/>
        </w:rPr>
        <w:t>Barite</w:t>
      </w:r>
      <w:r w:rsidR="00C205D4">
        <w:rPr>
          <w:rFonts w:cstheme="minorHAnsi"/>
        </w:rPr>
        <w:t xml:space="preserve"> removed </w:t>
      </w:r>
      <w:r w:rsidR="00264D9F">
        <w:rPr>
          <w:rFonts w:cstheme="minorHAnsi"/>
        </w:rPr>
        <w:t xml:space="preserve">by </w:t>
      </w:r>
      <w:r w:rsidR="00C205D4">
        <w:rPr>
          <w:rFonts w:cstheme="minorHAnsi"/>
        </w:rPr>
        <w:t xml:space="preserve">the first </w:t>
      </w:r>
      <w:r w:rsidR="003D4C72">
        <w:rPr>
          <w:rFonts w:cstheme="minorHAnsi"/>
        </w:rPr>
        <w:t>treatment</w:t>
      </w:r>
      <w:r w:rsidR="00C205D4">
        <w:rPr>
          <w:rFonts w:cstheme="minorHAnsi"/>
        </w:rPr>
        <w:t xml:space="preserve"> varies between samples (</w:t>
      </w:r>
      <w:r w:rsidR="00B629EF">
        <w:rPr>
          <w:rFonts w:cstheme="minorHAnsi"/>
        </w:rPr>
        <w:t>0.</w:t>
      </w:r>
      <w:r w:rsidR="005E39FD">
        <w:rPr>
          <w:rFonts w:cstheme="minorHAnsi"/>
        </w:rPr>
        <w:t>546</w:t>
      </w:r>
      <w:r w:rsidR="00C205D4">
        <w:rPr>
          <w:rFonts w:cstheme="minorHAnsi"/>
        </w:rPr>
        <w:t xml:space="preserve"> to 5</w:t>
      </w:r>
      <w:r w:rsidR="00B629EF">
        <w:rPr>
          <w:rFonts w:cstheme="minorHAnsi"/>
        </w:rPr>
        <w:t>.</w:t>
      </w:r>
      <w:r w:rsidR="005E39FD">
        <w:rPr>
          <w:rFonts w:cstheme="minorHAnsi"/>
        </w:rPr>
        <w:t xml:space="preserve">969 </w:t>
      </w:r>
      <w:r w:rsidR="00B629EF">
        <w:rPr>
          <w:rFonts w:cstheme="minorHAnsi"/>
        </w:rPr>
        <w:t>k</w:t>
      </w:r>
      <w:r w:rsidR="00C205D4">
        <w:rPr>
          <w:rFonts w:cstheme="minorHAnsi"/>
        </w:rPr>
        <w:t>g/m</w:t>
      </w:r>
      <w:r w:rsidR="00C205D4" w:rsidRPr="00053D16">
        <w:rPr>
          <w:rFonts w:cstheme="minorHAnsi"/>
          <w:vertAlign w:val="superscript"/>
        </w:rPr>
        <w:t>3</w:t>
      </w:r>
      <w:r w:rsidR="00C205D4">
        <w:rPr>
          <w:rFonts w:cstheme="minorHAnsi"/>
        </w:rPr>
        <w:t xml:space="preserve">), but subsequent </w:t>
      </w:r>
      <w:r w:rsidR="003D4C72">
        <w:rPr>
          <w:rFonts w:cstheme="minorHAnsi"/>
        </w:rPr>
        <w:t>treatments</w:t>
      </w:r>
      <w:r w:rsidR="00C205D4">
        <w:rPr>
          <w:rFonts w:cstheme="minorHAnsi"/>
        </w:rPr>
        <w:t xml:space="preserve"> remove significantly less </w:t>
      </w:r>
      <w:r w:rsidR="003D4C72">
        <w:rPr>
          <w:rFonts w:cstheme="minorHAnsi"/>
        </w:rPr>
        <w:t>Ba</w:t>
      </w:r>
      <w:r w:rsidR="003D4C72" w:rsidRPr="00E44CD0">
        <w:rPr>
          <w:rFonts w:cstheme="minorHAnsi"/>
          <w:vertAlign w:val="subscript"/>
        </w:rPr>
        <w:t>Barite</w:t>
      </w:r>
      <w:r w:rsidR="003D4C72">
        <w:rPr>
          <w:rFonts w:cstheme="minorHAnsi"/>
        </w:rPr>
        <w:t xml:space="preserve"> </w:t>
      </w:r>
      <w:r>
        <w:rPr>
          <w:rFonts w:cstheme="minorHAnsi"/>
        </w:rPr>
        <w:t xml:space="preserve">in all samples </w:t>
      </w:r>
      <w:r w:rsidR="00C205D4">
        <w:rPr>
          <w:rFonts w:cstheme="minorHAnsi"/>
        </w:rPr>
        <w:t xml:space="preserve">(0 - </w:t>
      </w:r>
      <w:r w:rsidR="00B629EF">
        <w:rPr>
          <w:rFonts w:cstheme="minorHAnsi"/>
        </w:rPr>
        <w:t>0.</w:t>
      </w:r>
      <w:r w:rsidR="005E39FD">
        <w:rPr>
          <w:rFonts w:cstheme="minorHAnsi"/>
        </w:rPr>
        <w:t>640</w:t>
      </w:r>
      <w:r w:rsidR="005E39FD" w:rsidRPr="00053D16">
        <w:rPr>
          <w:rFonts w:cstheme="minorHAnsi"/>
        </w:rPr>
        <w:t xml:space="preserve"> </w:t>
      </w:r>
      <w:r w:rsidR="00B629EF">
        <w:rPr>
          <w:rFonts w:cstheme="minorHAnsi"/>
        </w:rPr>
        <w:t>k</w:t>
      </w:r>
      <w:r w:rsidR="00C205D4" w:rsidRPr="00053D16">
        <w:rPr>
          <w:rFonts w:cstheme="minorHAnsi"/>
        </w:rPr>
        <w:t>g/m</w:t>
      </w:r>
      <w:r w:rsidR="00C205D4" w:rsidRPr="00053D16">
        <w:rPr>
          <w:rFonts w:cstheme="minorHAnsi"/>
          <w:vertAlign w:val="superscript"/>
        </w:rPr>
        <w:t>3</w:t>
      </w:r>
      <w:r w:rsidR="00C205D4" w:rsidRPr="00053D16">
        <w:rPr>
          <w:rFonts w:cstheme="minorHAnsi"/>
        </w:rPr>
        <w:t>)</w:t>
      </w:r>
      <w:r w:rsidR="00C205D4">
        <w:rPr>
          <w:rFonts w:cstheme="minorHAnsi"/>
        </w:rPr>
        <w:t xml:space="preserve"> (Figure 7)</w:t>
      </w:r>
      <w:r w:rsidR="00271F46">
        <w:rPr>
          <w:rFonts w:cstheme="minorHAnsi"/>
        </w:rPr>
        <w:t>.</w:t>
      </w:r>
      <w:r w:rsidR="00C205D4">
        <w:rPr>
          <w:rFonts w:cstheme="minorHAnsi"/>
        </w:rPr>
        <w:t xml:space="preserve"> </w:t>
      </w:r>
      <w:r w:rsidR="00182B22">
        <w:rPr>
          <w:rFonts w:cstheme="minorHAnsi"/>
        </w:rPr>
        <w:t>Ba concentrations</w:t>
      </w:r>
      <w:r w:rsidR="00597294">
        <w:rPr>
          <w:rFonts w:cstheme="minorHAnsi"/>
        </w:rPr>
        <w:t xml:space="preserve"> </w:t>
      </w:r>
      <w:r w:rsidR="00284C61">
        <w:rPr>
          <w:rFonts w:cstheme="minorHAnsi"/>
        </w:rPr>
        <w:t xml:space="preserve">in </w:t>
      </w:r>
      <w:r w:rsidR="00E53955">
        <w:rPr>
          <w:rFonts w:cstheme="minorHAnsi"/>
        </w:rPr>
        <w:t xml:space="preserve">late Pleistocene </w:t>
      </w:r>
      <w:r w:rsidR="00597294">
        <w:rPr>
          <w:rFonts w:cstheme="minorHAnsi"/>
        </w:rPr>
        <w:t>samples B and C</w:t>
      </w:r>
      <w:r w:rsidR="00182B22">
        <w:rPr>
          <w:rFonts w:cstheme="minorHAnsi"/>
        </w:rPr>
        <w:t xml:space="preserve"> </w:t>
      </w:r>
      <w:r w:rsidR="00284C61">
        <w:rPr>
          <w:rFonts w:cstheme="minorHAnsi"/>
        </w:rPr>
        <w:t xml:space="preserve">from </w:t>
      </w:r>
      <w:r w:rsidR="008225CD">
        <w:rPr>
          <w:rFonts w:cstheme="minorHAnsi"/>
        </w:rPr>
        <w:t>S</w:t>
      </w:r>
      <w:r w:rsidR="00284C61">
        <w:rPr>
          <w:rFonts w:cstheme="minorHAnsi"/>
        </w:rPr>
        <w:t>ite 662</w:t>
      </w:r>
      <w:r w:rsidR="00284C61" w:rsidRPr="00284C61">
        <w:rPr>
          <w:rFonts w:cstheme="minorHAnsi"/>
        </w:rPr>
        <w:t xml:space="preserve"> </w:t>
      </w:r>
      <w:r w:rsidR="00284C61">
        <w:rPr>
          <w:rFonts w:cstheme="minorHAnsi"/>
        </w:rPr>
        <w:t xml:space="preserve">prior to DTPA-NaOH </w:t>
      </w:r>
      <w:r w:rsidR="00AD33AC">
        <w:rPr>
          <w:rFonts w:cstheme="minorHAnsi"/>
        </w:rPr>
        <w:t xml:space="preserve">treatment </w:t>
      </w:r>
      <w:r w:rsidR="00284C61">
        <w:rPr>
          <w:rFonts w:cstheme="minorHAnsi"/>
        </w:rPr>
        <w:t>(</w:t>
      </w:r>
      <w:r w:rsidR="00B4275B">
        <w:rPr>
          <w:rFonts w:cstheme="minorHAnsi"/>
        </w:rPr>
        <w:t>269</w:t>
      </w:r>
      <w:r w:rsidR="00414769">
        <w:rPr>
          <w:rFonts w:cstheme="minorHAnsi"/>
        </w:rPr>
        <w:t>0</w:t>
      </w:r>
      <w:r w:rsidR="00284C61">
        <w:rPr>
          <w:rFonts w:cstheme="minorHAnsi"/>
        </w:rPr>
        <w:t xml:space="preserve"> ppm and </w:t>
      </w:r>
      <w:r w:rsidR="00B4275B">
        <w:rPr>
          <w:rFonts w:cstheme="minorHAnsi"/>
        </w:rPr>
        <w:t>70</w:t>
      </w:r>
      <w:r w:rsidR="00414769">
        <w:rPr>
          <w:rFonts w:cstheme="minorHAnsi"/>
        </w:rPr>
        <w:t>40</w:t>
      </w:r>
      <w:r w:rsidR="00284C61">
        <w:rPr>
          <w:rFonts w:cstheme="minorHAnsi"/>
        </w:rPr>
        <w:t xml:space="preserve"> ppm</w:t>
      </w:r>
      <w:r w:rsidR="007C2857">
        <w:rPr>
          <w:rFonts w:cstheme="minorHAnsi"/>
        </w:rPr>
        <w:t>,</w:t>
      </w:r>
      <w:r w:rsidR="00284C61">
        <w:rPr>
          <w:rFonts w:cstheme="minorHAnsi"/>
        </w:rPr>
        <w:t xml:space="preserve"> respectively) are </w:t>
      </w:r>
      <w:r w:rsidR="00182B22">
        <w:rPr>
          <w:rFonts w:cstheme="minorHAnsi"/>
        </w:rPr>
        <w:t xml:space="preserve">comparable to </w:t>
      </w:r>
      <w:r w:rsidR="0018067A">
        <w:rPr>
          <w:rFonts w:cstheme="minorHAnsi"/>
        </w:rPr>
        <w:t xml:space="preserve">those </w:t>
      </w:r>
      <w:r w:rsidR="00182B22">
        <w:rPr>
          <w:rFonts w:cstheme="minorHAnsi"/>
        </w:rPr>
        <w:t xml:space="preserve">expected </w:t>
      </w:r>
      <w:r w:rsidR="0018067A">
        <w:rPr>
          <w:rFonts w:cstheme="minorHAnsi"/>
        </w:rPr>
        <w:t xml:space="preserve">for sediments with </w:t>
      </w:r>
      <w:r w:rsidR="007C2857">
        <w:rPr>
          <w:rFonts w:cstheme="minorHAnsi"/>
        </w:rPr>
        <w:t xml:space="preserve">high </w:t>
      </w:r>
      <w:r w:rsidR="00182B22">
        <w:rPr>
          <w:rFonts w:cstheme="minorHAnsi"/>
        </w:rPr>
        <w:t xml:space="preserve">barite </w:t>
      </w:r>
      <w:r w:rsidR="0018067A">
        <w:rPr>
          <w:rFonts w:cstheme="minorHAnsi"/>
        </w:rPr>
        <w:t xml:space="preserve">contents </w:t>
      </w:r>
      <w:r w:rsidR="00182B22">
        <w:rPr>
          <w:rFonts w:cstheme="minorHAnsi"/>
        </w:rPr>
        <w:fldChar w:fldCharType="begin" w:fldLock="1"/>
      </w:r>
      <w:r w:rsidR="00E03A90">
        <w:rPr>
          <w:rFonts w:cstheme="minorHAnsi"/>
        </w:rPr>
        <w:instrText>ADDIN CSL_CITATION {"citationItems":[{"id":"ITEM-1","itemData":{"DOI":"10.1016/j.marchem.2005.12.003","ISSN":"03044203","abstract":"Barium (Ba) is associated with various phases in marine sediments, including carbonates, organic matter, opal, ferromanganese oxyhydroxides, terrestrial silicates and other detrital material, and barite. Using samples representing sediments from a wide variety of sedimentary environments and export production regimes, we show that there is a considerable range in Ba concentrations associated with five operationally defined phases using a sequential extraction procedure (acetic acid, sodium hypochlorite, hydroxylamine hydrochlorite, hydrofluoric-nitric acid mixture, and a final residue dissolution). Distinct regional relationships between the relative abundance of Ba associated with different phases are observed. Since sedimentary Ba is widely used in algorithms to determine past export production, the variability in phase associations of sedimentary Ba shown here should be considered when reconstructing paleo-export productivity. © 2005 Elsevier B.V. All rights reserved.","author":[{"dropping-particle":"","family":"Gonneea","given":"Meagan Eagle","non-dropping-particle":"","parse-names":false,"suffix":""},{"dropping-particle":"","family":"Paytan","given":"Adina","non-dropping-particle":"","parse-names":false,"suffix":""}],"container-title":"Marine Chemistry","id":"ITEM-1","issue":"1-2","issued":{"date-parts":[["2006"]]},"note":"Has useful estimates of the Ba removed with each phase of sequantial leaching\n\nand has a critical review of the use of HF-HNO3 and what it is actually digesting\n\nThink it also gives estimates of","page":"124-135","title":"Phase associations of barium in marine sediments","type":"article-journal","volume":"100"},"uris":["http://www.mendeley.com/documents/?uuid=7373192e-251d-450d-beeb-d3ff16b0ed92"]}],"mendeley":{"formattedCitation":"(Gonneea and Paytan, 2006)","plainTextFormattedCitation":"(Gonneea and Paytan, 2006)","previouslyFormattedCitation":"(Gonneea and Paytan, 2006)"},"properties":{"noteIndex":0},"schema":"https://github.com/citation-style-language/schema/raw/master/csl-citation.json"}</w:instrText>
      </w:r>
      <w:r w:rsidR="00182B22">
        <w:rPr>
          <w:rFonts w:cstheme="minorHAnsi"/>
        </w:rPr>
        <w:fldChar w:fldCharType="separate"/>
      </w:r>
      <w:r w:rsidR="00182B22" w:rsidRPr="00182B22">
        <w:rPr>
          <w:rFonts w:cstheme="minorHAnsi"/>
          <w:noProof/>
        </w:rPr>
        <w:t>(Gonneea and Paytan, 2006)</w:t>
      </w:r>
      <w:r w:rsidR="00182B22">
        <w:rPr>
          <w:rFonts w:cstheme="minorHAnsi"/>
        </w:rPr>
        <w:fldChar w:fldCharType="end"/>
      </w:r>
      <w:r w:rsidR="00182B22">
        <w:rPr>
          <w:rFonts w:cstheme="minorHAnsi"/>
        </w:rPr>
        <w:t xml:space="preserve"> </w:t>
      </w:r>
      <w:r w:rsidR="00A667C3">
        <w:rPr>
          <w:rFonts w:cstheme="minorHAnsi"/>
        </w:rPr>
        <w:t>and</w:t>
      </w:r>
      <w:r w:rsidR="00ED2505">
        <w:rPr>
          <w:rFonts w:cstheme="minorHAnsi"/>
        </w:rPr>
        <w:t xml:space="preserve">, after one DTPA-NaOH </w:t>
      </w:r>
      <w:r w:rsidR="00AD33AC">
        <w:rPr>
          <w:rFonts w:cstheme="minorHAnsi"/>
        </w:rPr>
        <w:t>treatment</w:t>
      </w:r>
      <w:r w:rsidR="00ED2505">
        <w:rPr>
          <w:rFonts w:cstheme="minorHAnsi"/>
        </w:rPr>
        <w:t>,</w:t>
      </w:r>
      <w:r w:rsidR="00A667C3">
        <w:rPr>
          <w:rFonts w:cstheme="minorHAnsi"/>
        </w:rPr>
        <w:t xml:space="preserve"> decrease </w:t>
      </w:r>
      <w:r w:rsidR="00182B22">
        <w:rPr>
          <w:rFonts w:cstheme="minorHAnsi"/>
        </w:rPr>
        <w:t xml:space="preserve">to </w:t>
      </w:r>
      <w:r w:rsidR="0018067A">
        <w:rPr>
          <w:rFonts w:cstheme="minorHAnsi"/>
        </w:rPr>
        <w:t>values (</w:t>
      </w:r>
      <w:r w:rsidR="00126298">
        <w:rPr>
          <w:rFonts w:cstheme="minorHAnsi"/>
        </w:rPr>
        <w:t>49</w:t>
      </w:r>
      <w:r w:rsidR="00B4275B">
        <w:rPr>
          <w:rFonts w:cstheme="minorHAnsi"/>
        </w:rPr>
        <w:t>1</w:t>
      </w:r>
      <w:r w:rsidR="00126298">
        <w:rPr>
          <w:rFonts w:cstheme="minorHAnsi"/>
        </w:rPr>
        <w:t xml:space="preserve"> ppm and 6</w:t>
      </w:r>
      <w:r w:rsidR="00B4275B">
        <w:rPr>
          <w:rFonts w:cstheme="minorHAnsi"/>
        </w:rPr>
        <w:t>49</w:t>
      </w:r>
      <w:r w:rsidR="00126298">
        <w:rPr>
          <w:rFonts w:cstheme="minorHAnsi"/>
        </w:rPr>
        <w:t xml:space="preserve"> ppm</w:t>
      </w:r>
      <w:r w:rsidR="0018067A">
        <w:rPr>
          <w:rFonts w:cstheme="minorHAnsi"/>
        </w:rPr>
        <w:t>,</w:t>
      </w:r>
      <w:r w:rsidR="00126298">
        <w:rPr>
          <w:rFonts w:cstheme="minorHAnsi"/>
        </w:rPr>
        <w:t xml:space="preserve"> respectively</w:t>
      </w:r>
      <w:r w:rsidR="0018067A">
        <w:rPr>
          <w:rFonts w:cstheme="minorHAnsi"/>
        </w:rPr>
        <w:t>)</w:t>
      </w:r>
      <w:r w:rsidR="00126298">
        <w:rPr>
          <w:rFonts w:cstheme="minorHAnsi"/>
        </w:rPr>
        <w:t xml:space="preserve"> </w:t>
      </w:r>
      <w:r w:rsidR="00072682">
        <w:rPr>
          <w:rFonts w:cstheme="minorHAnsi"/>
        </w:rPr>
        <w:t xml:space="preserve">broadly consistent </w:t>
      </w:r>
      <w:r w:rsidR="00646593">
        <w:rPr>
          <w:rFonts w:cstheme="minorHAnsi"/>
        </w:rPr>
        <w:t xml:space="preserve">with </w:t>
      </w:r>
      <w:r w:rsidR="00A667C3">
        <w:rPr>
          <w:rFonts w:cstheme="minorHAnsi"/>
        </w:rPr>
        <w:t xml:space="preserve">Ba concentrations </w:t>
      </w:r>
      <w:r w:rsidR="008225CD">
        <w:rPr>
          <w:rFonts w:cstheme="minorHAnsi"/>
        </w:rPr>
        <w:t>reported from</w:t>
      </w:r>
      <w:r w:rsidR="00A667C3">
        <w:rPr>
          <w:rFonts w:cstheme="minorHAnsi"/>
        </w:rPr>
        <w:t xml:space="preserve"> the detrital fraction</w:t>
      </w:r>
      <w:r w:rsidR="008225CD">
        <w:rPr>
          <w:rFonts w:cstheme="minorHAnsi"/>
        </w:rPr>
        <w:t xml:space="preserve"> of sediments from a range of environments</w:t>
      </w:r>
      <w:r w:rsidR="00A667C3">
        <w:rPr>
          <w:rFonts w:cstheme="minorHAnsi"/>
        </w:rPr>
        <w:t xml:space="preserve"> </w:t>
      </w:r>
      <w:r w:rsidR="00A667C3">
        <w:rPr>
          <w:rFonts w:cstheme="minorHAnsi"/>
        </w:rPr>
        <w:fldChar w:fldCharType="begin" w:fldLock="1"/>
      </w:r>
      <w:r w:rsidR="00E03A90">
        <w:rPr>
          <w:rFonts w:cstheme="minorHAnsi"/>
        </w:rPr>
        <w:instrText>ADDIN CSL_CITATION {"citationItems":[{"id":"ITEM-1","itemData":{"DOI":"10.1016/j.marchem.2005.12.003","ISSN":"03044203","abstract":"Barium (Ba) is associated with various phases in marine sediments, including carbonates, organic matter, opal, ferromanganese oxyhydroxides, terrestrial silicates and other detrital material, and barite. Using samples representing sediments from a wide variety of sedimentary environments and export production regimes, we show that there is a considerable range in Ba concentrations associated with five operationally defined phases using a sequential extraction procedure (acetic acid, sodium hypochlorite, hydroxylamine hydrochlorite, hydrofluoric-nitric acid mixture, and a final residue dissolution). Distinct regional relationships between the relative abundance of Ba associated with different phases are observed. Since sedimentary Ba is widely used in algorithms to determine past export production, the variability in phase associations of sedimentary Ba shown here should be considered when reconstructing paleo-export productivity. © 2005 Elsevier B.V. All rights reserved.","author":[{"dropping-particle":"","family":"Gonneea","given":"Meagan Eagle","non-dropping-particle":"","parse-names":false,"suffix":""},{"dropping-particle":"","family":"Paytan","given":"Adina","non-dropping-particle":"","parse-names":false,"suffix":""}],"container-title":"Marine Chemistry","id":"ITEM-1","issue":"1-2","issued":{"date-parts":[["2006"]]},"note":"Has useful estimates of the Ba removed with each phase of sequantial leaching\n\nand has a critical review of the use of HF-HNO3 and what it is actually digesting\n\nThink it also gives estimates of","page":"124-135","title":"Phase associations of barium in marine sediments","type":"article-journal","volume":"100"},"uris":["http://www.mendeley.com/documents/?uuid=7373192e-251d-450d-beeb-d3ff16b0ed92"]}],"mendeley":{"formattedCitation":"(Gonneea and Paytan, 2006)","plainTextFormattedCitation":"(Gonneea and Paytan, 2006)","previouslyFormattedCitation":"(Gonneea and Paytan, 2006)"},"properties":{"noteIndex":0},"schema":"https://github.com/citation-style-language/schema/raw/master/csl-citation.json"}</w:instrText>
      </w:r>
      <w:r w:rsidR="00A667C3">
        <w:rPr>
          <w:rFonts w:cstheme="minorHAnsi"/>
        </w:rPr>
        <w:fldChar w:fldCharType="separate"/>
      </w:r>
      <w:r w:rsidR="00A667C3" w:rsidRPr="00A667C3">
        <w:rPr>
          <w:rFonts w:cstheme="minorHAnsi"/>
          <w:noProof/>
        </w:rPr>
        <w:t>(Gonneea and Paytan, 2006)</w:t>
      </w:r>
      <w:r w:rsidR="00A667C3">
        <w:rPr>
          <w:rFonts w:cstheme="minorHAnsi"/>
        </w:rPr>
        <w:fldChar w:fldCharType="end"/>
      </w:r>
      <w:r w:rsidR="00A667C3">
        <w:rPr>
          <w:rFonts w:cstheme="minorHAnsi"/>
        </w:rPr>
        <w:t>.</w:t>
      </w:r>
      <w:r w:rsidR="00ED2505" w:rsidRPr="00642585">
        <w:rPr>
          <w:rFonts w:cstheme="minorHAnsi"/>
        </w:rPr>
        <w:t xml:space="preserve"> </w:t>
      </w:r>
      <w:r w:rsidR="00182B22" w:rsidRPr="00642585">
        <w:rPr>
          <w:rFonts w:cstheme="minorHAnsi"/>
        </w:rPr>
        <w:t>Sr concentrations</w:t>
      </w:r>
      <w:r w:rsidR="00072682" w:rsidRPr="00642585">
        <w:rPr>
          <w:rFonts w:cstheme="minorHAnsi"/>
        </w:rPr>
        <w:t xml:space="preserve"> </w:t>
      </w:r>
      <w:r w:rsidR="00597294" w:rsidRPr="00642585">
        <w:rPr>
          <w:rFonts w:cstheme="minorHAnsi"/>
        </w:rPr>
        <w:t xml:space="preserve">in Site 662 samples B and C </w:t>
      </w:r>
      <w:r w:rsidR="00072682" w:rsidRPr="00642585">
        <w:rPr>
          <w:rFonts w:cstheme="minorHAnsi"/>
        </w:rPr>
        <w:t>decrease from 1</w:t>
      </w:r>
      <w:r w:rsidR="00B4275B">
        <w:rPr>
          <w:rFonts w:cstheme="minorHAnsi"/>
        </w:rPr>
        <w:t>28</w:t>
      </w:r>
      <w:r w:rsidR="00126298" w:rsidRPr="00642585">
        <w:rPr>
          <w:rFonts w:cstheme="minorHAnsi"/>
        </w:rPr>
        <w:t xml:space="preserve"> ppm and </w:t>
      </w:r>
      <w:r w:rsidR="00B4275B">
        <w:rPr>
          <w:rFonts w:cstheme="minorHAnsi"/>
        </w:rPr>
        <w:t>196</w:t>
      </w:r>
      <w:r w:rsidR="00072682" w:rsidRPr="00642585">
        <w:rPr>
          <w:rFonts w:cstheme="minorHAnsi"/>
        </w:rPr>
        <w:t xml:space="preserve"> ppm prior to DTPA-NaOH leaching</w:t>
      </w:r>
      <w:r w:rsidR="00126298" w:rsidRPr="00642585">
        <w:rPr>
          <w:rFonts w:cstheme="minorHAnsi"/>
        </w:rPr>
        <w:t>,</w:t>
      </w:r>
      <w:r w:rsidR="00072682" w:rsidRPr="00642585">
        <w:rPr>
          <w:rFonts w:cstheme="minorHAnsi"/>
        </w:rPr>
        <w:t xml:space="preserve"> </w:t>
      </w:r>
      <w:r w:rsidR="00F423FF">
        <w:rPr>
          <w:rFonts w:cstheme="minorHAnsi"/>
        </w:rPr>
        <w:t xml:space="preserve">to </w:t>
      </w:r>
      <w:r w:rsidR="00126298" w:rsidRPr="00642585">
        <w:rPr>
          <w:rFonts w:cstheme="minorHAnsi"/>
        </w:rPr>
        <w:t>5</w:t>
      </w:r>
      <w:r w:rsidR="00B4275B">
        <w:rPr>
          <w:rFonts w:cstheme="minorHAnsi"/>
        </w:rPr>
        <w:t>4</w:t>
      </w:r>
      <w:r w:rsidR="00126298" w:rsidRPr="00642585">
        <w:rPr>
          <w:rFonts w:cstheme="minorHAnsi"/>
        </w:rPr>
        <w:t xml:space="preserve"> ppm</w:t>
      </w:r>
      <w:r w:rsidR="00F423FF">
        <w:rPr>
          <w:rFonts w:cstheme="minorHAnsi"/>
        </w:rPr>
        <w:t xml:space="preserve"> in both samples </w:t>
      </w:r>
      <w:r w:rsidR="00126298" w:rsidRPr="00642585">
        <w:rPr>
          <w:rFonts w:cstheme="minorHAnsi"/>
        </w:rPr>
        <w:t xml:space="preserve">respectively </w:t>
      </w:r>
      <w:r w:rsidR="00072682" w:rsidRPr="00642585">
        <w:rPr>
          <w:rFonts w:cstheme="minorHAnsi"/>
        </w:rPr>
        <w:t xml:space="preserve">following the first </w:t>
      </w:r>
      <w:r w:rsidR="00AD33AC">
        <w:rPr>
          <w:rFonts w:cstheme="minorHAnsi"/>
        </w:rPr>
        <w:t>treatment</w:t>
      </w:r>
      <w:r w:rsidR="00597294" w:rsidRPr="00642585">
        <w:rPr>
          <w:rFonts w:cstheme="minorHAnsi"/>
        </w:rPr>
        <w:t xml:space="preserve">, </w:t>
      </w:r>
      <w:r w:rsidR="00AB2450" w:rsidRPr="00642585">
        <w:rPr>
          <w:rFonts w:cstheme="minorHAnsi"/>
        </w:rPr>
        <w:t>with</w:t>
      </w:r>
      <w:r w:rsidR="00C920D5" w:rsidRPr="00642585">
        <w:rPr>
          <w:rFonts w:cstheme="minorHAnsi"/>
        </w:rPr>
        <w:t xml:space="preserve"> </w:t>
      </w:r>
      <w:r w:rsidR="009727FA">
        <w:rPr>
          <w:rFonts w:cstheme="minorHAnsi"/>
        </w:rPr>
        <w:t>subsequent</w:t>
      </w:r>
      <w:r w:rsidR="009727FA" w:rsidRPr="00642585">
        <w:rPr>
          <w:rFonts w:cstheme="minorHAnsi"/>
        </w:rPr>
        <w:t xml:space="preserve"> </w:t>
      </w:r>
      <w:r w:rsidR="00271F46">
        <w:rPr>
          <w:rFonts w:cstheme="minorHAnsi"/>
        </w:rPr>
        <w:t>treatments</w:t>
      </w:r>
      <w:r w:rsidR="00271F46" w:rsidRPr="00642585">
        <w:rPr>
          <w:rFonts w:cstheme="minorHAnsi"/>
        </w:rPr>
        <w:t xml:space="preserve"> </w:t>
      </w:r>
      <w:r w:rsidR="00043446" w:rsidRPr="00642585">
        <w:rPr>
          <w:rFonts w:cstheme="minorHAnsi"/>
        </w:rPr>
        <w:t xml:space="preserve">yielding concentration decreases of </w:t>
      </w:r>
      <w:r w:rsidR="00597294" w:rsidRPr="00642585">
        <w:rPr>
          <w:rFonts w:cstheme="minorHAnsi"/>
        </w:rPr>
        <w:t xml:space="preserve">less than </w:t>
      </w:r>
      <w:r w:rsidR="00126298" w:rsidRPr="00642585">
        <w:rPr>
          <w:rFonts w:cstheme="minorHAnsi"/>
        </w:rPr>
        <w:t xml:space="preserve">10 </w:t>
      </w:r>
      <w:r w:rsidR="00597294" w:rsidRPr="00642585">
        <w:rPr>
          <w:rFonts w:cstheme="minorHAnsi"/>
        </w:rPr>
        <w:t>ppm Sr</w:t>
      </w:r>
      <w:r w:rsidR="00C72EE7" w:rsidRPr="00642585">
        <w:rPr>
          <w:rFonts w:cstheme="minorHAnsi"/>
        </w:rPr>
        <w:t xml:space="preserve"> (Figure </w:t>
      </w:r>
      <w:r w:rsidR="00453DA5" w:rsidRPr="00642585">
        <w:rPr>
          <w:rFonts w:cstheme="minorHAnsi"/>
        </w:rPr>
        <w:t>8</w:t>
      </w:r>
      <w:r w:rsidR="00C72EE7" w:rsidRPr="00642585">
        <w:rPr>
          <w:rFonts w:cstheme="minorHAnsi"/>
        </w:rPr>
        <w:t>)</w:t>
      </w:r>
      <w:r w:rsidR="00072682" w:rsidRPr="00642585">
        <w:rPr>
          <w:rFonts w:cstheme="minorHAnsi"/>
        </w:rPr>
        <w:t>.</w:t>
      </w:r>
      <w:r w:rsidR="001C6606">
        <w:rPr>
          <w:rFonts w:cstheme="minorHAnsi"/>
        </w:rPr>
        <w:t xml:space="preserve"> </w:t>
      </w:r>
      <w:r w:rsidR="00072682">
        <w:rPr>
          <w:rFonts w:cstheme="minorHAnsi"/>
        </w:rPr>
        <w:t xml:space="preserve"> </w:t>
      </w:r>
      <w:r w:rsidR="006B6116">
        <w:rPr>
          <w:rFonts w:cstheme="minorHAnsi"/>
        </w:rPr>
        <w:t xml:space="preserve">Similarly, </w:t>
      </w:r>
      <w:r w:rsidR="007916EC">
        <w:rPr>
          <w:rFonts w:cstheme="minorHAnsi"/>
        </w:rPr>
        <w:t>the DTPA-NaOH leachate of the first treatment has the highest Sr and Ba concentrations relative to subsequent leaches</w:t>
      </w:r>
      <w:r w:rsidR="0065031F">
        <w:rPr>
          <w:rFonts w:cstheme="minorHAnsi"/>
        </w:rPr>
        <w:t xml:space="preserve"> (Table S2)</w:t>
      </w:r>
      <w:r w:rsidR="007916EC">
        <w:rPr>
          <w:rFonts w:cstheme="min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0"/>
      </w:tblGrid>
      <w:tr w:rsidR="00DE51FC" w14:paraId="4668F37C" w14:textId="77777777" w:rsidTr="00DB6666">
        <w:tc>
          <w:tcPr>
            <w:tcW w:w="10450" w:type="dxa"/>
          </w:tcPr>
          <w:p w14:paraId="6170FB63" w14:textId="77777777" w:rsidR="00DE51FC" w:rsidRDefault="00DE51FC" w:rsidP="00DB6666">
            <w:pPr>
              <w:jc w:val="center"/>
              <w:rPr>
                <w:sz w:val="22"/>
                <w:szCs w:val="22"/>
              </w:rPr>
            </w:pPr>
            <w:r>
              <w:rPr>
                <w:noProof/>
                <w:lang w:val="en-US"/>
              </w:rPr>
              <w:lastRenderedPageBreak/>
              <w:drawing>
                <wp:inline distT="0" distB="0" distL="0" distR="0" wp14:anchorId="5339F53D" wp14:editId="26739C7A">
                  <wp:extent cx="3419475" cy="4774179"/>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7"/>
                          <a:srcRect l="312" t="25387" r="-312" b="-59"/>
                          <a:stretch/>
                        </pic:blipFill>
                        <pic:spPr bwMode="auto">
                          <a:xfrm>
                            <a:off x="0" y="0"/>
                            <a:ext cx="3419678" cy="4774462"/>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DE51FC" w14:paraId="7E5AFD95" w14:textId="77777777" w:rsidTr="00DB6666">
        <w:tc>
          <w:tcPr>
            <w:tcW w:w="10450" w:type="dxa"/>
          </w:tcPr>
          <w:p w14:paraId="4351B2D0" w14:textId="3506F3F5" w:rsidR="00DE51FC" w:rsidRPr="0019349B" w:rsidRDefault="00DE51FC" w:rsidP="0019349B">
            <w:pPr>
              <w:widowControl w:val="0"/>
              <w:autoSpaceDE w:val="0"/>
              <w:autoSpaceDN w:val="0"/>
              <w:adjustRightInd w:val="0"/>
              <w:jc w:val="both"/>
              <w:rPr>
                <w:sz w:val="22"/>
                <w:szCs w:val="22"/>
              </w:rPr>
            </w:pPr>
            <w:r w:rsidRPr="0019349B">
              <w:rPr>
                <w:b/>
                <w:bCs/>
                <w:sz w:val="22"/>
                <w:szCs w:val="22"/>
              </w:rPr>
              <w:t xml:space="preserve">Figure 7 - Results of </w:t>
            </w:r>
            <w:r w:rsidR="0065789A">
              <w:rPr>
                <w:b/>
                <w:bCs/>
                <w:sz w:val="22"/>
                <w:szCs w:val="22"/>
              </w:rPr>
              <w:t>multiple</w:t>
            </w:r>
            <w:r w:rsidR="0065789A" w:rsidRPr="0019349B">
              <w:rPr>
                <w:b/>
                <w:bCs/>
                <w:sz w:val="22"/>
                <w:szCs w:val="22"/>
              </w:rPr>
              <w:t xml:space="preserve"> </w:t>
            </w:r>
            <w:r w:rsidRPr="0019349B">
              <w:rPr>
                <w:b/>
                <w:bCs/>
                <w:sz w:val="22"/>
                <w:szCs w:val="22"/>
              </w:rPr>
              <w:t xml:space="preserve">DTPA-NaOH </w:t>
            </w:r>
            <w:r w:rsidR="0070753B">
              <w:rPr>
                <w:b/>
                <w:bCs/>
                <w:sz w:val="22"/>
                <w:szCs w:val="22"/>
              </w:rPr>
              <w:t>treatment</w:t>
            </w:r>
            <w:r w:rsidR="0065789A">
              <w:rPr>
                <w:b/>
                <w:bCs/>
                <w:sz w:val="22"/>
                <w:szCs w:val="22"/>
              </w:rPr>
              <w:t>s</w:t>
            </w:r>
            <w:r w:rsidR="0070753B">
              <w:rPr>
                <w:b/>
                <w:bCs/>
                <w:sz w:val="22"/>
                <w:szCs w:val="22"/>
              </w:rPr>
              <w:t xml:space="preserve"> </w:t>
            </w:r>
            <w:r w:rsidR="001D0589">
              <w:rPr>
                <w:b/>
                <w:bCs/>
                <w:sz w:val="22"/>
                <w:szCs w:val="22"/>
              </w:rPr>
              <w:t>on sediment sample geochemistry</w:t>
            </w:r>
            <w:r w:rsidRPr="0019349B">
              <w:rPr>
                <w:sz w:val="22"/>
                <w:szCs w:val="22"/>
              </w:rPr>
              <w:t xml:space="preserve">. A) </w:t>
            </w:r>
            <w:r w:rsidR="00767191">
              <w:rPr>
                <w:sz w:val="22"/>
                <w:szCs w:val="22"/>
              </w:rPr>
              <w:t>Cumulative Ba</w:t>
            </w:r>
            <w:r w:rsidR="00767191" w:rsidRPr="00E44CD0">
              <w:rPr>
                <w:sz w:val="22"/>
                <w:szCs w:val="22"/>
                <w:vertAlign w:val="subscript"/>
              </w:rPr>
              <w:t>Barite</w:t>
            </w:r>
            <w:r w:rsidRPr="0019349B">
              <w:rPr>
                <w:sz w:val="22"/>
                <w:szCs w:val="22"/>
              </w:rPr>
              <w:t xml:space="preserve"> </w:t>
            </w:r>
            <w:r w:rsidR="00767191">
              <w:rPr>
                <w:sz w:val="22"/>
                <w:szCs w:val="22"/>
              </w:rPr>
              <w:t>removed</w:t>
            </w:r>
            <w:r w:rsidR="00301F3E">
              <w:rPr>
                <w:sz w:val="22"/>
                <w:szCs w:val="22"/>
              </w:rPr>
              <w:t xml:space="preserve"> (</w:t>
            </w:r>
            <w:r w:rsidR="00B629EF">
              <w:rPr>
                <w:sz w:val="22"/>
                <w:szCs w:val="22"/>
              </w:rPr>
              <w:t>k</w:t>
            </w:r>
            <w:r w:rsidR="00301F3E">
              <w:rPr>
                <w:sz w:val="22"/>
                <w:szCs w:val="22"/>
              </w:rPr>
              <w:t>g/m</w:t>
            </w:r>
            <w:r w:rsidR="00301F3E" w:rsidRPr="00E44CD0">
              <w:rPr>
                <w:sz w:val="22"/>
                <w:szCs w:val="22"/>
                <w:vertAlign w:val="superscript"/>
              </w:rPr>
              <w:t>3</w:t>
            </w:r>
            <w:r w:rsidR="00301F3E">
              <w:rPr>
                <w:sz w:val="22"/>
                <w:szCs w:val="22"/>
              </w:rPr>
              <w:t>)</w:t>
            </w:r>
            <w:r w:rsidRPr="0019349B">
              <w:rPr>
                <w:sz w:val="22"/>
                <w:szCs w:val="22"/>
              </w:rPr>
              <w:t xml:space="preserve"> after 0, 1, 2, 3 &amp; 4 DTPA-NaOH </w:t>
            </w:r>
            <w:r w:rsidR="0070753B">
              <w:rPr>
                <w:sz w:val="22"/>
                <w:szCs w:val="22"/>
              </w:rPr>
              <w:t xml:space="preserve">treatments </w:t>
            </w:r>
            <w:r w:rsidR="0019349B">
              <w:rPr>
                <w:sz w:val="22"/>
                <w:szCs w:val="22"/>
              </w:rPr>
              <w:t>in samples from Sites 662 (blue</w:t>
            </w:r>
            <w:r w:rsidR="001D0589">
              <w:rPr>
                <w:sz w:val="22"/>
                <w:szCs w:val="22"/>
              </w:rPr>
              <w:t xml:space="preserve"> colours</w:t>
            </w:r>
            <w:r w:rsidR="0019349B">
              <w:rPr>
                <w:sz w:val="22"/>
                <w:szCs w:val="22"/>
              </w:rPr>
              <w:t>) and 1016 (red).</w:t>
            </w:r>
            <w:r w:rsidRPr="0019349B">
              <w:rPr>
                <w:sz w:val="22"/>
                <w:szCs w:val="22"/>
              </w:rPr>
              <w:t xml:space="preserve"> B) </w:t>
            </w:r>
            <w:r w:rsidR="009727FA">
              <w:rPr>
                <w:sz w:val="22"/>
                <w:szCs w:val="22"/>
              </w:rPr>
              <w:t>Measured</w:t>
            </w:r>
            <w:r w:rsidR="009727FA" w:rsidRPr="0019349B">
              <w:rPr>
                <w:sz w:val="22"/>
                <w:szCs w:val="22"/>
              </w:rPr>
              <w:t xml:space="preserve"> </w:t>
            </w:r>
            <w:r w:rsidRPr="0019349B">
              <w:rPr>
                <w:sz w:val="22"/>
                <w:szCs w:val="22"/>
                <w:vertAlign w:val="superscript"/>
              </w:rPr>
              <w:t>87</w:t>
            </w:r>
            <w:r w:rsidRPr="0019349B">
              <w:rPr>
                <w:sz w:val="22"/>
                <w:szCs w:val="22"/>
              </w:rPr>
              <w:t>Sr/</w:t>
            </w:r>
            <w:r w:rsidRPr="0019349B">
              <w:rPr>
                <w:sz w:val="22"/>
                <w:szCs w:val="22"/>
                <w:vertAlign w:val="superscript"/>
              </w:rPr>
              <w:t>86</w:t>
            </w:r>
            <w:r w:rsidRPr="0019349B">
              <w:rPr>
                <w:sz w:val="22"/>
                <w:szCs w:val="22"/>
              </w:rPr>
              <w:t>Sr</w:t>
            </w:r>
            <w:r w:rsidR="009727FA">
              <w:rPr>
                <w:sz w:val="22"/>
                <w:szCs w:val="22"/>
              </w:rPr>
              <w:t xml:space="preserve"> of </w:t>
            </w:r>
            <w:r w:rsidR="00E56C46">
              <w:rPr>
                <w:sz w:val="22"/>
                <w:szCs w:val="22"/>
              </w:rPr>
              <w:t>terrigenous</w:t>
            </w:r>
            <w:r w:rsidR="009727FA">
              <w:rPr>
                <w:sz w:val="22"/>
                <w:szCs w:val="22"/>
              </w:rPr>
              <w:t xml:space="preserve"> fraction after </w:t>
            </w:r>
            <w:r w:rsidR="00E56C46">
              <w:rPr>
                <w:sz w:val="22"/>
                <w:szCs w:val="22"/>
              </w:rPr>
              <w:t>each DTPA-NaOH treatment</w:t>
            </w:r>
            <w:r w:rsidRPr="0019349B">
              <w:rPr>
                <w:sz w:val="22"/>
                <w:szCs w:val="22"/>
              </w:rPr>
              <w:t xml:space="preserve">. Dashed line denotes seawater </w:t>
            </w:r>
            <w:r w:rsidRPr="0019349B">
              <w:rPr>
                <w:sz w:val="22"/>
                <w:szCs w:val="22"/>
                <w:vertAlign w:val="superscript"/>
              </w:rPr>
              <w:t>87</w:t>
            </w:r>
            <w:r w:rsidRPr="0019349B">
              <w:rPr>
                <w:sz w:val="22"/>
                <w:szCs w:val="22"/>
              </w:rPr>
              <w:t>Sr/</w:t>
            </w:r>
            <w:r w:rsidRPr="0019349B">
              <w:rPr>
                <w:sz w:val="22"/>
                <w:szCs w:val="22"/>
                <w:vertAlign w:val="superscript"/>
              </w:rPr>
              <w:t>86</w:t>
            </w:r>
            <w:r w:rsidRPr="0019349B">
              <w:rPr>
                <w:sz w:val="22"/>
                <w:szCs w:val="22"/>
              </w:rPr>
              <w:t>Sr</w:t>
            </w:r>
            <w:r w:rsidR="0047698F">
              <w:rPr>
                <w:sz w:val="22"/>
                <w:szCs w:val="22"/>
              </w:rPr>
              <w:t>.</w:t>
            </w:r>
            <w:r w:rsidR="00C205D4">
              <w:rPr>
                <w:sz w:val="22"/>
                <w:szCs w:val="22"/>
              </w:rPr>
              <w:t xml:space="preserve"> </w:t>
            </w:r>
            <w:r w:rsidRPr="0019349B">
              <w:rPr>
                <w:sz w:val="22"/>
                <w:szCs w:val="22"/>
              </w:rPr>
              <w:t>C) Corresponding ε</w:t>
            </w:r>
            <w:r w:rsidRPr="0019349B">
              <w:rPr>
                <w:sz w:val="22"/>
                <w:szCs w:val="22"/>
                <w:vertAlign w:val="subscript"/>
              </w:rPr>
              <w:t>Nd</w:t>
            </w:r>
            <w:r w:rsidRPr="0019349B">
              <w:rPr>
                <w:sz w:val="22"/>
                <w:szCs w:val="22"/>
              </w:rPr>
              <w:t xml:space="preserve">. </w:t>
            </w:r>
            <w:r w:rsidR="00271F46">
              <w:rPr>
                <w:sz w:val="22"/>
                <w:szCs w:val="22"/>
              </w:rPr>
              <w:t>2SE e</w:t>
            </w:r>
            <w:r w:rsidRPr="0019349B">
              <w:rPr>
                <w:sz w:val="22"/>
                <w:szCs w:val="22"/>
              </w:rPr>
              <w:t>rror bars shown by black vertical lines. Where</w:t>
            </w:r>
            <w:r w:rsidRPr="0019349B">
              <w:rPr>
                <w:b/>
                <w:bCs/>
                <w:sz w:val="22"/>
                <w:szCs w:val="22"/>
              </w:rPr>
              <w:t xml:space="preserve"> </w:t>
            </w:r>
            <w:r w:rsidRPr="0019349B">
              <w:rPr>
                <w:sz w:val="22"/>
                <w:szCs w:val="22"/>
              </w:rPr>
              <w:t xml:space="preserve">error bars not shown, error falls within the marker. Most samples were subjected to two </w:t>
            </w:r>
            <w:r w:rsidR="00271F46">
              <w:rPr>
                <w:sz w:val="22"/>
                <w:szCs w:val="22"/>
              </w:rPr>
              <w:t>treatments</w:t>
            </w:r>
            <w:r w:rsidRPr="0019349B">
              <w:rPr>
                <w:sz w:val="22"/>
                <w:szCs w:val="22"/>
              </w:rPr>
              <w:t xml:space="preserve">, samples B and C from Site 662 were subjected to four </w:t>
            </w:r>
            <w:r w:rsidR="00271F46">
              <w:rPr>
                <w:sz w:val="22"/>
                <w:szCs w:val="22"/>
              </w:rPr>
              <w:t>treatments</w:t>
            </w:r>
            <w:r w:rsidRPr="0019349B">
              <w:rPr>
                <w:sz w:val="22"/>
                <w:szCs w:val="22"/>
              </w:rPr>
              <w:t xml:space="preserve">. </w:t>
            </w:r>
            <w:r w:rsidR="0070753B">
              <w:rPr>
                <w:sz w:val="22"/>
                <w:szCs w:val="22"/>
              </w:rPr>
              <w:t>Sample identifiers given in Table 1</w:t>
            </w:r>
            <w:r w:rsidR="00C205D4">
              <w:rPr>
                <w:sz w:val="22"/>
                <w:szCs w:val="22"/>
              </w:rPr>
              <w:t xml:space="preserve">. </w:t>
            </w:r>
          </w:p>
          <w:p w14:paraId="3045BC71" w14:textId="77777777" w:rsidR="00DE51FC" w:rsidRDefault="00DE51FC" w:rsidP="00DB6666">
            <w:pPr>
              <w:rPr>
                <w:sz w:val="22"/>
                <w:szCs w:val="22"/>
              </w:rPr>
            </w:pPr>
          </w:p>
        </w:tc>
      </w:tr>
    </w:tbl>
    <w:p w14:paraId="03BF48B9" w14:textId="77777777" w:rsidR="00B966F9" w:rsidRDefault="00B966F9" w:rsidP="007E326B">
      <w:pPr>
        <w:spacing w:line="480" w:lineRule="auto"/>
        <w:jc w:val="both"/>
        <w:rPr>
          <w:rFonts w:cstheme="minorHAnsi"/>
        </w:rPr>
      </w:pPr>
    </w:p>
    <w:p w14:paraId="5C55A3F7" w14:textId="6A91A9F6" w:rsidR="00200FB8" w:rsidRDefault="0070753B" w:rsidP="007E326B">
      <w:pPr>
        <w:spacing w:line="480" w:lineRule="auto"/>
        <w:jc w:val="both"/>
        <w:rPr>
          <w:rFonts w:cstheme="minorHAnsi"/>
        </w:rPr>
      </w:pPr>
      <w:r>
        <w:rPr>
          <w:rFonts w:cstheme="minorHAnsi"/>
        </w:rPr>
        <w:t xml:space="preserve">Sources of terrigenous sediment supply to Site 662 contain Sr with a </w:t>
      </w:r>
      <w:r w:rsidR="002A212A">
        <w:rPr>
          <w:rFonts w:cstheme="minorHAnsi"/>
        </w:rPr>
        <w:t xml:space="preserve">concentration of </w:t>
      </w:r>
      <w:r w:rsidR="0004043D">
        <w:rPr>
          <w:rFonts w:cstheme="minorHAnsi"/>
        </w:rPr>
        <w:t>l</w:t>
      </w:r>
      <w:r w:rsidR="002A212A">
        <w:rPr>
          <w:rFonts w:cstheme="minorHAnsi"/>
        </w:rPr>
        <w:t xml:space="preserve">ess than </w:t>
      </w:r>
      <w:r w:rsidR="00200FB8">
        <w:rPr>
          <w:rFonts w:cstheme="minorHAnsi"/>
        </w:rPr>
        <w:t>~</w:t>
      </w:r>
      <w:r w:rsidR="002A212A">
        <w:rPr>
          <w:rFonts w:cstheme="minorHAnsi"/>
        </w:rPr>
        <w:t>100 ppm</w:t>
      </w:r>
      <w:r w:rsidR="00AA7A6E">
        <w:rPr>
          <w:rFonts w:cstheme="minorHAnsi"/>
        </w:rPr>
        <w:t>:</w:t>
      </w:r>
      <w:r w:rsidR="002A212A">
        <w:rPr>
          <w:rFonts w:cstheme="minorHAnsi"/>
        </w:rPr>
        <w:t xml:space="preserve"> </w:t>
      </w:r>
      <w:r w:rsidR="00597294">
        <w:rPr>
          <w:rFonts w:cstheme="minorHAnsi"/>
        </w:rPr>
        <w:t>t</w:t>
      </w:r>
      <w:r w:rsidR="00AA7A6E">
        <w:rPr>
          <w:rFonts w:cstheme="minorHAnsi"/>
        </w:rPr>
        <w:t xml:space="preserve">he average Sr concentration of </w:t>
      </w:r>
      <w:r w:rsidR="00C300A5">
        <w:rPr>
          <w:rFonts w:cstheme="minorHAnsi"/>
        </w:rPr>
        <w:t>North African dust source</w:t>
      </w:r>
      <w:r w:rsidR="0047698F">
        <w:rPr>
          <w:rFonts w:cstheme="minorHAnsi"/>
        </w:rPr>
        <w:t>s</w:t>
      </w:r>
      <w:r w:rsidR="00AA7A6E">
        <w:rPr>
          <w:rFonts w:cstheme="minorHAnsi"/>
        </w:rPr>
        <w:t xml:space="preserve"> is</w:t>
      </w:r>
      <w:r w:rsidR="002A212A">
        <w:rPr>
          <w:rFonts w:cstheme="minorHAnsi"/>
        </w:rPr>
        <w:t xml:space="preserve"> 86.</w:t>
      </w:r>
      <w:r w:rsidR="007E326B">
        <w:rPr>
          <w:rFonts w:cstheme="minorHAnsi"/>
        </w:rPr>
        <w:t>4</w:t>
      </w:r>
      <w:r w:rsidR="002A212A">
        <w:rPr>
          <w:rFonts w:cstheme="minorHAnsi"/>
        </w:rPr>
        <w:t xml:space="preserve"> </w:t>
      </w:r>
      <w:r w:rsidR="008225CD">
        <w:rPr>
          <w:rFonts w:ascii="Calibri" w:hAnsi="Calibri" w:cs="Calibri"/>
        </w:rPr>
        <w:t>±</w:t>
      </w:r>
      <w:r w:rsidR="008225CD">
        <w:rPr>
          <w:rFonts w:cstheme="minorHAnsi"/>
        </w:rPr>
        <w:t xml:space="preserve"> 44.3 </w:t>
      </w:r>
      <w:r w:rsidR="002A212A">
        <w:rPr>
          <w:rFonts w:cstheme="minorHAnsi"/>
        </w:rPr>
        <w:t>ppm</w:t>
      </w:r>
      <w:r w:rsidR="00AA7A6E">
        <w:rPr>
          <w:rFonts w:cstheme="minorHAnsi"/>
        </w:rPr>
        <w:t xml:space="preserve"> </w:t>
      </w:r>
      <w:r w:rsidR="00597294">
        <w:rPr>
          <w:rFonts w:cstheme="minorHAnsi"/>
        </w:rPr>
        <w:fldChar w:fldCharType="begin" w:fldLock="1"/>
      </w:r>
      <w:r w:rsidR="00597294">
        <w:rPr>
          <w:rFonts w:cstheme="minorHAnsi"/>
        </w:rPr>
        <w:instrText>ADDIN CSL_CITATION {"citationItems":[{"id":"ITEM-1","itemData":{"author":[{"dropping-particle":"","family":"Grousset","given":"F E","non-dropping-particle":"","parse-names":false,"suffix":""},{"dropping-particle":"","family":"Parra","given":"M","non-dropping-particle":"","parse-names":false,"suffix":""},{"dropping-particle":"","family":"Bory","given":"A","non-dropping-particle":"","parse-names":false,"suffix":""},{"dropping-particle":"","family":"Martinez","given":"P","non-dropping-particle":"","parse-names":false,"suffix":""},{"dropping-particle":"","family":"Bertrand","given":"P","non-dropping-particle":"","parse-names":false,"suffix":""},{"dropping-particle":"","family":"Shimmield","given":"G","non-dropping-particle":"","parse-names":false,"suffix":""},{"dropping-particle":"","family":"Ellam","given":"R M","non-dropping-particle":"","parse-names":false,"suffix":""}],"container-title":"Quaternary Science Reviews","id":"ITEM-1","issue":"97","issued":{"date-parts":[["1998"]]},"note":"Received from Tereza Feb 2019","page":"395-409","title":"Saharan Wind Regimes Traced by the Sr-Nd Isotopic Composition of Subtropical Atlantic Sediments: Last Glacial Maximum vs Today","type":"article-journal","volume":"17"},"uris":["http://www.mendeley.com/documents/?uuid=c5495da1-e5f9-4082-a5f4-1dc993a63480"]}],"mendeley":{"formattedCitation":"(Grousset et al., 1998)","plainTextFormattedCitation":"(Grousset et al., 1998)","previouslyFormattedCitation":"(Grousset et al., 1998)"},"properties":{"noteIndex":0},"schema":"https://github.com/citation-style-language/schema/raw/master/csl-citation.json"}</w:instrText>
      </w:r>
      <w:r w:rsidR="00597294">
        <w:rPr>
          <w:rFonts w:cstheme="minorHAnsi"/>
        </w:rPr>
        <w:fldChar w:fldCharType="separate"/>
      </w:r>
      <w:r w:rsidR="00597294" w:rsidRPr="00597294">
        <w:rPr>
          <w:rFonts w:cstheme="minorHAnsi"/>
          <w:noProof/>
        </w:rPr>
        <w:t>(Grousset et al., 1998)</w:t>
      </w:r>
      <w:r w:rsidR="00597294">
        <w:rPr>
          <w:rFonts w:cstheme="minorHAnsi"/>
        </w:rPr>
        <w:fldChar w:fldCharType="end"/>
      </w:r>
      <w:r w:rsidR="00597294">
        <w:rPr>
          <w:rFonts w:cstheme="minorHAnsi"/>
        </w:rPr>
        <w:t xml:space="preserve">, and the average Sr concentration of the </w:t>
      </w:r>
      <w:r w:rsidR="00E53955">
        <w:rPr>
          <w:rFonts w:cstheme="minorHAnsi"/>
        </w:rPr>
        <w:t xml:space="preserve">River </w:t>
      </w:r>
      <w:r w:rsidR="00597294">
        <w:rPr>
          <w:rFonts w:cstheme="minorHAnsi"/>
        </w:rPr>
        <w:t>Congo suspended load is 61</w:t>
      </w:r>
      <w:r w:rsidR="007E326B">
        <w:rPr>
          <w:rFonts w:cstheme="minorHAnsi"/>
        </w:rPr>
        <w:t>.0</w:t>
      </w:r>
      <w:r w:rsidR="008225CD">
        <w:rPr>
          <w:rFonts w:cstheme="minorHAnsi"/>
        </w:rPr>
        <w:t xml:space="preserve"> </w:t>
      </w:r>
      <w:r w:rsidR="008225CD">
        <w:rPr>
          <w:rFonts w:ascii="Calibri" w:hAnsi="Calibri" w:cs="Calibri"/>
        </w:rPr>
        <w:t>±</w:t>
      </w:r>
      <w:r w:rsidR="00597294">
        <w:rPr>
          <w:rFonts w:cstheme="minorHAnsi"/>
        </w:rPr>
        <w:t xml:space="preserve"> </w:t>
      </w:r>
      <w:r w:rsidR="008225CD">
        <w:rPr>
          <w:rFonts w:cstheme="minorHAnsi"/>
        </w:rPr>
        <w:t>14.</w:t>
      </w:r>
      <w:r w:rsidR="007E326B">
        <w:rPr>
          <w:rFonts w:cstheme="minorHAnsi"/>
        </w:rPr>
        <w:t>4</w:t>
      </w:r>
      <w:r w:rsidR="008225CD">
        <w:rPr>
          <w:rFonts w:cstheme="minorHAnsi"/>
        </w:rPr>
        <w:t xml:space="preserve"> </w:t>
      </w:r>
      <w:r w:rsidR="00597294">
        <w:rPr>
          <w:rFonts w:cstheme="minorHAnsi"/>
        </w:rPr>
        <w:t xml:space="preserve">ppm </w:t>
      </w:r>
      <w:r w:rsidR="00597294">
        <w:rPr>
          <w:rFonts w:cstheme="minorHAnsi"/>
        </w:rPr>
        <w:fldChar w:fldCharType="begin" w:fldLock="1"/>
      </w:r>
      <w:r w:rsidR="00955CA2">
        <w:rPr>
          <w:rFonts w:cstheme="minorHAnsi"/>
        </w:rPr>
        <w:instrText>ADDIN CSL_CITATION {"citationItems":[{"id":"ITEM-1","itemData":{"DOI":"10.1016/0009-2541(96)00028-9","ISSN":"00092541","abstract":"87Sr/86Sr, 143Nd/144Nd, 206Pb/204Pb, 207Pb/204Pb and 208Pb/204Pb isotopic ratios and Rb, Sr, Sm, Nd, U, Pb and Th concentrations have been measured in the suspended loads of the Congo and Amazon rivers and their tributaries. In the dissolved load, 87Sr/ 86Sr, Rb, Sr, Nd, Sm, U, Pb and Th concentrations are also reported. These results show that Nd, Sm, Th and Pb are almost insoluble and that their mass balance is controlled by particulates whereas Rb, Sr and U are fractionated between soluble and paniculate phases. The 87Sr/ 86Sr ratios can only be interpreted after computing the amount of carbonate recycling and the partitioning for silicates between soluble and insoluble. This paper presents a method based on the lead isotopic system that can be used to test the steady state of erosion which is tacitly assumed in many river and erosion studies. The results presented show that the steady state is validated in each river of the Congo Basin and in the lowland rivers of the Amazon Basin, but in not verified in the rivers from the Andes (Rio Solimões and Rio Madeira). 87Sr/86Sr, 206Pb/204Pb and 208Pb/204Pb ratios are positively correlated and negatively correlated with 143Nd/ 144Nd ratios. A number of arguments indicate that these correlations are mixing lines, the end-members being orogenic and shield components, respectively. For the Amazon Basin, analysis of the river loads shows that the orogenic zone is favoured some 5 times more than the shield on an equal area basis. This leads to a reinterpretation of Sm-Nd data for shales and casts some doubts upon the proposition of secular variations in the Sm/Nd ratio of the continental crust.","author":[{"dropping-particle":"","family":"Allègre","given":"Claude J.","non-dropping-particle":"","parse-names":false,"suffix":""},{"dropping-particle":"","family":"Dupre","given":"Bernard","non-dropping-particle":"","parse-names":false,"suffix":""},{"dropping-particle":"","family":"Négrel","given":"Philippe","non-dropping-particle":"","parse-names":false,"suffix":""},{"dropping-particle":"","family":"Gaillardet","given":"Jérôme","non-dropping-particle":"","parse-names":false,"suffix":""}],"container-title":"Chemical Geology","id":"ITEM-1","issue":"1-4","issued":{"date-parts":[["1996"]]},"note":"radiogenic isotope values for the Congo river","page":"93-112","title":"Sr-Nd-Pb isotope systematics in Amazon and Congo River systems: Constraints about erosion processes","type":"article-journal","volume":"131"},"uris":["http://www.mendeley.com/documents/?uuid=43175048-c75f-4089-8e33-6ee078aef011"]}],"mendeley":{"formattedCitation":"(Allègre et al., 1996)","plainTextFormattedCitation":"(Allègre et al., 1996)","previouslyFormattedCitation":"(Allègre et al., 1996)"},"properties":{"noteIndex":0},"schema":"https://github.com/citation-style-language/schema/raw/master/csl-citation.json"}</w:instrText>
      </w:r>
      <w:r w:rsidR="00597294">
        <w:rPr>
          <w:rFonts w:cstheme="minorHAnsi"/>
        </w:rPr>
        <w:fldChar w:fldCharType="separate"/>
      </w:r>
      <w:r w:rsidR="00597294" w:rsidRPr="00597294">
        <w:rPr>
          <w:rFonts w:cstheme="minorHAnsi"/>
          <w:noProof/>
        </w:rPr>
        <w:t>(Allègre et al., 1996)</w:t>
      </w:r>
      <w:r w:rsidR="00597294">
        <w:rPr>
          <w:rFonts w:cstheme="minorHAnsi"/>
        </w:rPr>
        <w:fldChar w:fldCharType="end"/>
      </w:r>
      <w:r w:rsidR="0004043D">
        <w:rPr>
          <w:rFonts w:cstheme="minorHAnsi"/>
        </w:rPr>
        <w:t xml:space="preserve">. </w:t>
      </w:r>
      <w:r w:rsidR="00200FB8">
        <w:rPr>
          <w:rFonts w:cstheme="minorHAnsi"/>
        </w:rPr>
        <w:t xml:space="preserve">The </w:t>
      </w:r>
      <w:r>
        <w:rPr>
          <w:rFonts w:cstheme="minorHAnsi"/>
        </w:rPr>
        <w:t>large</w:t>
      </w:r>
      <w:r w:rsidR="00200FB8">
        <w:rPr>
          <w:rFonts w:cstheme="minorHAnsi"/>
        </w:rPr>
        <w:t xml:space="preserve"> Sr </w:t>
      </w:r>
      <w:r>
        <w:rPr>
          <w:rFonts w:cstheme="minorHAnsi"/>
        </w:rPr>
        <w:t xml:space="preserve">concentrations </w:t>
      </w:r>
      <w:r w:rsidR="00200FB8">
        <w:rPr>
          <w:rFonts w:cstheme="minorHAnsi"/>
        </w:rPr>
        <w:t xml:space="preserve">removed </w:t>
      </w:r>
      <w:r w:rsidR="0000739C">
        <w:rPr>
          <w:rFonts w:cstheme="minorHAnsi"/>
        </w:rPr>
        <w:t xml:space="preserve">by </w:t>
      </w:r>
      <w:r w:rsidR="00200FB8">
        <w:rPr>
          <w:rFonts w:cstheme="minorHAnsi"/>
        </w:rPr>
        <w:t xml:space="preserve">our protocol </w:t>
      </w:r>
      <w:r w:rsidR="000B0E8B">
        <w:rPr>
          <w:rFonts w:cstheme="minorHAnsi"/>
        </w:rPr>
        <w:t>reveal</w:t>
      </w:r>
      <w:r w:rsidR="00200FB8">
        <w:rPr>
          <w:rFonts w:cstheme="minorHAnsi"/>
        </w:rPr>
        <w:t xml:space="preserve"> the importance of </w:t>
      </w:r>
      <w:r w:rsidR="0047698F">
        <w:rPr>
          <w:rFonts w:cstheme="minorHAnsi"/>
        </w:rPr>
        <w:t>cleaning</w:t>
      </w:r>
      <w:r w:rsidR="00200FB8">
        <w:rPr>
          <w:rFonts w:cstheme="minorHAnsi"/>
        </w:rPr>
        <w:t xml:space="preserve"> </w:t>
      </w:r>
      <w:r w:rsidR="000B0E8B">
        <w:rPr>
          <w:rFonts w:cstheme="minorHAnsi"/>
        </w:rPr>
        <w:t xml:space="preserve">to </w:t>
      </w:r>
      <w:r w:rsidR="0047698F">
        <w:rPr>
          <w:rFonts w:cstheme="minorHAnsi"/>
        </w:rPr>
        <w:t xml:space="preserve">successfully </w:t>
      </w:r>
      <w:r w:rsidR="00200FB8">
        <w:rPr>
          <w:rFonts w:cstheme="minorHAnsi"/>
        </w:rPr>
        <w:t>isolat</w:t>
      </w:r>
      <w:r w:rsidR="0047698F">
        <w:rPr>
          <w:rFonts w:cstheme="minorHAnsi"/>
        </w:rPr>
        <w:t>e</w:t>
      </w:r>
      <w:r w:rsidR="00200FB8">
        <w:rPr>
          <w:rFonts w:cstheme="minorHAnsi"/>
        </w:rPr>
        <w:t xml:space="preserve"> the </w:t>
      </w:r>
      <w:r w:rsidR="000B0E8B">
        <w:rPr>
          <w:rFonts w:cstheme="minorHAnsi"/>
        </w:rPr>
        <w:t xml:space="preserve">terrigenous </w:t>
      </w:r>
      <w:r w:rsidR="00200FB8">
        <w:rPr>
          <w:rFonts w:cstheme="minorHAnsi"/>
        </w:rPr>
        <w:t xml:space="preserve">fraction </w:t>
      </w:r>
      <w:r w:rsidR="0047698F">
        <w:rPr>
          <w:rFonts w:cstheme="minorHAnsi"/>
        </w:rPr>
        <w:t xml:space="preserve">from </w:t>
      </w:r>
      <w:r w:rsidR="00200FB8">
        <w:rPr>
          <w:rFonts w:cstheme="minorHAnsi"/>
        </w:rPr>
        <w:t>marine sediment</w:t>
      </w:r>
      <w:r w:rsidR="0047698F">
        <w:rPr>
          <w:rFonts w:cstheme="minorHAnsi"/>
        </w:rPr>
        <w:t xml:space="preserve"> samples for Sr isotope analysis</w:t>
      </w:r>
      <w:r w:rsidR="00200FB8">
        <w:rPr>
          <w:rFonts w:cstheme="minorHAnsi"/>
        </w:rPr>
        <w:t xml:space="preserve"> </w:t>
      </w:r>
      <w:r w:rsidR="00D862A0">
        <w:rPr>
          <w:rFonts w:cstheme="minorHAnsi"/>
        </w:rPr>
        <w:t>(Figure 8)</w:t>
      </w:r>
      <w:r w:rsidR="00200FB8">
        <w:rPr>
          <w:rFonts w:cstheme="minorHAnsi"/>
        </w:rPr>
        <w:t xml:space="preserve">. While barite typically constitutes </w:t>
      </w:r>
      <w:r w:rsidR="00043446">
        <w:rPr>
          <w:rFonts w:cstheme="minorHAnsi"/>
        </w:rPr>
        <w:t xml:space="preserve">only </w:t>
      </w:r>
      <w:r w:rsidR="00200FB8">
        <w:rPr>
          <w:rFonts w:cstheme="minorHAnsi"/>
        </w:rPr>
        <w:t>~1 - 2 wt% of the carbonate-/opal- free fraction of marine sediments</w:t>
      </w:r>
      <w:r w:rsidR="00D862A0">
        <w:rPr>
          <w:rFonts w:cstheme="minorHAnsi"/>
        </w:rPr>
        <w:t xml:space="preserve"> </w:t>
      </w:r>
      <w:r w:rsidR="00D862A0">
        <w:rPr>
          <w:rFonts w:cstheme="minorHAnsi"/>
        </w:rPr>
        <w:fldChar w:fldCharType="begin" w:fldLock="1"/>
      </w:r>
      <w:r w:rsidR="006A2776">
        <w:rPr>
          <w:rFonts w:cstheme="minorHAnsi"/>
        </w:rPr>
        <w:instrText>ADDIN CSL_CITATION {"citationItems":[{"id":"ITEM-1","itemData":{"author":[{"dropping-particle":"","family":"Paytan","given":"A","non-dropping-particle":"","parse-names":false,"suffix":""},{"dropping-particle":"","family":"Kastner","given":"M","non-dropping-particle":"","parse-names":false,"suffix":""},{"dropping-particle":"","family":"Martin","given":"E","non-dropping-particle":"","parse-names":false,"suffix":""},{"dropping-particle":"","family":"Macdougall","given":"J. D.","non-dropping-particle":"","parse-names":false,"suffix":""},{"dropping-particle":"","family":"Herbert","given":"T","non-dropping-particle":"","parse-names":false,"suffix":""}],"container-title":"Nature","id":"ITEM-1","issued":{"date-parts":[["1993"]]},"page":"445-449","title":"Marine barite as a monitor of seawater strontium isotope composition","type":"article-journal","volume":"366"},"uris":["http://www.mendeley.com/documents/?uuid=a0442e1a-fe25-45a8-8f51-fb2133392fea"]}],"mendeley":{"formattedCitation":"(Paytan et al., 1993)","plainTextFormattedCitation":"(Paytan et al., 1993)","previouslyFormattedCitation":"(Paytan et al., 1993)"},"properties":{"noteIndex":0},"schema":"https://github.com/citation-style-language/schema/raw/master/csl-citation.json"}</w:instrText>
      </w:r>
      <w:r w:rsidR="00D862A0">
        <w:rPr>
          <w:rFonts w:cstheme="minorHAnsi"/>
        </w:rPr>
        <w:fldChar w:fldCharType="separate"/>
      </w:r>
      <w:r w:rsidR="00D862A0" w:rsidRPr="00D862A0">
        <w:rPr>
          <w:rFonts w:cstheme="minorHAnsi"/>
          <w:noProof/>
        </w:rPr>
        <w:t>(Paytan et al., 1993)</w:t>
      </w:r>
      <w:r w:rsidR="00D862A0">
        <w:rPr>
          <w:rFonts w:cstheme="minorHAnsi"/>
        </w:rPr>
        <w:fldChar w:fldCharType="end"/>
      </w:r>
      <w:r w:rsidR="00200FB8">
        <w:rPr>
          <w:rFonts w:cstheme="minorHAnsi"/>
        </w:rPr>
        <w:t>, the Sr-</w:t>
      </w:r>
      <w:r w:rsidR="00043446">
        <w:rPr>
          <w:rFonts w:cstheme="minorHAnsi"/>
        </w:rPr>
        <w:t xml:space="preserve"> and </w:t>
      </w:r>
      <w:r w:rsidR="00200FB8">
        <w:rPr>
          <w:rFonts w:cstheme="minorHAnsi"/>
        </w:rPr>
        <w:t xml:space="preserve">Ba- rich </w:t>
      </w:r>
      <w:r w:rsidR="00043446">
        <w:rPr>
          <w:rFonts w:cstheme="minorHAnsi"/>
        </w:rPr>
        <w:t xml:space="preserve">composition </w:t>
      </w:r>
      <w:r w:rsidR="00200FB8">
        <w:rPr>
          <w:rFonts w:cstheme="minorHAnsi"/>
        </w:rPr>
        <w:t xml:space="preserve">of this mineral </w:t>
      </w:r>
      <w:r w:rsidR="00043446">
        <w:rPr>
          <w:rFonts w:cstheme="minorHAnsi"/>
        </w:rPr>
        <w:lastRenderedPageBreak/>
        <w:t>has</w:t>
      </w:r>
      <w:r w:rsidR="00200FB8">
        <w:rPr>
          <w:rFonts w:cstheme="minorHAnsi"/>
        </w:rPr>
        <w:t xml:space="preserve"> a disproportionally large effect on </w:t>
      </w:r>
      <w:r>
        <w:rPr>
          <w:rFonts w:cstheme="minorHAnsi"/>
        </w:rPr>
        <w:t xml:space="preserve">sediment </w:t>
      </w:r>
      <w:r w:rsidR="00200FB8">
        <w:rPr>
          <w:rFonts w:cstheme="minorHAnsi"/>
        </w:rPr>
        <w:t>Sr and Ba concentrations</w:t>
      </w:r>
      <w:r>
        <w:rPr>
          <w:rFonts w:cstheme="minorHAnsi"/>
        </w:rPr>
        <w:t>. Thus,</w:t>
      </w:r>
      <w:r w:rsidR="00200FB8">
        <w:rPr>
          <w:rFonts w:cstheme="minorHAnsi"/>
        </w:rPr>
        <w:t xml:space="preserve"> even </w:t>
      </w:r>
      <w:r w:rsidR="005D383F">
        <w:rPr>
          <w:rFonts w:cstheme="minorHAnsi"/>
        </w:rPr>
        <w:t>modest</w:t>
      </w:r>
      <w:r w:rsidR="00200FB8">
        <w:rPr>
          <w:rFonts w:cstheme="minorHAnsi"/>
        </w:rPr>
        <w:t xml:space="preserve"> barite </w:t>
      </w:r>
      <w:r w:rsidR="005D383F">
        <w:rPr>
          <w:rFonts w:cstheme="minorHAnsi"/>
        </w:rPr>
        <w:t xml:space="preserve">concentrations </w:t>
      </w:r>
      <w:r w:rsidR="00200FB8">
        <w:rPr>
          <w:rFonts w:cstheme="minorHAnsi"/>
        </w:rPr>
        <w:t xml:space="preserve">may lead to a large bias in </w:t>
      </w:r>
      <w:r w:rsidR="00200FB8" w:rsidRPr="009452E2">
        <w:rPr>
          <w:rFonts w:cstheme="minorHAnsi"/>
          <w:vertAlign w:val="superscript"/>
        </w:rPr>
        <w:t>87</w:t>
      </w:r>
      <w:r w:rsidR="00200FB8" w:rsidRPr="009452E2">
        <w:rPr>
          <w:rFonts w:cstheme="minorHAnsi"/>
        </w:rPr>
        <w:t>Sr/</w:t>
      </w:r>
      <w:r w:rsidR="00200FB8" w:rsidRPr="009452E2">
        <w:rPr>
          <w:rFonts w:cstheme="minorHAnsi"/>
          <w:vertAlign w:val="superscript"/>
        </w:rPr>
        <w:t>86</w:t>
      </w:r>
      <w:r w:rsidR="00200FB8" w:rsidRPr="009452E2">
        <w:rPr>
          <w:rFonts w:cstheme="minorHAnsi"/>
        </w:rPr>
        <w:t>Sr</w:t>
      </w:r>
      <w:r w:rsidR="00200FB8">
        <w:rPr>
          <w:rFonts w:cstheme="min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0"/>
      </w:tblGrid>
      <w:tr w:rsidR="00DE51FC" w14:paraId="3D78DEF9" w14:textId="77777777" w:rsidTr="00DB6666">
        <w:tc>
          <w:tcPr>
            <w:tcW w:w="10450" w:type="dxa"/>
          </w:tcPr>
          <w:p w14:paraId="5C8034DD" w14:textId="77777777" w:rsidR="00DE51FC" w:rsidRDefault="00DE51FC" w:rsidP="00DB6666">
            <w:pPr>
              <w:jc w:val="center"/>
              <w:rPr>
                <w:sz w:val="22"/>
                <w:szCs w:val="22"/>
              </w:rPr>
            </w:pPr>
            <w:r>
              <w:rPr>
                <w:noProof/>
                <w:lang w:val="en-US"/>
              </w:rPr>
              <w:drawing>
                <wp:inline distT="0" distB="0" distL="0" distR="0" wp14:anchorId="245406D6" wp14:editId="3485D0B5">
                  <wp:extent cx="4352269" cy="3752264"/>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a:stretch>
                            <a:fillRect/>
                          </a:stretch>
                        </pic:blipFill>
                        <pic:spPr>
                          <a:xfrm>
                            <a:off x="0" y="0"/>
                            <a:ext cx="4352269" cy="3752264"/>
                          </a:xfrm>
                          <a:prstGeom prst="rect">
                            <a:avLst/>
                          </a:prstGeom>
                        </pic:spPr>
                      </pic:pic>
                    </a:graphicData>
                  </a:graphic>
                </wp:inline>
              </w:drawing>
            </w:r>
          </w:p>
        </w:tc>
      </w:tr>
      <w:tr w:rsidR="00DE51FC" w14:paraId="0E90B9D9" w14:textId="77777777" w:rsidTr="00DB6666">
        <w:tc>
          <w:tcPr>
            <w:tcW w:w="10450" w:type="dxa"/>
          </w:tcPr>
          <w:p w14:paraId="610EC461" w14:textId="0F0A6F28" w:rsidR="00DE51FC" w:rsidRDefault="00DE51FC" w:rsidP="00F84A86">
            <w:pPr>
              <w:jc w:val="both"/>
              <w:rPr>
                <w:sz w:val="22"/>
                <w:szCs w:val="22"/>
              </w:rPr>
            </w:pPr>
            <w:r w:rsidRPr="00E17674">
              <w:rPr>
                <w:b/>
                <w:bCs/>
                <w:sz w:val="22"/>
                <w:szCs w:val="22"/>
              </w:rPr>
              <w:t xml:space="preserve">Figure 8 - Asymptote relationship between Sr </w:t>
            </w:r>
            <w:r w:rsidR="004A4F46">
              <w:rPr>
                <w:b/>
                <w:bCs/>
                <w:sz w:val="22"/>
                <w:szCs w:val="22"/>
              </w:rPr>
              <w:t>concentration</w:t>
            </w:r>
            <w:r w:rsidRPr="00E17674">
              <w:rPr>
                <w:b/>
                <w:bCs/>
                <w:sz w:val="22"/>
                <w:szCs w:val="22"/>
              </w:rPr>
              <w:t xml:space="preserve"> and </w:t>
            </w:r>
            <w:r w:rsidRPr="00E17674">
              <w:rPr>
                <w:b/>
                <w:bCs/>
                <w:sz w:val="22"/>
                <w:szCs w:val="22"/>
                <w:vertAlign w:val="superscript"/>
              </w:rPr>
              <w:t>87</w:t>
            </w:r>
            <w:r w:rsidRPr="00E17674">
              <w:rPr>
                <w:b/>
                <w:bCs/>
                <w:sz w:val="22"/>
                <w:szCs w:val="22"/>
              </w:rPr>
              <w:t>Sr/</w:t>
            </w:r>
            <w:r w:rsidRPr="00E17674">
              <w:rPr>
                <w:b/>
                <w:bCs/>
                <w:sz w:val="22"/>
                <w:szCs w:val="22"/>
                <w:vertAlign w:val="superscript"/>
              </w:rPr>
              <w:t>86</w:t>
            </w:r>
            <w:r w:rsidRPr="00E17674">
              <w:rPr>
                <w:b/>
                <w:bCs/>
                <w:sz w:val="22"/>
                <w:szCs w:val="22"/>
              </w:rPr>
              <w:t xml:space="preserve">Sr of the </w:t>
            </w:r>
            <w:r w:rsidR="00E869C7">
              <w:rPr>
                <w:b/>
                <w:bCs/>
                <w:sz w:val="22"/>
                <w:szCs w:val="22"/>
              </w:rPr>
              <w:t>terrigenous</w:t>
            </w:r>
            <w:r w:rsidRPr="00E17674">
              <w:rPr>
                <w:b/>
                <w:bCs/>
                <w:sz w:val="22"/>
                <w:szCs w:val="22"/>
              </w:rPr>
              <w:t xml:space="preserve"> fraction of marine sediment from Site 662 with increasing </w:t>
            </w:r>
            <w:r w:rsidR="0065789A">
              <w:rPr>
                <w:b/>
                <w:bCs/>
                <w:sz w:val="22"/>
                <w:szCs w:val="22"/>
              </w:rPr>
              <w:t xml:space="preserve">number of </w:t>
            </w:r>
            <w:r w:rsidRPr="00E17674">
              <w:rPr>
                <w:b/>
                <w:bCs/>
                <w:sz w:val="22"/>
                <w:szCs w:val="22"/>
              </w:rPr>
              <w:t xml:space="preserve">DTPA-NaOH </w:t>
            </w:r>
            <w:r w:rsidR="0070753B">
              <w:rPr>
                <w:b/>
                <w:bCs/>
                <w:sz w:val="22"/>
                <w:szCs w:val="22"/>
              </w:rPr>
              <w:t>treatments</w:t>
            </w:r>
            <w:r w:rsidR="00F84A86">
              <w:rPr>
                <w:b/>
                <w:bCs/>
                <w:sz w:val="22"/>
                <w:szCs w:val="22"/>
              </w:rPr>
              <w:t xml:space="preserve">. </w:t>
            </w:r>
            <w:r w:rsidR="00F84A86" w:rsidRPr="00EE367B">
              <w:rPr>
                <w:bCs/>
                <w:sz w:val="22"/>
                <w:szCs w:val="22"/>
              </w:rPr>
              <w:t>The asymptote</w:t>
            </w:r>
            <w:r w:rsidR="004A4F46" w:rsidRPr="00EE367B">
              <w:rPr>
                <w:bCs/>
                <w:sz w:val="22"/>
                <w:szCs w:val="22"/>
              </w:rPr>
              <w:t xml:space="preserve"> </w:t>
            </w:r>
            <w:r w:rsidR="00F84A86" w:rsidRPr="00EE367B">
              <w:rPr>
                <w:bCs/>
                <w:sz w:val="22"/>
                <w:szCs w:val="22"/>
              </w:rPr>
              <w:t xml:space="preserve">relationship can be used to help determine the number of </w:t>
            </w:r>
            <w:r w:rsidR="0070753B">
              <w:rPr>
                <w:bCs/>
                <w:sz w:val="22"/>
                <w:szCs w:val="22"/>
              </w:rPr>
              <w:t>treatments</w:t>
            </w:r>
            <w:r w:rsidR="0070753B" w:rsidRPr="00EE367B">
              <w:rPr>
                <w:bCs/>
                <w:sz w:val="22"/>
                <w:szCs w:val="22"/>
              </w:rPr>
              <w:t xml:space="preserve"> </w:t>
            </w:r>
            <w:r w:rsidR="00F84A86" w:rsidRPr="00EE367B">
              <w:rPr>
                <w:bCs/>
                <w:sz w:val="22"/>
                <w:szCs w:val="22"/>
              </w:rPr>
              <w:t>needed to remove the effects of barite contamination</w:t>
            </w:r>
            <w:r w:rsidRPr="00EE367B">
              <w:rPr>
                <w:bCs/>
                <w:sz w:val="22"/>
                <w:szCs w:val="22"/>
              </w:rPr>
              <w:t>.</w:t>
            </w:r>
            <w:r w:rsidRPr="00E17674">
              <w:rPr>
                <w:b/>
                <w:bCs/>
                <w:sz w:val="22"/>
                <w:szCs w:val="22"/>
              </w:rPr>
              <w:t xml:space="preserve"> </w:t>
            </w:r>
            <w:r w:rsidRPr="00E17674">
              <w:rPr>
                <w:sz w:val="22"/>
                <w:szCs w:val="22"/>
              </w:rPr>
              <w:t xml:space="preserve">Symbol shape denotes sample ID. Colour indicates number of DTPA-NaOH </w:t>
            </w:r>
            <w:r w:rsidR="0070753B">
              <w:rPr>
                <w:sz w:val="22"/>
                <w:szCs w:val="22"/>
              </w:rPr>
              <w:t>treatments</w:t>
            </w:r>
            <w:r w:rsidRPr="00E17674">
              <w:rPr>
                <w:sz w:val="22"/>
                <w:szCs w:val="22"/>
              </w:rPr>
              <w:t xml:space="preserve">. </w:t>
            </w:r>
          </w:p>
        </w:tc>
      </w:tr>
    </w:tbl>
    <w:p w14:paraId="61366FEE" w14:textId="77777777" w:rsidR="00B966F9" w:rsidRDefault="00B966F9" w:rsidP="007E326B">
      <w:pPr>
        <w:spacing w:line="480" w:lineRule="auto"/>
        <w:jc w:val="both"/>
        <w:rPr>
          <w:rFonts w:cstheme="minorHAnsi"/>
        </w:rPr>
      </w:pPr>
    </w:p>
    <w:p w14:paraId="63A92C84" w14:textId="042DCA0A" w:rsidR="00796972" w:rsidRDefault="005F4A0E" w:rsidP="00476C1C">
      <w:pPr>
        <w:spacing w:line="480" w:lineRule="auto"/>
        <w:jc w:val="both"/>
        <w:rPr>
          <w:rFonts w:cstheme="minorHAnsi"/>
        </w:rPr>
      </w:pPr>
      <w:r>
        <w:rPr>
          <w:rFonts w:cstheme="minorHAnsi"/>
        </w:rPr>
        <w:t xml:space="preserve">Our results reveal an asymptote relationship </w:t>
      </w:r>
      <w:r w:rsidRPr="005F4A0E">
        <w:rPr>
          <w:rFonts w:cstheme="minorHAnsi"/>
        </w:rPr>
        <w:t xml:space="preserve">between </w:t>
      </w:r>
      <w:r w:rsidRPr="001913A2">
        <w:rPr>
          <w:bCs/>
        </w:rPr>
        <w:t xml:space="preserve">Sr concentration and </w:t>
      </w:r>
      <w:r w:rsidRPr="001913A2">
        <w:rPr>
          <w:bCs/>
          <w:vertAlign w:val="superscript"/>
        </w:rPr>
        <w:t>87</w:t>
      </w:r>
      <w:r w:rsidRPr="001913A2">
        <w:rPr>
          <w:bCs/>
        </w:rPr>
        <w:t>Sr/</w:t>
      </w:r>
      <w:r w:rsidRPr="001913A2">
        <w:rPr>
          <w:bCs/>
          <w:vertAlign w:val="superscript"/>
        </w:rPr>
        <w:t>86</w:t>
      </w:r>
      <w:r w:rsidRPr="001913A2">
        <w:rPr>
          <w:bCs/>
        </w:rPr>
        <w:t xml:space="preserve">Sr with increasing DTPA-NaOH </w:t>
      </w:r>
      <w:r w:rsidR="0070753B">
        <w:rPr>
          <w:bCs/>
        </w:rPr>
        <w:t xml:space="preserve">treatments </w:t>
      </w:r>
      <w:r>
        <w:rPr>
          <w:bCs/>
        </w:rPr>
        <w:t>that can be used to</w:t>
      </w:r>
      <w:r w:rsidRPr="001913A2">
        <w:rPr>
          <w:bCs/>
        </w:rPr>
        <w:t xml:space="preserve"> help determine the number of </w:t>
      </w:r>
      <w:r w:rsidR="0070753B">
        <w:rPr>
          <w:bCs/>
        </w:rPr>
        <w:t>treatments</w:t>
      </w:r>
      <w:r w:rsidR="0070753B" w:rsidRPr="001913A2">
        <w:rPr>
          <w:bCs/>
        </w:rPr>
        <w:t xml:space="preserve"> </w:t>
      </w:r>
      <w:r w:rsidRPr="001913A2">
        <w:rPr>
          <w:bCs/>
        </w:rPr>
        <w:t>needed to remove the effects of barite contamination</w:t>
      </w:r>
      <w:r>
        <w:rPr>
          <w:bCs/>
        </w:rPr>
        <w:t xml:space="preserve"> (Figure 8)</w:t>
      </w:r>
      <w:r>
        <w:rPr>
          <w:rFonts w:cstheme="minorHAnsi"/>
        </w:rPr>
        <w:t xml:space="preserve">. </w:t>
      </w:r>
      <w:r w:rsidR="007E326B">
        <w:rPr>
          <w:rFonts w:cstheme="minorHAnsi"/>
        </w:rPr>
        <w:t xml:space="preserve">The appropriate number of </w:t>
      </w:r>
      <w:r w:rsidR="0070753B">
        <w:rPr>
          <w:rFonts w:cstheme="minorHAnsi"/>
        </w:rPr>
        <w:t xml:space="preserve">treatments </w:t>
      </w:r>
      <w:r w:rsidR="0000739C">
        <w:rPr>
          <w:rFonts w:cstheme="minorHAnsi"/>
        </w:rPr>
        <w:t xml:space="preserve">required </w:t>
      </w:r>
      <w:r w:rsidR="0044283B">
        <w:rPr>
          <w:rFonts w:cstheme="minorHAnsi"/>
        </w:rPr>
        <w:t>to</w:t>
      </w:r>
      <w:r w:rsidR="000D4349">
        <w:rPr>
          <w:rFonts w:cstheme="minorHAnsi"/>
        </w:rPr>
        <w:t xml:space="preserve"> </w:t>
      </w:r>
      <w:r w:rsidR="0044283B">
        <w:rPr>
          <w:rFonts w:cstheme="minorHAnsi"/>
        </w:rPr>
        <w:t>constrain</w:t>
      </w:r>
      <w:r w:rsidR="000D4349">
        <w:rPr>
          <w:rFonts w:cstheme="minorHAnsi"/>
        </w:rPr>
        <w:t xml:space="preserve"> </w:t>
      </w:r>
      <w:r w:rsidR="00E869C7">
        <w:rPr>
          <w:rFonts w:cstheme="minorHAnsi"/>
        </w:rPr>
        <w:t>terrigenous</w:t>
      </w:r>
      <w:r w:rsidR="0044283B">
        <w:rPr>
          <w:rFonts w:cstheme="minorHAnsi"/>
        </w:rPr>
        <w:t xml:space="preserve"> </w:t>
      </w:r>
      <w:r w:rsidR="0044283B" w:rsidRPr="00284C61">
        <w:rPr>
          <w:rFonts w:cstheme="minorHAnsi"/>
          <w:vertAlign w:val="superscript"/>
        </w:rPr>
        <w:t>87</w:t>
      </w:r>
      <w:r w:rsidR="0044283B" w:rsidRPr="00284C61">
        <w:rPr>
          <w:rFonts w:cstheme="minorHAnsi"/>
        </w:rPr>
        <w:t>Sr/</w:t>
      </w:r>
      <w:r w:rsidR="0044283B" w:rsidRPr="00284C61">
        <w:rPr>
          <w:rFonts w:cstheme="minorHAnsi"/>
          <w:vertAlign w:val="superscript"/>
        </w:rPr>
        <w:t>86</w:t>
      </w:r>
      <w:r w:rsidR="0044283B" w:rsidRPr="00284C61">
        <w:rPr>
          <w:rFonts w:cstheme="minorHAnsi"/>
        </w:rPr>
        <w:t>Sr</w:t>
      </w:r>
      <w:r w:rsidR="0044283B">
        <w:rPr>
          <w:rFonts w:cstheme="minorHAnsi"/>
        </w:rPr>
        <w:t xml:space="preserve"> in marine sediments </w:t>
      </w:r>
      <w:r w:rsidR="007E326B">
        <w:rPr>
          <w:rFonts w:cstheme="minorHAnsi"/>
        </w:rPr>
        <w:t xml:space="preserve">will depend on the dynamic range in </w:t>
      </w:r>
      <w:r w:rsidR="007E326B" w:rsidRPr="00284C61">
        <w:rPr>
          <w:rFonts w:cstheme="minorHAnsi"/>
          <w:vertAlign w:val="superscript"/>
        </w:rPr>
        <w:t>87</w:t>
      </w:r>
      <w:r w:rsidR="007E326B" w:rsidRPr="00284C61">
        <w:rPr>
          <w:rFonts w:cstheme="minorHAnsi"/>
        </w:rPr>
        <w:t>Sr/</w:t>
      </w:r>
      <w:r w:rsidR="007E326B" w:rsidRPr="00284C61">
        <w:rPr>
          <w:rFonts w:cstheme="minorHAnsi"/>
          <w:vertAlign w:val="superscript"/>
        </w:rPr>
        <w:t>86</w:t>
      </w:r>
      <w:r w:rsidR="007E326B" w:rsidRPr="00284C61">
        <w:rPr>
          <w:rFonts w:cstheme="minorHAnsi"/>
        </w:rPr>
        <w:t>Sr</w:t>
      </w:r>
      <w:r w:rsidR="007E326B">
        <w:rPr>
          <w:rFonts w:cstheme="minorHAnsi"/>
        </w:rPr>
        <w:t xml:space="preserve"> of the </w:t>
      </w:r>
      <w:r w:rsidR="00E869C7">
        <w:rPr>
          <w:rFonts w:cstheme="minorHAnsi"/>
        </w:rPr>
        <w:t>terrigenous</w:t>
      </w:r>
      <w:r w:rsidR="007E326B">
        <w:rPr>
          <w:rFonts w:cstheme="minorHAnsi"/>
        </w:rPr>
        <w:t xml:space="preserve"> fraction, its isotopic offset from the contaminating barite, the relative concentration of barite in the sediment and the scientific problem being addressed.</w:t>
      </w:r>
      <w:r w:rsidR="00C00651">
        <w:rPr>
          <w:rFonts w:cstheme="minorHAnsi"/>
        </w:rPr>
        <w:t xml:space="preserve"> Our estimates of the cumulative Ba</w:t>
      </w:r>
      <w:r w:rsidR="00C00651" w:rsidRPr="002953BF">
        <w:rPr>
          <w:rFonts w:cstheme="minorHAnsi"/>
          <w:vertAlign w:val="subscript"/>
        </w:rPr>
        <w:t>Barite</w:t>
      </w:r>
      <w:r w:rsidR="00C00651">
        <w:rPr>
          <w:rFonts w:cstheme="minorHAnsi"/>
        </w:rPr>
        <w:t xml:space="preserve"> removed with each </w:t>
      </w:r>
      <w:r w:rsidR="00271F46">
        <w:rPr>
          <w:rFonts w:cstheme="minorHAnsi"/>
        </w:rPr>
        <w:t>treatment</w:t>
      </w:r>
      <w:r w:rsidR="00C00651">
        <w:rPr>
          <w:rFonts w:cstheme="minorHAnsi"/>
        </w:rPr>
        <w:t xml:space="preserve"> (Figure 7A) indicates that the first </w:t>
      </w:r>
      <w:r w:rsidR="00F47F2E">
        <w:rPr>
          <w:rFonts w:cstheme="minorHAnsi"/>
        </w:rPr>
        <w:t xml:space="preserve">DTPA-NaOH </w:t>
      </w:r>
      <w:r w:rsidR="0070753B">
        <w:rPr>
          <w:rFonts w:cstheme="minorHAnsi"/>
        </w:rPr>
        <w:t>treatment</w:t>
      </w:r>
      <w:r w:rsidR="00C00651">
        <w:rPr>
          <w:rFonts w:cstheme="minorHAnsi"/>
        </w:rPr>
        <w:t xml:space="preserve"> </w:t>
      </w:r>
      <w:r w:rsidR="00F47F2E">
        <w:rPr>
          <w:rFonts w:cstheme="minorHAnsi"/>
        </w:rPr>
        <w:t xml:space="preserve">removes most of the contaminant at </w:t>
      </w:r>
      <w:r w:rsidR="00900566">
        <w:rPr>
          <w:rFonts w:cstheme="minorHAnsi"/>
        </w:rPr>
        <w:t xml:space="preserve">our study sites, </w:t>
      </w:r>
      <w:r w:rsidR="00D90A03">
        <w:rPr>
          <w:rFonts w:cstheme="minorHAnsi"/>
        </w:rPr>
        <w:t xml:space="preserve">both </w:t>
      </w:r>
      <w:r w:rsidR="004F299A">
        <w:rPr>
          <w:rFonts w:cstheme="minorHAnsi"/>
        </w:rPr>
        <w:t xml:space="preserve">of which are </w:t>
      </w:r>
      <w:r w:rsidR="00900566">
        <w:rPr>
          <w:rFonts w:cstheme="minorHAnsi"/>
        </w:rPr>
        <w:t>situated</w:t>
      </w:r>
      <w:r w:rsidR="00D90A03" w:rsidRPr="00D90A03">
        <w:rPr>
          <w:rFonts w:cstheme="minorHAnsi"/>
        </w:rPr>
        <w:t xml:space="preserve"> </w:t>
      </w:r>
      <w:r w:rsidR="00D90A03">
        <w:rPr>
          <w:rFonts w:cstheme="minorHAnsi"/>
        </w:rPr>
        <w:lastRenderedPageBreak/>
        <w:t>outside of the most productive coastal regions</w:t>
      </w:r>
      <w:r w:rsidR="00900566">
        <w:rPr>
          <w:rFonts w:cstheme="minorHAnsi"/>
        </w:rPr>
        <w:t xml:space="preserve"> in </w:t>
      </w:r>
      <w:r w:rsidR="00F47F2E">
        <w:rPr>
          <w:rFonts w:cstheme="minorHAnsi"/>
        </w:rPr>
        <w:t>open ocean settings</w:t>
      </w:r>
      <w:r w:rsidR="007E24BA">
        <w:rPr>
          <w:rFonts w:cstheme="minorHAnsi"/>
        </w:rPr>
        <w:t>,</w:t>
      </w:r>
      <w:r w:rsidR="004F299A">
        <w:rPr>
          <w:rFonts w:cstheme="minorHAnsi"/>
        </w:rPr>
        <w:t xml:space="preserve"> </w:t>
      </w:r>
      <w:r w:rsidR="007E24BA">
        <w:rPr>
          <w:rFonts w:cstheme="minorHAnsi"/>
        </w:rPr>
        <w:t>with</w:t>
      </w:r>
      <w:r w:rsidR="00F47F2E">
        <w:rPr>
          <w:rFonts w:cstheme="minorHAnsi"/>
        </w:rPr>
        <w:t xml:space="preserve"> </w:t>
      </w:r>
      <w:r w:rsidR="00A72B51">
        <w:rPr>
          <w:rFonts w:cstheme="minorHAnsi"/>
        </w:rPr>
        <w:t xml:space="preserve">modern </w:t>
      </w:r>
      <w:r w:rsidR="00F47F2E">
        <w:rPr>
          <w:rFonts w:cstheme="minorHAnsi"/>
        </w:rPr>
        <w:t>annual carbon export</w:t>
      </w:r>
      <w:r w:rsidR="007E326B">
        <w:rPr>
          <w:rFonts w:cstheme="minorHAnsi"/>
        </w:rPr>
        <w:t xml:space="preserve"> </w:t>
      </w:r>
      <w:r w:rsidR="007E24BA">
        <w:rPr>
          <w:rFonts w:cstheme="minorHAnsi"/>
        </w:rPr>
        <w:t>values of</w:t>
      </w:r>
      <w:r w:rsidR="00F47F2E">
        <w:rPr>
          <w:rFonts w:cstheme="minorHAnsi"/>
        </w:rPr>
        <w:t xml:space="preserve"> </w:t>
      </w:r>
      <w:r w:rsidR="00DA212B">
        <w:rPr>
          <w:rFonts w:cstheme="minorHAnsi"/>
        </w:rPr>
        <w:t>~</w:t>
      </w:r>
      <w:r w:rsidR="00A72B51">
        <w:rPr>
          <w:rFonts w:cstheme="minorHAnsi"/>
        </w:rPr>
        <w:t>1</w:t>
      </w:r>
      <w:r w:rsidR="00F47F2E">
        <w:rPr>
          <w:rFonts w:cstheme="minorHAnsi"/>
        </w:rPr>
        <w:t>5</w:t>
      </w:r>
      <w:r w:rsidR="00A72B51">
        <w:rPr>
          <w:rFonts w:cstheme="minorHAnsi"/>
        </w:rPr>
        <w:t xml:space="preserve"> and </w:t>
      </w:r>
      <w:r w:rsidR="00DA212B">
        <w:rPr>
          <w:rFonts w:cstheme="minorHAnsi"/>
        </w:rPr>
        <w:t>~20</w:t>
      </w:r>
      <w:r w:rsidR="00F47F2E">
        <w:rPr>
          <w:rFonts w:cstheme="minorHAnsi"/>
        </w:rPr>
        <w:t xml:space="preserve"> g C/m</w:t>
      </w:r>
      <w:r w:rsidR="00F47F2E" w:rsidRPr="002953BF">
        <w:rPr>
          <w:rFonts w:cstheme="minorHAnsi"/>
          <w:vertAlign w:val="superscript"/>
        </w:rPr>
        <w:t>2</w:t>
      </w:r>
      <w:r w:rsidR="00E53955">
        <w:rPr>
          <w:rFonts w:cstheme="minorHAnsi"/>
        </w:rPr>
        <w:t xml:space="preserve"> (Fig</w:t>
      </w:r>
      <w:r w:rsidR="00A72B51">
        <w:rPr>
          <w:rFonts w:cstheme="minorHAnsi"/>
        </w:rPr>
        <w:t>ure</w:t>
      </w:r>
      <w:r w:rsidR="00E53955">
        <w:rPr>
          <w:rFonts w:cstheme="minorHAnsi"/>
        </w:rPr>
        <w:t xml:space="preserve"> 1). </w:t>
      </w:r>
      <w:r w:rsidR="0070753B">
        <w:rPr>
          <w:rFonts w:cstheme="minorHAnsi"/>
        </w:rPr>
        <w:t xml:space="preserve">Based on our </w:t>
      </w:r>
      <w:r w:rsidR="00BA11CD">
        <w:rPr>
          <w:rFonts w:cstheme="minorHAnsi"/>
        </w:rPr>
        <w:t>findings</w:t>
      </w:r>
      <w:r w:rsidR="0070753B">
        <w:rPr>
          <w:rFonts w:cstheme="minorHAnsi"/>
        </w:rPr>
        <w:t xml:space="preserve">, </w:t>
      </w:r>
      <w:r w:rsidR="00BA11CD">
        <w:rPr>
          <w:rFonts w:cstheme="minorHAnsi"/>
        </w:rPr>
        <w:t>we suggest</w:t>
      </w:r>
      <w:r w:rsidR="0070753B">
        <w:rPr>
          <w:rFonts w:cstheme="minorHAnsi"/>
        </w:rPr>
        <w:t xml:space="preserve"> that sediment samples collected from all </w:t>
      </w:r>
      <w:r w:rsidR="003B2958">
        <w:rPr>
          <w:rFonts w:cstheme="minorHAnsi"/>
        </w:rPr>
        <w:t>except</w:t>
      </w:r>
      <w:r w:rsidR="0070753B">
        <w:rPr>
          <w:rFonts w:cstheme="minorHAnsi"/>
        </w:rPr>
        <w:t xml:space="preserve"> the lowest productivity sites such as the subtropical gyres (Figure 1) </w:t>
      </w:r>
      <w:r w:rsidR="00900566">
        <w:rPr>
          <w:rFonts w:cstheme="minorHAnsi"/>
        </w:rPr>
        <w:t>should be assessed for potential barite contamination</w:t>
      </w:r>
      <w:r w:rsidR="006D2978">
        <w:rPr>
          <w:rFonts w:cstheme="minorHAnsi"/>
        </w:rPr>
        <w:t xml:space="preserve">. </w:t>
      </w:r>
      <w:r w:rsidR="0026245B">
        <w:rPr>
          <w:rFonts w:cstheme="minorHAnsi"/>
        </w:rPr>
        <w:t>Our results imply</w:t>
      </w:r>
      <w:r w:rsidR="007916EC">
        <w:rPr>
          <w:rFonts w:cstheme="minorHAnsi"/>
        </w:rPr>
        <w:t xml:space="preserve"> </w:t>
      </w:r>
      <w:r w:rsidR="00796972">
        <w:rPr>
          <w:rFonts w:cstheme="minorHAnsi"/>
        </w:rPr>
        <w:t xml:space="preserve">that at least one treatment with DTPA-NaOH to remove marine barite should be applied in most marine investigations of terrigenous </w:t>
      </w:r>
      <w:r w:rsidR="00796972" w:rsidRPr="00F01821">
        <w:rPr>
          <w:rFonts w:cstheme="minorHAnsi"/>
          <w:vertAlign w:val="superscript"/>
        </w:rPr>
        <w:t>87</w:t>
      </w:r>
      <w:r w:rsidR="00796972" w:rsidRPr="00F01821">
        <w:rPr>
          <w:rFonts w:cstheme="minorHAnsi"/>
        </w:rPr>
        <w:t>Sr/</w:t>
      </w:r>
      <w:r w:rsidR="00796972" w:rsidRPr="00F01821">
        <w:rPr>
          <w:rFonts w:cstheme="minorHAnsi"/>
          <w:vertAlign w:val="superscript"/>
        </w:rPr>
        <w:t>86</w:t>
      </w:r>
      <w:r w:rsidR="00796972" w:rsidRPr="00F01821">
        <w:rPr>
          <w:rFonts w:cstheme="minorHAnsi"/>
        </w:rPr>
        <w:t>Sr</w:t>
      </w:r>
      <w:r w:rsidR="00796972">
        <w:rPr>
          <w:rFonts w:cstheme="minorHAnsi"/>
        </w:rPr>
        <w:t>.</w:t>
      </w:r>
    </w:p>
    <w:p w14:paraId="04D52D14" w14:textId="77777777" w:rsidR="000D238B" w:rsidRDefault="000D238B" w:rsidP="00476C1C">
      <w:pPr>
        <w:spacing w:line="480" w:lineRule="auto"/>
        <w:jc w:val="both"/>
        <w:rPr>
          <w:rFonts w:cstheme="minorHAnsi"/>
        </w:rPr>
      </w:pPr>
    </w:p>
    <w:p w14:paraId="012F0D3F" w14:textId="4B764ECA" w:rsidR="00476C1C" w:rsidRPr="00476C1C" w:rsidRDefault="00F07122" w:rsidP="002953BF">
      <w:pPr>
        <w:pStyle w:val="Heading2"/>
        <w:numPr>
          <w:ilvl w:val="0"/>
          <w:numId w:val="0"/>
        </w:numPr>
        <w:spacing w:line="480" w:lineRule="auto"/>
        <w:ind w:left="360"/>
      </w:pPr>
      <w:r>
        <w:rPr>
          <w:rFonts w:ascii="Symbol" w:hAnsi="Symbol"/>
        </w:rPr>
        <w:t></w:t>
      </w:r>
      <w:r>
        <w:rPr>
          <w:rFonts w:ascii="Symbol" w:hAnsi="Symbol"/>
        </w:rPr>
        <w:t></w:t>
      </w:r>
      <w:r>
        <w:rPr>
          <w:rFonts w:ascii="Symbol" w:hAnsi="Symbol"/>
        </w:rPr>
        <w:t></w:t>
      </w:r>
      <w:r>
        <w:rPr>
          <w:rFonts w:ascii="Symbol" w:hAnsi="Symbol"/>
        </w:rPr>
        <w:t></w:t>
      </w:r>
      <w:r w:rsidR="00B30B73">
        <w:rPr>
          <w:rFonts w:ascii="Symbol" w:hAnsi="Symbol"/>
        </w:rPr>
        <w:t xml:space="preserve"> </w:t>
      </w:r>
      <w:r w:rsidR="00C353D2" w:rsidRPr="00B966F9">
        <w:rPr>
          <w:rFonts w:ascii="Symbol" w:hAnsi="Symbol"/>
        </w:rPr>
        <w:t></w:t>
      </w:r>
      <w:r w:rsidR="000D238B" w:rsidRPr="00B966F9">
        <w:rPr>
          <w:vertAlign w:val="subscript"/>
        </w:rPr>
        <w:t>Nd</w:t>
      </w:r>
      <w:r w:rsidR="000D238B">
        <w:t xml:space="preserve"> </w:t>
      </w:r>
      <w:r w:rsidR="005C38D2" w:rsidRPr="00B30B73">
        <w:rPr>
          <w:rFonts w:cstheme="majorHAnsi"/>
        </w:rPr>
        <w:t>results</w:t>
      </w:r>
    </w:p>
    <w:p w14:paraId="0D294D77" w14:textId="13BF08C0" w:rsidR="00642585" w:rsidRDefault="005124DD" w:rsidP="00642585">
      <w:pPr>
        <w:spacing w:line="480" w:lineRule="auto"/>
        <w:jc w:val="both"/>
        <w:rPr>
          <w:rFonts w:cstheme="minorHAnsi"/>
        </w:rPr>
      </w:pPr>
      <w:r>
        <w:rPr>
          <w:rFonts w:cstheme="minorHAnsi"/>
        </w:rPr>
        <w:t>Marine barite contains very low concentrations of REE</w:t>
      </w:r>
      <w:r w:rsidR="00AE6C91">
        <w:rPr>
          <w:rFonts w:cstheme="minorHAnsi"/>
        </w:rPr>
        <w:t>s</w:t>
      </w:r>
      <w:r>
        <w:rPr>
          <w:rFonts w:cstheme="minorHAnsi"/>
        </w:rPr>
        <w:t xml:space="preserve"> </w:t>
      </w:r>
      <w:r w:rsidRPr="00162F9C">
        <w:rPr>
          <w:rFonts w:cstheme="minorHAnsi"/>
        </w:rPr>
        <w:fldChar w:fldCharType="begin" w:fldLock="1"/>
      </w:r>
      <w:r w:rsidRPr="00162F9C">
        <w:rPr>
          <w:rFonts w:cstheme="minorHAnsi"/>
        </w:rPr>
        <w:instrText>ADDIN CSL_CITATION {"citationItems":[{"id":"ITEM-1","itemData":{"DOI":"10.1016/0016-7037(95)00049-6","ISBN":"0016-7037\\rISI:A1995QT16600013","ISSN":"00167037","abstract":"Strontium and neodymium isotopic data are reported for barite samples chemically separated from Late Miocene to Pliocene sediments from the eastern equatorial Pacific. At a site within a region of very high productivity close to the equator,87Sr/86Sr ratios in the barite separates are indistinguishable from those of foraminifera and fish teeth from the same samples. However, at two sites north of the productivity maximum barite separates have slightly, but consistently lower (averaging 62 × 10-6) ratios than the coexisting phases, although values still fall within the total range of published values for the contemporaneous seawater strontium isotope curve. We examine possible causes for this offset including recrystallization of the foraminifera, fish teeth or barite, the presence of non-barite contaminants, or incorporation of older, reworked deep-sea barite; the inclusion of a small amount of hydrothermal barite in the sediments seems most consistent with our data, although there are difficulties associated with adequate production and transportation of this phase. Barite is unlikely to replace calcite as a preferred tracer of seawater strontium isotopes in carbonate-rich sediments, but may prove a useful substitute in cases where calcite is rare or strongly affected by diagenesis. In contrast to the case for strontium, neodymium isotopic ratios in the barite separates are far from expected values for contemporary seawater, and appear to be dominated by an (unobserved) eolian component with high neodymium concentration and low143Nd/144Nd. These results suggest that the true potential of barite as an indicator of paleocean neodymium isotopic ratios and REE patterns will be realized only when a more selective separation procedure is developed. © 1995.","author":[{"dropping-particle":"","family":"Martin","given":"E. E.","non-dropping-particle":"","parse-names":false,"suffix":""},{"dropping-particle":"","family":"Macdougall","given":"J. D.","non-dropping-particle":"","parse-names":false,"suffix":""},{"dropping-particle":"","family":"Herbert","given":"T. D.","non-dropping-particle":"","parse-names":false,"suffix":""},{"dropping-particle":"","family":"Paytan","given":"A.","non-dropping-particle":"","parse-names":false,"suffix":""},{"dropping-particle":"","family":"Kastner","given":"M.","non-dropping-particle":"","parse-names":false,"suffix":""}],"container-title":"Geochimica et Cosmochimica Acta","id":"ITEM-1","issue":"7","issued":{"date-parts":[["1995"]]},"note":"Read this as it descirbes howto dissolve Barite..... (\nBarite could interfere with Sr (woul dhave taken up seawater Sr).","page":"1353-1361","title":"Strontium and neodymium isotopic analyses of marine barite separates","type":"article-journal","volume":"59"},"uris":["http://www.mendeley.com/documents/?uuid=7db6e603-d2a3-4e6b-8ed5-f1369946675f"]}],"mendeley":{"formattedCitation":"(Martin et al., 1995)","plainTextFormattedCitation":"(Martin et al., 1995)","previouslyFormattedCitation":"(Martin et al., 1995)"},"properties":{"noteIndex":0},"schema":"https://github.com/citation-style-language/schema/raw/master/csl-citation.json"}</w:instrText>
      </w:r>
      <w:r w:rsidRPr="00162F9C">
        <w:rPr>
          <w:rFonts w:cstheme="minorHAnsi"/>
        </w:rPr>
        <w:fldChar w:fldCharType="separate"/>
      </w:r>
      <w:r w:rsidRPr="00162F9C">
        <w:rPr>
          <w:rFonts w:cstheme="minorHAnsi"/>
          <w:noProof/>
        </w:rPr>
        <w:t>(Martin et al., 1995)</w:t>
      </w:r>
      <w:r w:rsidRPr="00162F9C">
        <w:rPr>
          <w:rFonts w:cstheme="minorHAnsi"/>
        </w:rPr>
        <w:fldChar w:fldCharType="end"/>
      </w:r>
      <w:r>
        <w:rPr>
          <w:rFonts w:cstheme="minorHAnsi"/>
        </w:rPr>
        <w:t xml:space="preserve">, so </w:t>
      </w:r>
      <w:r w:rsidR="00AE6C91">
        <w:rPr>
          <w:rFonts w:cstheme="minorHAnsi"/>
        </w:rPr>
        <w:t>there is no reason to suspect that barite removal</w:t>
      </w:r>
      <w:r>
        <w:rPr>
          <w:rFonts w:cstheme="minorHAnsi"/>
        </w:rPr>
        <w:t xml:space="preserve"> </w:t>
      </w:r>
      <w:r w:rsidR="00AE6C91">
        <w:rPr>
          <w:rFonts w:cstheme="minorHAnsi"/>
        </w:rPr>
        <w:t>is required to determine</w:t>
      </w:r>
      <w:r>
        <w:rPr>
          <w:rFonts w:cstheme="minorHAnsi"/>
        </w:rPr>
        <w:t xml:space="preserve"> the </w:t>
      </w:r>
      <w:r w:rsidRPr="005124DD">
        <w:rPr>
          <w:rFonts w:cstheme="minorHAnsi"/>
        </w:rPr>
        <w:t>ε</w:t>
      </w:r>
      <w:r w:rsidRPr="005124DD">
        <w:rPr>
          <w:rFonts w:cstheme="minorHAnsi"/>
          <w:vertAlign w:val="subscript"/>
        </w:rPr>
        <w:t>Nd</w:t>
      </w:r>
      <w:r>
        <w:rPr>
          <w:rFonts w:cstheme="minorHAnsi"/>
        </w:rPr>
        <w:t xml:space="preserve"> of the </w:t>
      </w:r>
      <w:r w:rsidR="00E869C7">
        <w:rPr>
          <w:rFonts w:cstheme="minorHAnsi"/>
        </w:rPr>
        <w:t>terrigenous</w:t>
      </w:r>
      <w:r>
        <w:rPr>
          <w:rFonts w:cstheme="minorHAnsi"/>
        </w:rPr>
        <w:t xml:space="preserve"> fraction</w:t>
      </w:r>
      <w:r w:rsidR="00AE6C91">
        <w:rPr>
          <w:rFonts w:cstheme="minorHAnsi"/>
        </w:rPr>
        <w:t xml:space="preserve"> accurately</w:t>
      </w:r>
      <w:r>
        <w:rPr>
          <w:rFonts w:cstheme="minorHAnsi"/>
        </w:rPr>
        <w:t xml:space="preserve">. </w:t>
      </w:r>
      <w:r w:rsidR="00AE6C91">
        <w:rPr>
          <w:rFonts w:cstheme="minorHAnsi"/>
        </w:rPr>
        <w:t xml:space="preserve">However, </w:t>
      </w:r>
      <w:r w:rsidR="00332C21">
        <w:rPr>
          <w:rFonts w:cstheme="minorHAnsi"/>
        </w:rPr>
        <w:t xml:space="preserve">in many cases, it is desirable to measure both </w:t>
      </w:r>
      <w:r w:rsidR="00332C21" w:rsidRPr="000831CE">
        <w:rPr>
          <w:rFonts w:cstheme="minorHAnsi"/>
          <w:vertAlign w:val="superscript"/>
        </w:rPr>
        <w:t>87</w:t>
      </w:r>
      <w:r w:rsidR="00332C21" w:rsidRPr="000831CE">
        <w:rPr>
          <w:rFonts w:cstheme="minorHAnsi"/>
        </w:rPr>
        <w:t>Sr/</w:t>
      </w:r>
      <w:r w:rsidR="00332C21" w:rsidRPr="000831CE">
        <w:rPr>
          <w:rFonts w:cstheme="minorHAnsi"/>
          <w:vertAlign w:val="superscript"/>
        </w:rPr>
        <w:t>86</w:t>
      </w:r>
      <w:r w:rsidR="00332C21" w:rsidRPr="000831CE">
        <w:rPr>
          <w:rFonts w:cstheme="minorHAnsi"/>
        </w:rPr>
        <w:t>Sr</w:t>
      </w:r>
      <w:r w:rsidR="00332C21">
        <w:rPr>
          <w:rFonts w:cstheme="minorHAnsi"/>
        </w:rPr>
        <w:t xml:space="preserve"> and </w:t>
      </w:r>
      <w:r w:rsidR="00332C21" w:rsidRPr="005124DD">
        <w:rPr>
          <w:rFonts w:cstheme="minorHAnsi"/>
        </w:rPr>
        <w:t>ε</w:t>
      </w:r>
      <w:r w:rsidR="00332C21" w:rsidRPr="005124DD">
        <w:rPr>
          <w:rFonts w:cstheme="minorHAnsi"/>
          <w:vertAlign w:val="subscript"/>
        </w:rPr>
        <w:t>Nd</w:t>
      </w:r>
      <w:r w:rsidR="00332C21">
        <w:rPr>
          <w:rFonts w:cstheme="minorHAnsi"/>
        </w:rPr>
        <w:t xml:space="preserve"> on the same sample aliquots. We therefore studied</w:t>
      </w:r>
      <w:r>
        <w:rPr>
          <w:rFonts w:cstheme="minorHAnsi"/>
        </w:rPr>
        <w:t xml:space="preserve"> the </w:t>
      </w:r>
      <w:r w:rsidR="00332C21">
        <w:rPr>
          <w:rFonts w:cstheme="minorHAnsi"/>
        </w:rPr>
        <w:t xml:space="preserve">influence of our </w:t>
      </w:r>
      <w:r>
        <w:rPr>
          <w:rFonts w:cstheme="minorHAnsi"/>
        </w:rPr>
        <w:t>DTPA</w:t>
      </w:r>
      <w:r w:rsidR="00332C21">
        <w:rPr>
          <w:rFonts w:cstheme="minorHAnsi"/>
        </w:rPr>
        <w:t>-NaOH</w:t>
      </w:r>
      <w:r>
        <w:rPr>
          <w:rFonts w:cstheme="minorHAnsi"/>
        </w:rPr>
        <w:t xml:space="preserve"> </w:t>
      </w:r>
      <w:r w:rsidR="00332C21">
        <w:rPr>
          <w:rFonts w:cstheme="minorHAnsi"/>
        </w:rPr>
        <w:t>treatment on</w:t>
      </w:r>
      <w:r>
        <w:rPr>
          <w:rFonts w:cstheme="minorHAnsi"/>
        </w:rPr>
        <w:t xml:space="preserve"> </w:t>
      </w:r>
      <w:r w:rsidRPr="005124DD">
        <w:rPr>
          <w:rFonts w:cstheme="minorHAnsi"/>
        </w:rPr>
        <w:t>ε</w:t>
      </w:r>
      <w:r w:rsidRPr="005124DD">
        <w:rPr>
          <w:rFonts w:cstheme="minorHAnsi"/>
          <w:vertAlign w:val="subscript"/>
        </w:rPr>
        <w:t>Nd</w:t>
      </w:r>
      <w:r>
        <w:rPr>
          <w:rFonts w:cstheme="minorHAnsi"/>
        </w:rPr>
        <w:t xml:space="preserve"> </w:t>
      </w:r>
      <w:r w:rsidR="00332C21">
        <w:rPr>
          <w:rFonts w:cstheme="minorHAnsi"/>
        </w:rPr>
        <w:t xml:space="preserve">in </w:t>
      </w:r>
      <w:r>
        <w:rPr>
          <w:rFonts w:cstheme="minorHAnsi"/>
        </w:rPr>
        <w:t xml:space="preserve">the </w:t>
      </w:r>
      <w:r w:rsidR="00E869C7">
        <w:rPr>
          <w:rFonts w:cstheme="minorHAnsi"/>
        </w:rPr>
        <w:t>terrigenous</w:t>
      </w:r>
      <w:r>
        <w:rPr>
          <w:rFonts w:cstheme="minorHAnsi"/>
        </w:rPr>
        <w:t xml:space="preserve"> fraction at </w:t>
      </w:r>
      <w:r w:rsidR="00B04C31">
        <w:rPr>
          <w:rFonts w:cstheme="minorHAnsi"/>
        </w:rPr>
        <w:t xml:space="preserve">Site 662 and 1016. </w:t>
      </w:r>
      <w:r>
        <w:rPr>
          <w:rFonts w:cstheme="minorHAnsi"/>
        </w:rPr>
        <w:t xml:space="preserve">We </w:t>
      </w:r>
      <w:r w:rsidR="00820924">
        <w:rPr>
          <w:rFonts w:cstheme="minorHAnsi"/>
        </w:rPr>
        <w:t>document</w:t>
      </w:r>
      <w:r>
        <w:rPr>
          <w:rFonts w:cstheme="minorHAnsi"/>
        </w:rPr>
        <w:t xml:space="preserve"> </w:t>
      </w:r>
      <w:r w:rsidR="004F69EF">
        <w:rPr>
          <w:rFonts w:cstheme="minorHAnsi"/>
        </w:rPr>
        <w:t xml:space="preserve">only </w:t>
      </w:r>
      <w:r w:rsidR="00820924">
        <w:rPr>
          <w:rFonts w:cstheme="minorHAnsi"/>
        </w:rPr>
        <w:t>modest</w:t>
      </w:r>
      <w:r>
        <w:rPr>
          <w:rFonts w:cstheme="minorHAnsi"/>
        </w:rPr>
        <w:t xml:space="preserve"> variability in </w:t>
      </w:r>
      <w:r w:rsidRPr="00162F9C">
        <w:rPr>
          <w:rFonts w:cstheme="minorHAnsi"/>
        </w:rPr>
        <w:t>ε</w:t>
      </w:r>
      <w:r w:rsidRPr="00162F9C">
        <w:rPr>
          <w:rFonts w:cstheme="minorHAnsi"/>
          <w:vertAlign w:val="subscript"/>
        </w:rPr>
        <w:t>Nd</w:t>
      </w:r>
      <w:r>
        <w:rPr>
          <w:rFonts w:cstheme="minorHAnsi"/>
        </w:rPr>
        <w:t xml:space="preserve"> with </w:t>
      </w:r>
      <w:r w:rsidR="0082335A">
        <w:rPr>
          <w:rFonts w:cstheme="minorHAnsi"/>
        </w:rPr>
        <w:t>successive</w:t>
      </w:r>
      <w:r>
        <w:rPr>
          <w:rFonts w:cstheme="minorHAnsi"/>
        </w:rPr>
        <w:t xml:space="preserve"> DTPA-NaOH </w:t>
      </w:r>
      <w:r w:rsidR="00271F46">
        <w:rPr>
          <w:rFonts w:cstheme="minorHAnsi"/>
        </w:rPr>
        <w:t>treatment</w:t>
      </w:r>
      <w:r w:rsidR="00855B59">
        <w:rPr>
          <w:rFonts w:cstheme="minorHAnsi"/>
        </w:rPr>
        <w:t>s</w:t>
      </w:r>
      <w:r w:rsidRPr="00AB550D">
        <w:rPr>
          <w:rFonts w:cstheme="minorHAnsi"/>
        </w:rPr>
        <w:t xml:space="preserve"> (</w:t>
      </w:r>
      <w:r w:rsidR="00443C36">
        <w:rPr>
          <w:rFonts w:cstheme="minorHAnsi"/>
        </w:rPr>
        <w:t xml:space="preserve">Figure </w:t>
      </w:r>
      <w:r w:rsidR="00453DA5">
        <w:rPr>
          <w:rFonts w:cstheme="minorHAnsi"/>
        </w:rPr>
        <w:t>7</w:t>
      </w:r>
      <w:r>
        <w:rPr>
          <w:rFonts w:cstheme="minorHAnsi"/>
        </w:rPr>
        <w:t xml:space="preserve">). </w:t>
      </w:r>
      <w:r w:rsidR="00CA2477">
        <w:rPr>
          <w:rFonts w:cstheme="minorHAnsi"/>
        </w:rPr>
        <w:t>In most cases, s</w:t>
      </w:r>
      <w:r w:rsidR="00714D82">
        <w:rPr>
          <w:rFonts w:cstheme="minorHAnsi"/>
        </w:rPr>
        <w:t xml:space="preserve">amples from Site 662 </w:t>
      </w:r>
      <w:r w:rsidR="004F598B">
        <w:rPr>
          <w:rFonts w:cstheme="minorHAnsi"/>
        </w:rPr>
        <w:t>yield lower</w:t>
      </w:r>
      <w:r w:rsidR="00714D82" w:rsidRPr="004E1AB8">
        <w:rPr>
          <w:rFonts w:cstheme="minorHAnsi"/>
        </w:rPr>
        <w:t xml:space="preserve"> ε</w:t>
      </w:r>
      <w:r w:rsidR="00714D82" w:rsidRPr="004E1AB8">
        <w:rPr>
          <w:rFonts w:cstheme="minorHAnsi"/>
          <w:vertAlign w:val="subscript"/>
        </w:rPr>
        <w:t>Nd</w:t>
      </w:r>
      <w:r w:rsidR="00714D82" w:rsidRPr="004E1AB8">
        <w:rPr>
          <w:rFonts w:cstheme="minorHAnsi"/>
        </w:rPr>
        <w:t xml:space="preserve"> </w:t>
      </w:r>
      <w:r w:rsidR="004F598B">
        <w:rPr>
          <w:rFonts w:cstheme="minorHAnsi"/>
        </w:rPr>
        <w:t xml:space="preserve">values </w:t>
      </w:r>
      <w:r w:rsidR="00DD59FC">
        <w:rPr>
          <w:rFonts w:cstheme="minorHAnsi"/>
        </w:rPr>
        <w:t xml:space="preserve">(by up to </w:t>
      </w:r>
      <w:r w:rsidR="00B04C31">
        <w:rPr>
          <w:rFonts w:cstheme="minorHAnsi"/>
        </w:rPr>
        <w:t>0.7</w:t>
      </w:r>
      <w:r w:rsidR="00DD59FC">
        <w:rPr>
          <w:rFonts w:cstheme="minorHAnsi"/>
        </w:rPr>
        <w:t xml:space="preserve"> </w:t>
      </w:r>
      <w:r w:rsidR="00B04C31" w:rsidRPr="00B04C31">
        <w:rPr>
          <w:rFonts w:cstheme="minorHAnsi"/>
        </w:rPr>
        <w:t>ε</w:t>
      </w:r>
      <w:r w:rsidR="00B04C31" w:rsidRPr="00B04C31">
        <w:rPr>
          <w:rFonts w:cstheme="minorHAnsi"/>
          <w:vertAlign w:val="subscript"/>
        </w:rPr>
        <w:t>Nd</w:t>
      </w:r>
      <w:r w:rsidR="00DD59FC">
        <w:rPr>
          <w:rFonts w:cstheme="minorHAnsi"/>
        </w:rPr>
        <w:t xml:space="preserve">) </w:t>
      </w:r>
      <w:r w:rsidR="004F598B">
        <w:rPr>
          <w:rFonts w:cstheme="minorHAnsi"/>
        </w:rPr>
        <w:t>following</w:t>
      </w:r>
      <w:r w:rsidR="00714D82" w:rsidRPr="004E1AB8">
        <w:rPr>
          <w:rFonts w:cstheme="minorHAnsi"/>
        </w:rPr>
        <w:t xml:space="preserve"> DTPA-NaOH </w:t>
      </w:r>
      <w:r w:rsidR="0070753B">
        <w:rPr>
          <w:rFonts w:cstheme="minorHAnsi"/>
        </w:rPr>
        <w:t xml:space="preserve">treatment </w:t>
      </w:r>
      <w:r w:rsidR="004F598B">
        <w:rPr>
          <w:rFonts w:cstheme="minorHAnsi"/>
        </w:rPr>
        <w:t>while</w:t>
      </w:r>
      <w:r w:rsidR="004F598B" w:rsidRPr="004E1AB8">
        <w:rPr>
          <w:rFonts w:cstheme="minorHAnsi"/>
        </w:rPr>
        <w:t xml:space="preserve"> </w:t>
      </w:r>
      <w:r w:rsidR="004E1AB8">
        <w:rPr>
          <w:rFonts w:cstheme="minorHAnsi"/>
        </w:rPr>
        <w:t xml:space="preserve">the </w:t>
      </w:r>
      <w:r w:rsidR="00714D82" w:rsidRPr="004E1AB8">
        <w:rPr>
          <w:rFonts w:cstheme="minorHAnsi"/>
        </w:rPr>
        <w:t>sample from Site 1016 gives the opposite result</w:t>
      </w:r>
      <w:r w:rsidR="00B04C31">
        <w:rPr>
          <w:rFonts w:cstheme="minorHAnsi"/>
        </w:rPr>
        <w:t xml:space="preserve"> (</w:t>
      </w:r>
      <w:r w:rsidR="004F598B" w:rsidRPr="00B04C31">
        <w:rPr>
          <w:rFonts w:cstheme="minorHAnsi"/>
        </w:rPr>
        <w:t>ε</w:t>
      </w:r>
      <w:r w:rsidR="004F598B" w:rsidRPr="00B04C31">
        <w:rPr>
          <w:rFonts w:cstheme="minorHAnsi"/>
          <w:vertAlign w:val="subscript"/>
        </w:rPr>
        <w:t>Nd</w:t>
      </w:r>
      <w:r w:rsidR="004F598B">
        <w:rPr>
          <w:rFonts w:cstheme="minorHAnsi"/>
        </w:rPr>
        <w:t xml:space="preserve"> </w:t>
      </w:r>
      <w:r w:rsidR="00B04C31">
        <w:rPr>
          <w:rFonts w:cstheme="minorHAnsi"/>
        </w:rPr>
        <w:t>increases by up to 0.3)</w:t>
      </w:r>
      <w:r w:rsidR="00714D82" w:rsidRPr="00CF5486">
        <w:rPr>
          <w:rFonts w:cstheme="minorHAnsi"/>
        </w:rPr>
        <w:t xml:space="preserve">. </w:t>
      </w:r>
      <w:r w:rsidR="00BB2518">
        <w:rPr>
          <w:rFonts w:cstheme="minorHAnsi"/>
        </w:rPr>
        <w:t xml:space="preserve">Bottom water at Site 662 likely has a very similar </w:t>
      </w:r>
      <w:r w:rsidR="00BB2518" w:rsidRPr="00266FB6">
        <w:rPr>
          <w:rFonts w:cstheme="minorHAnsi"/>
        </w:rPr>
        <w:t>ε</w:t>
      </w:r>
      <w:r w:rsidR="00BB2518" w:rsidRPr="00266FB6">
        <w:rPr>
          <w:rFonts w:cstheme="minorHAnsi"/>
          <w:vertAlign w:val="subscript"/>
        </w:rPr>
        <w:t>Nd</w:t>
      </w:r>
      <w:r w:rsidR="00BB2518">
        <w:rPr>
          <w:rFonts w:cstheme="minorHAnsi"/>
        </w:rPr>
        <w:t xml:space="preserve"> signature to the </w:t>
      </w:r>
      <w:r w:rsidR="00501470">
        <w:rPr>
          <w:rFonts w:cstheme="minorHAnsi"/>
        </w:rPr>
        <w:t xml:space="preserve">bulk </w:t>
      </w:r>
      <w:r w:rsidR="00E869C7">
        <w:rPr>
          <w:rFonts w:cstheme="minorHAnsi"/>
        </w:rPr>
        <w:t>terrigenous</w:t>
      </w:r>
      <w:r w:rsidR="00BB2518">
        <w:rPr>
          <w:rFonts w:cstheme="minorHAnsi"/>
        </w:rPr>
        <w:t xml:space="preserve"> fraction </w:t>
      </w:r>
      <w:r w:rsidR="00F35B98">
        <w:rPr>
          <w:rFonts w:cstheme="minorHAnsi"/>
        </w:rPr>
        <w:fldChar w:fldCharType="begin" w:fldLock="1"/>
      </w:r>
      <w:r w:rsidR="00E03A90">
        <w:rPr>
          <w:rFonts w:cstheme="minorHAnsi"/>
        </w:rPr>
        <w:instrText>ADDIN CSL_CITATION {"citationItems":[{"id":"ITEM-1","itemData":{"DOI":"10.1016/j.epsl.2014.12.008","ISSN":"0012821X","abstract":"The radiogenic neodymium (Nd) isotope ratio 143Nd/144Nd (expressed in εNd) is being used as a tracer in paleo and modern ocean circulation. However, the mechanisms controlling input, distribution, and internal cycling are far from understood. For example, globally, Nd concentration ([Nd]) commonly follows patterns of nutrient tracers, generally increasing with depth below the thermocline, while εNd, tends to reflect the water masses, which has often been referred to as the 'Nd-paradox'. Here we present dissolved Nd isotopes and concentrations at unprecedented vertical and spatial resolution from the eastern part of the US GEOTRACES North Atlantic Zonal Transect (Gulf of Cadiz - Mauritanian Shelf - Cape Verde Islands).The [Nd] of all samples ranges from 12.3 to 36.7 pmol/kg, with lowest [Nd] usually found within the layer of highest chlorophyll-a levels (chl-max), suggesting removal through scavenging. The Nd isotope compositions range between εNd=-13.4 and -9.9, with lower values at the surface within the extension of the Saharan dust plume and a benthic nepheloid layer (BNL). Less negative values are found in oligotrophic surface waters, Mediterranean Outflow Water (MOW), and near the Cape Verde Islands. Overall, water mass mixing derived from εNd is best visible at the Strait of Gibraltar, where MOW enters the Atlantic Ocean. Most of the sub-thermocline εNd varies within a small range with poor water mass distinction due to the dominance of North Atlantic Deep Water. High surface [Nd] associated with more negative εNd is interpreted to be the result of dust deposition and dissolution. Local [Nd] maxima with no apparent change in εNd compared to ambient seawater, observed within a zone of minimum oxygen concentration (OMZ) at ~500 m depth off Mauritania, suggest minor input of lithogenic Nd but a rather high contribution through desorption of previously scavenged Nd. That is, Saharan dust in this area has only a minor influence on the isotope composition of water below the uppermost surface layer. The low εNd values and elevated [Nd] within the BNL on the other hand indicate release from detrital material. Our new high-resolution dataset gives valuable insights into the Nd distribution near continental margins, influenced by high atmospheric inputs and changing oxygen conditions. We show how vertical and lateral processes overlap to produce the observed Nd distribution, bringing us forward in understanding the Nd-paradox.","author":[{"dropping-particle":"","family":"Stichel","given":"Torben","non-dropping-particle":"","parse-names":false,"suffix":""},{"dropping-particle":"","family":"Hartman","given":"Alison E.","non-dropping-particle":"","parse-names":false,"suffix":""},{"dropping-particle":"","family":"Duggan","given":"Brian","non-dropping-particle":"","parse-names":false,"suffix":""},{"dropping-particle":"","family":"Goldstein","given":"Steven L.","non-dropping-particle":"","parse-names":false,"suffix":""},{"dropping-particle":"","family":"Scher","given":"Howie","non-dropping-particle":"","parse-names":false,"suffix":""},{"dropping-particle":"","family":"Pahnke","given":"Katharina","non-dropping-particle":"","parse-names":false,"suffix":""}],"container-title":"Earth and Planetary Science Letters","id":"ITEM-1","issued":{"date-parts":[["2015"]]},"note":"Sent by Anya July 2021 as refs to show seawater compostion near 662 for methods paper.","page":"245-260","publisher":"Elsevier B.V.","title":"Separating biogeochemical cycling of neodymium from water mass mixing in the Eastern North Atlantic","type":"article-journal","volume":"412"},"uris":["http://www.mendeley.com/documents/?uuid=aa0aa916-cab4-4400-aab4-3b0a2ea59372"]},{"id":"ITEM-2","itemData":{"DOI":"10.1016/j.epsl.2008.05.011","ISSN":"0012821X","abstract":"While ocean circulation is driven by the formation of deep water in the North Atlantic and the Circum-Antarctic, the role of southern-sourced deep water formation in climate change is poorly understood. Here we address the balance of northern- and southern-sourced waters in the South Atlantic through the last glacial period using neodymium isotope ratios of authigenic ferromanganese oxides in thirteen deep sea cores from throughout the South Atlantic. The data indicate that northern-sourced water did not reach the Southern Ocean during the late glacial, and was replaced by southern-derived intermediate and deep waters. The high-resolution neodymium isotope record (~ 300 yr sample spacing) from two spliced deep Cape Basin sites indicates that over the last glacial period northern-sourced water mass export to the Southern Ocean was stronger during the major Greenland millennial warming intervals (and Southern Hemisphere cool periods), and particularly during the major interstadials 8, 12, and 14. Northern-sourced water mass export was weaker during Greenland stadials and reached minima during Heinrich Events. The benthic foraminiferal carbon isotopes in the same Cape Basin core reflect a partial control by Southern Hemisphere climate changes and indicate that deep water formation and ventilation occurred in the Southern Ocean during major Greenland cooling intervals (stadials). Together, neodymium isotopes and benthic carbon isotopes provide new information about water mass sourcing and circulation in deep Southern Ocean waters during rapid glacial climate changes. Combining carbon and neodymium isotopes can be used to monitor the relative proportion of northern- and southern-sourced waters in the Cape Basin to gain insight into the processes which control the carbon isotopic composition of deep waters. In this study we show that deep water formation and circulation was more important than biological productivity and nutrient regeneration changes for controlling the carbon isotope chemistry of Antarctic Bottom Water during millennial-scale glacial climate cycles. This observation also lends support to the hypothesis that ocean circulation is linked to interhemispheric climate changes on short timescales, and that ventilation in the glacial ocean rapidly switched between the northern and Southern Hemisphere on millennial timescales. © 2008 Elsevier B.V. All rights reserved.","author":[{"dropping-particle":"","family":"Piotrowski","given":"Alexander M.","non-dropping-particle":"","parse-names":false,"suffix":""},{"dropping-particle":"","family":"Goldstein","given":"Steven L.","non-dropping-particle":"","parse-names":false,"suffix":""},{"dropping-particle":"","family":"Hemming","given":"Sidney, R.","non-dropping-particle":"","parse-names":false,"suffix":""},{"dropping-particle":"","family":"Fairbanks","given":"Richard G.","non-dropping-particle":"","parse-names":false,"suffix":""},{"dropping-particle":"","family":"Zylberberg","given":"David R.","non-dropping-particle":"","parse-names":false,"suffix":""}],"container-title":"Earth and Planetary Science Letters","id":"ITEM-2","issue":"1-2","issued":{"date-parts":[["2008"]]},"note":"Sent by Anya July 2021 as refs to show seawater compostion near 662 for methods paper.","page":"394-405","title":"Oscillating glacial northern and southern deep water formation from combined neodymium and carbon isotopes","type":"article-journal","volume":"272"},"uris":["http://www.mendeley.com/documents/?uuid=7d0d700b-81a4-4eee-a830-ce4504ca82da"]},{"id":"ITEM-3","itemData":{"DOI":"10.1016/j.epsl.2016.10.048","ISSN":"0012821X","abstract":"Radiogenic neodymium isotopes have been used as a water mass mixing proxy to investigate past changes in ocean circulation. Here we present a new depth transect of deglacial neodymium isotope records measured on uncleaned planktic foraminifera from five cores spanning from 3300 to 4900 m on the Mauritanian margin, in the tropical eastern Atlantic as well as an additional record from 4000 m on the Ceara Rise in the equatorial western Atlantic. Despite being located under the Saharan dust plume, the eastern Atlantic records differ from the composition of detrital inputs through time and exhibit similar values to the western Atlantic foraminiferal Nd across the deglaciation. Therefore we interpret the foraminiferal values as recording deep water Nd isotope changes. All six cores shift to less radiogenic values across the deglaciation, indicating that they were bathed by a lower proportion of North Atlantic Deep Water during the Last Glacial Maximum (LGM) relative to the Holocene. The eastern Atlantic records also show that a neodymium isotope gradient was present during the LGM and during the deglaciation, with more radiogenic values observed at the deepest sites. A homogeneous water mass observed below 3750 m in the deepest eastern Atlantic during the LGM is attributed to the mixing of deep water by rough topography as it passes from the western Atlantic through the fracture zones in the Mid-Atlantic Ridge. This implies that during the LGM the low latitude deep eastern Atlantic was ventilated from the western Atlantic via advection through fracture zones in the same manner as occurs in the modern ocean. Comparison with carbon isotopes indicates there was more respired carbon in the deep eastern than deep western Atlantic during the LGM, as is also seen in the modern Atlantic Ocean.","author":[{"dropping-particle":"","family":"Howe","given":"Jacob N.W.","non-dropping-particle":"","parse-names":false,"suffix":""},{"dropping-particle":"","family":"Piotrowski","given":"Alexander M.","non-dropping-particle":"","parse-names":false,"suffix":""},{"dropping-particle":"","family":"Hu","given":"Rong","non-dropping-particle":"","parse-names":false,"suffix":""},{"dropping-particle":"","family":"Bory","given":"Aloys","non-dropping-particle":"","parse-names":false,"suffix":""}],"container-title":"Earth and Planetary Science Letters","id":"ITEM-3","issued":{"date-parts":[["2017"]]},"note":"Sent by Anya July 2021 as refs to show seawater compostion near 662 for methods paper.","page":"327-336","title":"Reconstruction of east–west deep water exchange in the low latitude Atlantic Ocean over the past 25,000 years","type":"article-journal","volume":"458"},"uris":["http://www.mendeley.com/documents/?uuid=fad01e6e-50a6-47c8-a47d-2fc97b067f85"]}],"mendeley":{"formattedCitation":"(Howe et al., 2017; Piotrowski et al., 2008; Stichel et al., 2015)","plainTextFormattedCitation":"(Howe et al., 2017; Piotrowski et al., 2008; Stichel et al., 2015)","previouslyFormattedCitation":"(Howe et al., 2017; Piotrowski et al., 2008; Stichel et al., 2015)"},"properties":{"noteIndex":0},"schema":"https://github.com/citation-style-language/schema/raw/master/csl-citation.json"}</w:instrText>
      </w:r>
      <w:r w:rsidR="00F35B98">
        <w:rPr>
          <w:rFonts w:cstheme="minorHAnsi"/>
        </w:rPr>
        <w:fldChar w:fldCharType="separate"/>
      </w:r>
      <w:r w:rsidR="00F35B98" w:rsidRPr="00F35B98">
        <w:rPr>
          <w:rFonts w:cstheme="minorHAnsi"/>
          <w:noProof/>
        </w:rPr>
        <w:t>(Howe et al., 2017; Piotrowski et al., 2008; Stichel et al., 2015)</w:t>
      </w:r>
      <w:r w:rsidR="00F35B98">
        <w:rPr>
          <w:rFonts w:cstheme="minorHAnsi"/>
        </w:rPr>
        <w:fldChar w:fldCharType="end"/>
      </w:r>
      <w:r w:rsidR="00BB2518">
        <w:rPr>
          <w:rFonts w:cstheme="minorHAnsi"/>
        </w:rPr>
        <w:t xml:space="preserve">, </w:t>
      </w:r>
      <w:r w:rsidR="00266FB6">
        <w:rPr>
          <w:rFonts w:cstheme="minorHAnsi"/>
        </w:rPr>
        <w:t>prevent</w:t>
      </w:r>
      <w:r w:rsidR="00BB2518">
        <w:rPr>
          <w:rFonts w:cstheme="minorHAnsi"/>
        </w:rPr>
        <w:t>ing</w:t>
      </w:r>
      <w:r w:rsidR="00266FB6">
        <w:rPr>
          <w:rFonts w:cstheme="minorHAnsi"/>
        </w:rPr>
        <w:t xml:space="preserve"> </w:t>
      </w:r>
      <w:r w:rsidR="0000739C">
        <w:rPr>
          <w:rFonts w:cstheme="minorHAnsi"/>
        </w:rPr>
        <w:t xml:space="preserve">a detailed </w:t>
      </w:r>
      <w:r w:rsidR="00266FB6">
        <w:rPr>
          <w:rFonts w:cstheme="minorHAnsi"/>
        </w:rPr>
        <w:t xml:space="preserve">assessment of </w:t>
      </w:r>
      <w:r w:rsidR="0000739C">
        <w:rPr>
          <w:rFonts w:cstheme="minorHAnsi"/>
        </w:rPr>
        <w:t xml:space="preserve">the potential influence of </w:t>
      </w:r>
      <w:r w:rsidR="00266FB6">
        <w:rPr>
          <w:rFonts w:cstheme="minorHAnsi"/>
        </w:rPr>
        <w:t>seawater Nd at Site 662</w:t>
      </w:r>
      <w:r w:rsidR="00BB2518">
        <w:rPr>
          <w:rFonts w:cstheme="minorHAnsi"/>
        </w:rPr>
        <w:t>. However,</w:t>
      </w:r>
      <w:r w:rsidR="00266FB6">
        <w:rPr>
          <w:rFonts w:cstheme="minorHAnsi"/>
        </w:rPr>
        <w:t xml:space="preserve"> a</w:t>
      </w:r>
      <w:r w:rsidR="0054453A" w:rsidRPr="00CF5486">
        <w:rPr>
          <w:rFonts w:cstheme="minorHAnsi"/>
        </w:rPr>
        <w:t xml:space="preserve">t </w:t>
      </w:r>
      <w:r w:rsidR="00CA2477">
        <w:rPr>
          <w:rFonts w:cstheme="minorHAnsi"/>
        </w:rPr>
        <w:t>Site 1016</w:t>
      </w:r>
      <w:r w:rsidR="006A0959">
        <w:rPr>
          <w:rFonts w:cstheme="minorHAnsi"/>
        </w:rPr>
        <w:t>,</w:t>
      </w:r>
      <w:r w:rsidR="0054453A" w:rsidRPr="00CF5486">
        <w:rPr>
          <w:rFonts w:cstheme="minorHAnsi"/>
        </w:rPr>
        <w:t xml:space="preserve"> </w:t>
      </w:r>
      <w:r w:rsidR="006A0959">
        <w:rPr>
          <w:rFonts w:cstheme="minorHAnsi"/>
        </w:rPr>
        <w:t>although no local bottom water measurements are available, there appears to</w:t>
      </w:r>
      <w:r w:rsidR="00BB2518">
        <w:rPr>
          <w:rFonts w:cstheme="minorHAnsi"/>
        </w:rPr>
        <w:t xml:space="preserve"> </w:t>
      </w:r>
      <w:r w:rsidR="00F35B98">
        <w:rPr>
          <w:rFonts w:cstheme="minorHAnsi"/>
        </w:rPr>
        <w:t xml:space="preserve">be </w:t>
      </w:r>
      <w:r w:rsidR="00BB2518">
        <w:rPr>
          <w:rFonts w:cstheme="minorHAnsi"/>
        </w:rPr>
        <w:t xml:space="preserve">a large offset between </w:t>
      </w:r>
      <w:r w:rsidR="006A0959">
        <w:rPr>
          <w:rFonts w:cstheme="minorHAnsi"/>
        </w:rPr>
        <w:t xml:space="preserve">regional bottom water signatures and </w:t>
      </w:r>
      <w:r w:rsidR="00E869C7">
        <w:rPr>
          <w:rFonts w:cstheme="minorHAnsi"/>
        </w:rPr>
        <w:t>terrigenous</w:t>
      </w:r>
      <w:r w:rsidR="006A0959">
        <w:rPr>
          <w:rFonts w:cstheme="minorHAnsi"/>
        </w:rPr>
        <w:t xml:space="preserve"> material </w:t>
      </w:r>
      <w:r w:rsidR="006A0959" w:rsidRPr="00CF5486">
        <w:rPr>
          <w:rFonts w:cstheme="minorHAnsi"/>
        </w:rPr>
        <w:t>(</w:t>
      </w:r>
      <w:r w:rsidR="006A0959">
        <w:rPr>
          <w:rFonts w:cstheme="minorHAnsi"/>
        </w:rPr>
        <w:t xml:space="preserve">estimated modern/Holocene bottom </w:t>
      </w:r>
      <w:r w:rsidR="006A0959" w:rsidRPr="00CF5486">
        <w:rPr>
          <w:rFonts w:cstheme="minorHAnsi"/>
        </w:rPr>
        <w:t>water ε</w:t>
      </w:r>
      <w:r w:rsidR="006A0959" w:rsidRPr="00CF5486">
        <w:rPr>
          <w:rFonts w:cstheme="minorHAnsi"/>
          <w:vertAlign w:val="subscript"/>
        </w:rPr>
        <w:t>Nd</w:t>
      </w:r>
      <w:r w:rsidR="006A0959" w:rsidRPr="00CF5486">
        <w:rPr>
          <w:rFonts w:cstheme="minorHAnsi"/>
        </w:rPr>
        <w:t xml:space="preserve"> composition</w:t>
      </w:r>
      <w:r w:rsidR="006A0959">
        <w:rPr>
          <w:rFonts w:cstheme="minorHAnsi"/>
        </w:rPr>
        <w:t>s</w:t>
      </w:r>
      <w:r w:rsidR="006A0959" w:rsidRPr="00CF5486">
        <w:rPr>
          <w:rFonts w:cstheme="minorHAnsi"/>
        </w:rPr>
        <w:t xml:space="preserve"> </w:t>
      </w:r>
      <w:r w:rsidR="006A0959">
        <w:rPr>
          <w:rFonts w:cstheme="minorHAnsi"/>
        </w:rPr>
        <w:t>are</w:t>
      </w:r>
      <w:r w:rsidR="006A0959" w:rsidRPr="00CF5486">
        <w:rPr>
          <w:rFonts w:cstheme="minorHAnsi"/>
        </w:rPr>
        <w:t xml:space="preserve"> </w:t>
      </w:r>
      <w:r w:rsidR="006A0959">
        <w:rPr>
          <w:rFonts w:cstheme="minorHAnsi"/>
        </w:rPr>
        <w:t xml:space="preserve">-2 to -4, </w:t>
      </w:r>
      <w:r w:rsidR="006A0959">
        <w:rPr>
          <w:rFonts w:cstheme="minorHAnsi"/>
        </w:rPr>
        <w:fldChar w:fldCharType="begin" w:fldLock="1"/>
      </w:r>
      <w:r w:rsidR="00F35B98">
        <w:rPr>
          <w:rFonts w:cstheme="minorHAnsi"/>
        </w:rPr>
        <w:instrText>ADDIN CSL_CITATION {"citationItems":[{"id":"ITEM-1","itemData":{"DOI":"10.1038/s41467-018-07079-z","ISSN":"20411723","PMID":"30413704","abstract":"There is evidence for greater carbon storage in the glacial deep Pacific, but it is uncertain whether it was caused by changes in ventilation, circulation, and biological productivity. The spatial ε Nd evolution in the deep Pacific provides information on the deepwater transit time. Seven new foraminiferal ε Nd records are presented to systematically constrain glacial to interglacial changes in deep Pacific overturning and two different ε Nd evolution regimes occur spatially in the Pacific with reduced meridional ε Nd gradients in glacials, suggesting a faster deep Pacific overturning circulation. This implies that greater glacial carbon storage due to sluggish circulation, that is believed to have occurred in the deep Atlantic, did not operate in a similar manner in the Pacific Ocean. Other mechanisms such as increased biological pump efficiency and poor high latitude air-sea exchange could be responsible for increased carbon storage in the glacial Pacific.","author":[{"dropping-particle":"","family":"Hu","given":"Rong","non-dropping-particle":"","parse-names":false,"suffix":""},{"dropping-particle":"","family":"Piotrowski","given":"Alexander M.","non-dropping-particle":"","parse-names":false,"suffix":""}],"container-title":"Nature Communications","id":"ITEM-1","issue":"1","issued":{"date-parts":[["2018"]]},"page":"1-12","title":"Neodymium isotope evidence for glacial-interglacial variability of deepwater transit time in the Pacific Ocean","type":"article-journal","volume":"9"},"uris":["http://www.mendeley.com/documents/?uuid=a1b14d7e-4c6a-42c5-92f1-cfeced8ad3b0"]},{"id":"ITEM-2","itemData":{"DOI":"10.1016/j.chemgeo.2017.03.018","ISSN":"00092541","abstract":"Neodymium isotopic compositions (143Nd/144Nd or εNd) have been used as a tracer of water masses and lithogenic inputs to the ocean. To further evaluate the faithfulness of this tracer, we have updated a global seawater εNd database and combined it with hydrography parameters (temperature, salinity, nutrients and oxygen concentrations), carbon isotopic ratio and radiocarbon of dissolved inorganic carbon. Archive εNd data are also compiled for leachates, foraminiferal tests, deep-sea corals and fish teeth/debris from the Holocene period (&lt; 10,000 years). At water depths ≥ 1500 m, property-property plots show clear correlations between seawater εNd and the other variables, suggesting that large-scale water mass mixing is a primary control of deepwater εNd distribution. At ≥ 200 m, basin-scale seawater T-S-εNd diagrams demonstrate the isotopic evolution of different water masses. Seawater and archive εNd values are compared using property-property plots and T-S-εNd diagrams. Archive values generally agree with corresponding seawater values although they tend to be at the upper limit in the Pacific. Both positive and negative offsets exist in the northern North Atlantic. Applying multiple regression analysis to deep (≥ 1500 m) seawater data, we established empirical equations that predict the main, large-scale, deepwater εNd trends from hydrography parameters. Large offsets from the predicted values are interpreted as a sign of significant local/regional influence. Dominant continental influence on seawater and archive εNd is observed mainly within 1000 km from the continents. Generally, seawater and archive εNd values form gradual latitudinal trend in the Atlantic and Pacific at depths ≥ 600 m, consistent with the idea that Nd isotopes help distinguish between northern/southern sourced water contributions at intermediate and deep water depths.","author":[{"dropping-particle":"","family":"Tachikawa","given":"Kazuyo","non-dropping-particle":"","parse-names":false,"suffix":""},{"dropping-particle":"","family":"Arsouze","given":"Thomas","non-dropping-particle":"","parse-names":false,"suffix":""},{"dropping-particle":"","family":"Bayon","given":"Germain","non-dropping-particle":"","parse-names":false,"suffix":""},{"dropping-particle":"","family":"Bory","given":"Aloys","non-dropping-particle":"","parse-names":false,"suffix":""},{"dropping-particle":"","family":"Colin","given":"Christophe","non-dropping-particle":"","parse-names":false,"suffix":""},{"dropping-particle":"","family":"Dutay","given":"Jean Claude","non-dropping-particle":"","parse-names":false,"suffix":""},{"dropping-particle":"","family":"Frank","given":"Norbert","non-dropping-particle":"","parse-names":false,"suffix":""},{"dropping-particle":"","family":"Giraud","given":"Xavier","non-dropping-particle":"","parse-names":false,"suffix":""},{"dropping-particle":"","family":"Gourlan","given":"Alexandra T.","non-dropping-particle":"","parse-names":false,"suffix":""},{"dropping-particle":"","family":"Jeandel","given":"Catherine","non-dropping-particle":"","parse-names":false,"suffix":""},{"dropping-particle":"","family":"Lacan","given":"François","non-dropping-particle":"","parse-names":false,"suffix":""},{"dropping-particle":"","family":"Meynadier","given":"Laure","non-dropping-particle":"","parse-names":false,"suffix":""},{"dropping-particle":"","family":"Montagna","given":"Paolo","non-dropping-particle":"","parse-names":false,"suffix":""},{"dropping-particle":"","family":"Piotrowski","given":"Alexander M.","non-dropping-particle":"","parse-names":false,"suffix":""},{"dropping-particle":"","family":"Plancherel","given":"Yves","non-dropping-particle":"","parse-names":false,"suffix":""},{"dropping-particle":"","family":"Pucéat","given":"Emmanuelle","non-dropping-particle":"","parse-names":false,"suffix":""},{"dropping-particle":"","family":"Roy-Barman","given":"Matthieu","non-dropping-particle":"","parse-names":false,"suffix":""},{"dropping-particle":"","family":"Waelbroeck","given":"Claire","non-dropping-particle":"","parse-names":false,"suffix":""}],"container-title":"Chemical Geology","id":"ITEM-2","issue":"March","issued":{"date-parts":[["2017"]]},"page":"131-148","title":"The large-scale evolution of neodymium isotopic composition in the global modern and Holocene ocean revealed from seawater and archive data","type":"article-journal","volume":"457"},"uris":["http://www.mendeley.com/documents/?uuid=8f089e76-3a59-4312-ad14-9aa7b012e32e"]},{"id":"ITEM-3","itemData":{"DOI":"10.1016/j.gca.2016.08.005","ISSN":"00167037","abstract":"The isotopic composition of neodymium (εNd) extracted from sedimentary Fe–Mn oxyhydroxide offers potential for reconstructing paleo-circulation, but its application depends on extraction methodology and the mechanisms that relate authigenic εNd to bottom water. Here we test methods to extract authigenic εNd from Gulf of Alaska (GOA) sediments and assess sources of leachate Nd, including potential contamination from trace dispersed volcanic ash. We show that one dominant phase is extracted via leaching of core-top sediments. Major and trace element geochemistry demonstrate that this phase is authigenic Fe–Mn oxyhydroxide. Contamination of leachate (authigenic) Nd from detrital sources is insignificant (&lt;1%); our empirical results are consistent with established kinetic mineral dissolution rates and theory. Contamination of extracted εNd from leaching of volcanic ash is below analytical uncertainty. However, the εNd of core-top leachates in the GOA is consistently more radiogenic than bottom water. We infer that authigenic phases record pore water εNd, and the relationships of εNd among bottom waters, pore waters, authigenic phases and detrital sediments are primarily governed by the exposure time of bottom water to sea-floor sediments, rate of exchange across the sediment-water interface and the reactivity and composition of detrital sediments. We show that this conceptual model is applicable on the Pacific basin scale and provide a new framework to understand the role of authigenic phases in both modern and paleo-applications, including the use of authigenic εNd as a paleo-circulation tracer.","author":[{"dropping-particle":"","family":"Du","given":"Jianghui","non-dropping-particle":"","parse-names":false,"suffix":""},{"dropping-particle":"","family":"Haley","given":"Brian A.","non-dropping-particle":"","parse-names":false,"suffix":""},{"dropping-particle":"","family":"Mix","given":"Alan C.","non-dropping-particle":"","parse-names":false,"suffix":""}],"container-title":"Geochimica et Cosmochimica Acta","id":"ITEM-3","issued":{"date-parts":[["2016"]]},"page":"14-35","title":"Neodymium isotopes in authigenic phases, bottom waters and detrital sediments in the Gulf of Alaska and their implications for paleo-circulation reconstruction","type":"article-journal","volume":"193"},"uris":["http://www.mendeley.com/documents/?uuid=fce40b33-d417-4dfc-b116-0e23d11ba004"]},{"id":"ITEM-4","itemData":{"DOI":"10.1016/j.quascirev.2020.106396","ISSN":"02773791","abstract":"The Global Overturning Circulation is linked to climate change on glacial-interglacial and multi-millennial timescales. The understanding of past climate-circulation links remains hindered by apparent conflicts among proxy measures of circulation. Here we reconstruct circulation changes since the Last Glacial Maximum (LGM) based on a global synthesis of authigenic neodymium isotope records (εNd). We propose the bottom-up framework of interpreting seawater and authigenic εNd considering not only conservative watermass mixing, but also the preformed properties and the non-conservative behavior of εNd, both subject to sedimentary influences. We extract the major spatial-temporal modes of authigenic εNd using Principal Component Analysis, and make a first-order circulation reconstruction with budget-constrained box model simulations. We show that during the LGM, the source region of North Atlantic overturning shifted southward, which led to more radiogenic preformed εNd of glacial Northern Source Water (NSW). Considering this preformed effect, we infer that glacial deep Atlantic had a similar proportion of NSW as today, although the overall strength of glacial circulation appears reduced from both North Atlantic and Southern Ocean sources, which increased the relative importance of non-conservative behavior of εNd and may have facilitated accumulation of respired carbon in the deep ocean. During the deglaciation, we find that Southern Ocean overturning increased, which offset suppressed North Atlantic overturning and resulted in a net stronger global abyssal circulation. Faster global scale deglacial circulation reduced the relative importance of non-conservative effects, resulting in Atlantic-Pacific convergence of abyssal εNd signatures. Variations of Southern Ocean overturning likely drove a significant fraction of deglacial changes in atmospheric CO2 and oceanic heat budget.","author":[{"dropping-particle":"","family":"Du","given":"Jianghui","non-dropping-particle":"","parse-names":false,"suffix":""},{"dropping-particle":"","family":"Haley","given":"Brian A.","non-dropping-particle":"","parse-names":false,"suffix":""},{"dropping-particle":"","family":"Mix","given":"Alan C.","non-dropping-particle":"","parse-names":false,"suffix":""}],"container-title":"Quaternary Science Reviews","id":"ITEM-4","issued":{"date-parts":[["2020"]]},"title":"Evolution of the Global Overturning Circulation since the Last Glacial Maximum based on marine authigenic neodymium isotopes","type":"article-journal","volume":"241"},"uris":["http://www.mendeley.com/documents/?uuid=ab7e07ba-d4a1-43d9-9fd8-033cf3efe42e"]}],"mendeley":{"formattedCitation":"(Du et al., 2020, 2016; Hu and Piotrowski, 2018; Tachikawa et al., 2017)","manualFormatting":"Du et al., 2020, 2016; Hu and Piotrowski, 2018; Tachikawa et al., 2017)","plainTextFormattedCitation":"(Du et al., 2020, 2016; Hu and Piotrowski, 2018; Tachikawa et al., 2017)","previouslyFormattedCitation":"(Du et al., 2020, 2016; Hu and Piotrowski, 2018; Tachikawa et al., 2017)"},"properties":{"noteIndex":0},"schema":"https://github.com/citation-style-language/schema/raw/master/csl-citation.json"}</w:instrText>
      </w:r>
      <w:r w:rsidR="006A0959">
        <w:rPr>
          <w:rFonts w:cstheme="minorHAnsi"/>
        </w:rPr>
        <w:fldChar w:fldCharType="separate"/>
      </w:r>
      <w:r w:rsidR="006A0959" w:rsidRPr="009C12CE">
        <w:rPr>
          <w:rFonts w:cstheme="minorHAnsi"/>
          <w:noProof/>
        </w:rPr>
        <w:t>Du et al., 2020, 2016; Hu and Piotrowski, 2018; Tachikawa et al., 2017)</w:t>
      </w:r>
      <w:r w:rsidR="006A0959">
        <w:rPr>
          <w:rFonts w:cstheme="minorHAnsi"/>
        </w:rPr>
        <w:fldChar w:fldCharType="end"/>
      </w:r>
      <w:r w:rsidR="006A0959">
        <w:rPr>
          <w:rFonts w:cstheme="minorHAnsi"/>
        </w:rPr>
        <w:t>.</w:t>
      </w:r>
      <w:r w:rsidR="00BB2518">
        <w:rPr>
          <w:rFonts w:cstheme="minorHAnsi"/>
        </w:rPr>
        <w:t xml:space="preserve"> We record a small shift in </w:t>
      </w:r>
      <w:r w:rsidR="0054453A" w:rsidRPr="00CF5486">
        <w:rPr>
          <w:rFonts w:cstheme="minorHAnsi"/>
        </w:rPr>
        <w:t>ε</w:t>
      </w:r>
      <w:r w:rsidR="0054453A" w:rsidRPr="00CF5486">
        <w:rPr>
          <w:rFonts w:cstheme="minorHAnsi"/>
          <w:vertAlign w:val="subscript"/>
        </w:rPr>
        <w:t>Nd</w:t>
      </w:r>
      <w:r w:rsidR="0054453A" w:rsidRPr="00CF5486">
        <w:rPr>
          <w:rFonts w:cstheme="minorHAnsi"/>
        </w:rPr>
        <w:t xml:space="preserve"> </w:t>
      </w:r>
      <w:r w:rsidR="006A0959">
        <w:rPr>
          <w:rFonts w:cstheme="minorHAnsi"/>
        </w:rPr>
        <w:t xml:space="preserve">of the </w:t>
      </w:r>
      <w:r w:rsidR="00E869C7">
        <w:rPr>
          <w:rFonts w:cstheme="minorHAnsi"/>
        </w:rPr>
        <w:t>terrigenous</w:t>
      </w:r>
      <w:r w:rsidR="006A0959">
        <w:rPr>
          <w:rFonts w:cstheme="minorHAnsi"/>
        </w:rPr>
        <w:t xml:space="preserve"> fraction </w:t>
      </w:r>
      <w:r w:rsidR="0054453A" w:rsidRPr="00CF5486">
        <w:rPr>
          <w:rFonts w:cstheme="minorHAnsi"/>
        </w:rPr>
        <w:t>with repeated</w:t>
      </w:r>
      <w:r w:rsidR="00855B59">
        <w:rPr>
          <w:rFonts w:cstheme="minorHAnsi"/>
        </w:rPr>
        <w:t xml:space="preserve"> DTPA-NaOH</w:t>
      </w:r>
      <w:r w:rsidR="0054453A" w:rsidRPr="00CF5486">
        <w:rPr>
          <w:rFonts w:cstheme="minorHAnsi"/>
        </w:rPr>
        <w:t xml:space="preserve"> </w:t>
      </w:r>
      <w:r w:rsidR="0070753B">
        <w:rPr>
          <w:rFonts w:cstheme="minorHAnsi"/>
        </w:rPr>
        <w:t>treatment</w:t>
      </w:r>
      <w:r w:rsidR="00855B59">
        <w:rPr>
          <w:rFonts w:cstheme="minorHAnsi"/>
        </w:rPr>
        <w:t>s</w:t>
      </w:r>
      <w:r w:rsidR="0070753B">
        <w:rPr>
          <w:rFonts w:cstheme="minorHAnsi"/>
        </w:rPr>
        <w:t xml:space="preserve"> </w:t>
      </w:r>
      <w:r w:rsidR="00CF5FBF">
        <w:rPr>
          <w:rFonts w:cstheme="minorHAnsi"/>
        </w:rPr>
        <w:t xml:space="preserve">but </w:t>
      </w:r>
      <w:r w:rsidR="00CF5FBF" w:rsidRPr="00CF5486">
        <w:rPr>
          <w:rFonts w:cstheme="minorHAnsi"/>
        </w:rPr>
        <w:t xml:space="preserve">towards </w:t>
      </w:r>
      <w:r w:rsidR="00CF5FBF">
        <w:rPr>
          <w:rFonts w:cstheme="minorHAnsi"/>
        </w:rPr>
        <w:t>the</w:t>
      </w:r>
      <w:r w:rsidR="00CF5FBF" w:rsidRPr="00CF5486">
        <w:rPr>
          <w:rFonts w:cstheme="minorHAnsi"/>
        </w:rPr>
        <w:t xml:space="preserve"> local seawater composition</w:t>
      </w:r>
      <w:r w:rsidR="00CF5FBF">
        <w:rPr>
          <w:rFonts w:cstheme="minorHAnsi"/>
        </w:rPr>
        <w:t xml:space="preserve"> </w:t>
      </w:r>
      <w:r w:rsidR="006A0959">
        <w:rPr>
          <w:rFonts w:cstheme="minorHAnsi"/>
        </w:rPr>
        <w:t>(Figure 7)</w:t>
      </w:r>
      <w:r w:rsidR="00266FB6">
        <w:rPr>
          <w:rFonts w:cstheme="minorHAnsi"/>
        </w:rPr>
        <w:t xml:space="preserve">. </w:t>
      </w:r>
      <w:r w:rsidR="0000739C">
        <w:rPr>
          <w:rFonts w:cstheme="minorHAnsi"/>
        </w:rPr>
        <w:t>It is unlikely, therefore,</w:t>
      </w:r>
      <w:r w:rsidR="00266FB6">
        <w:rPr>
          <w:rFonts w:cstheme="minorHAnsi"/>
        </w:rPr>
        <w:t xml:space="preserve"> </w:t>
      </w:r>
      <w:r w:rsidR="009C12CE" w:rsidRPr="00CF5486">
        <w:rPr>
          <w:rFonts w:cstheme="minorHAnsi"/>
        </w:rPr>
        <w:t xml:space="preserve">that </w:t>
      </w:r>
      <w:r w:rsidR="009C12CE">
        <w:rPr>
          <w:rFonts w:cstheme="minorHAnsi"/>
        </w:rPr>
        <w:t xml:space="preserve">the small </w:t>
      </w:r>
      <w:r w:rsidR="009C12CE" w:rsidRPr="00CF5486">
        <w:rPr>
          <w:rFonts w:cstheme="minorHAnsi"/>
        </w:rPr>
        <w:t>ε</w:t>
      </w:r>
      <w:r w:rsidR="009C12CE" w:rsidRPr="00CF5486">
        <w:rPr>
          <w:rFonts w:cstheme="minorHAnsi"/>
          <w:vertAlign w:val="subscript"/>
        </w:rPr>
        <w:t>Nd</w:t>
      </w:r>
      <w:r w:rsidR="009C12CE" w:rsidRPr="00CF5486">
        <w:rPr>
          <w:rFonts w:cstheme="minorHAnsi"/>
        </w:rPr>
        <w:t xml:space="preserve"> variability </w:t>
      </w:r>
      <w:r w:rsidR="009C12CE">
        <w:rPr>
          <w:rFonts w:cstheme="minorHAnsi"/>
        </w:rPr>
        <w:t>observed</w:t>
      </w:r>
      <w:r w:rsidR="009C12CE" w:rsidRPr="00CF5486">
        <w:rPr>
          <w:rFonts w:cstheme="minorHAnsi"/>
        </w:rPr>
        <w:t xml:space="preserve"> is caused by the removal of Nd carrying a seawater isotopic signal.</w:t>
      </w:r>
      <w:r w:rsidR="009C12CE">
        <w:rPr>
          <w:rFonts w:cstheme="minorHAnsi"/>
        </w:rPr>
        <w:t xml:space="preserve"> </w:t>
      </w:r>
      <w:r w:rsidR="0070753B">
        <w:rPr>
          <w:rFonts w:cstheme="minorHAnsi"/>
        </w:rPr>
        <w:lastRenderedPageBreak/>
        <w:t>Instead</w:t>
      </w:r>
      <w:r w:rsidR="004F299A">
        <w:rPr>
          <w:rFonts w:cstheme="minorHAnsi"/>
        </w:rPr>
        <w:t>,</w:t>
      </w:r>
      <w:r w:rsidR="0070753B">
        <w:rPr>
          <w:rFonts w:cstheme="minorHAnsi"/>
        </w:rPr>
        <w:t xml:space="preserve"> we attribute small</w:t>
      </w:r>
      <w:r w:rsidR="002257DC">
        <w:rPr>
          <w:rFonts w:cstheme="minorHAnsi"/>
        </w:rPr>
        <w:t xml:space="preserve"> variability </w:t>
      </w:r>
      <w:r w:rsidR="002970DF">
        <w:rPr>
          <w:rFonts w:cstheme="minorHAnsi"/>
        </w:rPr>
        <w:t>in</w:t>
      </w:r>
      <w:r w:rsidR="002257DC">
        <w:rPr>
          <w:rFonts w:cstheme="minorHAnsi"/>
        </w:rPr>
        <w:t xml:space="preserve"> </w:t>
      </w:r>
      <w:r w:rsidR="002257DC" w:rsidRPr="002257DC">
        <w:rPr>
          <w:rFonts w:cstheme="minorHAnsi"/>
        </w:rPr>
        <w:t>ε</w:t>
      </w:r>
      <w:r w:rsidR="002257DC" w:rsidRPr="002257DC">
        <w:rPr>
          <w:rFonts w:cstheme="minorHAnsi"/>
          <w:vertAlign w:val="subscript"/>
        </w:rPr>
        <w:t>Nd</w:t>
      </w:r>
      <w:r w:rsidR="002257DC">
        <w:rPr>
          <w:rFonts w:cstheme="minorHAnsi"/>
        </w:rPr>
        <w:t xml:space="preserve"> measurements following repeated DTPA-NaOH </w:t>
      </w:r>
      <w:r w:rsidR="0070753B">
        <w:rPr>
          <w:rFonts w:cstheme="minorHAnsi"/>
        </w:rPr>
        <w:t>treatmen</w:t>
      </w:r>
      <w:r w:rsidR="000918B6">
        <w:rPr>
          <w:rFonts w:cstheme="minorHAnsi"/>
        </w:rPr>
        <w:t xml:space="preserve">t </w:t>
      </w:r>
      <w:r w:rsidR="0070753B">
        <w:rPr>
          <w:rFonts w:cstheme="minorHAnsi"/>
        </w:rPr>
        <w:t>to</w:t>
      </w:r>
      <w:r w:rsidR="002257DC">
        <w:rPr>
          <w:rFonts w:cstheme="minorHAnsi"/>
        </w:rPr>
        <w:t xml:space="preserve"> a combination of i) </w:t>
      </w:r>
      <w:r w:rsidR="004F299A">
        <w:rPr>
          <w:rFonts w:cstheme="minorHAnsi"/>
        </w:rPr>
        <w:t>intrinsic variability</w:t>
      </w:r>
      <w:r w:rsidR="002257DC">
        <w:rPr>
          <w:rFonts w:cstheme="minorHAnsi"/>
        </w:rPr>
        <w:t xml:space="preserve"> </w:t>
      </w:r>
      <w:r w:rsidR="004F299A">
        <w:rPr>
          <w:rFonts w:cstheme="minorHAnsi"/>
        </w:rPr>
        <w:t xml:space="preserve">associated with the </w:t>
      </w:r>
      <w:r w:rsidR="006D2978">
        <w:rPr>
          <w:rFonts w:cstheme="minorHAnsi"/>
        </w:rPr>
        <w:t xml:space="preserve">long complex </w:t>
      </w:r>
      <w:r w:rsidR="002257DC">
        <w:rPr>
          <w:rFonts w:cstheme="minorHAnsi"/>
        </w:rPr>
        <w:t xml:space="preserve">sample processing procedure and/or ii) </w:t>
      </w:r>
      <w:r w:rsidR="006214EA">
        <w:rPr>
          <w:rFonts w:cstheme="minorHAnsi"/>
        </w:rPr>
        <w:t xml:space="preserve">possible </w:t>
      </w:r>
      <w:r w:rsidR="0070753B">
        <w:rPr>
          <w:rFonts w:cstheme="minorHAnsi"/>
        </w:rPr>
        <w:t xml:space="preserve">minor </w:t>
      </w:r>
      <w:r w:rsidR="00BC1969">
        <w:rPr>
          <w:rFonts w:cstheme="minorHAnsi"/>
        </w:rPr>
        <w:t xml:space="preserve">incongruent dissolution </w:t>
      </w:r>
      <w:r w:rsidR="002257DC">
        <w:rPr>
          <w:rFonts w:cstheme="minorHAnsi"/>
        </w:rPr>
        <w:t xml:space="preserve">of the </w:t>
      </w:r>
      <w:r w:rsidR="00E869C7">
        <w:rPr>
          <w:rFonts w:cstheme="minorHAnsi"/>
        </w:rPr>
        <w:t>terrigenous</w:t>
      </w:r>
      <w:r w:rsidR="002257DC">
        <w:rPr>
          <w:rFonts w:cstheme="minorHAnsi"/>
        </w:rPr>
        <w:t xml:space="preserve"> fraction </w:t>
      </w:r>
      <w:r w:rsidR="00F43731">
        <w:rPr>
          <w:rFonts w:cstheme="minorHAnsi"/>
        </w:rPr>
        <w:t>by</w:t>
      </w:r>
      <w:r w:rsidR="002257DC">
        <w:rPr>
          <w:rFonts w:cstheme="minorHAnsi"/>
        </w:rPr>
        <w:t xml:space="preserve"> </w:t>
      </w:r>
      <w:r w:rsidR="003867A6">
        <w:rPr>
          <w:rFonts w:cstheme="minorHAnsi"/>
        </w:rPr>
        <w:t>DTPA-NaOH</w:t>
      </w:r>
      <w:r w:rsidR="002257DC">
        <w:rPr>
          <w:rFonts w:cstheme="minorHAnsi"/>
        </w:rPr>
        <w:t xml:space="preserve"> </w:t>
      </w:r>
      <w:r w:rsidR="00F43731">
        <w:rPr>
          <w:rFonts w:cstheme="minorHAnsi"/>
        </w:rPr>
        <w:t>treatment</w:t>
      </w:r>
      <w:r w:rsidR="003B47A1">
        <w:rPr>
          <w:rFonts w:cstheme="minorHAnsi"/>
        </w:rPr>
        <w:t>.</w:t>
      </w:r>
      <w:r w:rsidR="00F43731">
        <w:rPr>
          <w:rFonts w:cstheme="minorHAnsi"/>
        </w:rPr>
        <w:t xml:space="preserve"> </w:t>
      </w:r>
      <w:r w:rsidR="003B47A1">
        <w:rPr>
          <w:rFonts w:cstheme="minorHAnsi"/>
        </w:rPr>
        <w:t>T</w:t>
      </w:r>
      <w:r w:rsidR="00F43731">
        <w:rPr>
          <w:rFonts w:cstheme="minorHAnsi"/>
        </w:rPr>
        <w:t>h</w:t>
      </w:r>
      <w:r w:rsidR="004F598B">
        <w:rPr>
          <w:rFonts w:cstheme="minorHAnsi"/>
        </w:rPr>
        <w:t>e</w:t>
      </w:r>
      <w:r w:rsidR="00F43731">
        <w:rPr>
          <w:rFonts w:cstheme="minorHAnsi"/>
        </w:rPr>
        <w:t xml:space="preserve"> </w:t>
      </w:r>
      <w:r w:rsidR="003B47A1">
        <w:rPr>
          <w:rFonts w:cstheme="minorHAnsi"/>
        </w:rPr>
        <w:t xml:space="preserve">second </w:t>
      </w:r>
      <w:r w:rsidR="004F598B">
        <w:rPr>
          <w:rFonts w:cstheme="minorHAnsi"/>
        </w:rPr>
        <w:t xml:space="preserve">of these possibilities </w:t>
      </w:r>
      <w:r w:rsidR="00F43731">
        <w:rPr>
          <w:rFonts w:cstheme="minorHAnsi"/>
        </w:rPr>
        <w:t xml:space="preserve">is </w:t>
      </w:r>
      <w:r w:rsidR="00F84A86">
        <w:rPr>
          <w:rFonts w:cstheme="minorHAnsi"/>
        </w:rPr>
        <w:t xml:space="preserve">suggested </w:t>
      </w:r>
      <w:r w:rsidR="002257DC">
        <w:rPr>
          <w:rFonts w:cstheme="minorHAnsi"/>
        </w:rPr>
        <w:t>by modest decreases in residue Nd concentration with increased DTPA</w:t>
      </w:r>
      <w:r w:rsidR="000918B6">
        <w:rPr>
          <w:rFonts w:cstheme="minorHAnsi"/>
        </w:rPr>
        <w:t xml:space="preserve">-NaOH treatment </w:t>
      </w:r>
      <w:r w:rsidR="00AF075F">
        <w:rPr>
          <w:rFonts w:cstheme="minorHAnsi"/>
        </w:rPr>
        <w:t>(</w:t>
      </w:r>
      <w:r w:rsidR="00F47CA0">
        <w:rPr>
          <w:rFonts w:cstheme="minorHAnsi"/>
        </w:rPr>
        <w:t>Table S1</w:t>
      </w:r>
      <w:r w:rsidR="00AF075F">
        <w:rPr>
          <w:rFonts w:cstheme="minorHAnsi"/>
        </w:rPr>
        <w:t xml:space="preserve">) </w:t>
      </w:r>
      <w:r w:rsidR="002257DC">
        <w:rPr>
          <w:rFonts w:cstheme="minorHAnsi"/>
        </w:rPr>
        <w:t>and low concentrations of Nd in the leachates</w:t>
      </w:r>
      <w:r w:rsidR="00AF075F">
        <w:rPr>
          <w:rFonts w:cstheme="minorHAnsi"/>
        </w:rPr>
        <w:t xml:space="preserve"> (</w:t>
      </w:r>
      <w:r w:rsidR="00F47CA0">
        <w:rPr>
          <w:rFonts w:cstheme="minorHAnsi"/>
        </w:rPr>
        <w:t>Table S2</w:t>
      </w:r>
      <w:r w:rsidR="00AF075F">
        <w:rPr>
          <w:rFonts w:cstheme="minorHAnsi"/>
        </w:rPr>
        <w:t>)</w:t>
      </w:r>
      <w:r w:rsidR="002257DC">
        <w:rPr>
          <w:rFonts w:cstheme="minorHAnsi"/>
        </w:rPr>
        <w:t>.</w:t>
      </w:r>
      <w:r w:rsidR="00403E28" w:rsidRPr="00403E28">
        <w:rPr>
          <w:rFonts w:cstheme="minorHAnsi"/>
        </w:rPr>
        <w:t xml:space="preserve"> </w:t>
      </w:r>
      <w:r w:rsidR="00403E28">
        <w:rPr>
          <w:rFonts w:cstheme="minorHAnsi"/>
        </w:rPr>
        <w:t xml:space="preserve">Results from our </w:t>
      </w:r>
      <w:r w:rsidR="00855B59">
        <w:rPr>
          <w:rFonts w:cstheme="minorHAnsi"/>
        </w:rPr>
        <w:t xml:space="preserve">multiple DTPA-NaOH </w:t>
      </w:r>
      <w:r w:rsidR="0070753B">
        <w:rPr>
          <w:rFonts w:cstheme="minorHAnsi"/>
        </w:rPr>
        <w:t xml:space="preserve">treatment experiments </w:t>
      </w:r>
      <w:r w:rsidR="00403E28">
        <w:rPr>
          <w:rFonts w:cstheme="minorHAnsi"/>
        </w:rPr>
        <w:t>help quantify any variability caused by these effects.</w:t>
      </w:r>
      <w:r w:rsidR="002257DC">
        <w:rPr>
          <w:rFonts w:cstheme="minorHAnsi"/>
        </w:rPr>
        <w:t xml:space="preserve"> Our rep</w:t>
      </w:r>
      <w:r w:rsidR="00B966E7">
        <w:rPr>
          <w:rFonts w:cstheme="minorHAnsi"/>
        </w:rPr>
        <w:t>licate</w:t>
      </w:r>
      <w:r w:rsidR="002257DC">
        <w:rPr>
          <w:rFonts w:cstheme="minorHAnsi"/>
        </w:rPr>
        <w:t xml:space="preserve"> measurements show that the external error of </w:t>
      </w:r>
      <w:r w:rsidR="002257DC" w:rsidRPr="005E4DAC">
        <w:rPr>
          <w:rFonts w:cstheme="minorHAnsi"/>
        </w:rPr>
        <w:t>ε</w:t>
      </w:r>
      <w:r w:rsidR="002257DC" w:rsidRPr="005E4DAC">
        <w:rPr>
          <w:rFonts w:cstheme="minorHAnsi"/>
          <w:vertAlign w:val="subscript"/>
        </w:rPr>
        <w:t>Nd</w:t>
      </w:r>
      <w:r w:rsidR="002257DC">
        <w:rPr>
          <w:rFonts w:cstheme="minorHAnsi"/>
        </w:rPr>
        <w:t xml:space="preserve"> measurements at Site 662 is on average </w:t>
      </w:r>
      <w:r w:rsidR="002257DC">
        <w:rPr>
          <w:rFonts w:ascii="Calibri" w:hAnsi="Calibri" w:cs="Calibri"/>
        </w:rPr>
        <w:t>± 1.47 % R</w:t>
      </w:r>
      <w:r w:rsidR="002257DC" w:rsidRPr="00B505E4">
        <w:rPr>
          <w:rFonts w:ascii="Calibri" w:hAnsi="Calibri" w:cs="Calibri"/>
        </w:rPr>
        <w:t>SD</w:t>
      </w:r>
      <w:r w:rsidR="00AE2ABF">
        <w:rPr>
          <w:rFonts w:ascii="Calibri" w:hAnsi="Calibri" w:cs="Calibri"/>
        </w:rPr>
        <w:t xml:space="preserve"> (0.36 </w:t>
      </w:r>
      <w:r w:rsidR="00AE2ABF" w:rsidRPr="00AE2ABF">
        <w:rPr>
          <w:rFonts w:ascii="Calibri" w:hAnsi="Calibri" w:cs="Calibri"/>
        </w:rPr>
        <w:t>ε</w:t>
      </w:r>
      <w:r w:rsidR="00AE2ABF" w:rsidRPr="00AE2ABF">
        <w:rPr>
          <w:rFonts w:ascii="Calibri" w:hAnsi="Calibri" w:cs="Calibri"/>
          <w:vertAlign w:val="subscript"/>
        </w:rPr>
        <w:t>Nd</w:t>
      </w:r>
      <w:r w:rsidR="00AE2ABF">
        <w:rPr>
          <w:rFonts w:ascii="Calibri" w:hAnsi="Calibri" w:cs="Calibri"/>
        </w:rPr>
        <w:t xml:space="preserve"> (2 SD</w:t>
      </w:r>
      <w:r w:rsidR="00B404B2">
        <w:rPr>
          <w:rFonts w:ascii="Calibri" w:hAnsi="Calibri" w:cs="Calibri"/>
        </w:rPr>
        <w:t>))</w:t>
      </w:r>
      <w:r w:rsidR="002257DC">
        <w:rPr>
          <w:rFonts w:cstheme="minorHAnsi"/>
        </w:rPr>
        <w:t xml:space="preserve">, which is </w:t>
      </w:r>
      <w:r w:rsidR="004F598B">
        <w:rPr>
          <w:rFonts w:cstheme="minorHAnsi"/>
        </w:rPr>
        <w:t>modest</w:t>
      </w:r>
      <w:r w:rsidR="002257DC">
        <w:rPr>
          <w:rFonts w:cstheme="minorHAnsi"/>
        </w:rPr>
        <w:t xml:space="preserve"> considering the sample leaching methods used to generate these data</w:t>
      </w:r>
      <w:r w:rsidR="00B404B2">
        <w:rPr>
          <w:rFonts w:cstheme="minorHAnsi"/>
        </w:rPr>
        <w:t xml:space="preserve">. This error </w:t>
      </w:r>
      <w:r w:rsidR="00266FB6">
        <w:rPr>
          <w:rFonts w:cstheme="minorHAnsi"/>
        </w:rPr>
        <w:t xml:space="preserve">is comparable to the variability in </w:t>
      </w:r>
      <w:r w:rsidR="00266FB6" w:rsidRPr="00266FB6">
        <w:rPr>
          <w:rFonts w:cstheme="minorHAnsi"/>
        </w:rPr>
        <w:t>ε</w:t>
      </w:r>
      <w:r w:rsidR="00266FB6" w:rsidRPr="00266FB6">
        <w:rPr>
          <w:rFonts w:cstheme="minorHAnsi"/>
          <w:vertAlign w:val="subscript"/>
        </w:rPr>
        <w:t>Nd</w:t>
      </w:r>
      <w:r w:rsidR="00266FB6">
        <w:rPr>
          <w:rFonts w:cstheme="minorHAnsi"/>
        </w:rPr>
        <w:t xml:space="preserve"> observed following </w:t>
      </w:r>
      <w:r w:rsidR="00855B59">
        <w:rPr>
          <w:rFonts w:cstheme="minorHAnsi"/>
        </w:rPr>
        <w:t xml:space="preserve">multiple </w:t>
      </w:r>
      <w:r w:rsidR="00266FB6">
        <w:rPr>
          <w:rFonts w:cstheme="minorHAnsi"/>
        </w:rPr>
        <w:t>DTPA-NaOH leaching</w:t>
      </w:r>
      <w:r w:rsidR="00AE2ABF">
        <w:rPr>
          <w:rFonts w:cstheme="minorHAnsi"/>
        </w:rPr>
        <w:t xml:space="preserve"> and </w:t>
      </w:r>
      <w:r w:rsidR="00AE3E13">
        <w:rPr>
          <w:rFonts w:cstheme="minorHAnsi"/>
        </w:rPr>
        <w:t xml:space="preserve">the </w:t>
      </w:r>
      <w:r w:rsidR="00EB65ED" w:rsidRPr="00EB65ED">
        <w:rPr>
          <w:rFonts w:cstheme="minorHAnsi"/>
        </w:rPr>
        <w:t>ε</w:t>
      </w:r>
      <w:r w:rsidR="00EB65ED" w:rsidRPr="00EB65ED">
        <w:rPr>
          <w:rFonts w:cstheme="minorHAnsi"/>
          <w:vertAlign w:val="subscript"/>
        </w:rPr>
        <w:t>Nd</w:t>
      </w:r>
      <w:r w:rsidR="00EB65ED">
        <w:rPr>
          <w:rFonts w:cstheme="minorHAnsi"/>
        </w:rPr>
        <w:t xml:space="preserve"> </w:t>
      </w:r>
      <w:r w:rsidR="00AE3E13">
        <w:rPr>
          <w:rFonts w:cstheme="minorHAnsi"/>
        </w:rPr>
        <w:t>reproducibility</w:t>
      </w:r>
      <w:r w:rsidR="00AE2ABF">
        <w:rPr>
          <w:rFonts w:cstheme="minorHAnsi"/>
        </w:rPr>
        <w:t xml:space="preserve"> found in other leaching studies </w:t>
      </w:r>
      <w:r w:rsidR="00AE3E13">
        <w:rPr>
          <w:rFonts w:cstheme="minorHAnsi"/>
        </w:rPr>
        <w:fldChar w:fldCharType="begin" w:fldLock="1"/>
      </w:r>
      <w:r w:rsidR="006B5727">
        <w:rPr>
          <w:rFonts w:cstheme="minorHAnsi"/>
        </w:rPr>
        <w:instrText>ADDIN CSL_CITATION {"citationItems":[{"id":"ITEM-1","itemData":{"DOI":"10.1016/j.chemgeo.2016.06.024","ISSN":"00092541","abstract":"The seawater radiogenic neodymium (143Nd/144Nd) isotope signature is an invaluable tool for the reconstruction of past deep water provenance. Sedimentary foraminifera or fish teeth are among the most reliable archives known for Nd isotope based reconstructions of past seawater. As the distribution and preservation of these archives are limited, the extraction of hydrogenetic ferromanganese oxyhydroxides from bulk sediments provide an easily applicable alternative. This method, however, implies the risk of generating artefacts due to the possible release of non-seawater derived Nd during the extraction procedure. Here we revisit and further investigate the reliability of the extraction of seawater derived Nd isotope signatures via leaching of bulk deep sea sediments with two commonly used buffered acetic acid and acid-reductive mix solutions. Repeated application of such stepwise leaching procedures to different non-decarbonated sediments from distinct settings across the deep Atlantic Ocean shows pronounced elemental and Nd isotope trends during the leaching process in the laboratory. Our results show that seawater Nd isotope compositions are extracted together with carbonates and manganese oxides only at the beginning of the leaching series. During chemical extraction, the carbonates effectively work as a buffer preventing acid-induced mobilisation of Fe oxides and volcanogenic material. Once this buffer is consumed, potentially present volcanogenic phases are considerably attacked, leading to shifts in the extracted Nd isotope signal of up to + 12 epsilon units. Such volcanogenic phases are a significant source of contaminant Nd reflected by markedly elevated Al/Nd signatures. We consequently propose a revised weak leaching protocol for carbonate bearing deep sea sediments, which is simple to use, provides excellent agreement with data obtained from uncleaned foraminifera, and can be easily screened for contamination.","author":[{"dropping-particle":"","family":"Blaser","given":"Patrick","non-dropping-particle":"","parse-names":false,"suffix":""},{"dropping-particle":"","family":"Lippold","given":"Jörg","non-dropping-particle":"","parse-names":false,"suffix":""},{"dropping-particle":"","family":"Gutjahr","given":"Marcus","non-dropping-particle":"","parse-names":false,"suffix":""},{"dropping-particle":"","family":"Frank","given":"Norbert","non-dropping-particle":"","parse-names":false,"suffix":""},{"dropping-particle":"","family":"Link","given":"Jasmin M.","non-dropping-particle":"","parse-names":false,"suffix":""},{"dropping-particle":"","family":"Frank","given":"Martin","non-dropping-particle":"","parse-names":false,"suffix":""}],"container-title":"Chemical Geology","id":"ITEM-1","issued":{"date-parts":[["2016"]]},"page":"189-204","title":"Extracting foraminiferal seawater Nd isotope signatures from bulk deep sea sediment by chemical leaching","type":"article-journal","volume":"439"},"uris":["http://www.mendeley.com/documents/?uuid=fccc45aa-2c73-4a77-ba10-e752dc6dc450"]},{"id":"ITEM-2","itemData":{"DOI":"10.1016/j.chemgeo.2018.12.024","ISSN":"00092541","abstract":"The role of accessory minerals in the incongruent release of Hf and Pb during continental weathering and its implications for the generation of distinct seawater isotope compositions is subject of debate. While it has been suggested that radiogenic Hf and Pb isotope signatures released during the dissolution of rocks are controlled by the relative abundances of minerals with distinct isotope compositions and differences in their resistance to dissolution there has not been a comprehensive experimental investigation of these processes to date. We carried out systematic sequential leaching experiments on fresh and partly weathered granitic rock samples as well as separated zircons from the Central Aar Granite in Switzerland. Combined with major and rare earth element concentrations our new quantitative experimental data reveal systematic preferential release of radiogenic Nd, Hf and Pb isotopes primarily controlled by dissolution characteristics of the host rock's easily dissolvable accessory and major minerals, in particular apatite and sphene, during weak chemical weathering. Moreover, Pb isotope signatures of incipient weathering conditions, contrary to expectations, indicate initial congruent release of Pb from freshly exposed mineral surfaces that becomes subsequently incongruent. During more advanced chemical weathering stages, as well as enhanced physical weathering conditions, the dissolution of major minerals (i.e. feldspars) becomes dominant for Nd and Pb isotope signatures, whereas Hf isotopes are still dominated by contributions from highly radiogenic accessories. Additional leaching experiments of zircon separates were performed to test the specific role of zircons for Hf isotope compositions of riverine runoff. It is demonstrated that zircon is more efficiently dissolved when physical weathering is enhanced. This increased Hf release originating from partial dissolution of zircons, however, is quantitatively not sufficient to explain less radiogenic Hf isotope signatures in seawater during episodes of enhanced mechanical erosion alone. Moreover, the observed addition of Hf from the more congruent dissolution of the zircon-free fractions of the parent rock due to enhanced physical weathering indicates that these minerals also play an important role in controlling Hf isotope signatures released under deglacial conditions.","author":[{"dropping-particle":"","family":"Dausmann","given":"Veit","non-dropping-particle":"","parse-names":false,"suffix":""},{"dropping-particle":"","family":"Gutjahr","given":"Marcus","non-dropping-particle":"","parse-names":false,"suffix":""},{"dropping-particle":"","family":"Frank","given":"Martin","non-dropping-particle":"","parse-names":false,"suffix":""},{"dropping-particle":"","family":"Kouzmanov","given":"Kalin","non-dropping-particle":"","parse-names":false,"suffix":""},{"dropping-particle":"","family":"Schaltegger","given":"Urs","non-dropping-particle":"","parse-names":false,"suffix":""}],"container-title":"Chemical Geology","id":"ITEM-2","issue":"December","issued":{"date-parts":[["2019"]]},"page":"64-84","title":"Experimental evidence for mineral-controlled release of radiogenic Nd, Hf and Pb isotopes from granitic rocks during progressive chemical weathering","type":"article-journal","volume":"507"},"uris":["http://www.mendeley.com/documents/?uuid=849c1254-1f4b-436c-9bea-22ecbc61678a"]}],"mendeley":{"formattedCitation":"(Blaser et al., 2016; Dausmann et al., 2019)","manualFormatting":"(e.g. Blaser et al., 2016; Dausmann et al., 2019)","plainTextFormattedCitation":"(Blaser et al., 2016; Dausmann et al., 2019)","previouslyFormattedCitation":"(Blaser et al., 2016; Dausmann et al., 2019)"},"properties":{"noteIndex":0},"schema":"https://github.com/citation-style-language/schema/raw/master/csl-citation.json"}</w:instrText>
      </w:r>
      <w:r w:rsidR="00AE3E13">
        <w:rPr>
          <w:rFonts w:cstheme="minorHAnsi"/>
        </w:rPr>
        <w:fldChar w:fldCharType="separate"/>
      </w:r>
      <w:r w:rsidR="00AE3E13" w:rsidRPr="00AE3E13">
        <w:rPr>
          <w:rFonts w:cstheme="minorHAnsi"/>
          <w:noProof/>
        </w:rPr>
        <w:t>(</w:t>
      </w:r>
      <w:r w:rsidR="00710FC2">
        <w:rPr>
          <w:rFonts w:cstheme="minorHAnsi"/>
          <w:noProof/>
        </w:rPr>
        <w:t xml:space="preserve">e.g. </w:t>
      </w:r>
      <w:r w:rsidR="00AE3E13" w:rsidRPr="00AE3E13">
        <w:rPr>
          <w:rFonts w:cstheme="minorHAnsi"/>
          <w:noProof/>
        </w:rPr>
        <w:t>Blaser et al., 2016; Dausmann et al., 2019)</w:t>
      </w:r>
      <w:r w:rsidR="00AE3E13">
        <w:rPr>
          <w:rFonts w:cstheme="minorHAnsi"/>
        </w:rPr>
        <w:fldChar w:fldCharType="end"/>
      </w:r>
      <w:r w:rsidR="002257DC">
        <w:rPr>
          <w:rFonts w:cstheme="minorHAnsi"/>
        </w:rPr>
        <w:t>.</w:t>
      </w:r>
      <w:r w:rsidR="00906455">
        <w:rPr>
          <w:rFonts w:cstheme="minorHAnsi"/>
        </w:rPr>
        <w:t xml:space="preserve"> </w:t>
      </w:r>
      <w:r w:rsidR="00B404B2">
        <w:rPr>
          <w:rFonts w:cstheme="minorHAnsi"/>
        </w:rPr>
        <w:t>Similarly</w:t>
      </w:r>
      <w:r w:rsidR="00642585">
        <w:rPr>
          <w:rFonts w:cstheme="minorHAnsi"/>
        </w:rPr>
        <w:t xml:space="preserve">, </w:t>
      </w:r>
      <w:r w:rsidR="000918B6">
        <w:rPr>
          <w:rFonts w:cstheme="minorHAnsi"/>
        </w:rPr>
        <w:t xml:space="preserve">sample </w:t>
      </w:r>
      <w:r w:rsidR="00642585">
        <w:rPr>
          <w:rFonts w:cstheme="minorHAnsi"/>
        </w:rPr>
        <w:t>Al concentrations vary within 6 %</w:t>
      </w:r>
      <w:r w:rsidR="00136D85">
        <w:rPr>
          <w:rFonts w:cstheme="minorHAnsi"/>
        </w:rPr>
        <w:t xml:space="preserve"> </w:t>
      </w:r>
      <w:r w:rsidR="00642585">
        <w:rPr>
          <w:rFonts w:cstheme="minorHAnsi"/>
        </w:rPr>
        <w:t>RSD</w:t>
      </w:r>
      <w:r w:rsidR="000918B6">
        <w:rPr>
          <w:rFonts w:cstheme="minorHAnsi"/>
        </w:rPr>
        <w:t xml:space="preserve"> following repeated DTPA-NaOH </w:t>
      </w:r>
      <w:r w:rsidR="00F50213">
        <w:rPr>
          <w:rFonts w:cstheme="minorHAnsi"/>
        </w:rPr>
        <w:t>treatment</w:t>
      </w:r>
      <w:r w:rsidR="00642585">
        <w:rPr>
          <w:rFonts w:cstheme="minorHAnsi"/>
        </w:rPr>
        <w:t>, within analytical error for these measurements</w:t>
      </w:r>
      <w:r w:rsidR="00B404B2">
        <w:rPr>
          <w:rFonts w:cstheme="minorHAnsi"/>
        </w:rPr>
        <w:t xml:space="preserve">, indicating limited modification of the </w:t>
      </w:r>
      <w:r w:rsidR="00E869C7">
        <w:rPr>
          <w:rFonts w:cstheme="minorHAnsi"/>
        </w:rPr>
        <w:t>terrigenous</w:t>
      </w:r>
      <w:r w:rsidR="00B404B2">
        <w:rPr>
          <w:rFonts w:cstheme="minorHAnsi"/>
        </w:rPr>
        <w:t xml:space="preserve"> silicate fraction. </w:t>
      </w:r>
    </w:p>
    <w:p w14:paraId="048D8A7A" w14:textId="77777777" w:rsidR="00642585" w:rsidRDefault="00642585" w:rsidP="00642585">
      <w:pPr>
        <w:spacing w:line="480" w:lineRule="auto"/>
        <w:jc w:val="both"/>
        <w:rPr>
          <w:rFonts w:cstheme="minorHAnsi"/>
        </w:rPr>
      </w:pPr>
    </w:p>
    <w:p w14:paraId="45061F4B" w14:textId="3248A3E8" w:rsidR="00642585" w:rsidRDefault="00642585" w:rsidP="00642585">
      <w:pPr>
        <w:spacing w:line="480" w:lineRule="auto"/>
        <w:jc w:val="both"/>
        <w:rPr>
          <w:rFonts w:cstheme="minorHAnsi"/>
        </w:rPr>
      </w:pPr>
      <w:r w:rsidRPr="005627D0">
        <w:rPr>
          <w:rFonts w:cstheme="minorHAnsi"/>
        </w:rPr>
        <w:t xml:space="preserve">In practise, every </w:t>
      </w:r>
      <w:r w:rsidR="000918B6">
        <w:rPr>
          <w:rFonts w:cstheme="minorHAnsi"/>
        </w:rPr>
        <w:t xml:space="preserve">step </w:t>
      </w:r>
      <w:r w:rsidRPr="005627D0">
        <w:rPr>
          <w:rFonts w:cstheme="minorHAnsi"/>
        </w:rPr>
        <w:t xml:space="preserve">in </w:t>
      </w:r>
      <w:r w:rsidR="00CF5FBF">
        <w:rPr>
          <w:rFonts w:cstheme="minorHAnsi"/>
        </w:rPr>
        <w:t>a cleaning protocol</w:t>
      </w:r>
      <w:r w:rsidRPr="005627D0">
        <w:rPr>
          <w:rFonts w:cstheme="minorHAnsi"/>
        </w:rPr>
        <w:t xml:space="preserve"> risks incongruent dissolution of the </w:t>
      </w:r>
      <w:r>
        <w:rPr>
          <w:rFonts w:cstheme="minorHAnsi"/>
        </w:rPr>
        <w:t>terrigenous</w:t>
      </w:r>
      <w:r w:rsidRPr="005627D0">
        <w:rPr>
          <w:rFonts w:cstheme="minorHAnsi"/>
        </w:rPr>
        <w:t xml:space="preserve"> fraction. The </w:t>
      </w:r>
      <w:r w:rsidR="004F299A">
        <w:rPr>
          <w:rFonts w:cstheme="minorHAnsi"/>
        </w:rPr>
        <w:t>abiogenic</w:t>
      </w:r>
      <w:r w:rsidR="004F299A" w:rsidRPr="005627D0">
        <w:rPr>
          <w:rFonts w:cstheme="minorHAnsi"/>
        </w:rPr>
        <w:t xml:space="preserve"> </w:t>
      </w:r>
      <w:r w:rsidRPr="005627D0">
        <w:rPr>
          <w:rFonts w:cstheme="minorHAnsi"/>
        </w:rPr>
        <w:t xml:space="preserve">fraction of </w:t>
      </w:r>
      <w:r w:rsidR="004F299A">
        <w:rPr>
          <w:rFonts w:cstheme="minorHAnsi"/>
        </w:rPr>
        <w:t xml:space="preserve">marine </w:t>
      </w:r>
      <w:r w:rsidRPr="005627D0">
        <w:rPr>
          <w:rFonts w:cstheme="minorHAnsi"/>
        </w:rPr>
        <w:t xml:space="preserve">sediments is heterogenous and composed of </w:t>
      </w:r>
      <w:r w:rsidR="00E869C7">
        <w:rPr>
          <w:rFonts w:cstheme="minorHAnsi"/>
        </w:rPr>
        <w:t>terrigenous</w:t>
      </w:r>
      <w:r w:rsidRPr="005627D0">
        <w:rPr>
          <w:rFonts w:cstheme="minorHAnsi"/>
        </w:rPr>
        <w:t xml:space="preserve"> and volcanic components with different reactivities. Some of these components</w:t>
      </w:r>
      <w:r>
        <w:rPr>
          <w:rFonts w:cstheme="minorHAnsi"/>
        </w:rPr>
        <w:t>, such as volcanic glass,</w:t>
      </w:r>
      <w:r w:rsidRPr="005627D0">
        <w:rPr>
          <w:rFonts w:cstheme="minorHAnsi"/>
        </w:rPr>
        <w:t xml:space="preserve"> may be susceptible to acid dissolution, </w:t>
      </w:r>
      <w:r>
        <w:rPr>
          <w:rFonts w:cstheme="minorHAnsi"/>
        </w:rPr>
        <w:t>therefore</w:t>
      </w:r>
      <w:r w:rsidRPr="005627D0">
        <w:rPr>
          <w:rFonts w:cstheme="minorHAnsi"/>
        </w:rPr>
        <w:t xml:space="preserve"> the steps </w:t>
      </w:r>
      <w:r w:rsidR="0070753B">
        <w:rPr>
          <w:rFonts w:cstheme="minorHAnsi"/>
        </w:rPr>
        <w:t>required</w:t>
      </w:r>
      <w:r w:rsidRPr="005627D0">
        <w:rPr>
          <w:rFonts w:cstheme="minorHAnsi"/>
        </w:rPr>
        <w:t xml:space="preserve"> to remove marine carbonates and authigenic coatings may </w:t>
      </w:r>
      <w:r w:rsidR="0070753B">
        <w:rPr>
          <w:rFonts w:cstheme="minorHAnsi"/>
        </w:rPr>
        <w:t>modify</w:t>
      </w:r>
      <w:r w:rsidRPr="005627D0">
        <w:rPr>
          <w:rFonts w:cstheme="minorHAnsi"/>
        </w:rPr>
        <w:t xml:space="preserve"> the chemical composition </w:t>
      </w:r>
      <w:r>
        <w:rPr>
          <w:rFonts w:cstheme="minorHAnsi"/>
        </w:rPr>
        <w:t xml:space="preserve">of the terrigenous fraction </w:t>
      </w:r>
      <w:r>
        <w:rPr>
          <w:rFonts w:cstheme="minorHAnsi"/>
        </w:rPr>
        <w:fldChar w:fldCharType="begin" w:fldLock="1"/>
      </w:r>
      <w:r>
        <w:rPr>
          <w:rFonts w:cstheme="minorHAnsi"/>
        </w:rPr>
        <w:instrText xml:space="preserve">ADDIN CSL_CITATION {"citationItems":[{"id":"ITEM-1","itemData":{"DOI":"10.1029/2011GC003741","ISSN":"15252027","abstract":"Neodymium isotopes provide a paleoceanographic proxy for past deep water circulation and local weathering changes and have been measured on various authigenic marine sediment components, including fish teeth, ferromanganese oxides extracted by acid-reductive leaching, cleaned foraminifera, and foraminifera with Fe-Mn oxide coatings. Here we compare Nd isotopic measurements obtained from ferromanganese oxides leached from bulk sediments and planktonic foraminifera, as well as from oxidatively-reductively cleaned foraminiferal shells from sediment cores in the North Atlantic. Sedimentary volcanic ash contributes a significant fraction of the Nd when the ferro-manganese (Fe-Mn) oxide coatings are leached from bulk sediments. Reductive leachates of marine sediments from North Atlantic core tops near Iceland, or directly downstream from Iceland-Scotland Overflow Waters, record ε\\varepsilon ε&lt;inf&gt;Nd&lt;/inf&gt; values that are significantly higher than seawater, indicating that volcanic material is easily leached by acid-reductive methods. The ε\\varepsilon ε&lt;inf&gt;Nd&lt;/inf&gt; values from sites more distal to Iceland are similar to modern seawater values, showing little contamination from Iceland-derived volcanogenic material. In all comparisons, core top planktonic foraminifera ε\\varepsilonε&lt;inf&gt;Nd&lt;/inf&gt; values more closely approximate modern deep seawater than the bulk sediment reductive leached value suggesting that the foraminifera provide a route toward quantifying the Nd isotopic signature of deep North Atlantic water masses. © 2011 by the American Geophysical Union.","author":[{"dropping-particle":"","family":"Elmore","given":"A. C.","non-dropping-particle":"","parse-names":false,"suffix":""},{"dropping-particle":"","family":"Piotrowski","given":"A. M.","non-dropping-particle":"","parse-names":false,"suffix":""},{"dropping-particle":"","family":"Wright","given":"J. D.","non-dropping-particle":"","parse-names":false,"suffix":""},{"dropping-particle":"","family":"Scrivner","given":"A. E.","non-dropping-particle":"","parse-names":false,"suffix":""}],"container-title":"Geochemistry, Geophysics, Geosystems","id":"ITEM-1","issue":"9","issued":{"date-parts":[["2011"]]},"title":"Testing the extraction of past seawater Nd isotopic composition from North Atlantic deep sea sediments and foraminifera","type":"article-journal","volume":"12"},"uris":["http://www.mendeley.com/documents/?uuid=617708a2-b59b-4798-a132-2b1620cd22e1"]},{"id":"ITEM-2","itemData":{"DOI":"10.1016/j.gca.2013.01.042","ISSN":"00167037","abstract":"The dissolved neodymium (Nd) isotopic distribution in the deep oceans is determined by continental weathering inputs, water mass advection, and boundary exchange between particulate and dissolved fractions. Reconstructions of past Nd isotopic variability may therefore provide evidence on temporal changes in continental weathering inputs and/or ocean circulation patterns over a range of timescales. However, such an approach is limited by uncertainty in the mechanisms and importance of the boundary exchange process, and the challenge in reliably recovering past seawater Nd isotopic composition (εNd) from deep sea sediments. This study addresses these questions by investigating the processes involved in particulate-solution interactions and their impact on Nd isotopes. A better understanding of boundary exchange also has wider implications for the oceanic cycling and budgets of other particle-reactive elements.Sequential acid-reductive leaching experiments at pH </w:instrText>
      </w:r>
      <w:r>
        <w:rPr>
          <w:rFonts w:ascii="Cambria Math" w:hAnsi="Cambria Math" w:cs="Cambria Math"/>
        </w:rPr>
        <w:instrText>∼</w:instrText>
      </w:r>
      <w:r>
        <w:rPr>
          <w:rFonts w:cstheme="minorHAnsi"/>
        </w:rPr>
        <w:instrText>2-5 on deep sea sediments from the western Indian Ocean enable us to investigate natural boundary exchange processes over a timescale appropriate to laboratory experiments. We provide evidence that both the dissolution of solid phases and exchange processes influence the εNd of leachates, which suggests that both processes may contribute to boundary exchange. We use major element and rare earth element (REE) data to investigate the pools of Nd that are accessed and demonstrate that sediment leachate εNd values cannot always be explained by admixture between an authigenic component and the bulk detrital component. For example, in core WIND 24B, acid-reductive leaching generates εNd values between -11 and -6 as a function of solution/solid ratios and leaching times, whereas the authigenic components have εNd≈-11 and the bulk detrital component has εNd≈-15. We infer that leaching in the Mascarene Basin accesses authigenic components and a minor radiogenic volcanic component that is more reactive than Madagascan-derived clays. The preferential mobilisation of such a minor component demonstrates that the Nd released by boundary exchange could often have a significantly different εNd composition than the bulk detrital sediment.These experiments further demonstrate certain limitations on the use of acid-reductive leaching to extract the εNd composition of the authigenic fraction of bulk deep sea sediments. For example, the detrital component may contain a reactive fraction which is also acid-extractible,…","author":[{"dropping-particle":"","family":"Wilson","given":"David J.","non-dropping-particle":"","parse-names":false,"suffix":""},{"dropping-particle":"","family":"Piotrowski","given":"Alexander M.","non-dropping-particle":"","parse-names":false,"suffix":""},{"dropping-particle":"","family":"Galy","given":"Albert","non-dropping-particle":"","parse-names":false,"suffix":""},{"dropping-particle":"","family":"Clegg","given":"Josephine A.","non-dropping-particle":"","parse-names":false,"suffix":""}],"container-title":"Geochimica et Cosmochimica Acta","id":"ITEM-2","issued":{"date-parts":[["2013"]]},"page":"197-221","publisher":"Elsevier Ltd","title":"Reactivity of neodymium carriers in deep sea sediments: Implications for boundary exchange and paleoceanography","type":"article-journal","volume":"109"},"uris":["http://www.mendeley.com/documents/?uuid=bc63631c-6d24-42bc-965b-0b6d786e86d0"]}],"mendeley":{"formattedCitation":"(Elmore et al., 2011; Wilson et al., 2013)","plainTextFormattedCitation":"(Elmore et al., 2011; Wilson et al., 2013)","previouslyFormattedCitation":"(Elmore et al., 2011; Wilson et al., 2013)"},"properties":{"noteIndex":0},"schema":"https://github.com/citation-style-language/schema/raw/master/csl-citation.json"}</w:instrText>
      </w:r>
      <w:r>
        <w:rPr>
          <w:rFonts w:cstheme="minorHAnsi"/>
        </w:rPr>
        <w:fldChar w:fldCharType="separate"/>
      </w:r>
      <w:r w:rsidRPr="001849CE">
        <w:rPr>
          <w:rFonts w:cstheme="minorHAnsi"/>
          <w:noProof/>
        </w:rPr>
        <w:t>(Elmore et al., 2011; Wilson et al., 2013)</w:t>
      </w:r>
      <w:r>
        <w:rPr>
          <w:rFonts w:cstheme="minorHAnsi"/>
        </w:rPr>
        <w:fldChar w:fldCharType="end"/>
      </w:r>
      <w:r>
        <w:rPr>
          <w:rFonts w:cstheme="minorHAnsi"/>
        </w:rPr>
        <w:t>.</w:t>
      </w:r>
      <w:r w:rsidR="0070753B">
        <w:rPr>
          <w:rFonts w:cstheme="minorHAnsi"/>
        </w:rPr>
        <w:t xml:space="preserve"> </w:t>
      </w:r>
      <w:r>
        <w:rPr>
          <w:rFonts w:cstheme="minorHAnsi"/>
        </w:rPr>
        <w:t xml:space="preserve">Gutjahr et al. (2007) found that </w:t>
      </w:r>
      <w:r w:rsidR="0070753B">
        <w:rPr>
          <w:rFonts w:cstheme="minorHAnsi"/>
        </w:rPr>
        <w:t xml:space="preserve">only </w:t>
      </w:r>
      <w:r>
        <w:rPr>
          <w:rFonts w:cstheme="minorHAnsi"/>
        </w:rPr>
        <w:t xml:space="preserve">between 0.003 % and 0.3 % of the Sr and Nd removed </w:t>
      </w:r>
      <w:r w:rsidR="0070753B">
        <w:rPr>
          <w:rFonts w:cstheme="minorHAnsi"/>
        </w:rPr>
        <w:t>by their</w:t>
      </w:r>
      <w:r>
        <w:rPr>
          <w:rFonts w:cstheme="minorHAnsi"/>
        </w:rPr>
        <w:t xml:space="preserve"> HHCl-NaEDTA-HOAc leach</w:t>
      </w:r>
      <w:r w:rsidR="0070753B">
        <w:rPr>
          <w:rFonts w:cstheme="minorHAnsi"/>
        </w:rPr>
        <w:t>ing method</w:t>
      </w:r>
      <w:r>
        <w:rPr>
          <w:rFonts w:cstheme="minorHAnsi"/>
        </w:rPr>
        <w:t xml:space="preserve"> (</w:t>
      </w:r>
      <w:r w:rsidR="0070753B">
        <w:rPr>
          <w:rFonts w:cstheme="minorHAnsi"/>
        </w:rPr>
        <w:t>for removing</w:t>
      </w:r>
      <w:r>
        <w:rPr>
          <w:rFonts w:cstheme="minorHAnsi"/>
        </w:rPr>
        <w:t xml:space="preserve"> authigenic coatings) was of terrigenous origin</w:t>
      </w:r>
      <w:r w:rsidR="0070753B">
        <w:rPr>
          <w:rFonts w:cstheme="minorHAnsi"/>
        </w:rPr>
        <w:t>. However,</w:t>
      </w:r>
      <w:r>
        <w:rPr>
          <w:rFonts w:cstheme="minorHAnsi"/>
        </w:rPr>
        <w:t xml:space="preserve"> Blaser et al. (2016) found that incongruent dissolution of </w:t>
      </w:r>
      <w:r w:rsidR="000918B6">
        <w:rPr>
          <w:rFonts w:cstheme="minorHAnsi"/>
        </w:rPr>
        <w:t>volcanogenic</w:t>
      </w:r>
      <w:r>
        <w:rPr>
          <w:rFonts w:cstheme="minorHAnsi"/>
        </w:rPr>
        <w:t xml:space="preserve"> ma</w:t>
      </w:r>
      <w:r w:rsidR="0070753B">
        <w:rPr>
          <w:rFonts w:cstheme="minorHAnsi"/>
        </w:rPr>
        <w:t>terial</w:t>
      </w:r>
      <w:r>
        <w:rPr>
          <w:rFonts w:cstheme="minorHAnsi"/>
        </w:rPr>
        <w:t xml:space="preserve"> during weak acid leaching can lead to </w:t>
      </w:r>
      <w:r w:rsidRPr="008328BA">
        <w:rPr>
          <w:rFonts w:cstheme="minorHAnsi"/>
        </w:rPr>
        <w:t>ε</w:t>
      </w:r>
      <w:r w:rsidRPr="008328BA">
        <w:rPr>
          <w:rFonts w:cstheme="minorHAnsi"/>
          <w:vertAlign w:val="subscript"/>
        </w:rPr>
        <w:t>Nd</w:t>
      </w:r>
      <w:r>
        <w:rPr>
          <w:rFonts w:cstheme="minorHAnsi"/>
        </w:rPr>
        <w:t xml:space="preserve"> variability of one to three </w:t>
      </w:r>
      <w:r w:rsidRPr="00642585">
        <w:rPr>
          <w:rFonts w:cstheme="minorHAnsi"/>
        </w:rPr>
        <w:t>ε</w:t>
      </w:r>
      <w:r w:rsidRPr="00642585">
        <w:rPr>
          <w:rFonts w:cstheme="minorHAnsi"/>
          <w:vertAlign w:val="subscript"/>
        </w:rPr>
        <w:t>Nd</w:t>
      </w:r>
      <w:r>
        <w:rPr>
          <w:rFonts w:cstheme="minorHAnsi"/>
        </w:rPr>
        <w:t xml:space="preserve"> units. </w:t>
      </w:r>
      <w:r w:rsidR="00A1415F">
        <w:rPr>
          <w:rFonts w:cstheme="minorHAnsi"/>
        </w:rPr>
        <w:lastRenderedPageBreak/>
        <w:t>Therefore, it is important to consider both the composition of the sediment and the objective of the study when selecting</w:t>
      </w:r>
      <w:r w:rsidR="004F299A">
        <w:rPr>
          <w:rFonts w:cstheme="minorHAnsi"/>
        </w:rPr>
        <w:t xml:space="preserve"> </w:t>
      </w:r>
      <w:r w:rsidR="00A1415F">
        <w:rPr>
          <w:rFonts w:cstheme="minorHAnsi"/>
        </w:rPr>
        <w:t>a methodology.</w:t>
      </w:r>
    </w:p>
    <w:p w14:paraId="16EB6A33" w14:textId="77777777" w:rsidR="00642585" w:rsidRDefault="00642585" w:rsidP="00642585">
      <w:pPr>
        <w:spacing w:line="480" w:lineRule="auto"/>
        <w:jc w:val="both"/>
        <w:rPr>
          <w:rFonts w:cstheme="minorHAnsi"/>
        </w:rPr>
      </w:pPr>
    </w:p>
    <w:p w14:paraId="6055D3DB" w14:textId="71BACF98" w:rsidR="002257DC" w:rsidRDefault="0070753B" w:rsidP="005124DD">
      <w:pPr>
        <w:spacing w:line="480" w:lineRule="auto"/>
        <w:jc w:val="both"/>
        <w:rPr>
          <w:rFonts w:cstheme="minorHAnsi"/>
        </w:rPr>
      </w:pPr>
      <w:r>
        <w:rPr>
          <w:rFonts w:cstheme="minorHAnsi"/>
        </w:rPr>
        <w:t xml:space="preserve">In summary, we find that the influence </w:t>
      </w:r>
      <w:r w:rsidR="000918B6">
        <w:rPr>
          <w:rFonts w:cstheme="minorHAnsi"/>
        </w:rPr>
        <w:t xml:space="preserve">of repeated DTPA-NaOH treatments </w:t>
      </w:r>
      <w:r>
        <w:rPr>
          <w:rFonts w:cstheme="minorHAnsi"/>
        </w:rPr>
        <w:t xml:space="preserve">on the terrigenous </w:t>
      </w:r>
      <w:r w:rsidRPr="00906455">
        <w:rPr>
          <w:rFonts w:cstheme="minorHAnsi"/>
        </w:rPr>
        <w:t>ε</w:t>
      </w:r>
      <w:r w:rsidRPr="00906455">
        <w:rPr>
          <w:rFonts w:cstheme="minorHAnsi"/>
          <w:vertAlign w:val="subscript"/>
        </w:rPr>
        <w:t>Nd</w:t>
      </w:r>
      <w:r>
        <w:rPr>
          <w:rFonts w:cstheme="minorHAnsi"/>
        </w:rPr>
        <w:t xml:space="preserve"> is too small to hamper reconstructions of provenance</w:t>
      </w:r>
      <w:r w:rsidR="00A1415F">
        <w:rPr>
          <w:rFonts w:cstheme="minorHAnsi"/>
        </w:rPr>
        <w:t xml:space="preserve"> at our study sites</w:t>
      </w:r>
      <w:r>
        <w:rPr>
          <w:rFonts w:cstheme="minorHAnsi"/>
        </w:rPr>
        <w:t xml:space="preserve">. The geochemical variability following repeated DTPA-NaOH </w:t>
      </w:r>
      <w:r w:rsidR="000918B6">
        <w:rPr>
          <w:rFonts w:cstheme="minorHAnsi"/>
        </w:rPr>
        <w:t>treatments</w:t>
      </w:r>
      <w:r>
        <w:rPr>
          <w:rFonts w:cstheme="minorHAnsi"/>
        </w:rPr>
        <w:t xml:space="preserve"> at Sites 662 and 1016 is similar to that expected following all preceding leaching steps (i.e. removal of carbonate, authigenic coatings, opal, organic matter and adsorbed cations). In cases where more than one DTPA-NaOH treatment results in only small residual change in lithogenic </w:t>
      </w:r>
      <w:r w:rsidRPr="00AE1DE7">
        <w:rPr>
          <w:rFonts w:cstheme="minorHAnsi"/>
          <w:vertAlign w:val="superscript"/>
        </w:rPr>
        <w:t>87</w:t>
      </w:r>
      <w:r w:rsidRPr="00AE1DE7">
        <w:rPr>
          <w:rFonts w:cstheme="minorHAnsi"/>
        </w:rPr>
        <w:t>Sr/</w:t>
      </w:r>
      <w:r w:rsidRPr="00AE1DE7">
        <w:rPr>
          <w:rFonts w:cstheme="minorHAnsi"/>
          <w:vertAlign w:val="superscript"/>
        </w:rPr>
        <w:t>86</w:t>
      </w:r>
      <w:r w:rsidRPr="00AE1DE7">
        <w:rPr>
          <w:rFonts w:cstheme="minorHAnsi"/>
        </w:rPr>
        <w:t>Sr</w:t>
      </w:r>
      <w:r>
        <w:rPr>
          <w:rFonts w:cstheme="minorHAnsi"/>
        </w:rPr>
        <w:t>, there is little to gain by repeatedly treat</w:t>
      </w:r>
      <w:r w:rsidR="000918B6">
        <w:rPr>
          <w:rFonts w:cstheme="minorHAnsi"/>
        </w:rPr>
        <w:t>ing</w:t>
      </w:r>
      <w:r>
        <w:rPr>
          <w:rFonts w:cstheme="minorHAnsi"/>
        </w:rPr>
        <w:t xml:space="preserve"> with DTPA-NaOH. One DTPA-NaOH leach should be sufficient in most ocean settings, more may be required in high</w:t>
      </w:r>
      <w:r w:rsidR="00CF5FBF">
        <w:rPr>
          <w:rFonts w:cstheme="minorHAnsi"/>
        </w:rPr>
        <w:t>er</w:t>
      </w:r>
      <w:r>
        <w:rPr>
          <w:rFonts w:cstheme="minorHAnsi"/>
        </w:rPr>
        <w:t xml:space="preserve"> productivity coastal environments</w:t>
      </w:r>
      <w:r w:rsidR="00CF5FBF">
        <w:rPr>
          <w:rFonts w:cstheme="minorHAnsi"/>
        </w:rPr>
        <w:t xml:space="preserve"> and the risk of barite contamination in mid-oceanic gyre sites is small</w:t>
      </w:r>
      <w:r>
        <w:rPr>
          <w:rFonts w:cstheme="minorHAnsi"/>
        </w:rPr>
        <w:t xml:space="preserve">. </w:t>
      </w:r>
      <w:r w:rsidR="00CF5FBF">
        <w:rPr>
          <w:rFonts w:cstheme="minorHAnsi"/>
        </w:rPr>
        <w:t>I</w:t>
      </w:r>
      <w:r w:rsidR="00CF5486">
        <w:rPr>
          <w:rFonts w:cstheme="minorHAnsi"/>
        </w:rPr>
        <w:t xml:space="preserve">n </w:t>
      </w:r>
      <w:r w:rsidR="00EF63D8">
        <w:rPr>
          <w:rFonts w:cstheme="minorHAnsi"/>
        </w:rPr>
        <w:t xml:space="preserve">rare </w:t>
      </w:r>
      <w:r w:rsidR="00CF5486">
        <w:rPr>
          <w:rFonts w:cstheme="minorHAnsi"/>
        </w:rPr>
        <w:t>cases</w:t>
      </w:r>
      <w:r w:rsidR="00CF5FBF">
        <w:rPr>
          <w:rFonts w:cstheme="minorHAnsi"/>
        </w:rPr>
        <w:t>,</w:t>
      </w:r>
      <w:r w:rsidR="00CF5486">
        <w:rPr>
          <w:rFonts w:cstheme="minorHAnsi"/>
        </w:rPr>
        <w:t xml:space="preserve"> where the scientific problem </w:t>
      </w:r>
      <w:r w:rsidR="00F43731">
        <w:rPr>
          <w:rFonts w:cstheme="minorHAnsi"/>
        </w:rPr>
        <w:t xml:space="preserve">being addressed </w:t>
      </w:r>
      <w:r w:rsidR="00CF5486">
        <w:rPr>
          <w:rFonts w:cstheme="minorHAnsi"/>
        </w:rPr>
        <w:t xml:space="preserve">requires </w:t>
      </w:r>
      <w:r w:rsidR="00F43731">
        <w:rPr>
          <w:rFonts w:cstheme="minorHAnsi"/>
        </w:rPr>
        <w:t>the determination</w:t>
      </w:r>
      <w:r w:rsidR="00CF5486">
        <w:rPr>
          <w:rFonts w:cstheme="minorHAnsi"/>
        </w:rPr>
        <w:t xml:space="preserve"> of </w:t>
      </w:r>
      <w:r w:rsidR="00EF63D8">
        <w:rPr>
          <w:rFonts w:cstheme="minorHAnsi"/>
        </w:rPr>
        <w:t xml:space="preserve">very </w:t>
      </w:r>
      <w:r w:rsidR="00CF5486">
        <w:rPr>
          <w:rFonts w:cstheme="minorHAnsi"/>
        </w:rPr>
        <w:t>subtle variations in</w:t>
      </w:r>
      <w:r w:rsidR="0000739C">
        <w:rPr>
          <w:rFonts w:cstheme="minorHAnsi"/>
        </w:rPr>
        <w:t xml:space="preserve"> </w:t>
      </w:r>
      <w:r w:rsidR="00E869C7">
        <w:rPr>
          <w:rFonts w:cstheme="minorHAnsi"/>
        </w:rPr>
        <w:t>terrigenous</w:t>
      </w:r>
      <w:r w:rsidR="00CF5486">
        <w:rPr>
          <w:rFonts w:cstheme="minorHAnsi"/>
        </w:rPr>
        <w:t xml:space="preserve"> </w:t>
      </w:r>
      <w:r w:rsidR="00CF5486" w:rsidRPr="00CF5486">
        <w:rPr>
          <w:rFonts w:cstheme="minorHAnsi"/>
        </w:rPr>
        <w:t>ε</w:t>
      </w:r>
      <w:r w:rsidR="00CF5486" w:rsidRPr="00CF5486">
        <w:rPr>
          <w:rFonts w:cstheme="minorHAnsi"/>
          <w:vertAlign w:val="subscript"/>
        </w:rPr>
        <w:t>Nd</w:t>
      </w:r>
      <w:r w:rsidR="00CF5486">
        <w:rPr>
          <w:rFonts w:cstheme="minorHAnsi"/>
        </w:rPr>
        <w:t xml:space="preserve">, it may be </w:t>
      </w:r>
      <w:r w:rsidR="00F43731">
        <w:rPr>
          <w:rFonts w:cstheme="minorHAnsi"/>
        </w:rPr>
        <w:t>advisable to</w:t>
      </w:r>
      <w:r w:rsidR="00CF5486">
        <w:rPr>
          <w:rFonts w:cstheme="minorHAnsi"/>
        </w:rPr>
        <w:t xml:space="preserve"> undertake Nd isotope analysis </w:t>
      </w:r>
      <w:r w:rsidR="00F43731">
        <w:rPr>
          <w:rFonts w:cstheme="minorHAnsi"/>
        </w:rPr>
        <w:t xml:space="preserve">on an aliquot </w:t>
      </w:r>
      <w:r w:rsidR="00CF5486">
        <w:rPr>
          <w:rFonts w:cstheme="minorHAnsi"/>
        </w:rPr>
        <w:t xml:space="preserve">prior to DTPA-NaOH </w:t>
      </w:r>
      <w:r w:rsidR="003867A6">
        <w:rPr>
          <w:rFonts w:cstheme="minorHAnsi"/>
        </w:rPr>
        <w:t>treatment</w:t>
      </w:r>
      <w:r w:rsidR="00171855">
        <w:rPr>
          <w:rFonts w:cstheme="minorHAnsi"/>
        </w:rPr>
        <w:t xml:space="preserve"> (Figure </w:t>
      </w:r>
      <w:r w:rsidR="009A186C">
        <w:rPr>
          <w:rFonts w:cstheme="minorHAnsi"/>
        </w:rPr>
        <w:t>3</w:t>
      </w:r>
      <w:r w:rsidR="00171855">
        <w:rPr>
          <w:rFonts w:cstheme="minorHAnsi"/>
        </w:rPr>
        <w:t>).</w:t>
      </w:r>
      <w:r w:rsidR="0014450B">
        <w:rPr>
          <w:rFonts w:cstheme="minorHAnsi"/>
        </w:rPr>
        <w:t xml:space="preserve"> </w:t>
      </w:r>
    </w:p>
    <w:p w14:paraId="57AD74A4" w14:textId="77777777" w:rsidR="008328BA" w:rsidRDefault="008328BA" w:rsidP="008328BA">
      <w:pPr>
        <w:spacing w:line="480" w:lineRule="auto"/>
        <w:jc w:val="both"/>
        <w:rPr>
          <w:rFonts w:cstheme="minorHAnsi"/>
        </w:rPr>
      </w:pPr>
    </w:p>
    <w:p w14:paraId="346089A0" w14:textId="77777777" w:rsidR="00EC5DE5" w:rsidRDefault="001C6606" w:rsidP="00B404B2">
      <w:pPr>
        <w:pStyle w:val="Heading2"/>
        <w:numPr>
          <w:ilvl w:val="1"/>
          <w:numId w:val="53"/>
        </w:numPr>
        <w:spacing w:line="480" w:lineRule="auto"/>
      </w:pPr>
      <w:r>
        <w:t>Implications for other isotope systems</w:t>
      </w:r>
    </w:p>
    <w:p w14:paraId="768C94FD" w14:textId="6144FF10" w:rsidR="00F07122" w:rsidRDefault="00824C47" w:rsidP="00B404B2">
      <w:pPr>
        <w:spacing w:line="480" w:lineRule="auto"/>
        <w:jc w:val="both"/>
      </w:pPr>
      <w:r>
        <w:t>Lead (Pb)</w:t>
      </w:r>
      <w:r w:rsidR="00F07122">
        <w:t xml:space="preserve"> isotopes (</w:t>
      </w:r>
      <w:r w:rsidR="00F07122" w:rsidRPr="00B404B2">
        <w:rPr>
          <w:vertAlign w:val="superscript"/>
        </w:rPr>
        <w:t>208</w:t>
      </w:r>
      <w:r w:rsidR="00F07122">
        <w:t>Pb/</w:t>
      </w:r>
      <w:r w:rsidR="00F07122" w:rsidRPr="00B404B2">
        <w:rPr>
          <w:vertAlign w:val="superscript"/>
        </w:rPr>
        <w:t>204</w:t>
      </w:r>
      <w:r w:rsidR="00F07122">
        <w:t xml:space="preserve">Pb, </w:t>
      </w:r>
      <w:r w:rsidR="00F07122" w:rsidRPr="00B404B2">
        <w:rPr>
          <w:vertAlign w:val="superscript"/>
        </w:rPr>
        <w:t>207</w:t>
      </w:r>
      <w:r w:rsidR="00F07122">
        <w:t>Pb/</w:t>
      </w:r>
      <w:r w:rsidR="00F07122" w:rsidRPr="00B404B2">
        <w:rPr>
          <w:vertAlign w:val="superscript"/>
        </w:rPr>
        <w:t>204</w:t>
      </w:r>
      <w:r w:rsidR="00F07122">
        <w:t>Pb and</w:t>
      </w:r>
      <w:r w:rsidR="00AC2976">
        <w:t xml:space="preserve"> </w:t>
      </w:r>
      <w:r w:rsidR="00AC2976" w:rsidRPr="00B404B2">
        <w:rPr>
          <w:vertAlign w:val="superscript"/>
        </w:rPr>
        <w:t>206</w:t>
      </w:r>
      <w:r w:rsidR="00AC2976">
        <w:t>Pb/</w:t>
      </w:r>
      <w:r w:rsidR="00AC2976" w:rsidRPr="00B404B2">
        <w:rPr>
          <w:vertAlign w:val="superscript"/>
        </w:rPr>
        <w:t>204</w:t>
      </w:r>
      <w:r w:rsidR="00AC2976">
        <w:t xml:space="preserve">Pb) are commonly used as a tool to isotopically fingerprint </w:t>
      </w:r>
      <w:r w:rsidR="00E869C7">
        <w:t>terrigenous</w:t>
      </w:r>
      <w:r w:rsidR="00AC2976">
        <w:t xml:space="preserve"> material </w:t>
      </w:r>
      <w:r w:rsidR="00AC2976">
        <w:fldChar w:fldCharType="begin" w:fldLock="1"/>
      </w:r>
      <w:r w:rsidR="00AC2976">
        <w:instrText>ADDIN CSL_CITATION {"citationItems":[{"id":"ITEM-1","itemData":{"DOI":"10.1016/j.epsl.2013.08.028","ISBN":"0012-821X; 1385-013X","ISSN":"0012821X","abstract":"The Bodélé Depression (Chad) in the central Sahara/Sahel region of Northern Africa is the most important source of mineral dust to the atmosphere globally. The Bodélé Depression is purportedly the largest source of Saharan dust reaching the Amazon Basin by transatlantic transport. Here, we have undertaken a comprehensive study of surface sediments from the Bodélé Depression and dust deposits (Chad, Niger) in order to characterize geochemically and isotopically (Sr, Nd and Pb isotopes) this dust source, and evaluate its importance in present and past African dust records. We similarly analyzed sedimentary deposits from the Amazonian lowlands in order to assess postulated accumulation of African mineral dust in the Amazon Basin, as well as its possible impact in fertilizing the Amazon rainforest.Our results identify distinct sources of different ages and provenance in the Bodélé Depression versus the Amazon Basin, effectively ruling out an origin for the Amazonian deposits, such as the Belterra Clay Layer, by long-term deposition of Bodélé Depression material. Similarly, no evidence for contributions from other potential source areas is provided by existing isotope data (Sr, Nd) on Saharan dusts. Instead, the composition of these Amazonian deposits is entirely consistent with derivation from in-situ weathering and erosion of the Precambrian Amazonian craton, with little, if any, Andean contribution. In the Amazon Basin, the mass accumulation rate of eolian dust is only around one-third of the vertical erosion rate in shield areas, suggesting that Saharan dust is \"consumed\" by tropical weathering, contributing nutrients and stimulating plant growth, but never accumulates as such in the Amazon Basin.The chemical and isotope compositions found in the Bodélé Depression are varied at the local scale, and have contrasting signatures in the \"silica-rich\" dry lake-bed sediments and in the \"calcium-rich\" mixed diatomites and surrounding sand material. This unexpected finding implies that the Bodélé Depression material is not \"pre-mixed\" at the source to provide a homogeneous source of dust. Rather, different isotope signatures can be emitted depending on subtle vagaries of dust-producing events. Our characterization of the Bodélé Depression components indicate that the Bodélé \"calcium-rich\" component, identified here, is most likely released via eolian processes of sand grain saltation and abrasion and may be significant in the overall global budget of dusts carri…","author":[{"dropping-particle":"","family":"Abouchami","given":"Wafa","non-dropping-particle":"","parse-names":false,"suffix":""},{"dropping-particle":"","family":"Näthe","given":"Kerstin","non-dropping-particle":"","parse-names":false,"suffix":""},{"dropping-particle":"","family":"Kumar","given":"Ashwini","non-dropping-particle":"","parse-names":false,"suffix":""},{"dropping-particle":"","family":"Galer","given":"Stephen J.G.","non-dropping-particle":"","parse-names":false,"suffix":""},{"dropping-particle":"","family":"Jochum","given":"Klaus Peter","non-dropping-particle":"","parse-names":false,"suffix":""},{"dropping-particle":"","family":"Williams","given":"Earle","non-dropping-particle":"","parse-names":false,"suffix":""},{"dropping-particle":"","family":"Horbe","given":"Adriana M.C.","non-dropping-particle":"","parse-names":false,"suffix":""},{"dropping-particle":"","family":"Rosa","given":"João W.C.","non-dropping-particle":"","parse-names":false,"suffix":""},{"dropping-particle":"","family":"Balsam","given":"William","non-dropping-particle":"","parse-names":false,"suffix":""},{"dropping-particle":"","family":"Adams","given":"David","non-dropping-particle":"","parse-names":false,"suffix":""},{"dropping-particle":"","family":"Mezger","given":"Klaus","non-dropping-particle":"","parse-names":false,"suffix":""},{"dropping-particle":"","family":"Andreae","given":"Meinrat O.","non-dropping-particle":"","parse-names":false,"suffix":""}],"container-title":"Earth and Planetary Science Letters","id":"ITEM-1","issued":{"date-parts":[["2013"]]},"page":"112-123","publisher":"Elsevier B.V.","title":"Geochemical and isotopic characterization of the bodélé depression dust source and implications for transatlantic dust transport to the Amazon basin","type":"article-journal","volume":"380"},"uris":["http://www.mendeley.com/documents/?uuid=c862a8fc-0e24-4a07-94a8-e9d4f5b83a35"]},{"id":"ITEM-2","itemData":{"DOI":"10.1016/j.chemgeo.2005.05.006","ISBN":"0009-2541","ISSN":"00092541","abstract":"Continental dust transported through the atmosphere can be a tracer of atmospheric circulation and transport, as well as being a source of information about climate in the dust's source area. This information about the provenance of dust transported from desert areas and deposited elsewhere on the oceans and continents can be evaluated using several observational techniques. Satellite imagery has been used to this end in recent decades, and air-mass back trajectories have been calculated to trace dust deposits back to their source area. Another method consists of analysis of the concentration and composition of certain tracers in the dust itself, and comparing them to soils and sediments from possible source areas. This method has the advantage of being useable for paleo-atmospheric circulation and paleo-dust transport studies, whereas satellite imagery and air-mass back trajectories are restricted to relatively recent times. We review here different kinds of isotopic tracers that have been used to trace dust provenance, but special attention is focused on the use of Sr, Nd and Pb isotopes. We evaluate their use in studies of both spatially as well as temporally varying continental dust source and transport. © 2005 Elsevier B.V. All rights reserved.","author":[{"dropping-particle":"","family":"Grousset","given":"Francis E.","non-dropping-particle":"","parse-names":false,"suffix":""},{"dropping-particle":"","family":"Biscaye","given":"Pierre E.","non-dropping-particle":"","parse-names":false,"suffix":""}],"container-title":"Chemical Geology","id":"ITEM-2","issued":{"date-parts":[["2005"]]},"title":"Tracing dust sources and transport patterns using Sr, Nd and Pb isotopes","type":"article"},"uris":["http://www.mendeley.com/documents/?uuid=a16ee7bc-8d26-39cf-865d-70271709363e"]},{"id":"ITEM-3","itemData":{"DOI":"10.1029/2020GC009287","ISSN":"15252027","abstract":"Radiogenic lead (Pb) and neodymium (Nd) isotope compositions extracted from authigenic phases in marine sediments are sensitive tracers to reconstruct past ocean circulation and water mass mixing. Chemical reductive leaching of hydrogenetic ferromanganese oxyhydroxides from bulk sediments is the most practical way to recover past seawater Pb and Nd isotope signatures in the Southern Ocean, due to the scarcity of alternative archives. However, the leached signal could be compromised if substantial quantities of Pb and Nd were released from non-hydrogenetic sediment fractions during chemical extraction. Here we developed a very short 10-s leaching method to extract reliable seawater Pb and Nd isotope signals from sediments in the Atlantic sector of Southern Ocean. The effect of a previously recommended MgCl2 pre-wash, the role of chelate ligands in the leaching solution and length of leaching time were investigated. The results show that 10-s exposure time of sediments to reductive leaching extracted sufficient and more reliable hydrogenetic Pb and Nd compared with the commonly used 30-min leaching approaches. The robustness of our improved leaching method was validated via direct comparison of Pb and Nd isotope signatures with actual seawater, porewater, and corresponding sediment leachates from three stations in front of the Antarctic Filchner-Rønne Ice Shelf. Our findings also indicate that in contrast previously studied sites on the West Antarctic continental shelf, the bottom seawater Nd concentration is less elevated through benthic fluxes in the area of the southern Weddell Sea shelf.","author":[{"dropping-particle":"","family":"Huang","given":"H.","non-dropping-particle":"","parse-names":false,"suffix":""},{"dropping-particle":"","family":"Gutjahr","given":"M.","non-dropping-particle":"","parse-names":false,"suffix":""},{"dropping-particle":"","family":"Kuhn","given":"G.","non-dropping-particle":"","parse-names":false,"suffix":""},{"dropping-particle":"","family":"Hathorne","given":"Ed C.","non-dropping-particle":"","parse-names":false,"suffix":""},{"dropping-particle":"","family":"Eisenhauer","given":"A.","non-dropping-particle":"","parse-names":false,"suffix":""}],"container-title":"Geochemistry, Geophysics, Geosystems","id":"ITEM-3","issue":"3","issued":{"date-parts":[["2021"]]},"title":"Efficient Extraction of Past Seawater Pb and Nd Isotope Signatures From Southern Ocean Sediments","type":"article-journal","volume":"22"},"uris":["http://www.mendeley.com/documents/?uuid=290042a7-addc-49ba-a0d8-2e18698280a8"]},{"id":"ITEM-4","itemData":{"author":[{"dropping-particle":"","family":"Jardine","given":"G E","non-dropping-particle":"","parse-names":false,"suffix":""},{"dropping-particle":"","family":"Crocker","given":"A J","non-droppi</w:instrText>
      </w:r>
      <w:r w:rsidR="00AC2976" w:rsidRPr="00796972">
        <w:rPr>
          <w:lang w:val="fr-FR"/>
        </w:rPr>
        <w:instrText>ng-particle":"","parse-names":false,"suffix":""},{"dropping-particle":"","family":"Bailey","given":"I","non-dropping-particle":"","parse-names":false,"suffix":""},{"dropping-particle":"","family":"Cooper","given":"M J","non-dropping-particle":"","parse-names":false,"suffix":""},{"dropping-particle":"","family":"Milton","given":"J A","non-dropping-particle":"","parse-names":false,"suffix":""},{"dropping-particle":"","family":"Wilson","given":"P A","non-dropping-particle":"","parse-names":false,"suffix":""}],"container-title":"Quaternary Science Reviews","id":"ITEM-4","issued":{"date-parts":[["2021"]]},"title":"The imprint of windblown dust from the North American Southwest on the California Channel Islands and Paci fic Ocean sediments","type":"article-journal","volume":"261"},"uris":["http://www.mendeley.com/documents/?uuid=deb35f7e-fca9-42f3-820e-d7fec913df52"]}],"mendeley":{"formattedCitation":"(Abouchami et al., 2013; Grousset and Biscaye, 2005; Huang et al., 2021; Jardine et al., 2021)","manualFormatting":"(e.g. Abouchami et al., 2013; Grousset and Biscaye, 2005; Huang et al., 2021; Jardine et al., 2021)","plainTextFormattedCitation":"(Abouchami et al., 2013; Grousset and Biscaye, 2005; Huang et al., 2021; Jardine et al., 2021)","previouslyFormattedCitation":"(Abouchami et al., 2013; Grousset and Biscaye, 2005; Huang et al., 2021; Jardine et al., 2021)"},"properties":{"noteIndex":0},"schema":"https://github.com/citation-style-language/schema/raw/master/csl-citation.json"}</w:instrText>
      </w:r>
      <w:r w:rsidR="00AC2976">
        <w:fldChar w:fldCharType="separate"/>
      </w:r>
      <w:r w:rsidR="00AC2976" w:rsidRPr="00796972">
        <w:rPr>
          <w:noProof/>
          <w:lang w:val="fr-FR"/>
        </w:rPr>
        <w:t>(e.g. Abouchami et al., 2013; Grousset and Biscaye, 2005; Huang et al., 2021; Jardine et al., 2021)</w:t>
      </w:r>
      <w:r w:rsidR="00AC2976">
        <w:fldChar w:fldCharType="end"/>
      </w:r>
      <w:r w:rsidR="00AC2976" w:rsidRPr="00796972">
        <w:rPr>
          <w:lang w:val="fr-FR"/>
        </w:rPr>
        <w:t xml:space="preserve">. </w:t>
      </w:r>
      <w:r>
        <w:t>Lead</w:t>
      </w:r>
      <w:r w:rsidR="0070753B">
        <w:t xml:space="preserve"> substitutes for Ba in barite in much </w:t>
      </w:r>
      <w:r w:rsidR="005D6D6B">
        <w:t xml:space="preserve">the same way as Sr </w:t>
      </w:r>
      <w:r w:rsidR="00AC2976">
        <w:t>because of the similarity in charge, ionic radius and electronegativity of the</w:t>
      </w:r>
      <w:r w:rsidR="0070753B">
        <w:t>se</w:t>
      </w:r>
      <w:r w:rsidR="00AC2976">
        <w:t xml:space="preserve"> cations </w:t>
      </w:r>
      <w:r w:rsidR="00AC2976">
        <w:fldChar w:fldCharType="begin" w:fldLock="1"/>
      </w:r>
      <w:r w:rsidR="008561B9">
        <w:instrText>ADDIN CSL_CITATION {"citationItems":[{"id":"ITEM-1","itemData":{"DOI":"10.1111/j.1365-3091.2012.01327.x","ISSN":"00370746","abstract":"The mineral barite (BaSO4) can precipitate in a variety of oceanic settings: in the water column, on the sea floor and within marine sediments. The geological setting where barite forms ultimately determines the geochemistry of the precipitated mineral and its usefulness for various applications. Specifically, the isotopic and elemental composition of major and trace elements in barite carry information about the solution(s) from which it precipitated. Barite precipitated in the water column (marine or pelagic barite) can be used as a recorder of changes in sea water chemistry through time. Barite formed within sediments or at the sea floor from pore water fluids (diagenetic or cold seeps barite) can aid in understanding fluid flow and sedimentary redox processes, and barite formed in association with hydrothermal activity (hydrothermal barite) provides information about conditions of crust alteration around hydrothermal vents. The accumulation rate of marine barite in oxic-pelagic sediments can also be used to reconstruct past changes in ocean productivity. Some key areas for future work on the occurrence and origin of barite include: fully characterizing the mechanisms of precipitation of marine barite in the water column; understanding the role and potential significance of bacteria in barite precipitation; quantifying parameters controlling barite preservation in sediments; determining the influence of diagenesis on barite geochemistry; and investigating the utility of additional trace components in barite.","author":[{"dropping-particle":"","family":"Griffith","given":"Elizabeth M.","non-dropping-particle":"","parse-names":false,"suffix":""},{"dropping-particle":"","family":"Paytan","given":"Adina","non-dropping-particle":"","parse-names":false,"suffix":""}],"container-title":"Sedimentology","id":"ITEM-1","issue":"6","issued":{"date-parts":[["2012"]]},"page":"1817-1835","title":"Barite in the ocean - occurrence, geochemistry and palaeoceanographic applications","type":"article-journal","volume":"59"},"uris":["http://www.mendeley.com/documents/?uuid=7d87c128-e96d-4bfe-8157-1b1d2d4d5d94"]}],"mendeley":{"formattedCitation":"(Griffith and Paytan, 2012)","plainTextFormattedCitation":"(Griffith and Paytan, 2012)","previouslyFormattedCitation":"(Griffith and Paytan, 2012)"},"properties":{"noteIndex":0},"schema":"https://github.com/citation-style-language/schema/raw/master/csl-citation.json"}</w:instrText>
      </w:r>
      <w:r w:rsidR="00AC2976">
        <w:fldChar w:fldCharType="separate"/>
      </w:r>
      <w:r w:rsidR="00AC2976" w:rsidRPr="00AC2976">
        <w:rPr>
          <w:noProof/>
        </w:rPr>
        <w:t>(Griffith and Paytan, 2012)</w:t>
      </w:r>
      <w:r w:rsidR="00AC2976">
        <w:fldChar w:fldCharType="end"/>
      </w:r>
      <w:r w:rsidR="00AC2976">
        <w:t xml:space="preserve">. </w:t>
      </w:r>
      <w:r w:rsidR="000918B6">
        <w:t xml:space="preserve">As far as we are aware, no data exist </w:t>
      </w:r>
      <w:r w:rsidR="00C557A3">
        <w:t>on</w:t>
      </w:r>
      <w:r w:rsidR="00AC2976">
        <w:t xml:space="preserve"> the concentration of Pb in marine barite</w:t>
      </w:r>
      <w:r w:rsidR="000918B6">
        <w:t>. However,</w:t>
      </w:r>
      <w:r w:rsidR="00AC2976">
        <w:t xml:space="preserve"> the concentration </w:t>
      </w:r>
      <w:r w:rsidR="005D6D6B">
        <w:t>of</w:t>
      </w:r>
      <w:r w:rsidR="00AC2976">
        <w:t xml:space="preserve"> Pb within our samples from Site 662 and 1016 </w:t>
      </w:r>
      <w:r w:rsidR="00C557A3">
        <w:t>decreases</w:t>
      </w:r>
      <w:r w:rsidR="00AC2976">
        <w:t xml:space="preserve"> from 11 - 14 ppm to 6 - 9 ppm following the first DTPA </w:t>
      </w:r>
      <w:r w:rsidR="000918B6">
        <w:t>treatment</w:t>
      </w:r>
      <w:r w:rsidR="00AC2976">
        <w:t xml:space="preserve"> (Table S</w:t>
      </w:r>
      <w:r w:rsidR="0035456E">
        <w:t>1</w:t>
      </w:r>
      <w:r w:rsidR="00AC2976">
        <w:t>).</w:t>
      </w:r>
      <w:r w:rsidR="000918B6">
        <w:t xml:space="preserve"> </w:t>
      </w:r>
      <w:r w:rsidR="00AC2976">
        <w:t xml:space="preserve">Following subsequent DTPA-NaOH </w:t>
      </w:r>
      <w:r w:rsidR="00D22B73">
        <w:t>treatments</w:t>
      </w:r>
      <w:r w:rsidR="00AC2976">
        <w:t xml:space="preserve">, Pb concentrations </w:t>
      </w:r>
      <w:r w:rsidR="00D22B73">
        <w:t>remain constant (variability of &lt; 1ppm)</w:t>
      </w:r>
      <w:r w:rsidR="00AC2976">
        <w:t xml:space="preserve">. These </w:t>
      </w:r>
      <w:r w:rsidR="00D22B73">
        <w:t>data</w:t>
      </w:r>
      <w:r w:rsidR="00AC2976">
        <w:t xml:space="preserve"> </w:t>
      </w:r>
      <w:r w:rsidR="00C557A3">
        <w:t>suggest</w:t>
      </w:r>
      <w:r w:rsidR="00AC2976">
        <w:t xml:space="preserve"> that Pb </w:t>
      </w:r>
      <w:r w:rsidR="00C557A3">
        <w:lastRenderedPageBreak/>
        <w:t xml:space="preserve">may </w:t>
      </w:r>
      <w:r w:rsidR="00AC2976">
        <w:t>behave in a similar way to other contaminat</w:t>
      </w:r>
      <w:r w:rsidR="005D6D6B">
        <w:t>ing</w:t>
      </w:r>
      <w:r w:rsidR="00AC2976">
        <w:t xml:space="preserve"> </w:t>
      </w:r>
      <w:r w:rsidR="005D6D6B">
        <w:t>c</w:t>
      </w:r>
      <w:r w:rsidR="00AC2976">
        <w:t xml:space="preserve">ations such as Sr, </w:t>
      </w:r>
      <w:r w:rsidR="00C557A3">
        <w:t>implying that, where present,</w:t>
      </w:r>
      <w:r w:rsidR="00AC2976">
        <w:t xml:space="preserve"> marine barite may also </w:t>
      </w:r>
      <w:r w:rsidR="00C557A3">
        <w:t>contaminate</w:t>
      </w:r>
      <w:r w:rsidR="00AC2976">
        <w:t xml:space="preserve"> Pb isotope </w:t>
      </w:r>
      <w:r w:rsidR="00C557A3">
        <w:t>data from terrigenous sediments.</w:t>
      </w:r>
    </w:p>
    <w:p w14:paraId="0A3CB443" w14:textId="77777777" w:rsidR="001C6606" w:rsidRPr="00F07122" w:rsidRDefault="001C6606" w:rsidP="00B404B2">
      <w:pPr>
        <w:spacing w:line="480" w:lineRule="auto"/>
        <w:jc w:val="both"/>
      </w:pPr>
    </w:p>
    <w:p w14:paraId="0CC878AE" w14:textId="6DEFA3F2" w:rsidR="00D27E7D" w:rsidRDefault="001C6606" w:rsidP="00B404B2">
      <w:pPr>
        <w:spacing w:line="480" w:lineRule="auto"/>
        <w:jc w:val="both"/>
      </w:pPr>
      <w:r>
        <w:t xml:space="preserve">Hf isotopes are also used to trace the provenance and transport history of </w:t>
      </w:r>
      <w:r w:rsidR="00E869C7">
        <w:t>terrigenous</w:t>
      </w:r>
      <w:r>
        <w:t xml:space="preserve"> material accumulating in marine sediments</w:t>
      </w:r>
      <w:r w:rsidR="000B402A">
        <w:t xml:space="preserve"> </w:t>
      </w:r>
      <w:r w:rsidR="000B402A">
        <w:fldChar w:fldCharType="begin" w:fldLock="1"/>
      </w:r>
      <w:r w:rsidR="002179EC">
        <w:instrText>ADDIN CSL_CITATION {"citationItems":[{"id":"ITEM-1","itemData":{"DOI":"10.1016/j.gca.2017.07.024","ISSN":"00167037","abstract":"The generation, transport, and deposition of mineral dust are detectable in paleoclimate records from land, ocean, and ice, providing valuable insight into earth surface conditions and cycles on a range of timescales. Dust deposited in marine and terrestrial ecosystems can provide critical nutrients to nutrient-limited ecosystems, and variations in dust provenance can indicate changes in dust production, sources and transport pathways as a function of climate variability and land use change. Thus, temporal changes in locations of dust source areas and transport pathways have implications for understanding interactions between mineral dust, global climate, and biogeochemical cycles. This work characterizes dust from areas in the American West known for dust events and/or affected by increasing human settlement and livestock grazing during the last 150 years. Dust generation and uplift from these dust source areas depends on climate and land use practices, and the relative contribution of dust has likely changed since the expansion of industrialization and agriculture into the western United States. We present elemental and isotopic analysis of 28 potential dust source area samples analyzed using Thermal Ionization Mass Spectrometry (TIMS) for 87Sr/86Sr and 143Nd/144Nd composition and Multi-Collector Inductively Coupled Plasma Mass Spectrometer (MC-ICPMS) for 176Hf/177Hf composition, and ICPMS for major and trace element concentrations. We find significant variability in the Sr, Nd, and Hf isotope compositions of potential source areas of dust throughout western North America, ranging from 87Sr/86Sr = 0.703699 to 0.740236, εNd = −26.6 to 2.4, and εHf = −21.7 to −0.1. We also report differences in the trace metal and phosphorus concentrations in the geologic provinces sampled. This research provides an important resource for the geochemical tracing of dust sources and sinks in western North America, and will aid in modeling the biogeochemical impacts of increased dust generation and deposition caused by higher drought frequency and human activity.","author":[{"dropping-particle":"","family":"Aarons","given":"Sarah M.","non-dropping-particle":"","parse-names":false,"suffix":""},{"dropping-particle":"","family":"Blakowski","given":"Molly A.","non-dropping-particle":"","parse-names":false,"suffix":""},{"dropping-particle":"","family":"Aciego","given":"Sarah M.","non-dropping-particle":"","parse-names":false,"suffix":""},{"dropping-particle":"","family":"Stevenson","given":"Emily I.","non-dropping-particle":"","parse-names":false,"suffix":""},{"dropping-particle":"","family":"Sims","given":"Kenneth W.W.","non-dropping-particle":"","parse-names":false,"suffix":""},{"dropping-particle":"","family":"Scott","given":"Sean R.","non-dropping-particle":"","parse-names":false,"suffix":""},{"dropping-particle":"","family":"Aarons","given":"Charles","non-dropping-particle":"","parse-names":false,"suffix":""}],"container-title":"Geochimica et Cosmochimica Acta","id":"ITEM-1","issued":{"date-parts":[["2017"]]},"page":"141-161","publisher":"Elsevier Ltd","title":"Geochemical characterization of critical dust source regions in the American West","type":"article-journal","volume":"215"},"uris":["http://www.mendeley.com/documents/?uuid=5dda710b-08a6-4e3c-94b2-0b88025ff293"]},{"id":"ITEM-2","itemData":{"DOI":"10.1016/j.epsl.2018.01.004","ISSN":"0012821X","abstract":"Long-range transport of African dust plays an important role in understanding dust-climate relationships including dust source areas, dust pathways and associated atmospheric and/or oceanic processes. Clay-sized Sr–Nd–Hf isotopic compositions can be used as geochemical fingerprints to constrain dust provenance and the pathways of long-range transported mineral dust. We investigated the clay-sized Sr–Nd–Hf isotopic composition of surface samples along four transects bordering the Sahara Desert. The transects are from Mali, Niger/Benin/Togo, Egypt and Morocco. Our results show that the Mali transect on the West African Craton (WAC) produces lower εNd(εNd-mean= −16.38) and εHf(εHf-mean= −9.59) values than the other three transects. The Egyptian transect exhibits the lowest87Sr/86Sr ratios (87Sr/86Srmean= 0.709842), the highest εHf(εHf-mean= −0.34) and εNdvalues of the four transects. Comparison of the clay-sized Sr–Nd–Hf isotopic values from our North African samples to transatlantic African dust collected in Barbados demonstrates that the dust's provenance is primarily the western Sahel and Sahara as well as the central Sahel. Summer emission dust is derived mainly from the western Sahel and Sahara regions. The source of transatlantic dust in spring and autumn is more varied than in the summer and includes dust not only from western areas, but also south central areas. Comparison of the Sr–Nd–Hf isotopic fingerprints between the source and sink of transatlantic dust also suggests that a northwestward shift in dust source occurs from the winter, through the spring and into the summer. The isotopic data we develop here provide another tool for discriminating changes in dust archives resulting from paleoenvironmental evolution of source regions.","author":[{"dropping-particle":"","family":"Zhao","given":"Wancang","non-dropping-particle":"","parse-names":false,"suffix":""},{"dropping-particle":"","family":"Balsam","given":"William","non-dropping-particle":"","parse-names":false,"suffix":""},{"dropping-particle":"","family":"Williams","given":"Earle","non-dropping-particle":"","parse-names":false,"suffix":""},{"dropping-particle":"","family":"Long","given":"Xiaoyong","non-dropping-particle":"","parse-names":false,"suffix":""},{"dropping-particle":"","family":"Ji","given":"Junfeng","non-dropping-particle":"","parse-names":false,"suffix":""}],"container-title":"Earth and Planetary Science Letters","id":"ITEM-2","issued":{"date-parts":[["2018"]]},"page":"23-31","title":"Sr–Nd–Hf isotopic fingerprinting of transatlantic dust derived from North Africa","type":"article-journal","volume":"486"},"uris":["http://www.mendeley.com/documents/?uuid=434a0548-b120-414d-9e91-26b20941edf0"]},{"id":"ITEM-3","itemData":{"DOI":"10.1016/j.chemgeo.2013.04.010","ISSN":"00092541","abstract":"Isotopic characterization of aerosol mineral particles (atmospheric dust) of varying sizes is essential in classifying source areas, and for determining the source of dust deposited over oceans and icesheets. However, the effect of atmospheric transport on radiogenic isotopic compositions is not well constrained, making provenance interpretation difficult. In order to investigate the isotopic variability of 176Hf/177Hf, 87Sr/86Sr and 143Nd/144Nd we analyzed eight airborne dust samples in two size fractions collected along a cross-Atlantic transect through a dust storm originating in the Sahara in late 2002. Past measurements of 176Hf/177Hf, 87Sr/86Sr and 143Nd/144Nd of dust have focused primarily on coarse sized particles (&lt;30μm), whereas far field deposition is primarily finer particles (&lt;2μm). Strontium or neodymium isotopic sorting based on distance is not evident in our dataset; however, the combined isotopic ratios of the dust collected suggest a Saharan origin. Hafnium isotopic compositions show an east to west trend towards more radiogenic compositions across the Atlantic, suggesting grain and mineral sorting during dust transport along the ~4000km transect. Transport models with variable dust particle diameter and wind speed demonstrate the preferential depletion of the high-density mineral zircon during transport of dust from the source area. The transport model combined with a simple two component mixing model show that the Hf isotopic composition changes can be explained by the loss of the mineral zircon during transport. Modeling of this \"zircon effect\" with distance from the dust source in the Hf isotopic composition of marine, terrestrial and glacial dust deposits may reveal additional information concerning dust transport and sources in the geologic past. © 2013 Elsevier B.V.","author":[{"dropping-particle":"","family":"Aarons","given":"S. M.","non-dropping-particle":"","parse-names":false,"suffix":""},{"dropping-particle":"","family":"Aciego","given":"S. M.","non-dropping-particle":"","parse-names":false,"suffix":""},{"dropping-particle":"","family":"Gleason","given":"J. D.","non-dropping-particle":"","parse-names":false,"suffix":""}],"container-title":"Chemical Geology","id":"ITEM-3","issue":"September","issued":{"date-parts":[["2013"]]},"page":"18-26","title":"Variable HfSrNd radiogenic isotopic compositions in a Saharan dust storm over the Atlantic: Implications for dust flux to oceans, ice sheets and the terrestrial biosphere","type":"article-journal","volume":"349-350"},"uris":["http://www.mendeley.com/documents/?uuid=7d76edb4-9b92-49c8-a619-9803561d81c0"]}],"mendeley":{"formattedCitation":"(Aarons et al., 2017, 2013; Zhao et al., 2018)","plainTextFormattedCitation":"(Aarons et al., 2017, 2013; Zhao et al., 2018)","previouslyFormattedCitation":"(Aarons et al., 2017, 2013; Zhao et al., 2018)"},"properties":{"noteIndex":0},"schema":"https://github.com/citation-style-language/schema/raw/master/csl-citation.json"}</w:instrText>
      </w:r>
      <w:r w:rsidR="000B402A">
        <w:fldChar w:fldCharType="separate"/>
      </w:r>
      <w:r w:rsidR="000B402A" w:rsidRPr="000B402A">
        <w:rPr>
          <w:noProof/>
        </w:rPr>
        <w:t>(Aarons et al., 2017, 2013; Zhao et al., 2018)</w:t>
      </w:r>
      <w:r w:rsidR="000B402A">
        <w:fldChar w:fldCharType="end"/>
      </w:r>
      <w:r>
        <w:t xml:space="preserve">. Hf concentrations do not vary systematically following DTAP-NaOH </w:t>
      </w:r>
      <w:r w:rsidR="00D22B73">
        <w:t>treatments</w:t>
      </w:r>
      <w:r>
        <w:t xml:space="preserve"> (Table S1) suggesting that barite should not affect measurements of Hf isotopes on the </w:t>
      </w:r>
      <w:r w:rsidR="00E869C7">
        <w:t>terrigenous</w:t>
      </w:r>
      <w:r>
        <w:t xml:space="preserve"> fraction, although </w:t>
      </w:r>
      <w:r w:rsidR="00C557A3">
        <w:t>further work is</w:t>
      </w:r>
      <w:r w:rsidR="00D22B73">
        <w:t xml:space="preserve"> needed to corroborate this finding. </w:t>
      </w:r>
    </w:p>
    <w:p w14:paraId="7738758C" w14:textId="1D715B20" w:rsidR="00EC5DE5" w:rsidRDefault="001C6606" w:rsidP="00B404B2">
      <w:pPr>
        <w:spacing w:line="480" w:lineRule="auto"/>
        <w:jc w:val="both"/>
      </w:pPr>
      <w:r>
        <w:t xml:space="preserve"> </w:t>
      </w:r>
    </w:p>
    <w:p w14:paraId="4C0264AF" w14:textId="77777777" w:rsidR="001C6493" w:rsidRDefault="00D42E70" w:rsidP="00E44CD0">
      <w:pPr>
        <w:pStyle w:val="Heading1"/>
        <w:numPr>
          <w:ilvl w:val="0"/>
          <w:numId w:val="53"/>
        </w:numPr>
        <w:spacing w:line="480" w:lineRule="auto"/>
      </w:pPr>
      <w:r>
        <w:t>Synthesis</w:t>
      </w:r>
    </w:p>
    <w:p w14:paraId="12DD6BE9" w14:textId="4405E562" w:rsidR="00EB6DEF" w:rsidRDefault="004F598B" w:rsidP="002D42A2">
      <w:pPr>
        <w:spacing w:line="480" w:lineRule="auto"/>
        <w:jc w:val="both"/>
      </w:pPr>
      <w:r>
        <w:t>Where present, b</w:t>
      </w:r>
      <w:r w:rsidR="004B69F1">
        <w:t xml:space="preserve">arite </w:t>
      </w:r>
      <w:r w:rsidR="00820924">
        <w:t xml:space="preserve">must be </w:t>
      </w:r>
      <w:r w:rsidR="004B69F1">
        <w:t>removed from marine sediment</w:t>
      </w:r>
      <w:r w:rsidR="00E250AE">
        <w:t>s</w:t>
      </w:r>
      <w:r w:rsidR="004B69F1">
        <w:t xml:space="preserve"> </w:t>
      </w:r>
      <w:r w:rsidR="00820924">
        <w:t xml:space="preserve">to </w:t>
      </w:r>
      <w:r w:rsidR="00C557A3">
        <w:t xml:space="preserve">determine </w:t>
      </w:r>
      <w:r w:rsidR="00E25631">
        <w:t xml:space="preserve">the </w:t>
      </w:r>
      <w:r w:rsidR="00820924">
        <w:t xml:space="preserve">Sr isotope composition of the </w:t>
      </w:r>
      <w:r w:rsidR="00E869C7">
        <w:t>terrigenous</w:t>
      </w:r>
      <w:r w:rsidR="00E25631">
        <w:t xml:space="preserve"> fraction</w:t>
      </w:r>
      <w:r w:rsidR="004B69F1">
        <w:t xml:space="preserve"> </w:t>
      </w:r>
      <w:r w:rsidR="00820924">
        <w:t xml:space="preserve">accurately. </w:t>
      </w:r>
      <w:r w:rsidR="00883C92">
        <w:t xml:space="preserve">By analysing </w:t>
      </w:r>
      <w:r w:rsidR="006F2FE6">
        <w:t xml:space="preserve">samples from </w:t>
      </w:r>
      <w:r w:rsidR="00883C92">
        <w:t>two sites</w:t>
      </w:r>
      <w:r w:rsidR="00824C47">
        <w:t>,</w:t>
      </w:r>
      <w:r w:rsidR="00883C92">
        <w:t xml:space="preserve"> </w:t>
      </w:r>
      <w:r w:rsidR="00C557A3">
        <w:t xml:space="preserve">where carbon export productivity and barite accumulation are </w:t>
      </w:r>
      <w:r w:rsidR="004259EF">
        <w:t>moderate</w:t>
      </w:r>
      <w:r w:rsidR="00824C47">
        <w:t>,</w:t>
      </w:r>
      <w:r w:rsidR="00C557A3">
        <w:t xml:space="preserve"> </w:t>
      </w:r>
      <w:r w:rsidR="00883C92">
        <w:t>we have shown</w:t>
      </w:r>
      <w:r w:rsidR="00820924">
        <w:t xml:space="preserve"> that </w:t>
      </w:r>
      <w:r w:rsidR="00883C92">
        <w:t>barite-hosted seawater Sr has the</w:t>
      </w:r>
      <w:r w:rsidR="00820924">
        <w:t xml:space="preserve"> potential to </w:t>
      </w:r>
      <w:r w:rsidR="00C557A3">
        <w:t xml:space="preserve">contaminate </w:t>
      </w:r>
      <w:r w:rsidR="00883C92">
        <w:t>the</w:t>
      </w:r>
      <w:r w:rsidR="00820924">
        <w:t xml:space="preserve"> </w:t>
      </w:r>
      <w:r w:rsidR="00820924" w:rsidRPr="00D42E70">
        <w:rPr>
          <w:vertAlign w:val="superscript"/>
        </w:rPr>
        <w:t>87</w:t>
      </w:r>
      <w:r w:rsidR="00820924">
        <w:t>Sr/</w:t>
      </w:r>
      <w:r w:rsidR="00820924" w:rsidRPr="00893A96">
        <w:rPr>
          <w:vertAlign w:val="superscript"/>
        </w:rPr>
        <w:t>8</w:t>
      </w:r>
      <w:r w:rsidR="00820924">
        <w:rPr>
          <w:vertAlign w:val="superscript"/>
        </w:rPr>
        <w:t>6</w:t>
      </w:r>
      <w:r w:rsidR="00820924">
        <w:t>Sr</w:t>
      </w:r>
      <w:r w:rsidR="0049509C">
        <w:t xml:space="preserve"> </w:t>
      </w:r>
      <w:r w:rsidR="00883C92">
        <w:t xml:space="preserve">composition of the </w:t>
      </w:r>
      <w:r w:rsidR="00E869C7">
        <w:t>terrigenous</w:t>
      </w:r>
      <w:r w:rsidR="00883C92">
        <w:t xml:space="preserve"> fraction in marine sediments by </w:t>
      </w:r>
      <w:r w:rsidR="00266FB6">
        <w:t>&gt; 0.01</w:t>
      </w:r>
      <w:r w:rsidR="00883C92">
        <w:t xml:space="preserve">. </w:t>
      </w:r>
      <w:r w:rsidR="00883C92" w:rsidRPr="00883C92">
        <w:t xml:space="preserve"> </w:t>
      </w:r>
      <w:r w:rsidR="00883C92">
        <w:t xml:space="preserve">We report </w:t>
      </w:r>
      <w:r w:rsidR="00AF075F">
        <w:t>a greater shift in</w:t>
      </w:r>
      <w:r w:rsidR="00883C92">
        <w:t xml:space="preserve"> the </w:t>
      </w:r>
      <w:r w:rsidR="00883C92" w:rsidRPr="00B652B3">
        <w:rPr>
          <w:vertAlign w:val="superscript"/>
        </w:rPr>
        <w:t>87</w:t>
      </w:r>
      <w:r w:rsidR="00883C92" w:rsidRPr="00B652B3">
        <w:t>Sr/</w:t>
      </w:r>
      <w:r w:rsidR="00883C92" w:rsidRPr="00B652B3">
        <w:rPr>
          <w:vertAlign w:val="superscript"/>
        </w:rPr>
        <w:t>86</w:t>
      </w:r>
      <w:r w:rsidR="00883C92" w:rsidRPr="00B652B3">
        <w:t>Sr</w:t>
      </w:r>
      <w:r w:rsidR="00883C92">
        <w:t xml:space="preserve"> of the </w:t>
      </w:r>
      <w:r w:rsidR="00E869C7">
        <w:t>terrigenous</w:t>
      </w:r>
      <w:r w:rsidR="00883C92">
        <w:t xml:space="preserve"> fraction in our study site from the Atlantic Ocean (</w:t>
      </w:r>
      <w:r w:rsidR="003B47A1">
        <w:t xml:space="preserve">Site </w:t>
      </w:r>
      <w:r w:rsidR="00883C92">
        <w:t xml:space="preserve">662) than in the Pacific </w:t>
      </w:r>
      <w:r>
        <w:t xml:space="preserve">Ocean </w:t>
      </w:r>
      <w:r w:rsidR="00883C92">
        <w:t>(</w:t>
      </w:r>
      <w:r w:rsidR="003B47A1">
        <w:t xml:space="preserve">Site </w:t>
      </w:r>
      <w:r w:rsidR="00883C92">
        <w:t>1016)</w:t>
      </w:r>
      <w:r w:rsidR="00AF075F">
        <w:t>. We</w:t>
      </w:r>
      <w:r w:rsidR="00883C92">
        <w:t xml:space="preserve"> attribute this result to </w:t>
      </w:r>
      <w:r w:rsidR="00C557A3">
        <w:t xml:space="preserve">a greater </w:t>
      </w:r>
      <w:r w:rsidR="00824C47">
        <w:t xml:space="preserve">difference in </w:t>
      </w:r>
      <w:r w:rsidR="00824C47" w:rsidRPr="00E44CD0">
        <w:rPr>
          <w:vertAlign w:val="superscript"/>
        </w:rPr>
        <w:t>87</w:t>
      </w:r>
      <w:r w:rsidR="00824C47">
        <w:t>Sr/</w:t>
      </w:r>
      <w:r w:rsidR="00824C47" w:rsidRPr="00E44CD0">
        <w:rPr>
          <w:vertAlign w:val="superscript"/>
        </w:rPr>
        <w:t>86</w:t>
      </w:r>
      <w:r w:rsidR="00824C47">
        <w:t xml:space="preserve">Sr </w:t>
      </w:r>
      <w:r w:rsidR="00C557A3">
        <w:t xml:space="preserve">between </w:t>
      </w:r>
      <w:r w:rsidR="00EB6DEF">
        <w:t xml:space="preserve">sea water and </w:t>
      </w:r>
      <w:r w:rsidR="00C557A3">
        <w:t xml:space="preserve">the </w:t>
      </w:r>
      <w:r w:rsidR="00EB6DEF">
        <w:t xml:space="preserve">terrigenous sediment supplied to the North Atlantic (from North Africa) than </w:t>
      </w:r>
      <w:r w:rsidR="00824C47">
        <w:t>between sea water and terrigenous sediment supplied to</w:t>
      </w:r>
      <w:r w:rsidR="00EB6DEF">
        <w:t xml:space="preserve"> the eastern North Pacific (from North America)</w:t>
      </w:r>
      <w:r w:rsidR="006F2FE6">
        <w:t xml:space="preserve">. </w:t>
      </w:r>
    </w:p>
    <w:p w14:paraId="5381976B" w14:textId="77777777" w:rsidR="00EB6DEF" w:rsidRDefault="00EB6DEF" w:rsidP="002D42A2">
      <w:pPr>
        <w:spacing w:line="480" w:lineRule="auto"/>
        <w:jc w:val="both"/>
      </w:pPr>
    </w:p>
    <w:p w14:paraId="278BDCD7" w14:textId="0C055C79" w:rsidR="005007A0" w:rsidRDefault="00883C92" w:rsidP="002D42A2">
      <w:pPr>
        <w:spacing w:line="480" w:lineRule="auto"/>
        <w:jc w:val="both"/>
      </w:pPr>
      <w:r>
        <w:t>Following the effective removal of carbonate, organic matter, opal, authigenic coatings and adsorbed cations</w:t>
      </w:r>
      <w:r w:rsidR="00AF075F">
        <w:t xml:space="preserve"> such as</w:t>
      </w:r>
      <w:r>
        <w:t xml:space="preserve"> Sr</w:t>
      </w:r>
      <w:r w:rsidR="00AF075F">
        <w:t>,</w:t>
      </w:r>
      <w:r>
        <w:t xml:space="preserve"> we find that </w:t>
      </w:r>
      <w:r w:rsidR="002166BB">
        <w:t>treatment</w:t>
      </w:r>
      <w:r w:rsidR="002166BB" w:rsidRPr="0080101C">
        <w:t xml:space="preserve"> </w:t>
      </w:r>
      <w:r>
        <w:t xml:space="preserve">with </w:t>
      </w:r>
      <w:r w:rsidRPr="0080101C">
        <w:t xml:space="preserve">DTPA-NaOH </w:t>
      </w:r>
      <w:r w:rsidR="0080101C" w:rsidRPr="0080101C">
        <w:t xml:space="preserve">provide a means </w:t>
      </w:r>
      <w:r>
        <w:t>to</w:t>
      </w:r>
      <w:r w:rsidRPr="0080101C">
        <w:t xml:space="preserve"> </w:t>
      </w:r>
      <w:r w:rsidR="0080101C" w:rsidRPr="0080101C">
        <w:t xml:space="preserve">quantify the </w:t>
      </w:r>
      <w:r>
        <w:t>contaminating</w:t>
      </w:r>
      <w:r w:rsidR="0080101C" w:rsidRPr="0080101C">
        <w:t xml:space="preserve"> effect </w:t>
      </w:r>
      <w:r>
        <w:t>of</w:t>
      </w:r>
      <w:r w:rsidR="0080101C" w:rsidRPr="0080101C">
        <w:t xml:space="preserve"> barite. </w:t>
      </w:r>
      <w:r w:rsidR="00824C47">
        <w:t>A single</w:t>
      </w:r>
      <w:r w:rsidR="009944BC">
        <w:t xml:space="preserve"> treatment with 0.2M DTPA - 2.5M NaOH leads to the</w:t>
      </w:r>
      <w:r w:rsidR="00301F3E">
        <w:t xml:space="preserve"> removal </w:t>
      </w:r>
      <w:r w:rsidR="00301F3E">
        <w:lastRenderedPageBreak/>
        <w:t xml:space="preserve">of </w:t>
      </w:r>
      <w:r w:rsidR="00EB6DEF">
        <w:t>most</w:t>
      </w:r>
      <w:r w:rsidR="00301F3E">
        <w:t xml:space="preserve"> Ba</w:t>
      </w:r>
      <w:r w:rsidR="00301F3E">
        <w:rPr>
          <w:vertAlign w:val="subscript"/>
        </w:rPr>
        <w:t>B</w:t>
      </w:r>
      <w:r w:rsidR="00301F3E" w:rsidRPr="00E44CD0">
        <w:rPr>
          <w:vertAlign w:val="subscript"/>
        </w:rPr>
        <w:t>arite</w:t>
      </w:r>
      <w:r w:rsidR="00301F3E">
        <w:t xml:space="preserve"> and the </w:t>
      </w:r>
      <w:r w:rsidR="00291B59">
        <w:t>largest</w:t>
      </w:r>
      <w:r w:rsidR="000D6595">
        <w:t xml:space="preserve"> </w:t>
      </w:r>
      <w:r w:rsidR="009944BC">
        <w:t xml:space="preserve">shift in </w:t>
      </w:r>
      <w:r w:rsidR="009944BC" w:rsidRPr="00B652B3">
        <w:rPr>
          <w:vertAlign w:val="superscript"/>
        </w:rPr>
        <w:t>87</w:t>
      </w:r>
      <w:r w:rsidR="009944BC" w:rsidRPr="00B652B3">
        <w:t>Sr/</w:t>
      </w:r>
      <w:r w:rsidR="009944BC" w:rsidRPr="00B652B3">
        <w:rPr>
          <w:vertAlign w:val="superscript"/>
        </w:rPr>
        <w:t>86</w:t>
      </w:r>
      <w:r w:rsidR="009944BC" w:rsidRPr="00B652B3">
        <w:t>Sr</w:t>
      </w:r>
      <w:r w:rsidR="00EB6DEF">
        <w:t xml:space="preserve">. </w:t>
      </w:r>
      <w:r w:rsidR="0061474A">
        <w:t>Additional</w:t>
      </w:r>
      <w:r w:rsidR="009944BC">
        <w:t xml:space="preserve"> treatments</w:t>
      </w:r>
      <w:r w:rsidR="00D42E70">
        <w:t xml:space="preserve"> </w:t>
      </w:r>
      <w:r w:rsidR="009944BC">
        <w:t xml:space="preserve">lead to further </w:t>
      </w:r>
      <w:r w:rsidR="00824C47">
        <w:t>shifts</w:t>
      </w:r>
      <w:r w:rsidR="00E250AE">
        <w:t xml:space="preserve"> in </w:t>
      </w:r>
      <w:r w:rsidR="00E250AE" w:rsidRPr="00B652B3">
        <w:rPr>
          <w:vertAlign w:val="superscript"/>
        </w:rPr>
        <w:t>87</w:t>
      </w:r>
      <w:r w:rsidR="00E250AE" w:rsidRPr="00B652B3">
        <w:t>Sr/</w:t>
      </w:r>
      <w:r w:rsidR="00E250AE" w:rsidRPr="00B652B3">
        <w:rPr>
          <w:vertAlign w:val="superscript"/>
        </w:rPr>
        <w:t>86</w:t>
      </w:r>
      <w:r w:rsidR="00E250AE" w:rsidRPr="00B652B3">
        <w:t>Sr</w:t>
      </w:r>
      <w:r w:rsidR="00E250AE">
        <w:t xml:space="preserve"> </w:t>
      </w:r>
      <w:r w:rsidR="00EB6DEF">
        <w:t xml:space="preserve">of diminishing amplitude </w:t>
      </w:r>
      <w:r w:rsidR="00E250AE">
        <w:t xml:space="preserve">away from </w:t>
      </w:r>
      <w:r w:rsidR="00EB6DEF">
        <w:t xml:space="preserve">the </w:t>
      </w:r>
      <w:r w:rsidR="00E250AE">
        <w:t>modern seawater</w:t>
      </w:r>
      <w:r w:rsidR="00291B59">
        <w:t xml:space="preserve"> </w:t>
      </w:r>
      <w:r w:rsidR="00EB6DEF">
        <w:t xml:space="preserve">value </w:t>
      </w:r>
      <w:r w:rsidR="00291B59">
        <w:t xml:space="preserve">and towards the </w:t>
      </w:r>
      <w:r w:rsidR="000D6595">
        <w:t xml:space="preserve">true terrigenous </w:t>
      </w:r>
      <w:r w:rsidR="00291B59">
        <w:t>value</w:t>
      </w:r>
      <w:r w:rsidR="000D6595">
        <w:t xml:space="preserve">. The optimum number of leaches </w:t>
      </w:r>
      <w:r w:rsidR="00D27C96">
        <w:t xml:space="preserve">to use </w:t>
      </w:r>
      <w:r w:rsidR="00E81EC8">
        <w:t xml:space="preserve">will </w:t>
      </w:r>
      <w:r w:rsidR="000D6595">
        <w:t>depend on site</w:t>
      </w:r>
      <w:r w:rsidR="00474090">
        <w:t>-specific factors</w:t>
      </w:r>
      <w:r w:rsidR="000D6595">
        <w:t xml:space="preserve"> </w:t>
      </w:r>
      <w:r w:rsidR="00474090">
        <w:t>such as sediment barite concentration</w:t>
      </w:r>
      <w:r w:rsidR="004E45B2">
        <w:t xml:space="preserve">, </w:t>
      </w:r>
      <w:r w:rsidR="00474090">
        <w:t xml:space="preserve">the magnitude of the </w:t>
      </w:r>
      <w:r w:rsidR="00474090" w:rsidRPr="00B652B3">
        <w:rPr>
          <w:vertAlign w:val="superscript"/>
        </w:rPr>
        <w:t>87</w:t>
      </w:r>
      <w:r w:rsidR="00474090" w:rsidRPr="00B652B3">
        <w:t>Sr/</w:t>
      </w:r>
      <w:r w:rsidR="00474090" w:rsidRPr="00B652B3">
        <w:rPr>
          <w:vertAlign w:val="superscript"/>
        </w:rPr>
        <w:t>86</w:t>
      </w:r>
      <w:r w:rsidR="00474090" w:rsidRPr="00B652B3">
        <w:t>Sr</w:t>
      </w:r>
      <w:r w:rsidR="00474090">
        <w:t xml:space="preserve"> offset between the </w:t>
      </w:r>
      <w:r w:rsidR="00E869C7">
        <w:t>terrigenous</w:t>
      </w:r>
      <w:r w:rsidR="00474090">
        <w:t xml:space="preserve"> and seawater ratios</w:t>
      </w:r>
      <w:r w:rsidR="004E45B2">
        <w:t>,</w:t>
      </w:r>
      <w:r w:rsidR="00474090">
        <w:t xml:space="preserve"> </w:t>
      </w:r>
      <w:r w:rsidR="000D6595">
        <w:t xml:space="preserve">and the scientific </w:t>
      </w:r>
      <w:r w:rsidR="00D27C96">
        <w:t xml:space="preserve">question </w:t>
      </w:r>
      <w:r w:rsidR="004C4B04">
        <w:t xml:space="preserve">being </w:t>
      </w:r>
      <w:r w:rsidR="000D6595">
        <w:t xml:space="preserve">addressed. We find </w:t>
      </w:r>
      <w:r w:rsidR="00ED29E5">
        <w:t xml:space="preserve">a </w:t>
      </w:r>
      <w:r w:rsidR="000D6595">
        <w:t xml:space="preserve">strong correlation between the extent of </w:t>
      </w:r>
      <w:r w:rsidR="000D6595" w:rsidRPr="00B652B3">
        <w:rPr>
          <w:vertAlign w:val="superscript"/>
        </w:rPr>
        <w:t>87</w:t>
      </w:r>
      <w:r w:rsidR="000D6595" w:rsidRPr="00B652B3">
        <w:t>Sr/</w:t>
      </w:r>
      <w:r w:rsidR="000D6595" w:rsidRPr="00B652B3">
        <w:rPr>
          <w:vertAlign w:val="superscript"/>
        </w:rPr>
        <w:t>86</w:t>
      </w:r>
      <w:r w:rsidR="000D6595" w:rsidRPr="00B652B3">
        <w:t>Sr</w:t>
      </w:r>
      <w:r w:rsidR="000D6595">
        <w:t xml:space="preserve"> </w:t>
      </w:r>
      <w:r w:rsidR="00C74B6A">
        <w:t>bias</w:t>
      </w:r>
      <w:r w:rsidR="000D6595">
        <w:t xml:space="preserve"> and the </w:t>
      </w:r>
      <w:r w:rsidR="0089208F">
        <w:t xml:space="preserve">amount </w:t>
      </w:r>
      <w:r w:rsidR="000D6595">
        <w:t xml:space="preserve">of Ba removed from samples during </w:t>
      </w:r>
      <w:r w:rsidR="00D001C3">
        <w:t>DTPA-NaOH treatment</w:t>
      </w:r>
      <w:r w:rsidR="00E81EC8">
        <w:t>. This i</w:t>
      </w:r>
      <w:r w:rsidR="000D6595">
        <w:t>ndicat</w:t>
      </w:r>
      <w:r w:rsidR="00E81EC8">
        <w:t>e</w:t>
      </w:r>
      <w:r w:rsidR="00E75120">
        <w:t>s</w:t>
      </w:r>
      <w:r w:rsidR="000D6595">
        <w:t xml:space="preserve"> that variability in </w:t>
      </w:r>
      <w:r w:rsidR="00E81EC8">
        <w:t xml:space="preserve">the magnitude of </w:t>
      </w:r>
      <w:r w:rsidR="000D6595" w:rsidRPr="00B652B3">
        <w:rPr>
          <w:vertAlign w:val="superscript"/>
        </w:rPr>
        <w:t>87</w:t>
      </w:r>
      <w:r w:rsidR="000D6595" w:rsidRPr="00B652B3">
        <w:t>Sr/</w:t>
      </w:r>
      <w:r w:rsidR="000D6595" w:rsidRPr="00B652B3">
        <w:rPr>
          <w:vertAlign w:val="superscript"/>
        </w:rPr>
        <w:t>86</w:t>
      </w:r>
      <w:r w:rsidR="000D6595" w:rsidRPr="00B652B3">
        <w:t>Sr</w:t>
      </w:r>
      <w:r w:rsidR="000D6595">
        <w:t xml:space="preserve"> contamination </w:t>
      </w:r>
      <w:r w:rsidR="00E81EC8">
        <w:t>downcore</w:t>
      </w:r>
      <w:r w:rsidR="000D6595">
        <w:t xml:space="preserve"> is closely related to changing export productivity through time.</w:t>
      </w:r>
      <w:r w:rsidR="005007A0">
        <w:t xml:space="preserve"> </w:t>
      </w:r>
      <w:r w:rsidR="00301F3E">
        <w:t xml:space="preserve">By </w:t>
      </w:r>
      <w:r w:rsidR="00D001C3">
        <w:t>comparing</w:t>
      </w:r>
      <w:r w:rsidR="00301F3E">
        <w:t xml:space="preserve"> our calculated Ba</w:t>
      </w:r>
      <w:r w:rsidR="00301F3E" w:rsidRPr="00C8041B">
        <w:rPr>
          <w:vertAlign w:val="subscript"/>
        </w:rPr>
        <w:t>Barite</w:t>
      </w:r>
      <w:r w:rsidR="00301F3E">
        <w:t xml:space="preserve"> accumulation rates (Table 2) </w:t>
      </w:r>
      <w:r w:rsidR="00B404B2">
        <w:t>with</w:t>
      </w:r>
      <w:r w:rsidR="00301F3E">
        <w:t xml:space="preserve"> global </w:t>
      </w:r>
      <w:r w:rsidR="00D001C3">
        <w:t xml:space="preserve">annual </w:t>
      </w:r>
      <w:r w:rsidR="00301F3E">
        <w:t xml:space="preserve">carbon export (Figure 1), we </w:t>
      </w:r>
      <w:r w:rsidR="00F65D5E">
        <w:t xml:space="preserve">show that barite can lead to large </w:t>
      </w:r>
      <w:r w:rsidR="00F65D5E" w:rsidRPr="00B652B3">
        <w:rPr>
          <w:vertAlign w:val="superscript"/>
        </w:rPr>
        <w:t>87</w:t>
      </w:r>
      <w:r w:rsidR="00F65D5E" w:rsidRPr="00B652B3">
        <w:t>Sr/</w:t>
      </w:r>
      <w:r w:rsidR="00F65D5E" w:rsidRPr="00B652B3">
        <w:rPr>
          <w:vertAlign w:val="superscript"/>
        </w:rPr>
        <w:t>86</w:t>
      </w:r>
      <w:r w:rsidR="00F65D5E" w:rsidRPr="00B652B3">
        <w:t>Sr</w:t>
      </w:r>
      <w:r w:rsidR="00F65D5E">
        <w:t xml:space="preserve"> contamination in </w:t>
      </w:r>
      <w:r w:rsidR="00A7272E">
        <w:t xml:space="preserve">even </w:t>
      </w:r>
      <w:r w:rsidR="00F65D5E">
        <w:t>moderately productive open ocean settings (carbon export of 10 - 75 g C /m</w:t>
      </w:r>
      <w:r w:rsidR="00F65D5E" w:rsidRPr="00B404B2">
        <w:rPr>
          <w:vertAlign w:val="superscript"/>
        </w:rPr>
        <w:t>2</w:t>
      </w:r>
      <w:r w:rsidR="00F65D5E">
        <w:t xml:space="preserve">). In such </w:t>
      </w:r>
      <w:r w:rsidR="00EB6DEF">
        <w:t>settings</w:t>
      </w:r>
      <w:r w:rsidR="00532B2D">
        <w:t xml:space="preserve">, </w:t>
      </w:r>
      <w:r w:rsidR="00301F3E">
        <w:t xml:space="preserve">one </w:t>
      </w:r>
      <w:r w:rsidR="00532B2D">
        <w:t xml:space="preserve">or two </w:t>
      </w:r>
      <w:r w:rsidR="004C4B04">
        <w:t>DTPA-NaOH treatment</w:t>
      </w:r>
      <w:r w:rsidR="00532B2D">
        <w:t>s</w:t>
      </w:r>
      <w:r w:rsidR="004C4B04">
        <w:t xml:space="preserve"> </w:t>
      </w:r>
      <w:r w:rsidR="00301F3E">
        <w:t>will</w:t>
      </w:r>
      <w:r w:rsidR="00532B2D">
        <w:t xml:space="preserve"> likely</w:t>
      </w:r>
      <w:r w:rsidR="00301F3E">
        <w:t xml:space="preserve"> be sufficient</w:t>
      </w:r>
      <w:r w:rsidR="00A7272E">
        <w:t xml:space="preserve"> to remove </w:t>
      </w:r>
      <w:r w:rsidR="00EB6DEF">
        <w:t>the</w:t>
      </w:r>
      <w:r w:rsidR="00A7272E">
        <w:t xml:space="preserve"> </w:t>
      </w:r>
      <w:r w:rsidR="002166BB">
        <w:t>contamin</w:t>
      </w:r>
      <w:r w:rsidR="00EB6DEF">
        <w:t xml:space="preserve">ating effect of barite on terrigenous </w:t>
      </w:r>
      <w:r w:rsidR="00EB6DEF" w:rsidRPr="00B652B3">
        <w:rPr>
          <w:vertAlign w:val="superscript"/>
        </w:rPr>
        <w:t>87</w:t>
      </w:r>
      <w:r w:rsidR="00EB6DEF" w:rsidRPr="00B652B3">
        <w:t>Sr/</w:t>
      </w:r>
      <w:r w:rsidR="00EB6DEF" w:rsidRPr="00B652B3">
        <w:rPr>
          <w:vertAlign w:val="superscript"/>
        </w:rPr>
        <w:t>86</w:t>
      </w:r>
      <w:r w:rsidR="00EB6DEF" w:rsidRPr="00B652B3">
        <w:t>Sr</w:t>
      </w:r>
      <w:r w:rsidR="00EB6DEF">
        <w:t xml:space="preserve"> </w:t>
      </w:r>
      <w:r w:rsidR="00532B2D">
        <w:t xml:space="preserve">for most purposes but </w:t>
      </w:r>
      <w:r w:rsidR="00EB6DEF">
        <w:t xml:space="preserve">more may well be required in high productivity coastal environments. Our results suggest that </w:t>
      </w:r>
      <w:r w:rsidR="00EB6DEF">
        <w:rPr>
          <w:rFonts w:cstheme="minorHAnsi"/>
        </w:rPr>
        <w:t xml:space="preserve">sediment samples collected from all </w:t>
      </w:r>
      <w:r w:rsidR="00ED29E5">
        <w:rPr>
          <w:rFonts w:cstheme="minorHAnsi"/>
        </w:rPr>
        <w:t>except</w:t>
      </w:r>
      <w:r w:rsidR="00EB6DEF">
        <w:rPr>
          <w:rFonts w:cstheme="minorHAnsi"/>
        </w:rPr>
        <w:t xml:space="preserve"> the lowest productivity sites</w:t>
      </w:r>
      <w:r w:rsidR="00643E2E">
        <w:rPr>
          <w:rFonts w:cstheme="minorHAnsi"/>
        </w:rPr>
        <w:t>,</w:t>
      </w:r>
      <w:r w:rsidR="00EB6DEF">
        <w:rPr>
          <w:rFonts w:cstheme="minorHAnsi"/>
        </w:rPr>
        <w:t xml:space="preserve"> such as the subtropical gyres</w:t>
      </w:r>
      <w:r w:rsidR="00643E2E">
        <w:rPr>
          <w:rFonts w:cstheme="minorHAnsi"/>
        </w:rPr>
        <w:t>,</w:t>
      </w:r>
      <w:r w:rsidR="00EB6DEF">
        <w:t xml:space="preserve"> should be assessed for the contaminating effect of barite on terrigenous </w:t>
      </w:r>
      <w:r w:rsidR="00EB6DEF" w:rsidRPr="00B652B3">
        <w:rPr>
          <w:vertAlign w:val="superscript"/>
        </w:rPr>
        <w:t>87</w:t>
      </w:r>
      <w:r w:rsidR="00EB6DEF" w:rsidRPr="00B652B3">
        <w:t>Sr/</w:t>
      </w:r>
      <w:r w:rsidR="00EB6DEF" w:rsidRPr="00B652B3">
        <w:rPr>
          <w:vertAlign w:val="superscript"/>
        </w:rPr>
        <w:t>86</w:t>
      </w:r>
      <w:r w:rsidR="00EB6DEF" w:rsidRPr="00B652B3">
        <w:t>Sr</w:t>
      </w:r>
      <w:r w:rsidR="00EB6DEF">
        <w:t xml:space="preserve">. </w:t>
      </w:r>
    </w:p>
    <w:p w14:paraId="3BA3DC61" w14:textId="77777777" w:rsidR="005007A0" w:rsidRDefault="005007A0" w:rsidP="002D42A2">
      <w:pPr>
        <w:spacing w:line="480" w:lineRule="auto"/>
        <w:jc w:val="both"/>
      </w:pPr>
    </w:p>
    <w:p w14:paraId="184A3887" w14:textId="129CEAAA" w:rsidR="0080101C" w:rsidRDefault="00E250AE" w:rsidP="002D42A2">
      <w:pPr>
        <w:spacing w:line="480" w:lineRule="auto"/>
        <w:jc w:val="both"/>
      </w:pPr>
      <w:r w:rsidRPr="00E75120">
        <w:t>ε</w:t>
      </w:r>
      <w:r w:rsidRPr="00E75120">
        <w:rPr>
          <w:vertAlign w:val="subscript"/>
        </w:rPr>
        <w:t>Nd</w:t>
      </w:r>
      <w:r w:rsidRPr="00E75120">
        <w:t xml:space="preserve"> </w:t>
      </w:r>
      <w:r w:rsidR="00D648D0">
        <w:t xml:space="preserve">measurements of the </w:t>
      </w:r>
      <w:r w:rsidR="00E869C7">
        <w:t>terrigenous</w:t>
      </w:r>
      <w:r w:rsidR="00D648D0">
        <w:t xml:space="preserve"> fraction </w:t>
      </w:r>
      <w:r w:rsidR="00E75120" w:rsidRPr="00E75120">
        <w:t xml:space="preserve">show </w:t>
      </w:r>
      <w:r w:rsidR="007A57C9">
        <w:t>only small</w:t>
      </w:r>
      <w:r w:rsidR="007A57C9" w:rsidRPr="00E75120">
        <w:t xml:space="preserve"> </w:t>
      </w:r>
      <w:r w:rsidRPr="00E75120">
        <w:t xml:space="preserve">variation with </w:t>
      </w:r>
      <w:r w:rsidR="00754001">
        <w:t xml:space="preserve">repeated </w:t>
      </w:r>
      <w:r w:rsidRPr="00E75120">
        <w:t xml:space="preserve">DTPA-NaOH </w:t>
      </w:r>
      <w:r w:rsidR="00D001C3">
        <w:t>treatment</w:t>
      </w:r>
      <w:r w:rsidR="00754001">
        <w:t>s,</w:t>
      </w:r>
      <w:r w:rsidR="00D001C3">
        <w:t xml:space="preserve"> </w:t>
      </w:r>
      <w:r w:rsidR="0031786A">
        <w:t>which</w:t>
      </w:r>
      <w:r w:rsidR="00D648D0">
        <w:t xml:space="preserve"> is</w:t>
      </w:r>
      <w:r w:rsidRPr="00E75120">
        <w:t xml:space="preserve"> </w:t>
      </w:r>
      <w:r w:rsidR="007A57C9">
        <w:t>consistent with</w:t>
      </w:r>
      <w:r w:rsidR="007A57C9" w:rsidRPr="00E75120">
        <w:t xml:space="preserve"> </w:t>
      </w:r>
      <w:r w:rsidR="00E75120">
        <w:t xml:space="preserve">the </w:t>
      </w:r>
      <w:r w:rsidR="00E75120" w:rsidRPr="00E75120">
        <w:t>lo</w:t>
      </w:r>
      <w:r w:rsidRPr="00E75120">
        <w:t xml:space="preserve">w Nd </w:t>
      </w:r>
      <w:r w:rsidR="00E75120">
        <w:t xml:space="preserve">content </w:t>
      </w:r>
      <w:r w:rsidRPr="00E75120">
        <w:t>in marine barite</w:t>
      </w:r>
      <w:r w:rsidR="0031786A">
        <w:t>. T</w:t>
      </w:r>
      <w:r w:rsidR="007A57C9">
        <w:t>race</w:t>
      </w:r>
      <w:r w:rsidRPr="00E75120">
        <w:t xml:space="preserve"> concentrations of Nd and Ce in the leachate and</w:t>
      </w:r>
      <w:r w:rsidR="007A57C9">
        <w:t xml:space="preserve"> the sign of the</w:t>
      </w:r>
      <w:r w:rsidRPr="00E75120">
        <w:t xml:space="preserve"> </w:t>
      </w:r>
      <w:r w:rsidR="00E869C7">
        <w:t>terrigenous</w:t>
      </w:r>
      <w:r w:rsidR="0031786A">
        <w:t xml:space="preserve"> </w:t>
      </w:r>
      <w:r w:rsidR="00E75120" w:rsidRPr="00257555">
        <w:t>ε</w:t>
      </w:r>
      <w:r w:rsidR="00E75120" w:rsidRPr="00257555">
        <w:rPr>
          <w:vertAlign w:val="subscript"/>
        </w:rPr>
        <w:t>Nd</w:t>
      </w:r>
      <w:r w:rsidR="00E75120">
        <w:t xml:space="preserve"> shifts </w:t>
      </w:r>
      <w:r w:rsidR="007A57C9">
        <w:t xml:space="preserve">(opposite to that predicted by removal of a </w:t>
      </w:r>
      <w:r w:rsidR="00E75120">
        <w:t xml:space="preserve">seawater Nd </w:t>
      </w:r>
      <w:r w:rsidR="007A57C9">
        <w:t>signal)</w:t>
      </w:r>
      <w:r w:rsidR="00D648D0">
        <w:t xml:space="preserve"> </w:t>
      </w:r>
      <w:r w:rsidRPr="00E75120">
        <w:t>suggest</w:t>
      </w:r>
      <w:r w:rsidR="00D648D0">
        <w:t xml:space="preserve">s </w:t>
      </w:r>
      <w:r w:rsidR="0031786A">
        <w:t>a</w:t>
      </w:r>
      <w:r w:rsidRPr="00E75120">
        <w:t xml:space="preserve"> </w:t>
      </w:r>
      <w:r w:rsidR="00754001">
        <w:t xml:space="preserve">potential </w:t>
      </w:r>
      <w:r w:rsidRPr="00E75120">
        <w:t xml:space="preserve">minor </w:t>
      </w:r>
      <w:r w:rsidR="00824C47">
        <w:t xml:space="preserve">Nd isotope </w:t>
      </w:r>
      <w:r w:rsidRPr="00E75120">
        <w:t xml:space="preserve">fractionation of the </w:t>
      </w:r>
      <w:r w:rsidR="00E869C7">
        <w:t>terrigenous</w:t>
      </w:r>
      <w:r w:rsidRPr="00E75120">
        <w:t xml:space="preserve"> fraction by DTPA-NaOH</w:t>
      </w:r>
      <w:r w:rsidR="00E75120">
        <w:t xml:space="preserve">. </w:t>
      </w:r>
      <w:r w:rsidR="00204E72">
        <w:t>In most cases, t</w:t>
      </w:r>
      <w:r w:rsidR="006030A1">
        <w:t xml:space="preserve">he effect of DTPA-NaOH </w:t>
      </w:r>
      <w:r w:rsidR="00D001C3">
        <w:t xml:space="preserve">treatment </w:t>
      </w:r>
      <w:r w:rsidR="006030A1">
        <w:t xml:space="preserve">on </w:t>
      </w:r>
      <w:r w:rsidR="00E869C7">
        <w:t>terrigenous</w:t>
      </w:r>
      <w:r w:rsidR="006030A1">
        <w:t xml:space="preserve"> </w:t>
      </w:r>
      <w:r w:rsidR="006030A1" w:rsidRPr="00257555">
        <w:t>ε</w:t>
      </w:r>
      <w:r w:rsidR="006030A1" w:rsidRPr="00257555">
        <w:rPr>
          <w:vertAlign w:val="subscript"/>
        </w:rPr>
        <w:t>Nd</w:t>
      </w:r>
      <w:r w:rsidR="006030A1">
        <w:rPr>
          <w:vertAlign w:val="subscript"/>
        </w:rPr>
        <w:t xml:space="preserve"> </w:t>
      </w:r>
      <w:r w:rsidR="007E7EBB">
        <w:t xml:space="preserve">is small enough to </w:t>
      </w:r>
      <w:r w:rsidR="006030A1">
        <w:t xml:space="preserve">allow </w:t>
      </w:r>
      <w:r w:rsidR="006030A1" w:rsidRPr="00B652B3">
        <w:rPr>
          <w:vertAlign w:val="superscript"/>
        </w:rPr>
        <w:t>87</w:t>
      </w:r>
      <w:r w:rsidR="006030A1" w:rsidRPr="00B652B3">
        <w:t>Sr/</w:t>
      </w:r>
      <w:r w:rsidR="006030A1" w:rsidRPr="00B652B3">
        <w:rPr>
          <w:vertAlign w:val="superscript"/>
        </w:rPr>
        <w:t>86</w:t>
      </w:r>
      <w:r w:rsidR="006030A1" w:rsidRPr="00B652B3">
        <w:t>Sr</w:t>
      </w:r>
      <w:r w:rsidR="006030A1">
        <w:t xml:space="preserve"> and </w:t>
      </w:r>
      <w:r w:rsidR="006030A1" w:rsidRPr="00257555">
        <w:t>ε</w:t>
      </w:r>
      <w:r w:rsidR="006030A1" w:rsidRPr="00257555">
        <w:rPr>
          <w:vertAlign w:val="subscript"/>
        </w:rPr>
        <w:t>Nd</w:t>
      </w:r>
      <w:r w:rsidR="006030A1">
        <w:t xml:space="preserve"> to be analysed on </w:t>
      </w:r>
      <w:r w:rsidR="00FF2F60">
        <w:t xml:space="preserve">the same </w:t>
      </w:r>
      <w:r w:rsidR="0031786A">
        <w:t>(</w:t>
      </w:r>
      <w:r w:rsidR="006030A1">
        <w:t xml:space="preserve">identically </w:t>
      </w:r>
      <w:r w:rsidR="00FF2F60">
        <w:t>treated</w:t>
      </w:r>
      <w:r w:rsidR="0031786A">
        <w:t>)</w:t>
      </w:r>
      <w:r w:rsidR="006030A1">
        <w:t xml:space="preserve"> aliquots of sample</w:t>
      </w:r>
      <w:r w:rsidR="00FF2F60">
        <w:t xml:space="preserve">. </w:t>
      </w:r>
    </w:p>
    <w:p w14:paraId="72674ADD" w14:textId="77777777" w:rsidR="00DC3AE2" w:rsidRDefault="00DC3AE2" w:rsidP="002D42A2">
      <w:pPr>
        <w:spacing w:line="480" w:lineRule="auto"/>
        <w:jc w:val="both"/>
      </w:pPr>
    </w:p>
    <w:p w14:paraId="7FAFE67C" w14:textId="3284532C" w:rsidR="00F6112E" w:rsidRDefault="006F2FE6" w:rsidP="002D42A2">
      <w:pPr>
        <w:spacing w:line="480" w:lineRule="auto"/>
        <w:jc w:val="both"/>
      </w:pPr>
      <w:r>
        <w:lastRenderedPageBreak/>
        <w:t>In summary, w</w:t>
      </w:r>
      <w:r w:rsidR="005B2139">
        <w:t>e provide quantitative estimate</w:t>
      </w:r>
      <w:r w:rsidR="00D639D4">
        <w:t>s</w:t>
      </w:r>
      <w:r w:rsidR="005B2139">
        <w:t xml:space="preserve"> of the extent of </w:t>
      </w:r>
      <w:r w:rsidR="005B2139" w:rsidRPr="00B652B3">
        <w:rPr>
          <w:vertAlign w:val="superscript"/>
        </w:rPr>
        <w:t>87</w:t>
      </w:r>
      <w:r w:rsidR="005B2139" w:rsidRPr="00B652B3">
        <w:t>Sr/</w:t>
      </w:r>
      <w:r w:rsidR="005B2139" w:rsidRPr="00B652B3">
        <w:rPr>
          <w:vertAlign w:val="superscript"/>
        </w:rPr>
        <w:t>86</w:t>
      </w:r>
      <w:r w:rsidR="005B2139" w:rsidRPr="00B652B3">
        <w:t>Sr</w:t>
      </w:r>
      <w:r w:rsidR="00C74B6A">
        <w:t xml:space="preserve"> contamination</w:t>
      </w:r>
      <w:r w:rsidR="005B2139" w:rsidRPr="005B2139">
        <w:t xml:space="preserve"> </w:t>
      </w:r>
      <w:r w:rsidR="00ED29E5">
        <w:t>by</w:t>
      </w:r>
      <w:r w:rsidR="00D27C96">
        <w:t xml:space="preserve"> </w:t>
      </w:r>
      <w:r w:rsidR="005B2139">
        <w:t>barite in marine sediments</w:t>
      </w:r>
      <w:r w:rsidR="0031786A">
        <w:t xml:space="preserve"> </w:t>
      </w:r>
      <w:r w:rsidR="005B2139">
        <w:t>and present a protocol to successful</w:t>
      </w:r>
      <w:r w:rsidR="00D27C96">
        <w:t>ly</w:t>
      </w:r>
      <w:r w:rsidR="005B2139">
        <w:t xml:space="preserve"> isolate the terrigenous fraction. </w:t>
      </w:r>
      <w:r w:rsidR="00DC3AE2">
        <w:t>Our</w:t>
      </w:r>
      <w:r w:rsidR="00E250AE">
        <w:t xml:space="preserve"> findings call into question results from previous </w:t>
      </w:r>
      <w:r w:rsidR="004B71FD">
        <w:t xml:space="preserve">studies </w:t>
      </w:r>
      <w:r w:rsidR="00E250AE">
        <w:t xml:space="preserve">where </w:t>
      </w:r>
      <w:r>
        <w:t>contamination by barite has not been addressed</w:t>
      </w:r>
      <w:r w:rsidR="00DC3AE2">
        <w:t>.</w:t>
      </w:r>
      <w:r w:rsidR="00362CF3">
        <w:t xml:space="preserve"> </w:t>
      </w:r>
      <w:r w:rsidR="00DB1F89">
        <w:t>For instance, t</w:t>
      </w:r>
      <w:r w:rsidR="00915F9C">
        <w:t xml:space="preserve">he </w:t>
      </w:r>
      <w:r w:rsidR="00DB1F89">
        <w:t xml:space="preserve">contaminating effect of barite on </w:t>
      </w:r>
      <w:r w:rsidR="00362CF3" w:rsidRPr="00B652B3">
        <w:rPr>
          <w:vertAlign w:val="superscript"/>
        </w:rPr>
        <w:t>87</w:t>
      </w:r>
      <w:r w:rsidR="00362CF3" w:rsidRPr="00B652B3">
        <w:t>Sr/</w:t>
      </w:r>
      <w:r w:rsidR="00362CF3" w:rsidRPr="00B652B3">
        <w:rPr>
          <w:vertAlign w:val="superscript"/>
        </w:rPr>
        <w:t>86</w:t>
      </w:r>
      <w:r w:rsidR="00362CF3" w:rsidRPr="00B652B3">
        <w:t>Sr</w:t>
      </w:r>
      <w:r w:rsidR="00362CF3">
        <w:t xml:space="preserve"> </w:t>
      </w:r>
      <w:r w:rsidR="00DB1F89">
        <w:t>that we document</w:t>
      </w:r>
      <w:r w:rsidR="00915F9C">
        <w:t xml:space="preserve"> is similar </w:t>
      </w:r>
      <w:r w:rsidR="00204E72">
        <w:t xml:space="preserve">in </w:t>
      </w:r>
      <w:r w:rsidR="00915F9C">
        <w:t xml:space="preserve">magnitude to the </w:t>
      </w:r>
      <w:r w:rsidR="009F2597">
        <w:t>offset</w:t>
      </w:r>
      <w:r w:rsidR="00915F9C">
        <w:t xml:space="preserve"> in </w:t>
      </w:r>
      <w:r w:rsidR="00915F9C" w:rsidRPr="00B652B3">
        <w:rPr>
          <w:vertAlign w:val="superscript"/>
        </w:rPr>
        <w:t>87</w:t>
      </w:r>
      <w:r w:rsidR="00915F9C" w:rsidRPr="00B652B3">
        <w:t>Sr/</w:t>
      </w:r>
      <w:r w:rsidR="00915F9C" w:rsidRPr="00B652B3">
        <w:rPr>
          <w:vertAlign w:val="superscript"/>
        </w:rPr>
        <w:t>86</w:t>
      </w:r>
      <w:r w:rsidR="00915F9C" w:rsidRPr="00B652B3">
        <w:t>Sr</w:t>
      </w:r>
      <w:r w:rsidR="00915F9C">
        <w:t xml:space="preserve"> </w:t>
      </w:r>
      <w:r w:rsidR="00E47259">
        <w:t xml:space="preserve">between </w:t>
      </w:r>
      <w:r w:rsidR="00204E72">
        <w:t xml:space="preserve">different </w:t>
      </w:r>
      <w:r w:rsidR="00E47259">
        <w:t>dust source</w:t>
      </w:r>
      <w:r w:rsidR="001C5019">
        <w:t xml:space="preserve"> areas</w:t>
      </w:r>
      <w:r w:rsidR="00E47259">
        <w:t xml:space="preserve"> </w:t>
      </w:r>
      <w:r w:rsidR="00532B2D">
        <w:t xml:space="preserve">in </w:t>
      </w:r>
      <w:r w:rsidR="00915F9C">
        <w:t xml:space="preserve">North Africa </w:t>
      </w:r>
      <w:r w:rsidR="00F8361A">
        <w:fldChar w:fldCharType="begin" w:fldLock="1"/>
      </w:r>
      <w:r w:rsidR="00F8361A">
        <w:instrText>ADDIN CSL_CITATION {"citationItems":[{"id":"ITEM-1","itemData":{"DOI":"10.1016/j.epsl.2020.116645","ISSN":"0012821X","abstract":"North Africa produces more than half of the world's atmospheric dust load. Once entrained into the atmosphere, this dust poses a human health hazard locally. It also modifies the radiative budget regionally, and supplies nutrients that fuel primary productivity across the North Atlantic Ocean and as far afield as the Amazonian Basin. Dust accumulation in deep sea and lacustrine sediments also provides a means to study changes in palaeoclimate, particularly those associated with rainfall climate change. Systematic analysis of satellite imagery has greatly improved our understanding of the trajectories of long-range North African dust plumes, but our knowledge of the dust-producing source regions and our ability to fingerprint their contribution to these export routes is surprisingly limited. Here we report new radiogenic isotope (Sr and Nd) data for sediment samples from known dust-producing substrates (dried river and lake beds), integrate them with published isotope data and weight them for dust source activation. We define three isotopically distinct preferential dust source areas (PSAs): a Western, a Central and an Eastern North African PSA. More data are needed, particularly from the Western PSA, but our results show a change in PSA dust source composition to more radiogenic Nd- and less radiogenic Sr-isotope values from west to east, in line with the overall decreasing age of the underlying bedrock. Our data reveal extreme isotopic heterogeneity within the Chadian region of the Central PSA, including an extremely distinctive geochemical fingerprint feeding the Bodélé Depression, the most active dust source on Earth. Our new analysis significantly improves the reliability by which windblown dust deposits can be geochemically fingerprinted to their distant source regions.","author":[{"dropping-particle":"","family":"Jewell","given":"Amy M.","non-dropping-particle":"","parse-names":false,"suffix":""},{"dropping-particle":"","family":"Drake","given":"Nick","non-dropping-particle":"","parse-names":false,"suffix":""},{"dropping-particle":"","family":"Crocker","given":"Anya J.","non-dropping-particle":"","parse-names":false,"suffix":""},{"dropping-particle":"","family":"Bakker","given":"Natalie L.","non-dropping-particle":"","parse-names":false,"suffix":""},{"dropping-particle":"","family":"Kunkelova","given":"Tereza","non-dropping-particle":"","parse-names":false,"suffix":""},{"dropping-particle":"","family":"Bristow","given":"Charlie S.","non-dropping-particle":"","parse-names":false,"suffix":""},{"dropping-particle":"","family":"Cooper","given":"Matthew J.","non-dropping-particle":"","parse-names":false,"suffix":""},{"dropping-particle":"","family":"Milton","given":"J. Andrew","non-dropping-particle":"","parse-names":false,"suffix":""},{"dropping-particle":"","family":"Breeze","given":"Paul S.","non-dropping-particle":"","parse-names":false,"suffix":""},{"dropping-particle":"","family":"Wilson","given":"Paul A.","non-dropping-particle":"","parse-names":false,"suffix":""}],"container-title":"Earth and Planetary Science Letters","id":"ITEM-1","issued":{"date-parts":[["2020"]]},"page":"116645","publisher":"Elsevier B.V.","title":"Three North African dust source areas and their geochemical fingerprint","type":"article-journal","volume":"554"},"uris":["http://www.mendeley.com/documents/?uuid=a3dbfb1a-0382-4c07-aebd-14eb93a0e849"]}],"mendeley":{"formattedCitation":"(Jewell et al., 2020)","plainTextFormattedCitation":"(Jewell et al., 2020)","previouslyFormattedCitation":"(Jewell et al., 2020)"},"properties":{"noteIndex":0},"schema":"https://github.com/citation-style-language/schema/raw/master/csl-citation.json"}</w:instrText>
      </w:r>
      <w:r w:rsidR="00F8361A">
        <w:fldChar w:fldCharType="separate"/>
      </w:r>
      <w:r w:rsidR="00F8361A" w:rsidRPr="00F8361A">
        <w:rPr>
          <w:noProof/>
        </w:rPr>
        <w:t>(Jewell et al., 2020)</w:t>
      </w:r>
      <w:r w:rsidR="00F8361A">
        <w:fldChar w:fldCharType="end"/>
      </w:r>
      <w:r w:rsidR="00532B2D">
        <w:t xml:space="preserve">, </w:t>
      </w:r>
      <w:r w:rsidR="00F8361A">
        <w:t>North America</w:t>
      </w:r>
      <w:r w:rsidR="00915F9C">
        <w:t xml:space="preserve"> </w:t>
      </w:r>
      <w:r w:rsidR="00F8361A">
        <w:fldChar w:fldCharType="begin" w:fldLock="1"/>
      </w:r>
      <w:r w:rsidR="00D0251C">
        <w:instrText>ADDIN CSL_CITATION {"citationItems":[{"id":"ITEM-1","itemData":{"author":[{"dropping-particle":"","family":"Jardine","given":"G E","non-dropping-particle":"","parse-names":false,"suffix":""},{"dropping-particle":"","family":"Crocker","given":"A J","non-dropping-particle":"","parse-names":false,"suffix":""},{"dropping-particle":"","family":"Bailey","given":"I","non-dropping-particle":"","parse-names":false,"suffix":""},{"dropping-particle":"","family":"Cooper","given":"M J","non-dropping-particle":"","parse-names":false,"suffix":""},{"dropping-particle":"","family":"Milton","given":"J A","non-dropping-particle":"","parse-names":false,"suffix":""},{"dropping-particle":"","family":"Wilson","given":"P A","non-dropping-particle":"","parse-names":false,"suffix":""}],"container-title":"Quaternary Science Reviews","id":"ITEM-1","issued":{"date-parts":[["2021"]]},"title":"The imprint of windblown dust from the North American Southwest on the California Channel Islands and Paci fic Ocean sediments","type":"article-journal","volume":"261"},"uris":["http://www.mendeley.com/documents/?uuid=deb35f7e-fca9-42f3-820e-d7fec913df52"]},{"id":"ITEM-2","itemData":{"DOI":"10.1016/j.gca.2017.07.024","ISSN":"00167037","abstract":"The generation, transport, and deposition of mineral dust are detectable in paleoclimate records from land, ocean, and ice, providing valuable insight into earth surface conditions and cycles on a range of timescales. Dust deposited in marine and terrestrial ecosystems can provide critical nutrients to nutrient-limited ecosystems, and variations in dust provenance can indicate changes in dust production, sources and transport pathways as a function of climate variability and land use change. Thus, temporal changes in locations of dust source areas and transport pathways have implications for understanding interactions between mineral dust, global climate, and biogeochemical cycles. This work characterizes dust from areas in the American West known for dust events and/or affected by increasing human settlement and livestock grazing during the last 150 years. Dust generation and uplift from these dust source areas depends on climate and land use practices, and the relative contribution of dust has likely changed since the expansion of industrialization and agriculture into the western United States. We present elemental and isotopic analysis of 28 potential dust source area samples analyzed using Thermal Ionization Mass Spectrometry (TIMS) for 87Sr/86Sr and 143Nd/144Nd composition and Multi-Collector Inductively Coupled Plasma Mass Spectrometer (MC-ICPMS) for 176Hf/177Hf composition, and ICPMS for major and trace element concentrations. We find significant variability in the Sr, Nd, and Hf isotope compositions of potential source areas of dust throughout western North America, ranging from 87Sr/86Sr = 0.703699 to 0.740236, εNd = −26.6 to 2.4, and εHf = −21.7 to −0.1. We also report differences in the trace metal and phosphorus concentrations in the geologic provinces sampled. This research provides an important resource for the geochemical tracing of dust sources and sinks in western North America, and will aid in modeling the biogeochemical impacts of increased dust generation and deposition caused by higher drought frequency and human activity.","author":[{"dropping-particle":"","family":"Aarons","given":"Sarah M.","non-dropping-particle":"","parse-names":false,"suffix":""},{"dropping-particle":"","family":"Blakowski","given":"Molly A.","non-dropping-particle":"","parse-names":false,"suffix":""},{"dropping-particle":"","family":"Aciego","given":"Sarah M.","non-dropping-particle":"","parse-names":false,"suffix":""},{"dropping-particle":"","family":"Stevenson","given":"Emily I.","non-dropping-particle":"","parse-names":false,"suffix":""},{"dropping-particle":"","family":"Sims","given":"Kenneth W.W.","non-dropping-particle":"","parse-names":false,"suffix":""},{"dropping-particle":"","family":"Scott","given":"Sean R.","non-dropping-particle":"","parse-names":false,"suffix":""},{"dropping-particle":"","family":"Aarons","given":"Charles","non-dropping-particle":"","parse-names":false,"suffix":""}],"container-title":"Geochimica et Cosmochimica Acta","id":"ITEM-2","issued":{"date-parts":[["2017"]]},"page":"141-161","publisher":"Elsevier Ltd","title":"Geochemical characterization of critical dust source regions in the American West","type":"article-journal","volume":"215"},"uris":["http://www.mendeley.com/documents/?uuid=5dda710b-08a6-4e3c-94b2-0b88025ff293"]}],"mendeley":{"formattedCitation":"(Aarons et al., 2017; Jardine et al., 2021)","plainTextFormattedCitation":"(Aarons et al., 2017; Jardine et al., 2021)","previouslyFormattedCitation":"(Aarons et al., 2017; Jardine et al., 2021)"},"properties":{"noteIndex":0},"schema":"https://github.com/citation-style-language/schema/raw/master/csl-citation.json"}</w:instrText>
      </w:r>
      <w:r w:rsidR="00F8361A">
        <w:fldChar w:fldCharType="separate"/>
      </w:r>
      <w:r w:rsidR="00F8361A" w:rsidRPr="00F8361A">
        <w:rPr>
          <w:noProof/>
        </w:rPr>
        <w:t>(Aarons et al., 2017; Jardine et al., 2021)</w:t>
      </w:r>
      <w:r w:rsidR="00F8361A">
        <w:fldChar w:fldCharType="end"/>
      </w:r>
      <w:r w:rsidR="00F8361A">
        <w:t xml:space="preserve">, </w:t>
      </w:r>
      <w:r w:rsidR="00E47259">
        <w:t xml:space="preserve">the </w:t>
      </w:r>
      <w:r w:rsidR="00F8361A">
        <w:t xml:space="preserve">Middle East </w:t>
      </w:r>
      <w:r w:rsidR="00ED5C43">
        <w:fldChar w:fldCharType="begin" w:fldLock="1"/>
      </w:r>
      <w:r w:rsidR="003060A9">
        <w:instrText>ADDIN CSL_CITATION {"citationItems":[{"id":"ITEM-1","itemData":{"author":[{"dropping-particle":"","family":"Sirocko","given":"Frank","non-dropping-particle":"","parse-names":false,"suffix":""}],"container-title":"Mathematisch-Naturwissenschaftliche Fakultat der Christian-Albrechts-Universitat zu Kiel","id":"ITEM-1","issue":"September","issued":{"date-parts":[["1994"]]},"number-of-pages":"216","title":"Abrupt change in monsoonal climate: evidence from the geochemical composition of Arabian Sea sediments","type":"thesis"},"uris":["http://www.mendeley.com/documents/?uuid=5e66444e-70f5-41d3-bc14-1fc7103e74ac"]}],"mendeley":{"formattedCitation":"(Sirocko, 1994)","plainTextFormattedCitation":"(Sirocko, 1994)","previouslyFormattedCitation":"(Sirocko, 1994)"},"properties":{"noteIndex":0},"schema":"https://github.com/citation-style-language/schema/raw/master/csl-citation.json"}</w:instrText>
      </w:r>
      <w:r w:rsidR="00ED5C43">
        <w:fldChar w:fldCharType="separate"/>
      </w:r>
      <w:r w:rsidR="00ED5C43" w:rsidRPr="00ED5C43">
        <w:rPr>
          <w:noProof/>
        </w:rPr>
        <w:t>(Sirocko, 1994)</w:t>
      </w:r>
      <w:r w:rsidR="00ED5C43">
        <w:fldChar w:fldCharType="end"/>
      </w:r>
      <w:r w:rsidR="009539F6">
        <w:t xml:space="preserve"> </w:t>
      </w:r>
      <w:r w:rsidR="00F8361A">
        <w:t xml:space="preserve">and </w:t>
      </w:r>
      <w:r w:rsidR="00F8361A" w:rsidRPr="004B71FD">
        <w:t xml:space="preserve">Asia </w:t>
      </w:r>
      <w:r w:rsidR="003743B6" w:rsidRPr="00E44CD0">
        <w:t>(Chen et al., 2007; Kanayama et al., 2005; Zeng et al., 2015; Zhao et al., 2015)</w:t>
      </w:r>
      <w:r w:rsidR="00DB1F89" w:rsidRPr="004B71FD">
        <w:t>.</w:t>
      </w:r>
      <w:r w:rsidR="00FA4632" w:rsidRPr="004B71FD">
        <w:t xml:space="preserve"> </w:t>
      </w:r>
      <w:r w:rsidR="00DB1F89">
        <w:t>Thus,</w:t>
      </w:r>
      <w:r w:rsidR="00F8361A">
        <w:t xml:space="preserve"> </w:t>
      </w:r>
      <w:r w:rsidR="00915F9C">
        <w:t xml:space="preserve">failure to remove barite </w:t>
      </w:r>
      <w:r w:rsidR="00532B2D">
        <w:t>risks</w:t>
      </w:r>
      <w:r w:rsidR="00915F9C">
        <w:t xml:space="preserve"> misidentification of the source of </w:t>
      </w:r>
      <w:r w:rsidR="00E869C7">
        <w:t>terrigenous</w:t>
      </w:r>
      <w:r w:rsidR="00F8361A">
        <w:t xml:space="preserve"> </w:t>
      </w:r>
      <w:r w:rsidR="00915F9C">
        <w:t xml:space="preserve">material </w:t>
      </w:r>
      <w:r w:rsidR="00F8361A">
        <w:t>accumulating in</w:t>
      </w:r>
      <w:r w:rsidR="00915F9C">
        <w:t xml:space="preserve"> </w:t>
      </w:r>
      <w:r w:rsidR="00F8361A">
        <w:t>any of the world’s</w:t>
      </w:r>
      <w:r w:rsidR="00915F9C">
        <w:t xml:space="preserve"> </w:t>
      </w:r>
      <w:r w:rsidR="00F8361A">
        <w:t>oceans.</w:t>
      </w:r>
      <w:r w:rsidR="001C1C28">
        <w:t xml:space="preserve"> </w:t>
      </w:r>
      <w:r w:rsidR="00837298">
        <w:t>Our new</w:t>
      </w:r>
      <w:r w:rsidR="00DC3AE2">
        <w:t xml:space="preserve"> </w:t>
      </w:r>
      <w:r w:rsidR="0085346F">
        <w:t xml:space="preserve">sequential </w:t>
      </w:r>
      <w:r w:rsidR="00824C47">
        <w:t>leaching</w:t>
      </w:r>
      <w:r w:rsidR="00D001C3">
        <w:t xml:space="preserve"> </w:t>
      </w:r>
      <w:r w:rsidR="00DC3AE2">
        <w:t>protocol permit</w:t>
      </w:r>
      <w:r w:rsidR="00837298">
        <w:t xml:space="preserve">s </w:t>
      </w:r>
      <w:r w:rsidR="00DC3AE2">
        <w:t xml:space="preserve">studies of </w:t>
      </w:r>
      <w:r w:rsidR="00E869C7">
        <w:t>terrigenous</w:t>
      </w:r>
      <w:r w:rsidR="00362CF3">
        <w:t xml:space="preserve"> </w:t>
      </w:r>
      <w:r w:rsidR="00DC3AE2">
        <w:t xml:space="preserve">provenance </w:t>
      </w:r>
      <w:r w:rsidR="00D27C96">
        <w:t xml:space="preserve">and past changes in </w:t>
      </w:r>
      <w:r w:rsidR="00596D4A">
        <w:t>aridity/humidity</w:t>
      </w:r>
      <w:r w:rsidR="00DC3AE2">
        <w:t xml:space="preserve"> using </w:t>
      </w:r>
      <w:r w:rsidR="00DC3AE2" w:rsidRPr="00B652B3">
        <w:rPr>
          <w:vertAlign w:val="superscript"/>
        </w:rPr>
        <w:t>87</w:t>
      </w:r>
      <w:r w:rsidR="00DC3AE2" w:rsidRPr="00B652B3">
        <w:t>Sr/</w:t>
      </w:r>
      <w:r w:rsidR="00DC3AE2" w:rsidRPr="00B652B3">
        <w:rPr>
          <w:vertAlign w:val="superscript"/>
        </w:rPr>
        <w:t>86</w:t>
      </w:r>
      <w:r w:rsidR="00DC3AE2" w:rsidRPr="00B652B3">
        <w:t>Sr</w:t>
      </w:r>
      <w:r w:rsidR="00532B2D">
        <w:t>,</w:t>
      </w:r>
      <w:r w:rsidR="00DC3AE2">
        <w:t xml:space="preserve"> </w:t>
      </w:r>
      <w:r w:rsidR="00D27C96">
        <w:t xml:space="preserve">even </w:t>
      </w:r>
      <w:r w:rsidR="00DC3AE2">
        <w:t>in regions of equatorial or coastal upwelling</w:t>
      </w:r>
      <w:r w:rsidR="00635472">
        <w:t xml:space="preserve"> </w:t>
      </w:r>
      <w:r w:rsidR="00DC3AE2">
        <w:t xml:space="preserve">where </w:t>
      </w:r>
      <w:r w:rsidR="00204E72">
        <w:t xml:space="preserve">the non-removal of </w:t>
      </w:r>
      <w:r w:rsidR="00A76D0C">
        <w:t xml:space="preserve">marine barite </w:t>
      </w:r>
      <w:r w:rsidR="00596D4A">
        <w:t xml:space="preserve">severely </w:t>
      </w:r>
      <w:r w:rsidR="00ED5C43">
        <w:t>skew</w:t>
      </w:r>
      <w:r w:rsidR="00EE367B">
        <w:t>s</w:t>
      </w:r>
      <w:r w:rsidR="00A76D0C">
        <w:t xml:space="preserve"> </w:t>
      </w:r>
      <w:r w:rsidR="00D27C96">
        <w:t>results</w:t>
      </w:r>
      <w:r w:rsidR="00A76D0C">
        <w:t xml:space="preserve">. </w:t>
      </w:r>
    </w:p>
    <w:p w14:paraId="1A2A19F6" w14:textId="77777777" w:rsidR="004D0562" w:rsidRDefault="004D0562" w:rsidP="008C6417">
      <w:pPr>
        <w:spacing w:line="480" w:lineRule="auto"/>
      </w:pPr>
    </w:p>
    <w:p w14:paraId="5C32B008" w14:textId="77777777" w:rsidR="007E2933" w:rsidRPr="007E2933" w:rsidRDefault="007E2933" w:rsidP="007E2933">
      <w:pPr>
        <w:spacing w:line="480" w:lineRule="auto"/>
      </w:pPr>
      <w:r w:rsidRPr="007E2933">
        <w:rPr>
          <w:b/>
          <w:bCs/>
        </w:rPr>
        <w:t xml:space="preserve">Acknowledgements </w:t>
      </w:r>
    </w:p>
    <w:p w14:paraId="1F980F8E" w14:textId="197787AB" w:rsidR="007E2933" w:rsidRDefault="007E2933" w:rsidP="008C6417">
      <w:pPr>
        <w:spacing w:line="480" w:lineRule="auto"/>
      </w:pPr>
      <w:r w:rsidRPr="007E2933">
        <w:t xml:space="preserve">This work was supported by </w:t>
      </w:r>
      <w:r w:rsidR="00796972">
        <w:t xml:space="preserve">a PhD studentship from the </w:t>
      </w:r>
      <w:r w:rsidRPr="007E2933">
        <w:t>Natural Environment Research Council [</w:t>
      </w:r>
      <w:r w:rsidR="00EE367B">
        <w:t>Grant</w:t>
      </w:r>
      <w:r w:rsidR="00204E72" w:rsidRPr="007E2933">
        <w:t xml:space="preserve"> </w:t>
      </w:r>
      <w:r w:rsidRPr="007E2933">
        <w:t>number NE/L002531/1</w:t>
      </w:r>
      <w:r w:rsidR="00D0251C">
        <w:t>]</w:t>
      </w:r>
      <w:r w:rsidRPr="007E2933">
        <w:t xml:space="preserve"> to AMJ and Royal Society Challenge Grant CH160073 and Royal Society Wolfson Merit Award to PAW. ﻿Sediment core samples were provided by the IODP, funded by the U.S. National Science Foundation and participating countries. ﻿We are grateful to</w:t>
      </w:r>
      <w:r>
        <w:t xml:space="preserve"> Gabriella Jardine</w:t>
      </w:r>
      <w:r w:rsidR="005C15D6">
        <w:t xml:space="preserve"> and</w:t>
      </w:r>
      <w:r w:rsidRPr="007E2933">
        <w:t xml:space="preserve"> </w:t>
      </w:r>
      <w:r w:rsidR="005C15D6">
        <w:t xml:space="preserve">P. Sargent Bray </w:t>
      </w:r>
      <w:r w:rsidRPr="007E2933">
        <w:t>for laboratory assistance</w:t>
      </w:r>
      <w:r w:rsidR="005C15D6">
        <w:t>.</w:t>
      </w:r>
      <w:r w:rsidR="004B71FD">
        <w:t xml:space="preserve"> We thank Adina Paytan for useful discussions</w:t>
      </w:r>
      <w:r w:rsidR="00ED29E5">
        <w:t xml:space="preserve">. </w:t>
      </w:r>
      <w:r w:rsidR="00222838">
        <w:t>We</w:t>
      </w:r>
      <w:r w:rsidR="004B71FD">
        <w:t xml:space="preserve"> also</w:t>
      </w:r>
      <w:r w:rsidR="00222838">
        <w:t xml:space="preserve"> thank </w:t>
      </w:r>
      <w:r w:rsidR="00AF18F1">
        <w:t>Patrick Blaser</w:t>
      </w:r>
      <w:r w:rsidR="00222838">
        <w:t xml:space="preserve"> and </w:t>
      </w:r>
      <w:r w:rsidR="001C5019">
        <w:t>an</w:t>
      </w:r>
      <w:r w:rsidR="00222838">
        <w:t xml:space="preserve"> anonymous reviewer for their </w:t>
      </w:r>
      <w:r w:rsidR="00AF18F1">
        <w:t xml:space="preserve">helpful </w:t>
      </w:r>
      <w:r w:rsidR="00222838">
        <w:t>comments which improve</w:t>
      </w:r>
      <w:r w:rsidR="001443CF">
        <w:t>d</w:t>
      </w:r>
      <w:r w:rsidR="00222838">
        <w:t xml:space="preserve"> this manuscript greatly. </w:t>
      </w:r>
      <w:r w:rsidR="007A57C9">
        <w:t>This contribution is dedicated to the memory of Harry Elderfield</w:t>
      </w:r>
      <w:r w:rsidR="00840B0D">
        <w:t>,</w:t>
      </w:r>
      <w:r w:rsidR="007A57C9">
        <w:t xml:space="preserve"> </w:t>
      </w:r>
      <w:r w:rsidR="00840B0D">
        <w:t>who knew a thing or two about the chemistry of marine sediments and inspired so many of us to strive to unlock their secrets</w:t>
      </w:r>
      <w:r w:rsidR="00B174A6">
        <w:t>.</w:t>
      </w:r>
    </w:p>
    <w:p w14:paraId="27997C99" w14:textId="77777777" w:rsidR="007E2933" w:rsidRDefault="007E2933" w:rsidP="008C6417">
      <w:pPr>
        <w:spacing w:line="480" w:lineRule="auto"/>
      </w:pPr>
    </w:p>
    <w:p w14:paraId="464DD465" w14:textId="77777777" w:rsidR="007E2933" w:rsidRPr="007E2933" w:rsidRDefault="007E2933" w:rsidP="007E2933">
      <w:pPr>
        <w:spacing w:line="480" w:lineRule="auto"/>
      </w:pPr>
      <w:r w:rsidRPr="007E2933">
        <w:rPr>
          <w:b/>
          <w:bCs/>
        </w:rPr>
        <w:t xml:space="preserve">Declaration of competing interest </w:t>
      </w:r>
    </w:p>
    <w:p w14:paraId="32DA063A" w14:textId="77777777" w:rsidR="00D223E0" w:rsidRPr="007E2933" w:rsidRDefault="007E2933" w:rsidP="007E2933">
      <w:pPr>
        <w:spacing w:line="480" w:lineRule="auto"/>
      </w:pPr>
      <w:r w:rsidRPr="007E2933">
        <w:lastRenderedPageBreak/>
        <w:t>The authors declare that they have no known competing financial interests or personal</w:t>
      </w:r>
      <w:r>
        <w:t xml:space="preserve"> </w:t>
      </w:r>
      <w:r w:rsidRPr="007E2933">
        <w:t xml:space="preserve">relationships that could have appeared to influence the work reported in this paper. </w:t>
      </w:r>
    </w:p>
    <w:p w14:paraId="712DA93F" w14:textId="77777777" w:rsidR="007E2933" w:rsidRDefault="007E2933" w:rsidP="008C6417">
      <w:pPr>
        <w:spacing w:line="480" w:lineRule="auto"/>
      </w:pPr>
    </w:p>
    <w:p w14:paraId="7FC2CF58" w14:textId="77777777" w:rsidR="00F31FD2" w:rsidRPr="00A31EFA" w:rsidRDefault="00424D44" w:rsidP="00A31EFA">
      <w:pPr>
        <w:rPr>
          <w:b/>
          <w:bCs/>
        </w:rPr>
      </w:pPr>
      <w:r w:rsidRPr="00A31EFA">
        <w:rPr>
          <w:b/>
          <w:bCs/>
        </w:rPr>
        <w:t>References</w:t>
      </w:r>
    </w:p>
    <w:p w14:paraId="7892B02F" w14:textId="52867271" w:rsidR="0080382B" w:rsidRPr="004877AA" w:rsidRDefault="00B80607" w:rsidP="004906E8">
      <w:pPr>
        <w:pStyle w:val="ListParagraph"/>
        <w:widowControl w:val="0"/>
        <w:numPr>
          <w:ilvl w:val="0"/>
          <w:numId w:val="57"/>
        </w:numPr>
        <w:autoSpaceDE w:val="0"/>
        <w:autoSpaceDN w:val="0"/>
        <w:adjustRightInd w:val="0"/>
        <w:spacing w:line="480" w:lineRule="auto"/>
        <w:ind w:left="360"/>
        <w:rPr>
          <w:noProof/>
        </w:rPr>
      </w:pPr>
      <w:r>
        <w:rPr>
          <w:rFonts w:cstheme="minorHAnsi"/>
        </w:rPr>
        <w:fldChar w:fldCharType="begin" w:fldLock="1"/>
      </w:r>
      <w:r w:rsidRPr="002B2A13">
        <w:rPr>
          <w:rFonts w:cstheme="minorHAnsi"/>
        </w:rPr>
        <w:instrText xml:space="preserve">ADDIN Mendeley Bibliography CSL_BIBLIOGRAPHY </w:instrText>
      </w:r>
      <w:r>
        <w:rPr>
          <w:rFonts w:cstheme="minorHAnsi"/>
        </w:rPr>
        <w:fldChar w:fldCharType="separate"/>
      </w:r>
      <w:r w:rsidR="0080382B" w:rsidRPr="004877AA">
        <w:rPr>
          <w:noProof/>
        </w:rPr>
        <w:t>Aarons, S.M., Aciego, S.M., Gleason, J.D., 2013. Variable HfSrNd radiogenic isotopic compositions in a Saharan dust storm over the Atlantic: Implications for dust flux to oceans, ice sheets and the terrestrial biosphere. Chem. Geol. 349–350, 18–26. https://doi.org/10.1016/j.chemgeo.2013.04.010</w:t>
      </w:r>
    </w:p>
    <w:p w14:paraId="2E7DE4DD" w14:textId="77777777" w:rsidR="0080382B" w:rsidRPr="004877AA" w:rsidRDefault="0080382B" w:rsidP="004906E8">
      <w:pPr>
        <w:pStyle w:val="ListParagraph"/>
        <w:widowControl w:val="0"/>
        <w:numPr>
          <w:ilvl w:val="0"/>
          <w:numId w:val="57"/>
        </w:numPr>
        <w:autoSpaceDE w:val="0"/>
        <w:autoSpaceDN w:val="0"/>
        <w:adjustRightInd w:val="0"/>
        <w:spacing w:line="480" w:lineRule="auto"/>
        <w:ind w:left="360"/>
        <w:rPr>
          <w:noProof/>
        </w:rPr>
      </w:pPr>
      <w:r w:rsidRPr="004877AA">
        <w:rPr>
          <w:noProof/>
        </w:rPr>
        <w:t>Aarons, S.M., Blakowski, M.A., Aciego, S.M., Stevenson, E.I., Sims, K.W.W., Scott, S.R., Aarons, C., 2017. Geochemical characterization of critical dust source regions in the American West. Geochim. Cosmochim. Acta 215, 141–161. https://doi.org/10.1016/j.gca.2017.07.024</w:t>
      </w:r>
    </w:p>
    <w:p w14:paraId="2EC1CF46" w14:textId="77777777" w:rsidR="0080382B" w:rsidRPr="004877AA" w:rsidRDefault="0080382B" w:rsidP="004906E8">
      <w:pPr>
        <w:pStyle w:val="ListParagraph"/>
        <w:widowControl w:val="0"/>
        <w:numPr>
          <w:ilvl w:val="0"/>
          <w:numId w:val="57"/>
        </w:numPr>
        <w:autoSpaceDE w:val="0"/>
        <w:autoSpaceDN w:val="0"/>
        <w:adjustRightInd w:val="0"/>
        <w:spacing w:line="480" w:lineRule="auto"/>
        <w:ind w:left="360"/>
        <w:rPr>
          <w:noProof/>
        </w:rPr>
      </w:pPr>
      <w:r w:rsidRPr="004877AA">
        <w:rPr>
          <w:noProof/>
        </w:rPr>
        <w:t>Abouchami, W., Näthe, K., Kumar, A., Galer, S.J.G., Jochum, K.P., Williams, E., Horbe, A.M.C., Rosa, J.W.C., Balsam, W., Adams, D., Mezger, K., Andreae, M.O., 2013. Geochemical and isotopic characterization of the bodélé depression dust source and implications for transatlantic dust transport to the Amazon basin. Earth Planet. Sci. Lett. 380, 112–123. https://doi.org/10.1016/j.epsl.2013.08.028</w:t>
      </w:r>
    </w:p>
    <w:p w14:paraId="5C3973DD" w14:textId="77777777" w:rsidR="0080382B" w:rsidRPr="004877AA" w:rsidRDefault="0080382B" w:rsidP="004906E8">
      <w:pPr>
        <w:pStyle w:val="ListParagraph"/>
        <w:widowControl w:val="0"/>
        <w:numPr>
          <w:ilvl w:val="0"/>
          <w:numId w:val="57"/>
        </w:numPr>
        <w:autoSpaceDE w:val="0"/>
        <w:autoSpaceDN w:val="0"/>
        <w:adjustRightInd w:val="0"/>
        <w:spacing w:line="480" w:lineRule="auto"/>
        <w:ind w:left="360"/>
        <w:rPr>
          <w:noProof/>
        </w:rPr>
      </w:pPr>
      <w:r w:rsidRPr="00796972">
        <w:rPr>
          <w:noProof/>
          <w:lang w:val="fr-FR"/>
        </w:rPr>
        <w:t xml:space="preserve">Allègre, C.J., Dupre, B., Négrel, P., Gaillardet, J., 1996. </w:t>
      </w:r>
      <w:r w:rsidRPr="004877AA">
        <w:rPr>
          <w:noProof/>
        </w:rPr>
        <w:t>Sr-Nd-Pb isotope systematics in Amazon and Congo River systems: Constraints about erosion processes. Chem. Geol. 131, 93–112. https://doi.org/10.1016/0009-2541(96)00028-9</w:t>
      </w:r>
    </w:p>
    <w:p w14:paraId="231ED169" w14:textId="77777777" w:rsidR="0080382B" w:rsidRPr="004877AA" w:rsidRDefault="0080382B" w:rsidP="004906E8">
      <w:pPr>
        <w:pStyle w:val="ListParagraph"/>
        <w:widowControl w:val="0"/>
        <w:numPr>
          <w:ilvl w:val="0"/>
          <w:numId w:val="57"/>
        </w:numPr>
        <w:autoSpaceDE w:val="0"/>
        <w:autoSpaceDN w:val="0"/>
        <w:adjustRightInd w:val="0"/>
        <w:spacing w:line="480" w:lineRule="auto"/>
        <w:ind w:left="360"/>
        <w:rPr>
          <w:noProof/>
        </w:rPr>
      </w:pPr>
      <w:r w:rsidRPr="004877AA">
        <w:rPr>
          <w:noProof/>
        </w:rPr>
        <w:t>Ashley, G.M., Wet, C.B., Barboni, D., Magill, C.R., 2016.  Subtle signatures of seeps: Record of groundwater in a Dryland, DK , Olduvai Gorge, Tanzania . Depos. Rec. 2, 4–21. https://doi.org/10.1002/dep2.11</w:t>
      </w:r>
    </w:p>
    <w:p w14:paraId="705460BD" w14:textId="77777777" w:rsidR="0080382B" w:rsidRPr="004877AA" w:rsidRDefault="0080382B" w:rsidP="004906E8">
      <w:pPr>
        <w:pStyle w:val="ListParagraph"/>
        <w:widowControl w:val="0"/>
        <w:numPr>
          <w:ilvl w:val="0"/>
          <w:numId w:val="57"/>
        </w:numPr>
        <w:autoSpaceDE w:val="0"/>
        <w:autoSpaceDN w:val="0"/>
        <w:adjustRightInd w:val="0"/>
        <w:spacing w:line="480" w:lineRule="auto"/>
        <w:ind w:left="360"/>
        <w:rPr>
          <w:noProof/>
        </w:rPr>
      </w:pPr>
      <w:r w:rsidRPr="004877AA">
        <w:rPr>
          <w:noProof/>
        </w:rPr>
        <w:t xml:space="preserve">Bayon, G., German, C.R., Boella, R.M., Milton, J.A., Taylor, R.N., Nesbitt, R.W., 2002. An improved method for extracting marine sediment fractions and its application to Sr and Nd </w:t>
      </w:r>
      <w:r w:rsidRPr="004877AA">
        <w:rPr>
          <w:noProof/>
        </w:rPr>
        <w:lastRenderedPageBreak/>
        <w:t>isotopic analysis. Chem. Geol. 187, 179–199. https://doi.org/10.1016/S0009-2541(01)00416-8</w:t>
      </w:r>
    </w:p>
    <w:p w14:paraId="70102A51" w14:textId="77777777" w:rsidR="0080382B" w:rsidRPr="004877AA" w:rsidRDefault="0080382B" w:rsidP="004906E8">
      <w:pPr>
        <w:pStyle w:val="ListParagraph"/>
        <w:widowControl w:val="0"/>
        <w:numPr>
          <w:ilvl w:val="0"/>
          <w:numId w:val="57"/>
        </w:numPr>
        <w:autoSpaceDE w:val="0"/>
        <w:autoSpaceDN w:val="0"/>
        <w:adjustRightInd w:val="0"/>
        <w:spacing w:line="480" w:lineRule="auto"/>
        <w:ind w:left="360"/>
        <w:rPr>
          <w:noProof/>
        </w:rPr>
      </w:pPr>
      <w:r w:rsidRPr="004877AA">
        <w:rPr>
          <w:noProof/>
        </w:rPr>
        <w:t>Bishop, J.K.B., 1988. The barite-opal-organic carbon association in oceanic particulate matter. Nature 332, 341–343. https://doi.org/10.1038/332341a0</w:t>
      </w:r>
    </w:p>
    <w:p w14:paraId="373468C7" w14:textId="77777777" w:rsidR="0080382B" w:rsidRPr="004877AA" w:rsidRDefault="0080382B" w:rsidP="004906E8">
      <w:pPr>
        <w:pStyle w:val="ListParagraph"/>
        <w:widowControl w:val="0"/>
        <w:numPr>
          <w:ilvl w:val="0"/>
          <w:numId w:val="57"/>
        </w:numPr>
        <w:autoSpaceDE w:val="0"/>
        <w:autoSpaceDN w:val="0"/>
        <w:adjustRightInd w:val="0"/>
        <w:spacing w:line="480" w:lineRule="auto"/>
        <w:ind w:left="360"/>
        <w:rPr>
          <w:noProof/>
        </w:rPr>
      </w:pPr>
      <w:r w:rsidRPr="004877AA">
        <w:rPr>
          <w:noProof/>
        </w:rPr>
        <w:t>Blanchet, C.L., 2019. A database of marine and terrestrial radiogenic Nd and Sr isotopes for tracing earth-surface processes. Earth Syst. Sci. Data 11, 742–759. https://doi.org/10.5194/essd-2018-109</w:t>
      </w:r>
    </w:p>
    <w:p w14:paraId="70A45DCD" w14:textId="7F619DAA" w:rsidR="0080382B" w:rsidRDefault="0080382B" w:rsidP="004906E8">
      <w:pPr>
        <w:pStyle w:val="ListParagraph"/>
        <w:widowControl w:val="0"/>
        <w:numPr>
          <w:ilvl w:val="0"/>
          <w:numId w:val="57"/>
        </w:numPr>
        <w:autoSpaceDE w:val="0"/>
        <w:autoSpaceDN w:val="0"/>
        <w:adjustRightInd w:val="0"/>
        <w:spacing w:line="480" w:lineRule="auto"/>
        <w:ind w:left="360"/>
        <w:rPr>
          <w:noProof/>
        </w:rPr>
      </w:pPr>
      <w:r w:rsidRPr="004877AA">
        <w:rPr>
          <w:noProof/>
        </w:rPr>
        <w:t>Blaser, P., Lippold, J., Gutjahr, M., Frank, N., Link, J.M., Frank, M., 2016. Extracting foraminiferal seawater Nd isotope signatures from bulk deep sea sediment by chemical leaching. Chem. Geol. 439, 189–204. https://doi.org/10.1016/j.chemgeo.2016.06.024</w:t>
      </w:r>
    </w:p>
    <w:p w14:paraId="5EEA7B9E" w14:textId="5F565674" w:rsidR="004877AA" w:rsidRPr="004877AA" w:rsidRDefault="004877AA" w:rsidP="004906E8">
      <w:pPr>
        <w:pStyle w:val="ListParagraph"/>
        <w:widowControl w:val="0"/>
        <w:numPr>
          <w:ilvl w:val="0"/>
          <w:numId w:val="57"/>
        </w:numPr>
        <w:autoSpaceDE w:val="0"/>
        <w:autoSpaceDN w:val="0"/>
        <w:adjustRightInd w:val="0"/>
        <w:spacing w:line="480" w:lineRule="auto"/>
        <w:ind w:left="360"/>
        <w:rPr>
          <w:noProof/>
        </w:rPr>
      </w:pPr>
      <w:r w:rsidRPr="004877AA">
        <w:rPr>
          <w:noProof/>
        </w:rPr>
        <w:t>Chen, J., Li, G., Yang, J., Rao, W., Lu, H., Balsam, W., Sun, Y., Ji, J., 2007. Nd and Sr isotopic characteristics of Chinese deserts: Implications for the provenances of Asian dust. Geochim. Cosmochim. Acta 71, 3904–3914. https://doi.org/10.1016/j.gca.2007.04.033</w:t>
      </w:r>
    </w:p>
    <w:p w14:paraId="6CAF748F" w14:textId="77777777" w:rsidR="0080382B" w:rsidRPr="004877AA" w:rsidRDefault="0080382B" w:rsidP="004906E8">
      <w:pPr>
        <w:pStyle w:val="ListParagraph"/>
        <w:widowControl w:val="0"/>
        <w:numPr>
          <w:ilvl w:val="0"/>
          <w:numId w:val="57"/>
        </w:numPr>
        <w:autoSpaceDE w:val="0"/>
        <w:autoSpaceDN w:val="0"/>
        <w:adjustRightInd w:val="0"/>
        <w:spacing w:line="480" w:lineRule="auto"/>
        <w:ind w:left="360"/>
        <w:rPr>
          <w:noProof/>
        </w:rPr>
      </w:pPr>
      <w:r w:rsidRPr="004877AA">
        <w:rPr>
          <w:noProof/>
        </w:rPr>
        <w:t>Cole, J.M., Goldstein, S.L., DeMenocal, P.B., Hemming, S.R., Grousset, F.E., 2009. Contrasting compositions of Saharan dust in the eastern Atlantic Ocean during the last deglaciation and African Humid Period. Earth Planet. Sci. Lett. 278, 257–266. https://doi.org/10.1016/j.epsl.2008.12.011</w:t>
      </w:r>
    </w:p>
    <w:p w14:paraId="22179227" w14:textId="77777777" w:rsidR="0080382B" w:rsidRPr="004877AA" w:rsidRDefault="0080382B" w:rsidP="004906E8">
      <w:pPr>
        <w:pStyle w:val="ListParagraph"/>
        <w:widowControl w:val="0"/>
        <w:numPr>
          <w:ilvl w:val="0"/>
          <w:numId w:val="57"/>
        </w:numPr>
        <w:autoSpaceDE w:val="0"/>
        <w:autoSpaceDN w:val="0"/>
        <w:adjustRightInd w:val="0"/>
        <w:spacing w:line="480" w:lineRule="auto"/>
        <w:ind w:left="360"/>
        <w:rPr>
          <w:noProof/>
        </w:rPr>
      </w:pPr>
      <w:r w:rsidRPr="004877AA">
        <w:rPr>
          <w:noProof/>
        </w:rPr>
        <w:t>Dausmann, V., Gutjahr, M., Frank, M., Kouzmanov, K., Schaltegger, U., 2019. Experimental evidence for mineral-controlled release of radiogenic Nd, Hf and Pb isotopes from granitic rocks during progressive chemical weathering. Chem. Geol. 507, 64–84. https://doi.org/10.1016/j.chemgeo.2018.12.024</w:t>
      </w:r>
    </w:p>
    <w:p w14:paraId="7D4EB3E9" w14:textId="77777777" w:rsidR="0080382B" w:rsidRPr="004877AA" w:rsidRDefault="0080382B" w:rsidP="004906E8">
      <w:pPr>
        <w:pStyle w:val="ListParagraph"/>
        <w:widowControl w:val="0"/>
        <w:numPr>
          <w:ilvl w:val="0"/>
          <w:numId w:val="57"/>
        </w:numPr>
        <w:autoSpaceDE w:val="0"/>
        <w:autoSpaceDN w:val="0"/>
        <w:adjustRightInd w:val="0"/>
        <w:spacing w:line="480" w:lineRule="auto"/>
        <w:ind w:left="360"/>
        <w:rPr>
          <w:noProof/>
        </w:rPr>
      </w:pPr>
      <w:r w:rsidRPr="00796972">
        <w:rPr>
          <w:noProof/>
          <w:lang w:val="fr-FR"/>
        </w:rPr>
        <w:t xml:space="preserve">Du, J., Haley, B.A., Mix, A.C., 2020. </w:t>
      </w:r>
      <w:r w:rsidRPr="004877AA">
        <w:rPr>
          <w:noProof/>
        </w:rPr>
        <w:t>Evolution of the Global Overturning Circulation since the Last Glacial Maximum based on marine authigenic neodymium isotopes. Quat. Sci. Rev. 241. https://doi.org/10.1016/j.quascirev.2020.106396</w:t>
      </w:r>
    </w:p>
    <w:p w14:paraId="4F58F85D" w14:textId="77777777" w:rsidR="0080382B" w:rsidRPr="004877AA" w:rsidRDefault="0080382B" w:rsidP="004906E8">
      <w:pPr>
        <w:pStyle w:val="ListParagraph"/>
        <w:widowControl w:val="0"/>
        <w:numPr>
          <w:ilvl w:val="0"/>
          <w:numId w:val="57"/>
        </w:numPr>
        <w:autoSpaceDE w:val="0"/>
        <w:autoSpaceDN w:val="0"/>
        <w:adjustRightInd w:val="0"/>
        <w:spacing w:line="480" w:lineRule="auto"/>
        <w:ind w:left="360"/>
        <w:rPr>
          <w:noProof/>
        </w:rPr>
      </w:pPr>
      <w:r w:rsidRPr="00796972">
        <w:rPr>
          <w:noProof/>
          <w:lang w:val="fr-FR"/>
        </w:rPr>
        <w:t xml:space="preserve">Du, J., Haley, B.A., Mix, A.C., 2016. </w:t>
      </w:r>
      <w:r w:rsidRPr="004877AA">
        <w:rPr>
          <w:noProof/>
        </w:rPr>
        <w:t xml:space="preserve">Neodymium isotopes in authigenic phases, bottom waters </w:t>
      </w:r>
      <w:r w:rsidRPr="004877AA">
        <w:rPr>
          <w:noProof/>
        </w:rPr>
        <w:lastRenderedPageBreak/>
        <w:t>and detrital sediments in the Gulf of Alaska and their implications for paleo-circulation reconstruction. Geochim. Cosmochim. Acta 193, 14–35. https://doi.org/10.1016/j.gca.2016.08.005</w:t>
      </w:r>
    </w:p>
    <w:p w14:paraId="233CF868" w14:textId="77777777" w:rsidR="0080382B" w:rsidRPr="004877AA" w:rsidRDefault="0080382B" w:rsidP="004906E8">
      <w:pPr>
        <w:pStyle w:val="ListParagraph"/>
        <w:widowControl w:val="0"/>
        <w:numPr>
          <w:ilvl w:val="0"/>
          <w:numId w:val="57"/>
        </w:numPr>
        <w:autoSpaceDE w:val="0"/>
        <w:autoSpaceDN w:val="0"/>
        <w:adjustRightInd w:val="0"/>
        <w:spacing w:line="480" w:lineRule="auto"/>
        <w:ind w:left="360"/>
        <w:rPr>
          <w:noProof/>
        </w:rPr>
      </w:pPr>
      <w:r w:rsidRPr="004877AA">
        <w:rPr>
          <w:noProof/>
        </w:rPr>
        <w:t>Eagle, M., Paytan, A., Arrigo, K.R., van Dijken, G., Murray, R.W., 2003. A comparison between excess barium and barite as indicators of carbon export. Paleoceanography 18, 1–13. https://doi.org/10.1029/2002pa000793</w:t>
      </w:r>
    </w:p>
    <w:p w14:paraId="7512617B" w14:textId="77777777" w:rsidR="0080382B" w:rsidRPr="004877AA" w:rsidRDefault="0080382B" w:rsidP="004906E8">
      <w:pPr>
        <w:pStyle w:val="ListParagraph"/>
        <w:widowControl w:val="0"/>
        <w:numPr>
          <w:ilvl w:val="0"/>
          <w:numId w:val="57"/>
        </w:numPr>
        <w:autoSpaceDE w:val="0"/>
        <w:autoSpaceDN w:val="0"/>
        <w:adjustRightInd w:val="0"/>
        <w:spacing w:line="480" w:lineRule="auto"/>
        <w:ind w:left="360"/>
        <w:rPr>
          <w:noProof/>
        </w:rPr>
      </w:pPr>
      <w:r w:rsidRPr="004877AA">
        <w:rPr>
          <w:noProof/>
        </w:rPr>
        <w:t>Elmore, A.C., Piotrowski, A.M., Wright, J.D., Scrivner, A.E., 2011. Testing the extraction of past seawater Nd isotopic composition from North Atlantic deep sea sediments and foraminifera. Geochemistry, Geophys. Geosystems 12. https://doi.org/10.1029/2011GC003741</w:t>
      </w:r>
    </w:p>
    <w:p w14:paraId="5D329242" w14:textId="77777777" w:rsidR="0080382B" w:rsidRPr="004877AA" w:rsidRDefault="0080382B" w:rsidP="004906E8">
      <w:pPr>
        <w:pStyle w:val="ListParagraph"/>
        <w:widowControl w:val="0"/>
        <w:numPr>
          <w:ilvl w:val="0"/>
          <w:numId w:val="57"/>
        </w:numPr>
        <w:autoSpaceDE w:val="0"/>
        <w:autoSpaceDN w:val="0"/>
        <w:adjustRightInd w:val="0"/>
        <w:spacing w:line="480" w:lineRule="auto"/>
        <w:ind w:left="360"/>
        <w:rPr>
          <w:noProof/>
        </w:rPr>
      </w:pPr>
      <w:r w:rsidRPr="004877AA">
        <w:rPr>
          <w:noProof/>
        </w:rPr>
        <w:t>Falkowski, P.G., Barber, R.T., Smetacek, V., 1998. Biogeochemical controls and feedbacks on ocean primary production. Science (80-. ). 281, 200–206. https://doi.org/10.1126/science.281.5374.200</w:t>
      </w:r>
    </w:p>
    <w:p w14:paraId="7821E170" w14:textId="77777777" w:rsidR="0080382B" w:rsidRPr="004877AA" w:rsidRDefault="0080382B" w:rsidP="004906E8">
      <w:pPr>
        <w:pStyle w:val="ListParagraph"/>
        <w:widowControl w:val="0"/>
        <w:numPr>
          <w:ilvl w:val="0"/>
          <w:numId w:val="57"/>
        </w:numPr>
        <w:autoSpaceDE w:val="0"/>
        <w:autoSpaceDN w:val="0"/>
        <w:adjustRightInd w:val="0"/>
        <w:spacing w:line="480" w:lineRule="auto"/>
        <w:ind w:left="360"/>
        <w:rPr>
          <w:noProof/>
        </w:rPr>
      </w:pPr>
      <w:r w:rsidRPr="00796972">
        <w:rPr>
          <w:noProof/>
          <w:lang w:val="fr-FR"/>
        </w:rPr>
        <w:t xml:space="preserve">Ganeshram, R.S., François, R., Commeau, J., Brown-Leger, S.L., 2003. </w:t>
      </w:r>
      <w:r w:rsidRPr="004877AA">
        <w:rPr>
          <w:noProof/>
        </w:rPr>
        <w:t>An experimental investigation of barite formation in seawater. Geochim. Cosmochim. Acta 67, 2599–2605. https://doi.org/10.1016/S0016-7037(03)00164-9</w:t>
      </w:r>
    </w:p>
    <w:p w14:paraId="46D2825E" w14:textId="77777777" w:rsidR="0080382B" w:rsidRPr="004877AA" w:rsidRDefault="0080382B" w:rsidP="004906E8">
      <w:pPr>
        <w:pStyle w:val="ListParagraph"/>
        <w:widowControl w:val="0"/>
        <w:numPr>
          <w:ilvl w:val="0"/>
          <w:numId w:val="57"/>
        </w:numPr>
        <w:autoSpaceDE w:val="0"/>
        <w:autoSpaceDN w:val="0"/>
        <w:adjustRightInd w:val="0"/>
        <w:spacing w:line="480" w:lineRule="auto"/>
        <w:ind w:left="360"/>
        <w:rPr>
          <w:noProof/>
        </w:rPr>
      </w:pPr>
      <w:r w:rsidRPr="004877AA">
        <w:rPr>
          <w:noProof/>
        </w:rPr>
        <w:t>Goldberg, E.D., Somayajulu, B.L.K., Galloway, J., Kaplan, I.R., Faure, G., 1969. Differences between barites of marine and continental origins. Geochim. Cosmochim. Acta 33, 287–289. https://doi.org/10.1016/0016-7037(69)90145-8</w:t>
      </w:r>
    </w:p>
    <w:p w14:paraId="14E03395" w14:textId="77777777" w:rsidR="0080382B" w:rsidRPr="004877AA" w:rsidRDefault="0080382B" w:rsidP="004906E8">
      <w:pPr>
        <w:pStyle w:val="ListParagraph"/>
        <w:widowControl w:val="0"/>
        <w:numPr>
          <w:ilvl w:val="0"/>
          <w:numId w:val="57"/>
        </w:numPr>
        <w:autoSpaceDE w:val="0"/>
        <w:autoSpaceDN w:val="0"/>
        <w:adjustRightInd w:val="0"/>
        <w:spacing w:line="480" w:lineRule="auto"/>
        <w:ind w:left="360"/>
        <w:rPr>
          <w:noProof/>
        </w:rPr>
      </w:pPr>
      <w:r w:rsidRPr="004877AA">
        <w:rPr>
          <w:noProof/>
        </w:rPr>
        <w:t>Gonneea, M.E., Paytan, A., 2006. Phase associations of barium in marine sediments. Mar. Chem. 100, 124–135. https://doi.org/10.1016/j.marchem.2005.12.003</w:t>
      </w:r>
    </w:p>
    <w:p w14:paraId="78279006" w14:textId="77777777" w:rsidR="0080382B" w:rsidRPr="004877AA" w:rsidRDefault="0080382B" w:rsidP="004906E8">
      <w:pPr>
        <w:pStyle w:val="ListParagraph"/>
        <w:widowControl w:val="0"/>
        <w:numPr>
          <w:ilvl w:val="0"/>
          <w:numId w:val="57"/>
        </w:numPr>
        <w:autoSpaceDE w:val="0"/>
        <w:autoSpaceDN w:val="0"/>
        <w:adjustRightInd w:val="0"/>
        <w:spacing w:line="480" w:lineRule="auto"/>
        <w:ind w:left="360"/>
        <w:rPr>
          <w:noProof/>
        </w:rPr>
      </w:pPr>
      <w:r w:rsidRPr="00796972">
        <w:rPr>
          <w:noProof/>
          <w:lang w:val="fr-FR"/>
        </w:rPr>
        <w:t xml:space="preserve">Gonzalez-Muñoz, M.T., Martinez-Ruiz, F., Morcillo, F., Martin-Ramos, J.D., Paytan, A., 2012. </w:t>
      </w:r>
      <w:r w:rsidRPr="004877AA">
        <w:rPr>
          <w:noProof/>
        </w:rPr>
        <w:t>Precipitation of barite by marine bacteria: A possible mechanism for marine barite formation. Geology 40, 675–678. https://doi.org/10.1130/G33006.1</w:t>
      </w:r>
    </w:p>
    <w:p w14:paraId="20CD3F87" w14:textId="77777777" w:rsidR="0080382B" w:rsidRPr="004877AA" w:rsidRDefault="0080382B" w:rsidP="004906E8">
      <w:pPr>
        <w:pStyle w:val="ListParagraph"/>
        <w:widowControl w:val="0"/>
        <w:numPr>
          <w:ilvl w:val="0"/>
          <w:numId w:val="57"/>
        </w:numPr>
        <w:autoSpaceDE w:val="0"/>
        <w:autoSpaceDN w:val="0"/>
        <w:adjustRightInd w:val="0"/>
        <w:spacing w:line="480" w:lineRule="auto"/>
        <w:ind w:left="360"/>
        <w:rPr>
          <w:noProof/>
        </w:rPr>
      </w:pPr>
      <w:r w:rsidRPr="004877AA">
        <w:rPr>
          <w:noProof/>
        </w:rPr>
        <w:t xml:space="preserve">Griffith, E.M., Paytan, A., 2012. Barite in the ocean - occurrence, geochemistry and </w:t>
      </w:r>
      <w:r w:rsidRPr="004877AA">
        <w:rPr>
          <w:noProof/>
        </w:rPr>
        <w:lastRenderedPageBreak/>
        <w:t>palaeoceanographic applications. Sedimentology 59, 1817–1835. https://doi.org/10.1111/j.1365-3091.2012.01327.x</w:t>
      </w:r>
    </w:p>
    <w:p w14:paraId="7D0ACF91" w14:textId="77777777" w:rsidR="0080382B" w:rsidRPr="004877AA" w:rsidRDefault="0080382B" w:rsidP="004906E8">
      <w:pPr>
        <w:pStyle w:val="ListParagraph"/>
        <w:widowControl w:val="0"/>
        <w:numPr>
          <w:ilvl w:val="0"/>
          <w:numId w:val="57"/>
        </w:numPr>
        <w:autoSpaceDE w:val="0"/>
        <w:autoSpaceDN w:val="0"/>
        <w:adjustRightInd w:val="0"/>
        <w:spacing w:line="480" w:lineRule="auto"/>
        <w:ind w:left="360"/>
        <w:rPr>
          <w:noProof/>
        </w:rPr>
      </w:pPr>
      <w:r w:rsidRPr="00796972">
        <w:rPr>
          <w:noProof/>
          <w:lang w:val="fr-FR"/>
        </w:rPr>
        <w:t xml:space="preserve">Grousset, F.E., Biscaye, P.E., 2005. </w:t>
      </w:r>
      <w:r w:rsidRPr="004877AA">
        <w:rPr>
          <w:noProof/>
        </w:rPr>
        <w:t>Tracing dust sources and transport patterns using Sr, Nd and Pb isotopes. Chem. Geol. https://doi.org/10.1016/j.chemgeo.2005.05.006</w:t>
      </w:r>
    </w:p>
    <w:p w14:paraId="22C9F05A" w14:textId="77777777" w:rsidR="0080382B" w:rsidRPr="004877AA" w:rsidRDefault="0080382B" w:rsidP="004906E8">
      <w:pPr>
        <w:pStyle w:val="ListParagraph"/>
        <w:widowControl w:val="0"/>
        <w:numPr>
          <w:ilvl w:val="0"/>
          <w:numId w:val="57"/>
        </w:numPr>
        <w:autoSpaceDE w:val="0"/>
        <w:autoSpaceDN w:val="0"/>
        <w:adjustRightInd w:val="0"/>
        <w:spacing w:line="480" w:lineRule="auto"/>
        <w:ind w:left="360"/>
        <w:rPr>
          <w:noProof/>
        </w:rPr>
      </w:pPr>
      <w:r w:rsidRPr="004877AA">
        <w:rPr>
          <w:noProof/>
        </w:rPr>
        <w:t>Grousset, F.E., Parra, M., Bory, A., Martinez, P., Bertrand, P., Shimmield, G., Ellam, R.M., 1998. Saharan Wind Regimes Traced by the Sr-Nd Isotopic Composition of Subtropical Atlantic Sediments: Last Glacial Maximum vs Today. Quat. Sci. Rev. 17, 395–409.</w:t>
      </w:r>
    </w:p>
    <w:p w14:paraId="38167E25" w14:textId="77777777" w:rsidR="0080382B" w:rsidRPr="004877AA" w:rsidRDefault="0080382B" w:rsidP="004906E8">
      <w:pPr>
        <w:pStyle w:val="ListParagraph"/>
        <w:widowControl w:val="0"/>
        <w:numPr>
          <w:ilvl w:val="0"/>
          <w:numId w:val="57"/>
        </w:numPr>
        <w:autoSpaceDE w:val="0"/>
        <w:autoSpaceDN w:val="0"/>
        <w:adjustRightInd w:val="0"/>
        <w:spacing w:line="480" w:lineRule="auto"/>
        <w:ind w:left="360"/>
        <w:rPr>
          <w:noProof/>
        </w:rPr>
      </w:pPr>
      <w:r w:rsidRPr="004877AA">
        <w:rPr>
          <w:noProof/>
        </w:rPr>
        <w:t>Gutjahr, M., Frank, M., Stirling, C.H., Klemm, V., van de Flierdt, T., Halliday, A.N., 2007. Reliable extraction of a deepwater trace metal isotope signal from Fe-Mn oxyhydroxide coatings of marine sediments. Chem. Geol. 242, 351–370. https://doi.org/10.1016/j.chemgeo.2007.03.021</w:t>
      </w:r>
    </w:p>
    <w:p w14:paraId="51F215ED" w14:textId="77777777" w:rsidR="0080382B" w:rsidRPr="004877AA" w:rsidRDefault="0080382B" w:rsidP="004906E8">
      <w:pPr>
        <w:pStyle w:val="ListParagraph"/>
        <w:widowControl w:val="0"/>
        <w:numPr>
          <w:ilvl w:val="0"/>
          <w:numId w:val="57"/>
        </w:numPr>
        <w:autoSpaceDE w:val="0"/>
        <w:autoSpaceDN w:val="0"/>
        <w:adjustRightInd w:val="0"/>
        <w:spacing w:line="480" w:lineRule="auto"/>
        <w:ind w:left="360"/>
        <w:rPr>
          <w:noProof/>
        </w:rPr>
      </w:pPr>
      <w:r w:rsidRPr="004877AA">
        <w:rPr>
          <w:noProof/>
        </w:rPr>
        <w:t>Hall, G.E.M., Vaive, J.E., Beer, R., Hoashi, M., 1996. Selective leaches revisited, with emphasis on the amorphous Fe oxyhydroxide phase extraction. J. Geochemical Explor. 56, 59–78. https://doi.org/10.1016/0375-6742(95)00050-X</w:t>
      </w:r>
    </w:p>
    <w:p w14:paraId="4F3FFFAF" w14:textId="77777777" w:rsidR="0080382B" w:rsidRPr="004877AA" w:rsidRDefault="0080382B" w:rsidP="004906E8">
      <w:pPr>
        <w:pStyle w:val="ListParagraph"/>
        <w:widowControl w:val="0"/>
        <w:numPr>
          <w:ilvl w:val="0"/>
          <w:numId w:val="57"/>
        </w:numPr>
        <w:autoSpaceDE w:val="0"/>
        <w:autoSpaceDN w:val="0"/>
        <w:adjustRightInd w:val="0"/>
        <w:spacing w:line="480" w:lineRule="auto"/>
        <w:ind w:left="360"/>
        <w:rPr>
          <w:noProof/>
        </w:rPr>
      </w:pPr>
      <w:r w:rsidRPr="004877AA">
        <w:rPr>
          <w:noProof/>
        </w:rPr>
        <w:t>Hanor, J.S., 2000. Barite-celestine geochemistry and environments of formation. Rev. Mineral. Geochemistry 40, 193–275. https://doi.org/10.2138/rmg.2000.40.4</w:t>
      </w:r>
    </w:p>
    <w:p w14:paraId="6540CD90" w14:textId="77777777" w:rsidR="0080382B" w:rsidRPr="004877AA" w:rsidRDefault="0080382B" w:rsidP="004906E8">
      <w:pPr>
        <w:pStyle w:val="ListParagraph"/>
        <w:widowControl w:val="0"/>
        <w:numPr>
          <w:ilvl w:val="0"/>
          <w:numId w:val="57"/>
        </w:numPr>
        <w:autoSpaceDE w:val="0"/>
        <w:autoSpaceDN w:val="0"/>
        <w:adjustRightInd w:val="0"/>
        <w:spacing w:line="480" w:lineRule="auto"/>
        <w:ind w:left="360"/>
        <w:rPr>
          <w:noProof/>
        </w:rPr>
      </w:pPr>
      <w:r w:rsidRPr="004877AA">
        <w:rPr>
          <w:noProof/>
        </w:rPr>
        <w:t>Hayes, C.T., Costa, K.M., Anderson, R.F., Calvo, E., Chase, Z., Demina, L.L., Dutay, J.C., German, C.R., Heimbürger-Boavida, L.E., Jaccard, S.L., Jacobel, A., Kohfeld, K.E., Kravchishina, M.D., Lippold, J., Mekik, F., Missiaen, L., Pavia, F.J., Paytan, A., Pedrosa-Pamies, R., Petrova, M. V., Rahman, S., Robinson, L.F., Roy-Barman, M., Sanchez-Vidal, A., Shiller, A., Tagliabue, A., Tessin, A.C., van Hulten, M., Zhang, J., 2021. Global Ocean Sediment Composition and Burial Flux in the Deep Sea. Global Biogeochem. Cycles 35, 0–25. https://doi.org/10.1029/2020GB006769</w:t>
      </w:r>
    </w:p>
    <w:p w14:paraId="021B0A39" w14:textId="77777777" w:rsidR="0080382B" w:rsidRPr="004877AA" w:rsidRDefault="0080382B" w:rsidP="004906E8">
      <w:pPr>
        <w:pStyle w:val="ListParagraph"/>
        <w:widowControl w:val="0"/>
        <w:numPr>
          <w:ilvl w:val="0"/>
          <w:numId w:val="57"/>
        </w:numPr>
        <w:autoSpaceDE w:val="0"/>
        <w:autoSpaceDN w:val="0"/>
        <w:adjustRightInd w:val="0"/>
        <w:spacing w:line="480" w:lineRule="auto"/>
        <w:ind w:left="360"/>
        <w:rPr>
          <w:noProof/>
        </w:rPr>
      </w:pPr>
      <w:r w:rsidRPr="004877AA">
        <w:rPr>
          <w:noProof/>
        </w:rPr>
        <w:t>House, B.M., Norris, R.D., 2020. Unlocking the barite paleoproductivity proxy: A new high-throughput method for quantifying barite in marine sediments. Chem. Geol. https://doi.org/10.1016/j.chemgeo.2020.119664</w:t>
      </w:r>
    </w:p>
    <w:p w14:paraId="6263D850" w14:textId="77777777" w:rsidR="0080382B" w:rsidRPr="004877AA" w:rsidRDefault="0080382B" w:rsidP="004906E8">
      <w:pPr>
        <w:pStyle w:val="ListParagraph"/>
        <w:widowControl w:val="0"/>
        <w:numPr>
          <w:ilvl w:val="0"/>
          <w:numId w:val="57"/>
        </w:numPr>
        <w:autoSpaceDE w:val="0"/>
        <w:autoSpaceDN w:val="0"/>
        <w:adjustRightInd w:val="0"/>
        <w:spacing w:line="480" w:lineRule="auto"/>
        <w:ind w:left="360"/>
        <w:rPr>
          <w:noProof/>
        </w:rPr>
      </w:pPr>
      <w:r w:rsidRPr="004877AA">
        <w:rPr>
          <w:noProof/>
        </w:rPr>
        <w:lastRenderedPageBreak/>
        <w:t>Howe, J.N.W., Piotrowski, A.M., Hu, R., Bory, A., 2017. Reconstruction of east–west deep water exchange in the low latitude Atlantic Ocean over the past 25,000 years. Earth Planet. Sci. Lett. 458, 327–336. https://doi.org/10.1016/j.epsl.2016.10.048</w:t>
      </w:r>
    </w:p>
    <w:p w14:paraId="2B6E6A54" w14:textId="77777777" w:rsidR="0080382B" w:rsidRPr="004877AA" w:rsidRDefault="0080382B" w:rsidP="004906E8">
      <w:pPr>
        <w:pStyle w:val="ListParagraph"/>
        <w:widowControl w:val="0"/>
        <w:numPr>
          <w:ilvl w:val="0"/>
          <w:numId w:val="57"/>
        </w:numPr>
        <w:autoSpaceDE w:val="0"/>
        <w:autoSpaceDN w:val="0"/>
        <w:adjustRightInd w:val="0"/>
        <w:spacing w:line="480" w:lineRule="auto"/>
        <w:ind w:left="360"/>
        <w:rPr>
          <w:noProof/>
        </w:rPr>
      </w:pPr>
      <w:r w:rsidRPr="004877AA">
        <w:rPr>
          <w:noProof/>
        </w:rPr>
        <w:t>Hu, R., Piotrowski, A.M., 2018. Neodymium isotope evidence for glacial-interglacial variability of deepwater transit time in the Pacific Ocean. Nat. Commun. 9, 1–12. https://doi.org/10.1038/s41467-018-07079-z</w:t>
      </w:r>
    </w:p>
    <w:p w14:paraId="45F1ED42" w14:textId="78D3B570" w:rsidR="0080382B" w:rsidRDefault="0080382B">
      <w:pPr>
        <w:pStyle w:val="ListParagraph"/>
        <w:widowControl w:val="0"/>
        <w:numPr>
          <w:ilvl w:val="0"/>
          <w:numId w:val="57"/>
        </w:numPr>
        <w:autoSpaceDE w:val="0"/>
        <w:autoSpaceDN w:val="0"/>
        <w:adjustRightInd w:val="0"/>
        <w:spacing w:line="480" w:lineRule="auto"/>
        <w:ind w:left="360"/>
        <w:rPr>
          <w:noProof/>
        </w:rPr>
      </w:pPr>
      <w:r w:rsidRPr="004877AA">
        <w:rPr>
          <w:noProof/>
        </w:rPr>
        <w:t>Huang, H., Gutjahr, M., Kuhn, G., Hathorne, E.C., Eisenhauer, A., 2021. Efficient Extraction of Past Seawater Pb and Nd Isotope Signatures From Southern Ocean Sediments. Geochemistry, Geophys. Geosystems 22. https://doi.org/10.1029/2020GC009287</w:t>
      </w:r>
    </w:p>
    <w:p w14:paraId="6CE47894" w14:textId="5EB1D482" w:rsidR="006E59B3" w:rsidRDefault="006E59B3">
      <w:pPr>
        <w:pStyle w:val="ListParagraph"/>
        <w:widowControl w:val="0"/>
        <w:numPr>
          <w:ilvl w:val="0"/>
          <w:numId w:val="57"/>
        </w:numPr>
        <w:autoSpaceDE w:val="0"/>
        <w:autoSpaceDN w:val="0"/>
        <w:adjustRightInd w:val="0"/>
        <w:spacing w:line="480" w:lineRule="auto"/>
        <w:ind w:left="360"/>
        <w:rPr>
          <w:noProof/>
        </w:rPr>
      </w:pPr>
      <w:r w:rsidRPr="00F0382B">
        <w:rPr>
          <w:rFonts w:ascii="Calibri" w:hAnsi="Calibri" w:cs="Calibri"/>
          <w:noProof/>
        </w:rPr>
        <w:t>Hyeong, K., Kuroda, J., Seo, I., Wilson, P.A., 2016. Response of the Pacific inter-tropical convergence zone to global cooling and initiation of Antarctic glaciation across the Eocene Oligocene Transition. Sci. Rep. 6, 1–8. https://doi.org/10.1038/srep30647</w:t>
      </w:r>
    </w:p>
    <w:p w14:paraId="6D27E786" w14:textId="77777777" w:rsidR="0080382B" w:rsidRPr="004877AA" w:rsidRDefault="0080382B" w:rsidP="004906E8">
      <w:pPr>
        <w:pStyle w:val="ListParagraph"/>
        <w:widowControl w:val="0"/>
        <w:numPr>
          <w:ilvl w:val="0"/>
          <w:numId w:val="57"/>
        </w:numPr>
        <w:autoSpaceDE w:val="0"/>
        <w:autoSpaceDN w:val="0"/>
        <w:adjustRightInd w:val="0"/>
        <w:spacing w:line="480" w:lineRule="auto"/>
        <w:ind w:left="360"/>
        <w:rPr>
          <w:noProof/>
        </w:rPr>
      </w:pPr>
      <w:r w:rsidRPr="004877AA">
        <w:rPr>
          <w:noProof/>
        </w:rPr>
        <w:t>Jacobsen, S.B., Wasserburg, G.J., 1980. Sm-Nd isotopic evolution of chondrites. Earth Planet. Sci. Lett. 50, 139–155. https://doi.org/10.1016/0012-821X(80)90125-9</w:t>
      </w:r>
    </w:p>
    <w:p w14:paraId="2EE9E4C2" w14:textId="77777777" w:rsidR="0080382B" w:rsidRPr="004877AA" w:rsidRDefault="0080382B" w:rsidP="004906E8">
      <w:pPr>
        <w:pStyle w:val="ListParagraph"/>
        <w:widowControl w:val="0"/>
        <w:numPr>
          <w:ilvl w:val="0"/>
          <w:numId w:val="57"/>
        </w:numPr>
        <w:autoSpaceDE w:val="0"/>
        <w:autoSpaceDN w:val="0"/>
        <w:adjustRightInd w:val="0"/>
        <w:spacing w:line="480" w:lineRule="auto"/>
        <w:ind w:left="360"/>
        <w:rPr>
          <w:noProof/>
        </w:rPr>
      </w:pPr>
      <w:r w:rsidRPr="004877AA">
        <w:rPr>
          <w:noProof/>
        </w:rPr>
        <w:t>Jardine, G.E., Crocker, A.J., Bailey, I., Cooper, M.J., Milton, J.A., Wilson, P.A., 2021. The imprint of windblown dust from the North American Southwest on the California Channel Islands and Paci fic Ocean sediments. Quat. Sci. Rev. 261.</w:t>
      </w:r>
    </w:p>
    <w:p w14:paraId="5DF9C1AA" w14:textId="77777777" w:rsidR="0080382B" w:rsidRPr="004877AA" w:rsidRDefault="0080382B" w:rsidP="004906E8">
      <w:pPr>
        <w:pStyle w:val="ListParagraph"/>
        <w:widowControl w:val="0"/>
        <w:numPr>
          <w:ilvl w:val="0"/>
          <w:numId w:val="57"/>
        </w:numPr>
        <w:autoSpaceDE w:val="0"/>
        <w:autoSpaceDN w:val="0"/>
        <w:adjustRightInd w:val="0"/>
        <w:spacing w:line="480" w:lineRule="auto"/>
        <w:ind w:left="360"/>
        <w:rPr>
          <w:noProof/>
        </w:rPr>
      </w:pPr>
      <w:r w:rsidRPr="004877AA">
        <w:rPr>
          <w:noProof/>
        </w:rPr>
        <w:t>Jewell, A.M., Drake, N., Crocker, A.J., Bakker, N.L., Kunkelova, T., Bristow, C.S., Cooper, M.J., Milton, J.A., Breeze, P.S., Wilson, P.A., 2020. Three North African dust source areas and their geochemical fingerprint. Earth Planet. Sci. Lett. 554, 116645. https://doi.org/10.1016/j.epsl.2020.116645</w:t>
      </w:r>
    </w:p>
    <w:p w14:paraId="518772C5" w14:textId="2922A352" w:rsidR="0080382B" w:rsidRDefault="0080382B" w:rsidP="004906E8">
      <w:pPr>
        <w:pStyle w:val="ListParagraph"/>
        <w:widowControl w:val="0"/>
        <w:numPr>
          <w:ilvl w:val="0"/>
          <w:numId w:val="57"/>
        </w:numPr>
        <w:autoSpaceDE w:val="0"/>
        <w:autoSpaceDN w:val="0"/>
        <w:adjustRightInd w:val="0"/>
        <w:spacing w:line="480" w:lineRule="auto"/>
        <w:ind w:left="360"/>
        <w:rPr>
          <w:noProof/>
        </w:rPr>
      </w:pPr>
      <w:r w:rsidRPr="004877AA">
        <w:rPr>
          <w:noProof/>
        </w:rPr>
        <w:t>Jochum, K.P., Nohl, U., Herwig, K., Lammel, E., Stoll, B., Hofmann, A.W., 2005. GeoReM: A new geochemical database for reference materials and isotopic standards. Geostand. Geoanalytical Res. 29, 333–338. https://doi.org/10.1111/j.1751-908x.2005.tb00904.x</w:t>
      </w:r>
    </w:p>
    <w:p w14:paraId="30E04055" w14:textId="44957D68" w:rsidR="004877AA" w:rsidRPr="004877AA" w:rsidRDefault="004877AA" w:rsidP="004906E8">
      <w:pPr>
        <w:pStyle w:val="ListParagraph"/>
        <w:widowControl w:val="0"/>
        <w:numPr>
          <w:ilvl w:val="0"/>
          <w:numId w:val="57"/>
        </w:numPr>
        <w:autoSpaceDE w:val="0"/>
        <w:autoSpaceDN w:val="0"/>
        <w:adjustRightInd w:val="0"/>
        <w:spacing w:line="480" w:lineRule="auto"/>
        <w:ind w:left="360"/>
        <w:rPr>
          <w:noProof/>
        </w:rPr>
      </w:pPr>
      <w:r w:rsidRPr="004877AA">
        <w:rPr>
          <w:noProof/>
        </w:rPr>
        <w:lastRenderedPageBreak/>
        <w:t>Kanayama, S., Yabuki, S., Zeng, F., Liu, M., Shen, Z., Liu, L., Yanagisawa, F., Abe, O., 2005. Size-dependent geochemical characteristics of Asian dust - Sr and Nd isotope compositions as tracers for source identification. J. Meteorol. Soc. Japan 83, 107–120. https://doi.org/10.2151/jmsj.83A.107</w:t>
      </w:r>
    </w:p>
    <w:p w14:paraId="544ACB81" w14:textId="77777777" w:rsidR="0080382B" w:rsidRPr="004906E8" w:rsidRDefault="0080382B" w:rsidP="004906E8">
      <w:pPr>
        <w:pStyle w:val="ListParagraph"/>
        <w:widowControl w:val="0"/>
        <w:numPr>
          <w:ilvl w:val="0"/>
          <w:numId w:val="57"/>
        </w:numPr>
        <w:autoSpaceDE w:val="0"/>
        <w:autoSpaceDN w:val="0"/>
        <w:adjustRightInd w:val="0"/>
        <w:spacing w:line="480" w:lineRule="auto"/>
        <w:ind w:left="360"/>
        <w:rPr>
          <w:rFonts w:ascii="Calibri" w:hAnsi="Calibri" w:cs="Calibri"/>
          <w:noProof/>
        </w:rPr>
      </w:pPr>
      <w:r w:rsidRPr="004877AA">
        <w:rPr>
          <w:noProof/>
        </w:rPr>
        <w:t>Lang, D.C., Bailey, I., Wilson, P.A., Beer, C.J., Bolton, C.T., Friedrich, O., Newsam, C., Spencer, M.R., Gutjahr, M., Foster, G.L., Cooper, M.J.</w:t>
      </w:r>
      <w:r w:rsidRPr="004906E8">
        <w:rPr>
          <w:rFonts w:ascii="Calibri" w:hAnsi="Calibri" w:cs="Calibri"/>
          <w:noProof/>
        </w:rPr>
        <w:t>, Milton, J.A., 2014. The transition on North America from the warm humid Pliocene to the glaciated Quaternary traced by eolian dust deposition at a benchmark North Atlantic Ocean drill site. Quat. Sci. Rev. 93, 125–141. https://doi.org/10.1016/j.quascirev.2014.04.005</w:t>
      </w:r>
    </w:p>
    <w:p w14:paraId="546DE8D5" w14:textId="77777777" w:rsidR="0080382B" w:rsidRPr="004906E8" w:rsidRDefault="0080382B" w:rsidP="004906E8">
      <w:pPr>
        <w:pStyle w:val="ListParagraph"/>
        <w:widowControl w:val="0"/>
        <w:numPr>
          <w:ilvl w:val="0"/>
          <w:numId w:val="57"/>
        </w:numPr>
        <w:autoSpaceDE w:val="0"/>
        <w:autoSpaceDN w:val="0"/>
        <w:adjustRightInd w:val="0"/>
        <w:spacing w:line="480" w:lineRule="auto"/>
        <w:ind w:left="360"/>
        <w:rPr>
          <w:rFonts w:ascii="Calibri" w:hAnsi="Calibri" w:cs="Calibri"/>
          <w:noProof/>
        </w:rPr>
      </w:pPr>
      <w:r w:rsidRPr="004906E8">
        <w:rPr>
          <w:rFonts w:ascii="Calibri" w:hAnsi="Calibri" w:cs="Calibri"/>
          <w:noProof/>
        </w:rPr>
        <w:t>Lea, D.W., Boyle, E.A., 1991. Barium in planktonic foraminifera. Geochim. Cosmochim. Acta 55, 3321–3331. https://doi.org/10.1016/0016-7037(91)90491-M</w:t>
      </w:r>
    </w:p>
    <w:p w14:paraId="178A0C79" w14:textId="77777777" w:rsidR="0080382B" w:rsidRPr="004906E8" w:rsidRDefault="0080382B" w:rsidP="004906E8">
      <w:pPr>
        <w:pStyle w:val="ListParagraph"/>
        <w:widowControl w:val="0"/>
        <w:numPr>
          <w:ilvl w:val="0"/>
          <w:numId w:val="57"/>
        </w:numPr>
        <w:autoSpaceDE w:val="0"/>
        <w:autoSpaceDN w:val="0"/>
        <w:adjustRightInd w:val="0"/>
        <w:spacing w:line="480" w:lineRule="auto"/>
        <w:ind w:left="360"/>
        <w:rPr>
          <w:rFonts w:ascii="Calibri" w:hAnsi="Calibri" w:cs="Calibri"/>
          <w:noProof/>
        </w:rPr>
      </w:pPr>
      <w:r w:rsidRPr="004906E8">
        <w:rPr>
          <w:rFonts w:ascii="Calibri" w:hAnsi="Calibri" w:cs="Calibri"/>
          <w:noProof/>
        </w:rPr>
        <w:t>Lyle, A.O., Lyle, M.W., 2002. Determination of biogenic silica in pelagic marine sediments: a simple method revisted. Proc. ODP, Initial Reports 199, 1–21.</w:t>
      </w:r>
    </w:p>
    <w:p w14:paraId="260D3050" w14:textId="77777777" w:rsidR="0080382B" w:rsidRPr="004906E8" w:rsidRDefault="0080382B" w:rsidP="004906E8">
      <w:pPr>
        <w:pStyle w:val="ListParagraph"/>
        <w:widowControl w:val="0"/>
        <w:numPr>
          <w:ilvl w:val="0"/>
          <w:numId w:val="57"/>
        </w:numPr>
        <w:autoSpaceDE w:val="0"/>
        <w:autoSpaceDN w:val="0"/>
        <w:adjustRightInd w:val="0"/>
        <w:spacing w:line="480" w:lineRule="auto"/>
        <w:ind w:left="360"/>
        <w:rPr>
          <w:rFonts w:ascii="Calibri" w:hAnsi="Calibri" w:cs="Calibri"/>
          <w:noProof/>
        </w:rPr>
      </w:pPr>
      <w:r w:rsidRPr="004906E8">
        <w:rPr>
          <w:rFonts w:ascii="Calibri" w:hAnsi="Calibri" w:cs="Calibri"/>
          <w:noProof/>
        </w:rPr>
        <w:t>Lyle, M., Koizumi, I., Richter, C., Moore, T.C., 1997a. Proceedings of the Ocean Drilling Program, Leg 167 Initial Reports.</w:t>
      </w:r>
    </w:p>
    <w:p w14:paraId="630322EF" w14:textId="77777777" w:rsidR="0080382B" w:rsidRPr="004906E8" w:rsidRDefault="0080382B" w:rsidP="004906E8">
      <w:pPr>
        <w:pStyle w:val="ListParagraph"/>
        <w:widowControl w:val="0"/>
        <w:numPr>
          <w:ilvl w:val="0"/>
          <w:numId w:val="57"/>
        </w:numPr>
        <w:autoSpaceDE w:val="0"/>
        <w:autoSpaceDN w:val="0"/>
        <w:adjustRightInd w:val="0"/>
        <w:spacing w:line="480" w:lineRule="auto"/>
        <w:ind w:left="360"/>
        <w:rPr>
          <w:rFonts w:ascii="Calibri" w:hAnsi="Calibri" w:cs="Calibri"/>
          <w:noProof/>
        </w:rPr>
      </w:pPr>
      <w:r w:rsidRPr="004906E8">
        <w:rPr>
          <w:rFonts w:ascii="Calibri" w:hAnsi="Calibri" w:cs="Calibri"/>
          <w:noProof/>
        </w:rPr>
        <w:t>Lyle, M., Koizumi, I., Richter, C., Moore, T.C., 1997b. Site 1016, in: Proceedings of the Ocean Drilling Program, Initial Reports. pp. 239–283.</w:t>
      </w:r>
    </w:p>
    <w:p w14:paraId="0A601BAB" w14:textId="77777777" w:rsidR="0080382B" w:rsidRPr="004906E8" w:rsidRDefault="0080382B" w:rsidP="004906E8">
      <w:pPr>
        <w:pStyle w:val="ListParagraph"/>
        <w:widowControl w:val="0"/>
        <w:numPr>
          <w:ilvl w:val="0"/>
          <w:numId w:val="57"/>
        </w:numPr>
        <w:autoSpaceDE w:val="0"/>
        <w:autoSpaceDN w:val="0"/>
        <w:adjustRightInd w:val="0"/>
        <w:spacing w:line="480" w:lineRule="auto"/>
        <w:ind w:left="360"/>
        <w:rPr>
          <w:rFonts w:ascii="Calibri" w:hAnsi="Calibri" w:cs="Calibri"/>
          <w:noProof/>
        </w:rPr>
      </w:pPr>
      <w:r w:rsidRPr="004906E8">
        <w:rPr>
          <w:rFonts w:ascii="Calibri" w:hAnsi="Calibri" w:cs="Calibri"/>
          <w:noProof/>
        </w:rPr>
        <w:t>Martin, E.E., Macdougall, J.D., Herbert, T.D., Paytan, A., Kastner, M., 1995. Strontium and neodymium isotopic analyses of marine barite separates. Geochim. Cosmochim. Acta 59, 1353–1361. https://doi.org/10.1016/0016-7037(95)00049-6</w:t>
      </w:r>
    </w:p>
    <w:p w14:paraId="241237BB" w14:textId="77777777" w:rsidR="0080382B" w:rsidRPr="004906E8" w:rsidRDefault="0080382B" w:rsidP="004906E8">
      <w:pPr>
        <w:pStyle w:val="ListParagraph"/>
        <w:widowControl w:val="0"/>
        <w:numPr>
          <w:ilvl w:val="0"/>
          <w:numId w:val="57"/>
        </w:numPr>
        <w:autoSpaceDE w:val="0"/>
        <w:autoSpaceDN w:val="0"/>
        <w:adjustRightInd w:val="0"/>
        <w:spacing w:line="480" w:lineRule="auto"/>
        <w:ind w:left="360"/>
        <w:rPr>
          <w:rFonts w:ascii="Calibri" w:hAnsi="Calibri" w:cs="Calibri"/>
          <w:noProof/>
        </w:rPr>
      </w:pPr>
      <w:r w:rsidRPr="004906E8">
        <w:rPr>
          <w:rFonts w:ascii="Calibri" w:hAnsi="Calibri" w:cs="Calibri"/>
          <w:noProof/>
        </w:rPr>
        <w:t>McArthur, J.M., Howarth, R.J., Bailey, T.R., 2001. Strontium isotope stratigraphy: LOWESS version 3: Best fit to the marine Sr-isotope curve for 0-509 Ma and accompanying look-up table for deriving numerical age. J. Geol. 109, 155–170. https://doi.org/10.1086/319243</w:t>
      </w:r>
    </w:p>
    <w:p w14:paraId="69F0B4C8" w14:textId="77777777" w:rsidR="0080382B" w:rsidRPr="004906E8" w:rsidRDefault="0080382B" w:rsidP="004906E8">
      <w:pPr>
        <w:pStyle w:val="ListParagraph"/>
        <w:widowControl w:val="0"/>
        <w:numPr>
          <w:ilvl w:val="0"/>
          <w:numId w:val="57"/>
        </w:numPr>
        <w:autoSpaceDE w:val="0"/>
        <w:autoSpaceDN w:val="0"/>
        <w:adjustRightInd w:val="0"/>
        <w:spacing w:line="480" w:lineRule="auto"/>
        <w:ind w:left="360"/>
        <w:rPr>
          <w:rFonts w:ascii="Calibri" w:hAnsi="Calibri" w:cs="Calibri"/>
          <w:noProof/>
        </w:rPr>
      </w:pPr>
      <w:r w:rsidRPr="004906E8">
        <w:rPr>
          <w:rFonts w:ascii="Calibri" w:hAnsi="Calibri" w:cs="Calibri"/>
          <w:noProof/>
        </w:rPr>
        <w:t xml:space="preserve">Mearon, S., Paytan, A., Bralower, T.J., 2003. Cretaceous strontium isotope stratigraphy using </w:t>
      </w:r>
      <w:r w:rsidRPr="004906E8">
        <w:rPr>
          <w:rFonts w:ascii="Calibri" w:hAnsi="Calibri" w:cs="Calibri"/>
          <w:noProof/>
        </w:rPr>
        <w:lastRenderedPageBreak/>
        <w:t>marine barite. Geology 31, 15–18. https://doi.org/10.1130/0091-7613(2003)031&lt;0015:CSISUM&gt;2.0.CO;2</w:t>
      </w:r>
    </w:p>
    <w:p w14:paraId="5254512B" w14:textId="77777777" w:rsidR="0080382B" w:rsidRPr="004906E8" w:rsidRDefault="0080382B" w:rsidP="004906E8">
      <w:pPr>
        <w:pStyle w:val="ListParagraph"/>
        <w:widowControl w:val="0"/>
        <w:numPr>
          <w:ilvl w:val="0"/>
          <w:numId w:val="57"/>
        </w:numPr>
        <w:autoSpaceDE w:val="0"/>
        <w:autoSpaceDN w:val="0"/>
        <w:adjustRightInd w:val="0"/>
        <w:spacing w:line="480" w:lineRule="auto"/>
        <w:ind w:left="360"/>
        <w:rPr>
          <w:rFonts w:ascii="Calibri" w:hAnsi="Calibri" w:cs="Calibri"/>
          <w:noProof/>
        </w:rPr>
      </w:pPr>
      <w:r w:rsidRPr="004906E8">
        <w:rPr>
          <w:rFonts w:ascii="Calibri" w:hAnsi="Calibri" w:cs="Calibri"/>
          <w:noProof/>
        </w:rPr>
        <w:t>Monnin, C., Cividini, D., 2006. The saturation state of the world’s ocean with respect to (Ba,Sr)SO4 solid solutions. Geochim. Cosmochim. Acta 70, 3290–3298. https://doi.org/10.1016/j.gca.2006.04.002</w:t>
      </w:r>
    </w:p>
    <w:p w14:paraId="07BAC9C6" w14:textId="77777777" w:rsidR="0080382B" w:rsidRPr="004906E8" w:rsidRDefault="0080382B" w:rsidP="004906E8">
      <w:pPr>
        <w:pStyle w:val="ListParagraph"/>
        <w:widowControl w:val="0"/>
        <w:numPr>
          <w:ilvl w:val="0"/>
          <w:numId w:val="57"/>
        </w:numPr>
        <w:autoSpaceDE w:val="0"/>
        <w:autoSpaceDN w:val="0"/>
        <w:adjustRightInd w:val="0"/>
        <w:spacing w:line="480" w:lineRule="auto"/>
        <w:ind w:left="360"/>
        <w:rPr>
          <w:rFonts w:ascii="Calibri" w:hAnsi="Calibri" w:cs="Calibri"/>
          <w:noProof/>
        </w:rPr>
      </w:pPr>
      <w:r w:rsidRPr="004906E8">
        <w:rPr>
          <w:rFonts w:ascii="Calibri" w:hAnsi="Calibri" w:cs="Calibri"/>
          <w:noProof/>
        </w:rPr>
        <w:t>Monnin, C., Jeandel, C., Cattaldo, T., Dehairs, F., 1999. The marine barite saturation state of the world’s oceans. Mar. Chem. 65, 253–261. https://doi.org/10.1016/S0304-4203(99)00016-X</w:t>
      </w:r>
    </w:p>
    <w:p w14:paraId="23DB5AAB" w14:textId="77777777" w:rsidR="0080382B" w:rsidRPr="004906E8" w:rsidRDefault="0080382B" w:rsidP="004906E8">
      <w:pPr>
        <w:pStyle w:val="ListParagraph"/>
        <w:widowControl w:val="0"/>
        <w:numPr>
          <w:ilvl w:val="0"/>
          <w:numId w:val="57"/>
        </w:numPr>
        <w:autoSpaceDE w:val="0"/>
        <w:autoSpaceDN w:val="0"/>
        <w:adjustRightInd w:val="0"/>
        <w:spacing w:line="480" w:lineRule="auto"/>
        <w:ind w:left="360"/>
        <w:rPr>
          <w:rFonts w:ascii="Calibri" w:hAnsi="Calibri" w:cs="Calibri"/>
          <w:noProof/>
        </w:rPr>
      </w:pPr>
      <w:r w:rsidRPr="004906E8">
        <w:rPr>
          <w:rFonts w:ascii="Calibri" w:hAnsi="Calibri" w:cs="Calibri"/>
          <w:noProof/>
        </w:rPr>
        <w:t>Mortlock, R.A., Froelich, P.N., 1989. A simple method for the rapid determination of biogenic opal in pelagic marine sediments. Deep Sea Res. Part A, Oceanogr. Res. Pap. 36, 1415–1426. https://doi.org/10.1016/0198-0149(89)90092-7</w:t>
      </w:r>
    </w:p>
    <w:p w14:paraId="31320C44" w14:textId="77777777" w:rsidR="0080382B" w:rsidRPr="004906E8" w:rsidRDefault="0080382B" w:rsidP="004906E8">
      <w:pPr>
        <w:pStyle w:val="ListParagraph"/>
        <w:widowControl w:val="0"/>
        <w:numPr>
          <w:ilvl w:val="0"/>
          <w:numId w:val="57"/>
        </w:numPr>
        <w:autoSpaceDE w:val="0"/>
        <w:autoSpaceDN w:val="0"/>
        <w:adjustRightInd w:val="0"/>
        <w:spacing w:line="480" w:lineRule="auto"/>
        <w:ind w:left="360"/>
        <w:rPr>
          <w:rFonts w:ascii="Calibri" w:hAnsi="Calibri" w:cs="Calibri"/>
          <w:noProof/>
        </w:rPr>
      </w:pPr>
      <w:r w:rsidRPr="004906E8">
        <w:rPr>
          <w:rFonts w:ascii="Calibri" w:hAnsi="Calibri" w:cs="Calibri"/>
          <w:noProof/>
        </w:rPr>
        <w:t>Napier, T.J., Hendy, I.L., Fahnestock, M.F., Bryce, J.G., 2020. Provenance of detrital sediments in santa Barbara Basin, California, USA: Changes in source contributions between the Last Glacial Maximum and Holocene. Bull. Geol. Soc. Am. 132, 65–84. https://doi.org/10.1130/B32035.1</w:t>
      </w:r>
    </w:p>
    <w:p w14:paraId="680D64BE" w14:textId="77777777" w:rsidR="0080382B" w:rsidRPr="004906E8" w:rsidRDefault="0080382B" w:rsidP="004906E8">
      <w:pPr>
        <w:pStyle w:val="ListParagraph"/>
        <w:widowControl w:val="0"/>
        <w:numPr>
          <w:ilvl w:val="0"/>
          <w:numId w:val="57"/>
        </w:numPr>
        <w:autoSpaceDE w:val="0"/>
        <w:autoSpaceDN w:val="0"/>
        <w:adjustRightInd w:val="0"/>
        <w:spacing w:line="480" w:lineRule="auto"/>
        <w:ind w:left="360"/>
        <w:rPr>
          <w:rFonts w:ascii="Calibri" w:hAnsi="Calibri" w:cs="Calibri"/>
          <w:noProof/>
        </w:rPr>
      </w:pPr>
      <w:r w:rsidRPr="004906E8">
        <w:rPr>
          <w:rFonts w:ascii="Calibri" w:hAnsi="Calibri" w:cs="Calibri"/>
          <w:noProof/>
        </w:rPr>
        <w:t>Ostrom, M.E., 1961. Separation of clay minerals from carbonate rocks by using acid. J. Sediment. Petrol. 31, 123–129. https://doi.org/10.1306/74D70B1E-2B21-11D7-8648000102C1865D</w:t>
      </w:r>
    </w:p>
    <w:p w14:paraId="64DEB745" w14:textId="77777777" w:rsidR="0080382B" w:rsidRPr="004906E8" w:rsidRDefault="0080382B" w:rsidP="004906E8">
      <w:pPr>
        <w:pStyle w:val="ListParagraph"/>
        <w:widowControl w:val="0"/>
        <w:numPr>
          <w:ilvl w:val="0"/>
          <w:numId w:val="57"/>
        </w:numPr>
        <w:autoSpaceDE w:val="0"/>
        <w:autoSpaceDN w:val="0"/>
        <w:adjustRightInd w:val="0"/>
        <w:spacing w:line="480" w:lineRule="auto"/>
        <w:ind w:left="360"/>
        <w:rPr>
          <w:rFonts w:ascii="Calibri" w:hAnsi="Calibri" w:cs="Calibri"/>
          <w:noProof/>
        </w:rPr>
      </w:pPr>
      <w:r w:rsidRPr="004906E8">
        <w:rPr>
          <w:rFonts w:ascii="Calibri" w:hAnsi="Calibri" w:cs="Calibri"/>
          <w:noProof/>
        </w:rPr>
        <w:t>Paytan, A., Griffith, E.M., 2007. Marine barite: Recorder of variations in ocean export productivity. Deep. Res. Part II Top. Stud. Oceanogr. 54, 687–705. https://doi.org/10.1016/j.dsr2.2007.01.007</w:t>
      </w:r>
    </w:p>
    <w:p w14:paraId="4F29C1A2" w14:textId="77777777" w:rsidR="0080382B" w:rsidRPr="004906E8" w:rsidRDefault="0080382B" w:rsidP="004906E8">
      <w:pPr>
        <w:pStyle w:val="ListParagraph"/>
        <w:widowControl w:val="0"/>
        <w:numPr>
          <w:ilvl w:val="0"/>
          <w:numId w:val="57"/>
        </w:numPr>
        <w:autoSpaceDE w:val="0"/>
        <w:autoSpaceDN w:val="0"/>
        <w:adjustRightInd w:val="0"/>
        <w:spacing w:line="480" w:lineRule="auto"/>
        <w:ind w:left="360"/>
        <w:rPr>
          <w:rFonts w:ascii="Calibri" w:hAnsi="Calibri" w:cs="Calibri"/>
          <w:noProof/>
        </w:rPr>
      </w:pPr>
      <w:r w:rsidRPr="004906E8">
        <w:rPr>
          <w:rFonts w:ascii="Calibri" w:hAnsi="Calibri" w:cs="Calibri"/>
          <w:noProof/>
        </w:rPr>
        <w:t>Paytan, A., Kastner, M., Chavez, F.P., 1996. Glacial to interglacial fluctuations in productivity in the equatorial pacific as indicated by marine barite. Science (80-. ). 274, 1355–1357. https://doi.org/10.1126/science.274.5291.1355</w:t>
      </w:r>
    </w:p>
    <w:p w14:paraId="0FF64F74" w14:textId="77777777" w:rsidR="0080382B" w:rsidRPr="004906E8" w:rsidRDefault="0080382B" w:rsidP="004906E8">
      <w:pPr>
        <w:pStyle w:val="ListParagraph"/>
        <w:widowControl w:val="0"/>
        <w:numPr>
          <w:ilvl w:val="0"/>
          <w:numId w:val="57"/>
        </w:numPr>
        <w:autoSpaceDE w:val="0"/>
        <w:autoSpaceDN w:val="0"/>
        <w:adjustRightInd w:val="0"/>
        <w:spacing w:line="480" w:lineRule="auto"/>
        <w:ind w:left="360"/>
        <w:rPr>
          <w:rFonts w:ascii="Calibri" w:hAnsi="Calibri" w:cs="Calibri"/>
          <w:noProof/>
        </w:rPr>
      </w:pPr>
      <w:r w:rsidRPr="004906E8">
        <w:rPr>
          <w:rFonts w:ascii="Calibri" w:hAnsi="Calibri" w:cs="Calibri"/>
          <w:noProof/>
        </w:rPr>
        <w:t>Paytan, A., Kastner, M., Martin, E., Macdougall, J.D., Herbert, T., 1993. Marine barite as a monitor of seawater strontium isotope composition. Nature 366, 445–449.</w:t>
      </w:r>
    </w:p>
    <w:p w14:paraId="7752C252" w14:textId="77777777" w:rsidR="0080382B" w:rsidRPr="004906E8" w:rsidRDefault="0080382B" w:rsidP="004906E8">
      <w:pPr>
        <w:pStyle w:val="ListParagraph"/>
        <w:widowControl w:val="0"/>
        <w:numPr>
          <w:ilvl w:val="0"/>
          <w:numId w:val="57"/>
        </w:numPr>
        <w:autoSpaceDE w:val="0"/>
        <w:autoSpaceDN w:val="0"/>
        <w:adjustRightInd w:val="0"/>
        <w:spacing w:line="480" w:lineRule="auto"/>
        <w:ind w:left="360"/>
        <w:rPr>
          <w:rFonts w:ascii="Calibri" w:hAnsi="Calibri" w:cs="Calibri"/>
          <w:noProof/>
        </w:rPr>
      </w:pPr>
      <w:r w:rsidRPr="004906E8">
        <w:rPr>
          <w:rFonts w:ascii="Calibri" w:hAnsi="Calibri" w:cs="Calibri"/>
          <w:noProof/>
        </w:rPr>
        <w:lastRenderedPageBreak/>
        <w:t>Paytan, A., Mearon, S., Cobb, K., Kastner, M., 2002. Origin of marine barite deposits: Sr and S isotope characterization. Geology 30, 747–750. https://doi.org/10.1130/0091-7613(2002)030&lt;0747:OOMBDS&gt;2.0.CO;2</w:t>
      </w:r>
    </w:p>
    <w:p w14:paraId="3CF5B1EF" w14:textId="77777777" w:rsidR="0080382B" w:rsidRPr="004906E8" w:rsidRDefault="0080382B" w:rsidP="004906E8">
      <w:pPr>
        <w:pStyle w:val="ListParagraph"/>
        <w:widowControl w:val="0"/>
        <w:numPr>
          <w:ilvl w:val="0"/>
          <w:numId w:val="57"/>
        </w:numPr>
        <w:autoSpaceDE w:val="0"/>
        <w:autoSpaceDN w:val="0"/>
        <w:adjustRightInd w:val="0"/>
        <w:spacing w:line="480" w:lineRule="auto"/>
        <w:ind w:left="360"/>
        <w:rPr>
          <w:rFonts w:ascii="Calibri" w:hAnsi="Calibri" w:cs="Calibri"/>
          <w:noProof/>
        </w:rPr>
      </w:pPr>
      <w:r w:rsidRPr="004906E8">
        <w:rPr>
          <w:rFonts w:ascii="Calibri" w:hAnsi="Calibri" w:cs="Calibri"/>
          <w:noProof/>
        </w:rPr>
        <w:t>Piotrowski, A.M., Goldstein, S.L., Hemming, S.R., Fairbanks, R.G., Zylberberg, D.R., 2008. Oscillating glacial northern and southern deep water formation from combined neodymium and carbon isotopes. Earth Planet. Sci. Lett. 272, 394–405. https://doi.org/10.1016/j.epsl.2008.05.011</w:t>
      </w:r>
    </w:p>
    <w:p w14:paraId="38B7F843" w14:textId="77777777" w:rsidR="0080382B" w:rsidRPr="004906E8" w:rsidRDefault="0080382B" w:rsidP="004906E8">
      <w:pPr>
        <w:pStyle w:val="ListParagraph"/>
        <w:widowControl w:val="0"/>
        <w:numPr>
          <w:ilvl w:val="0"/>
          <w:numId w:val="57"/>
        </w:numPr>
        <w:autoSpaceDE w:val="0"/>
        <w:autoSpaceDN w:val="0"/>
        <w:adjustRightInd w:val="0"/>
        <w:spacing w:line="480" w:lineRule="auto"/>
        <w:ind w:left="360"/>
        <w:rPr>
          <w:rFonts w:ascii="Calibri" w:hAnsi="Calibri" w:cs="Calibri"/>
          <w:noProof/>
        </w:rPr>
      </w:pPr>
      <w:r w:rsidRPr="004906E8">
        <w:rPr>
          <w:rFonts w:ascii="Calibri" w:hAnsi="Calibri" w:cs="Calibri"/>
          <w:noProof/>
        </w:rPr>
        <w:t>Povea, P., Cacho, I., Moreno, A., Menéndez, M., Méndez, F.J., 2015. A new procedure for the lithic fraction characterization in marine sediments from high productivity areas: Optimization of analytical and statistical procedures. Limnol. Oceanogr. Methods 13, 127–137. https://doi.org/10.1002/lom3.10013</w:t>
      </w:r>
    </w:p>
    <w:p w14:paraId="04BC0566" w14:textId="77777777" w:rsidR="0080382B" w:rsidRPr="004906E8" w:rsidRDefault="0080382B" w:rsidP="004906E8">
      <w:pPr>
        <w:pStyle w:val="ListParagraph"/>
        <w:widowControl w:val="0"/>
        <w:numPr>
          <w:ilvl w:val="0"/>
          <w:numId w:val="57"/>
        </w:numPr>
        <w:autoSpaceDE w:val="0"/>
        <w:autoSpaceDN w:val="0"/>
        <w:adjustRightInd w:val="0"/>
        <w:spacing w:line="480" w:lineRule="auto"/>
        <w:ind w:left="360"/>
        <w:rPr>
          <w:rFonts w:ascii="Calibri" w:hAnsi="Calibri" w:cs="Calibri"/>
          <w:noProof/>
        </w:rPr>
      </w:pPr>
      <w:r w:rsidRPr="004906E8">
        <w:rPr>
          <w:rFonts w:ascii="Calibri" w:hAnsi="Calibri" w:cs="Calibri"/>
          <w:noProof/>
        </w:rPr>
        <w:t>Putnis, C. V., Kowacz, M., Putnis, A., 2008. The mechanism and kinetics of DTPA-promoted dissolution of barite. Appl. Geochemistry 23, 2778–2788. https://doi.org/10.1016/j.apgeochem.2008.07.006</w:t>
      </w:r>
    </w:p>
    <w:p w14:paraId="3C27D27A" w14:textId="77777777" w:rsidR="0080382B" w:rsidRPr="004906E8" w:rsidRDefault="0080382B" w:rsidP="004906E8">
      <w:pPr>
        <w:pStyle w:val="ListParagraph"/>
        <w:widowControl w:val="0"/>
        <w:numPr>
          <w:ilvl w:val="0"/>
          <w:numId w:val="57"/>
        </w:numPr>
        <w:autoSpaceDE w:val="0"/>
        <w:autoSpaceDN w:val="0"/>
        <w:adjustRightInd w:val="0"/>
        <w:spacing w:line="480" w:lineRule="auto"/>
        <w:ind w:left="360"/>
        <w:rPr>
          <w:rFonts w:ascii="Calibri" w:hAnsi="Calibri" w:cs="Calibri"/>
          <w:noProof/>
        </w:rPr>
      </w:pPr>
      <w:r w:rsidRPr="004906E8">
        <w:rPr>
          <w:rFonts w:ascii="Calibri" w:hAnsi="Calibri" w:cs="Calibri"/>
          <w:noProof/>
        </w:rPr>
        <w:t>Ruddiman, W., Sarnthein, M., Baldauf, J., 1988a. Proceedings of the Ocean Drilling Program, Leg 108 Initial Reports.</w:t>
      </w:r>
    </w:p>
    <w:p w14:paraId="5EC2638B" w14:textId="77777777" w:rsidR="0080382B" w:rsidRPr="004906E8" w:rsidRDefault="0080382B" w:rsidP="004906E8">
      <w:pPr>
        <w:pStyle w:val="ListParagraph"/>
        <w:widowControl w:val="0"/>
        <w:numPr>
          <w:ilvl w:val="0"/>
          <w:numId w:val="57"/>
        </w:numPr>
        <w:autoSpaceDE w:val="0"/>
        <w:autoSpaceDN w:val="0"/>
        <w:adjustRightInd w:val="0"/>
        <w:spacing w:line="480" w:lineRule="auto"/>
        <w:ind w:left="360"/>
        <w:rPr>
          <w:rFonts w:ascii="Calibri" w:hAnsi="Calibri" w:cs="Calibri"/>
          <w:noProof/>
        </w:rPr>
      </w:pPr>
      <w:r w:rsidRPr="004906E8">
        <w:rPr>
          <w:rFonts w:ascii="Calibri" w:hAnsi="Calibri" w:cs="Calibri"/>
          <w:noProof/>
        </w:rPr>
        <w:t>Ruddiman, W., Sarnthein, M., Baldauf, J., 1988b. Site 662, in: Proceedings of the Ocean Drilling Program, Leg 108 Initial Reports. pp. 487–556.</w:t>
      </w:r>
    </w:p>
    <w:p w14:paraId="6271A170" w14:textId="77777777" w:rsidR="0080382B" w:rsidRPr="004906E8" w:rsidRDefault="0080382B" w:rsidP="004906E8">
      <w:pPr>
        <w:pStyle w:val="ListParagraph"/>
        <w:widowControl w:val="0"/>
        <w:numPr>
          <w:ilvl w:val="0"/>
          <w:numId w:val="57"/>
        </w:numPr>
        <w:autoSpaceDE w:val="0"/>
        <w:autoSpaceDN w:val="0"/>
        <w:adjustRightInd w:val="0"/>
        <w:spacing w:line="480" w:lineRule="auto"/>
        <w:ind w:left="360"/>
        <w:rPr>
          <w:rFonts w:ascii="Calibri" w:hAnsi="Calibri" w:cs="Calibri"/>
          <w:noProof/>
        </w:rPr>
      </w:pPr>
      <w:r w:rsidRPr="004906E8">
        <w:rPr>
          <w:rFonts w:ascii="Calibri" w:hAnsi="Calibri" w:cs="Calibri"/>
          <w:noProof/>
        </w:rPr>
        <w:t>Ruddiman, W.F., Janecek, T.R., 1989. Pliocene-Pleistocene biogenic and terrigenous fluxes at equatorial Atlantic sites 662, 663, and 664. Proc. Ocean Drill. Program, Sci. Results 108, 211–240.</w:t>
      </w:r>
    </w:p>
    <w:p w14:paraId="3C4B2CA4" w14:textId="77777777" w:rsidR="0080382B" w:rsidRPr="004906E8" w:rsidRDefault="0080382B" w:rsidP="004906E8">
      <w:pPr>
        <w:pStyle w:val="ListParagraph"/>
        <w:widowControl w:val="0"/>
        <w:numPr>
          <w:ilvl w:val="0"/>
          <w:numId w:val="57"/>
        </w:numPr>
        <w:autoSpaceDE w:val="0"/>
        <w:autoSpaceDN w:val="0"/>
        <w:adjustRightInd w:val="0"/>
        <w:spacing w:line="480" w:lineRule="auto"/>
        <w:ind w:left="360"/>
        <w:rPr>
          <w:rFonts w:ascii="Calibri" w:hAnsi="Calibri" w:cs="Calibri"/>
          <w:noProof/>
        </w:rPr>
      </w:pPr>
      <w:r w:rsidRPr="004906E8">
        <w:rPr>
          <w:rFonts w:ascii="Calibri" w:hAnsi="Calibri" w:cs="Calibri"/>
          <w:noProof/>
        </w:rPr>
        <w:t>Shende, A.V., 2012. Dissolution of barite scale using chelating agents. Master Sci. Texas A&amp;M.</w:t>
      </w:r>
    </w:p>
    <w:p w14:paraId="2AFC5916" w14:textId="77777777" w:rsidR="0080382B" w:rsidRPr="004906E8" w:rsidRDefault="0080382B" w:rsidP="004906E8">
      <w:pPr>
        <w:pStyle w:val="ListParagraph"/>
        <w:widowControl w:val="0"/>
        <w:numPr>
          <w:ilvl w:val="0"/>
          <w:numId w:val="57"/>
        </w:numPr>
        <w:autoSpaceDE w:val="0"/>
        <w:autoSpaceDN w:val="0"/>
        <w:adjustRightInd w:val="0"/>
        <w:spacing w:line="480" w:lineRule="auto"/>
        <w:ind w:left="360"/>
        <w:rPr>
          <w:rFonts w:ascii="Calibri" w:hAnsi="Calibri" w:cs="Calibri"/>
          <w:noProof/>
        </w:rPr>
      </w:pPr>
      <w:r w:rsidRPr="004906E8">
        <w:rPr>
          <w:rFonts w:ascii="Calibri" w:hAnsi="Calibri" w:cs="Calibri"/>
          <w:noProof/>
        </w:rPr>
        <w:t xml:space="preserve">Sill, C.W., Willis, C.P., 1966. Determination of Radioisotopes of Cerium, Barium, Lanthanum, and Neptunium after Separation by Barium Sulfate. Anal. Chem. 38, 97–102. </w:t>
      </w:r>
      <w:r w:rsidRPr="004906E8">
        <w:rPr>
          <w:rFonts w:ascii="Calibri" w:hAnsi="Calibri" w:cs="Calibri"/>
          <w:noProof/>
        </w:rPr>
        <w:lastRenderedPageBreak/>
        <w:t>https://doi.org/10.1021/ac60233a026</w:t>
      </w:r>
    </w:p>
    <w:p w14:paraId="2DF25BBD" w14:textId="77777777" w:rsidR="0080382B" w:rsidRPr="004906E8" w:rsidRDefault="0080382B" w:rsidP="004906E8">
      <w:pPr>
        <w:pStyle w:val="ListParagraph"/>
        <w:widowControl w:val="0"/>
        <w:numPr>
          <w:ilvl w:val="0"/>
          <w:numId w:val="57"/>
        </w:numPr>
        <w:autoSpaceDE w:val="0"/>
        <w:autoSpaceDN w:val="0"/>
        <w:adjustRightInd w:val="0"/>
        <w:spacing w:line="480" w:lineRule="auto"/>
        <w:ind w:left="360"/>
        <w:rPr>
          <w:rFonts w:ascii="Calibri" w:hAnsi="Calibri" w:cs="Calibri"/>
          <w:noProof/>
        </w:rPr>
      </w:pPr>
      <w:r w:rsidRPr="004906E8">
        <w:rPr>
          <w:rFonts w:ascii="Calibri" w:hAnsi="Calibri" w:cs="Calibri"/>
          <w:noProof/>
        </w:rPr>
        <w:t>Sill, C.W., Willis, C.P., 1964. Precipitation of Submicrogram Quantities of Thorium by Barium Sulfate and Application to Fluorometric Determination of Thorium in Mineralogical and Biological Samples. Anal. Chem. 36, 622–630. https://doi.org/10.1021/ac60209a020</w:t>
      </w:r>
    </w:p>
    <w:p w14:paraId="45B624B9" w14:textId="77777777" w:rsidR="0080382B" w:rsidRPr="004906E8" w:rsidRDefault="0080382B" w:rsidP="004906E8">
      <w:pPr>
        <w:pStyle w:val="ListParagraph"/>
        <w:widowControl w:val="0"/>
        <w:numPr>
          <w:ilvl w:val="0"/>
          <w:numId w:val="57"/>
        </w:numPr>
        <w:autoSpaceDE w:val="0"/>
        <w:autoSpaceDN w:val="0"/>
        <w:adjustRightInd w:val="0"/>
        <w:spacing w:line="480" w:lineRule="auto"/>
        <w:ind w:left="360"/>
        <w:rPr>
          <w:rFonts w:ascii="Calibri" w:hAnsi="Calibri" w:cs="Calibri"/>
          <w:noProof/>
        </w:rPr>
      </w:pPr>
      <w:r w:rsidRPr="004906E8">
        <w:rPr>
          <w:rFonts w:ascii="Calibri" w:hAnsi="Calibri" w:cs="Calibri"/>
          <w:noProof/>
        </w:rPr>
        <w:t>Simon, M.H., Babin, D.P., Goldstein, S.L., Cai, M.Y., Liu, T., Han, X., Haws, A.A., Johns, M., Lear, C., Hemming, S.R., 2020. Development of a protocol to obtain the composition of terrigenous detritus in marine sediments -a pilot study from International Ocean Discovery Program Expedition 361. Chem. Geol. 535. https://doi.org/10.1016/j.chemgeo.2019.119449</w:t>
      </w:r>
    </w:p>
    <w:p w14:paraId="77AB967C" w14:textId="77777777" w:rsidR="0080382B" w:rsidRPr="004906E8" w:rsidRDefault="0080382B" w:rsidP="004906E8">
      <w:pPr>
        <w:pStyle w:val="ListParagraph"/>
        <w:widowControl w:val="0"/>
        <w:numPr>
          <w:ilvl w:val="0"/>
          <w:numId w:val="57"/>
        </w:numPr>
        <w:autoSpaceDE w:val="0"/>
        <w:autoSpaceDN w:val="0"/>
        <w:adjustRightInd w:val="0"/>
        <w:spacing w:line="480" w:lineRule="auto"/>
        <w:ind w:left="360"/>
        <w:rPr>
          <w:rFonts w:ascii="Calibri" w:hAnsi="Calibri" w:cs="Calibri"/>
          <w:noProof/>
        </w:rPr>
      </w:pPr>
      <w:r w:rsidRPr="004906E8">
        <w:rPr>
          <w:rFonts w:ascii="Calibri" w:hAnsi="Calibri" w:cs="Calibri"/>
          <w:noProof/>
        </w:rPr>
        <w:t>Sirocko, F., 1994. Abrupt change in monsoonal climate: evidence from the geochemical composition of Arabian Sea sediments. Math. Fak. der Christ. zu Kiel.</w:t>
      </w:r>
    </w:p>
    <w:p w14:paraId="0CB9059E" w14:textId="77777777" w:rsidR="0080382B" w:rsidRPr="004906E8" w:rsidRDefault="0080382B" w:rsidP="004906E8">
      <w:pPr>
        <w:pStyle w:val="ListParagraph"/>
        <w:widowControl w:val="0"/>
        <w:numPr>
          <w:ilvl w:val="0"/>
          <w:numId w:val="57"/>
        </w:numPr>
        <w:autoSpaceDE w:val="0"/>
        <w:autoSpaceDN w:val="0"/>
        <w:adjustRightInd w:val="0"/>
        <w:spacing w:line="480" w:lineRule="auto"/>
        <w:ind w:left="360"/>
        <w:rPr>
          <w:rFonts w:ascii="Calibri" w:hAnsi="Calibri" w:cs="Calibri"/>
          <w:noProof/>
        </w:rPr>
      </w:pPr>
      <w:r w:rsidRPr="004906E8">
        <w:rPr>
          <w:rFonts w:ascii="Calibri" w:hAnsi="Calibri" w:cs="Calibri"/>
          <w:noProof/>
        </w:rPr>
        <w:t>Spray, J.F., Bohaty, S.M., Davies, A., Bailey, I., Romans, B.W., Cooper, M.J., Milton, J.A., Wilson, P.A., 2019. North Atlantic Evidence for a Unipolar Icehouse Climate State at the Eocene-Oligocene Transition. Paleoceanogr. Paleoclimatology 34, 1124–1138. https://doi.org/10.1029/2019PA003563</w:t>
      </w:r>
    </w:p>
    <w:p w14:paraId="31192789" w14:textId="77777777" w:rsidR="0080382B" w:rsidRPr="004906E8" w:rsidRDefault="0080382B" w:rsidP="004906E8">
      <w:pPr>
        <w:pStyle w:val="ListParagraph"/>
        <w:widowControl w:val="0"/>
        <w:numPr>
          <w:ilvl w:val="0"/>
          <w:numId w:val="57"/>
        </w:numPr>
        <w:autoSpaceDE w:val="0"/>
        <w:autoSpaceDN w:val="0"/>
        <w:adjustRightInd w:val="0"/>
        <w:spacing w:line="480" w:lineRule="auto"/>
        <w:ind w:left="360"/>
        <w:rPr>
          <w:rFonts w:ascii="Calibri" w:hAnsi="Calibri" w:cs="Calibri"/>
          <w:noProof/>
        </w:rPr>
      </w:pPr>
      <w:r w:rsidRPr="004906E8">
        <w:rPr>
          <w:rFonts w:ascii="Calibri" w:hAnsi="Calibri" w:cs="Calibri"/>
          <w:noProof/>
        </w:rPr>
        <w:t>Stichel, T., Hartman, A.E., Duggan, B., Goldstein, S.L., Scher, H., Pahnke, K., 2015. Separating biogeochemical cycling of neodymium from water mass mixing in the Eastern North Atlantic. Earth Planet. Sci. Lett. 412, 245–260. https://doi.org/10.1016/j.epsl.2014.12.008</w:t>
      </w:r>
    </w:p>
    <w:p w14:paraId="2D0E81E5" w14:textId="77777777" w:rsidR="0080382B" w:rsidRPr="004906E8" w:rsidRDefault="0080382B" w:rsidP="004906E8">
      <w:pPr>
        <w:pStyle w:val="ListParagraph"/>
        <w:widowControl w:val="0"/>
        <w:numPr>
          <w:ilvl w:val="0"/>
          <w:numId w:val="57"/>
        </w:numPr>
        <w:autoSpaceDE w:val="0"/>
        <w:autoSpaceDN w:val="0"/>
        <w:adjustRightInd w:val="0"/>
        <w:spacing w:line="480" w:lineRule="auto"/>
        <w:ind w:left="360"/>
        <w:rPr>
          <w:rFonts w:ascii="Calibri" w:hAnsi="Calibri" w:cs="Calibri"/>
          <w:noProof/>
        </w:rPr>
      </w:pPr>
      <w:r w:rsidRPr="004906E8">
        <w:rPr>
          <w:rFonts w:ascii="Calibri" w:hAnsi="Calibri" w:cs="Calibri"/>
          <w:noProof/>
        </w:rPr>
        <w:t>Tachikawa, K., Arsouze, T., Bayon, G., Bory, A., Colin, C., Dutay, J.C., Frank, N., Giraud, X., Gourlan, A.T., Jeandel, C., Lacan, F., Meynadier, L., Montagna, P., Piotrowski, A.M., Plancherel, Y., Pucéat, E., Roy-Barman, M., Waelbroeck, C., 2017. The large-scale evolution of neodymium isotopic composition in the global modern and Holocene ocean revealed from seawater and archive data. Chem. Geol. 457, 131–148. https://doi.org/10.1016/j.chemgeo.2017.03.018</w:t>
      </w:r>
    </w:p>
    <w:p w14:paraId="209A00D7" w14:textId="77777777" w:rsidR="0080382B" w:rsidRPr="004906E8" w:rsidRDefault="0080382B" w:rsidP="004906E8">
      <w:pPr>
        <w:pStyle w:val="ListParagraph"/>
        <w:widowControl w:val="0"/>
        <w:numPr>
          <w:ilvl w:val="0"/>
          <w:numId w:val="57"/>
        </w:numPr>
        <w:autoSpaceDE w:val="0"/>
        <w:autoSpaceDN w:val="0"/>
        <w:adjustRightInd w:val="0"/>
        <w:spacing w:line="480" w:lineRule="auto"/>
        <w:ind w:left="360"/>
        <w:rPr>
          <w:rFonts w:ascii="Calibri" w:hAnsi="Calibri" w:cs="Calibri"/>
          <w:noProof/>
        </w:rPr>
      </w:pPr>
      <w:r w:rsidRPr="00796972">
        <w:rPr>
          <w:rFonts w:ascii="Calibri" w:hAnsi="Calibri" w:cs="Calibri"/>
          <w:noProof/>
          <w:lang w:val="fr-FR"/>
        </w:rPr>
        <w:t xml:space="preserve">Tessier, A., Campbell, P.G.C., Bisson, M., 1979. </w:t>
      </w:r>
      <w:r w:rsidRPr="004906E8">
        <w:rPr>
          <w:rFonts w:ascii="Calibri" w:hAnsi="Calibri" w:cs="Calibri"/>
          <w:noProof/>
        </w:rPr>
        <w:t xml:space="preserve">Sequential Extraction Procedure for the Speciation of Particulate Trace Metals. Anal. Chem. 51, 844–851. </w:t>
      </w:r>
      <w:r w:rsidRPr="004906E8">
        <w:rPr>
          <w:rFonts w:ascii="Calibri" w:hAnsi="Calibri" w:cs="Calibri"/>
          <w:noProof/>
        </w:rPr>
        <w:lastRenderedPageBreak/>
        <w:t>https://doi.org/10.1021/ac50043a017</w:t>
      </w:r>
    </w:p>
    <w:p w14:paraId="4F1EF8FE" w14:textId="77777777" w:rsidR="0080382B" w:rsidRPr="004906E8" w:rsidRDefault="0080382B" w:rsidP="004906E8">
      <w:pPr>
        <w:pStyle w:val="ListParagraph"/>
        <w:widowControl w:val="0"/>
        <w:numPr>
          <w:ilvl w:val="0"/>
          <w:numId w:val="57"/>
        </w:numPr>
        <w:autoSpaceDE w:val="0"/>
        <w:autoSpaceDN w:val="0"/>
        <w:adjustRightInd w:val="0"/>
        <w:spacing w:line="480" w:lineRule="auto"/>
        <w:ind w:left="360"/>
        <w:rPr>
          <w:rFonts w:ascii="Calibri" w:hAnsi="Calibri" w:cs="Calibri"/>
          <w:noProof/>
        </w:rPr>
      </w:pPr>
      <w:r w:rsidRPr="004906E8">
        <w:rPr>
          <w:rFonts w:ascii="Calibri" w:hAnsi="Calibri" w:cs="Calibri"/>
          <w:noProof/>
        </w:rPr>
        <w:t>Torres, M.E., Brumsack, H.J., Bohrmann, G., Emeis, K.C., 1996. Barite fronts in continental margin sediments: A new look at barium remobilization in the zone of sulfate reduction and formation of heavy barites in diagenetic fronts. Chem. Geol. 127, 125–139. https://doi.org/10.1016/0009-2541(95)00090-9</w:t>
      </w:r>
    </w:p>
    <w:p w14:paraId="4E4C357B" w14:textId="77777777" w:rsidR="00B103FC" w:rsidRDefault="0080382B" w:rsidP="00B103FC">
      <w:pPr>
        <w:pStyle w:val="ListParagraph"/>
        <w:widowControl w:val="0"/>
        <w:numPr>
          <w:ilvl w:val="0"/>
          <w:numId w:val="57"/>
        </w:numPr>
        <w:autoSpaceDE w:val="0"/>
        <w:autoSpaceDN w:val="0"/>
        <w:adjustRightInd w:val="0"/>
        <w:spacing w:line="480" w:lineRule="auto"/>
        <w:ind w:left="360"/>
        <w:rPr>
          <w:rFonts w:ascii="Calibri" w:hAnsi="Calibri" w:cs="Calibri"/>
          <w:noProof/>
        </w:rPr>
      </w:pPr>
      <w:r w:rsidRPr="004906E8">
        <w:rPr>
          <w:rFonts w:ascii="Calibri" w:hAnsi="Calibri" w:cs="Calibri"/>
          <w:noProof/>
        </w:rPr>
        <w:t>Vance, D., Thirlwall, M., 2002. An assessment of mass discrimination in MC-ICPMS using Nd isotopes. Chem. Geol. 185, 227–240. https://doi.org/10.1016/S0009-2541(01)00402-8</w:t>
      </w:r>
    </w:p>
    <w:p w14:paraId="6D48D0A2" w14:textId="439F38A0" w:rsidR="00B103FC" w:rsidRPr="004906E8" w:rsidRDefault="00B103FC" w:rsidP="004906E8">
      <w:pPr>
        <w:pStyle w:val="ListParagraph"/>
        <w:widowControl w:val="0"/>
        <w:numPr>
          <w:ilvl w:val="0"/>
          <w:numId w:val="57"/>
        </w:numPr>
        <w:autoSpaceDE w:val="0"/>
        <w:autoSpaceDN w:val="0"/>
        <w:adjustRightInd w:val="0"/>
        <w:spacing w:line="480" w:lineRule="auto"/>
        <w:ind w:left="360"/>
        <w:rPr>
          <w:rFonts w:ascii="Calibri" w:hAnsi="Calibri" w:cs="Calibri"/>
          <w:noProof/>
        </w:rPr>
      </w:pPr>
      <w:r>
        <w:fldChar w:fldCharType="begin" w:fldLock="1"/>
      </w:r>
      <w:r>
        <w:instrText xml:space="preserve">ADDIN Mendeley Bibliography CSL_BIBLIOGRAPHY </w:instrText>
      </w:r>
      <w:r>
        <w:fldChar w:fldCharType="separate"/>
      </w:r>
      <w:r w:rsidRPr="004906E8">
        <w:rPr>
          <w:rFonts w:ascii="Calibri" w:hAnsi="Calibri" w:cs="Calibri"/>
          <w:noProof/>
        </w:rPr>
        <w:t>Weldeab, S., Emeis, K.C., Hemleben, C., Siebel, W., 2002. Provenance of lithogenic surface sediments and pathways of riverine suspended matter in the Eastern Mediterranean Sea: Evidence from 143Nd/144Nd and 87Sr/86Sr ratios. Chem. Geol. 186, 139–149. https://doi.org/10.1016/S0009-2541(01)00415-6</w:t>
      </w:r>
    </w:p>
    <w:p w14:paraId="5004C0DD" w14:textId="1D78D4F5" w:rsidR="00B103FC" w:rsidRPr="004906E8" w:rsidRDefault="00B103FC" w:rsidP="004906E8">
      <w:pPr>
        <w:rPr>
          <w:rFonts w:ascii="Calibri" w:hAnsi="Calibri" w:cs="Calibri"/>
          <w:noProof/>
        </w:rPr>
      </w:pPr>
      <w:r>
        <w:fldChar w:fldCharType="end"/>
      </w:r>
    </w:p>
    <w:p w14:paraId="116F904B" w14:textId="77777777" w:rsidR="0080382B" w:rsidRPr="004906E8" w:rsidRDefault="0080382B" w:rsidP="004906E8">
      <w:pPr>
        <w:pStyle w:val="ListParagraph"/>
        <w:widowControl w:val="0"/>
        <w:numPr>
          <w:ilvl w:val="0"/>
          <w:numId w:val="57"/>
        </w:numPr>
        <w:autoSpaceDE w:val="0"/>
        <w:autoSpaceDN w:val="0"/>
        <w:adjustRightInd w:val="0"/>
        <w:spacing w:line="480" w:lineRule="auto"/>
        <w:ind w:left="360"/>
        <w:rPr>
          <w:rFonts w:ascii="Calibri" w:hAnsi="Calibri" w:cs="Calibri"/>
          <w:noProof/>
        </w:rPr>
      </w:pPr>
      <w:r w:rsidRPr="004906E8">
        <w:rPr>
          <w:rFonts w:ascii="Calibri" w:hAnsi="Calibri" w:cs="Calibri"/>
          <w:noProof/>
        </w:rPr>
        <w:t>White, W.M., 2011. Radiogenic Isotope Geochemistry I : The Mantle, in: Isotope Geochemistry. pp. 145–173.</w:t>
      </w:r>
    </w:p>
    <w:p w14:paraId="7FFF51CD" w14:textId="77777777" w:rsidR="0080382B" w:rsidRPr="004906E8" w:rsidRDefault="0080382B" w:rsidP="004906E8">
      <w:pPr>
        <w:pStyle w:val="ListParagraph"/>
        <w:widowControl w:val="0"/>
        <w:numPr>
          <w:ilvl w:val="0"/>
          <w:numId w:val="57"/>
        </w:numPr>
        <w:autoSpaceDE w:val="0"/>
        <w:autoSpaceDN w:val="0"/>
        <w:adjustRightInd w:val="0"/>
        <w:spacing w:line="480" w:lineRule="auto"/>
        <w:ind w:left="360"/>
        <w:rPr>
          <w:rFonts w:ascii="Calibri" w:hAnsi="Calibri" w:cs="Calibri"/>
          <w:noProof/>
        </w:rPr>
      </w:pPr>
      <w:r w:rsidRPr="004906E8">
        <w:rPr>
          <w:rFonts w:ascii="Calibri" w:hAnsi="Calibri" w:cs="Calibri"/>
          <w:noProof/>
        </w:rPr>
        <w:t>Wilson, D.J., Bertram, R.A., Needham, E.F., van de Flierdt, T., Welsh, K.J., McKay, R.M., Mazumder, A., Riesselman, C.R., Jimenez-Espejo, F.J., Escutia, C., 2018. Ice loss from the East Antarctic Ice Sheet during late Pleistocene interglacials. Nature 561, 383–386. https://doi.org/10.1038/s41586-018-0501-8</w:t>
      </w:r>
    </w:p>
    <w:p w14:paraId="00F22D66" w14:textId="77777777" w:rsidR="0080382B" w:rsidRPr="004906E8" w:rsidRDefault="0080382B" w:rsidP="004906E8">
      <w:pPr>
        <w:pStyle w:val="ListParagraph"/>
        <w:widowControl w:val="0"/>
        <w:numPr>
          <w:ilvl w:val="0"/>
          <w:numId w:val="57"/>
        </w:numPr>
        <w:autoSpaceDE w:val="0"/>
        <w:autoSpaceDN w:val="0"/>
        <w:adjustRightInd w:val="0"/>
        <w:spacing w:line="480" w:lineRule="auto"/>
        <w:ind w:left="360"/>
        <w:rPr>
          <w:rFonts w:ascii="Calibri" w:hAnsi="Calibri" w:cs="Calibri"/>
          <w:noProof/>
        </w:rPr>
      </w:pPr>
      <w:r w:rsidRPr="004906E8">
        <w:rPr>
          <w:rFonts w:ascii="Calibri" w:hAnsi="Calibri" w:cs="Calibri"/>
          <w:noProof/>
        </w:rPr>
        <w:t>Wilson, D.J., Piotrowski, A.M., Galy, A., Clegg, J.A., 2013. Reactivity of neodymium carriers in deep sea sediments: Implications for boundary exchange and paleoceanography. Geochim. Cosmochim. Acta 109, 197–221. https://doi.org/10.1016/j.gca.2013.01.042</w:t>
      </w:r>
    </w:p>
    <w:p w14:paraId="65C44259" w14:textId="77777777" w:rsidR="0080382B" w:rsidRPr="004906E8" w:rsidRDefault="0080382B" w:rsidP="004906E8">
      <w:pPr>
        <w:pStyle w:val="ListParagraph"/>
        <w:widowControl w:val="0"/>
        <w:numPr>
          <w:ilvl w:val="0"/>
          <w:numId w:val="57"/>
        </w:numPr>
        <w:autoSpaceDE w:val="0"/>
        <w:autoSpaceDN w:val="0"/>
        <w:adjustRightInd w:val="0"/>
        <w:spacing w:line="480" w:lineRule="auto"/>
        <w:ind w:left="360"/>
        <w:rPr>
          <w:rFonts w:ascii="Calibri" w:hAnsi="Calibri" w:cs="Calibri"/>
          <w:noProof/>
        </w:rPr>
      </w:pPr>
      <w:r w:rsidRPr="004906E8">
        <w:rPr>
          <w:rFonts w:ascii="Calibri" w:hAnsi="Calibri" w:cs="Calibri"/>
          <w:noProof/>
        </w:rPr>
        <w:t>Wu, J., Liu, Z., Michard, A., Tachikawa, K., Filippidi, A., He, Z., Hennekam, R., Yang, S., Davies, G.R., de Lange, G.J., 2021. Effect of barite-bound Sr on detrital Sr isotope systematics in marine sediments. Chem. Geol. 120613. https://doi.org/10.1016/j.chemgeo.2021.120613</w:t>
      </w:r>
    </w:p>
    <w:p w14:paraId="35323530" w14:textId="77777777" w:rsidR="0080382B" w:rsidRPr="004906E8" w:rsidRDefault="0080382B" w:rsidP="004906E8">
      <w:pPr>
        <w:pStyle w:val="ListParagraph"/>
        <w:widowControl w:val="0"/>
        <w:numPr>
          <w:ilvl w:val="0"/>
          <w:numId w:val="57"/>
        </w:numPr>
        <w:autoSpaceDE w:val="0"/>
        <w:autoSpaceDN w:val="0"/>
        <w:adjustRightInd w:val="0"/>
        <w:spacing w:line="480" w:lineRule="auto"/>
        <w:ind w:left="360"/>
        <w:rPr>
          <w:rFonts w:ascii="Calibri" w:hAnsi="Calibri" w:cs="Calibri"/>
          <w:noProof/>
        </w:rPr>
      </w:pPr>
      <w:r w:rsidRPr="00796972">
        <w:rPr>
          <w:rFonts w:ascii="Calibri" w:hAnsi="Calibri" w:cs="Calibri"/>
          <w:noProof/>
          <w:lang w:val="fr-FR"/>
        </w:rPr>
        <w:lastRenderedPageBreak/>
        <w:t xml:space="preserve">Xie, R.C., Marcantonio, F., 2012. </w:t>
      </w:r>
      <w:r w:rsidRPr="004906E8">
        <w:rPr>
          <w:rFonts w:ascii="Calibri" w:hAnsi="Calibri" w:cs="Calibri"/>
          <w:noProof/>
        </w:rPr>
        <w:t>Deglacial dust provenance changes in the Eastern Equatorial Pacific and implications for ITCZ movement. Earth Planet. Sci. Lett. 317–318, 386–395. https://doi.org/10.1016/j.epsl.2011.11.014</w:t>
      </w:r>
    </w:p>
    <w:p w14:paraId="622F441C" w14:textId="77777777" w:rsidR="0080382B" w:rsidRPr="00796972" w:rsidRDefault="0080382B" w:rsidP="004906E8">
      <w:pPr>
        <w:pStyle w:val="ListParagraph"/>
        <w:widowControl w:val="0"/>
        <w:numPr>
          <w:ilvl w:val="0"/>
          <w:numId w:val="57"/>
        </w:numPr>
        <w:autoSpaceDE w:val="0"/>
        <w:autoSpaceDN w:val="0"/>
        <w:adjustRightInd w:val="0"/>
        <w:spacing w:line="480" w:lineRule="auto"/>
        <w:ind w:left="360"/>
        <w:rPr>
          <w:rFonts w:ascii="Calibri" w:hAnsi="Calibri" w:cs="Calibri"/>
          <w:noProof/>
          <w:lang w:val="fr-FR"/>
        </w:rPr>
      </w:pPr>
      <w:r w:rsidRPr="004906E8">
        <w:rPr>
          <w:rFonts w:ascii="Calibri" w:hAnsi="Calibri" w:cs="Calibri"/>
          <w:noProof/>
        </w:rPr>
        <w:t xml:space="preserve">Yao, W., Griffith, E., Paytan, A., 2021. </w:t>
      </w:r>
      <w:r w:rsidRPr="00796972">
        <w:rPr>
          <w:rFonts w:ascii="Calibri" w:hAnsi="Calibri" w:cs="Calibri"/>
          <w:noProof/>
          <w:lang w:val="fr-FR"/>
        </w:rPr>
        <w:t>Pelagic Barite. Pelagic Barite 7027. https://doi.org/10.1017/9781108847162</w:t>
      </w:r>
    </w:p>
    <w:p w14:paraId="4A54BF90" w14:textId="2BF4459D" w:rsidR="0080382B" w:rsidRDefault="0080382B" w:rsidP="004906E8">
      <w:pPr>
        <w:pStyle w:val="ListParagraph"/>
        <w:widowControl w:val="0"/>
        <w:numPr>
          <w:ilvl w:val="0"/>
          <w:numId w:val="57"/>
        </w:numPr>
        <w:autoSpaceDE w:val="0"/>
        <w:autoSpaceDN w:val="0"/>
        <w:adjustRightInd w:val="0"/>
        <w:spacing w:line="480" w:lineRule="auto"/>
        <w:ind w:left="360"/>
        <w:rPr>
          <w:rFonts w:ascii="Calibri" w:hAnsi="Calibri" w:cs="Calibri"/>
          <w:noProof/>
        </w:rPr>
      </w:pPr>
      <w:r w:rsidRPr="004906E8">
        <w:rPr>
          <w:rFonts w:ascii="Calibri" w:hAnsi="Calibri" w:cs="Calibri"/>
          <w:noProof/>
        </w:rPr>
        <w:t>Zhao, W., Balsam, W., Williams, E., Long, X., Ji, J., 2018. Sr–Nd–Hf isotopic fingerprinting of transatlantic dust derived from North Africa. Earth Planet. Sci. Lett. 486, 23–31. https://doi.org/10.1016/j.epsl.2018.01.004</w:t>
      </w:r>
    </w:p>
    <w:p w14:paraId="551F6356" w14:textId="2821F88D" w:rsidR="00475966" w:rsidRPr="004906E8" w:rsidRDefault="00475966" w:rsidP="004906E8">
      <w:pPr>
        <w:pStyle w:val="ListParagraph"/>
        <w:numPr>
          <w:ilvl w:val="0"/>
          <w:numId w:val="57"/>
        </w:numPr>
        <w:spacing w:line="480" w:lineRule="auto"/>
        <w:ind w:left="360"/>
        <w:rPr>
          <w:rFonts w:cstheme="minorHAnsi"/>
        </w:rPr>
      </w:pPr>
      <w:r w:rsidRPr="00C75731">
        <w:rPr>
          <w:rFonts w:cstheme="minorHAnsi"/>
        </w:rPr>
        <w:t>Zhao, W., Sun, Y., Balsam, W., Zeng, L., Lu, H., Otgonbayar, K., Ji, J., 2015. Clay-sized Hf-Nd-Sr isotopic composition of Mongolian dust as a fingerprint for regional to hemispherical transport. Geophys. Res. Lett. 42, 5661–5669. https://doi.org/10.1002/2015GL064357</w:t>
      </w:r>
    </w:p>
    <w:p w14:paraId="3045C58A" w14:textId="77777777" w:rsidR="0080382B" w:rsidRPr="004906E8" w:rsidRDefault="0080382B" w:rsidP="004906E8">
      <w:pPr>
        <w:pStyle w:val="ListParagraph"/>
        <w:widowControl w:val="0"/>
        <w:numPr>
          <w:ilvl w:val="0"/>
          <w:numId w:val="57"/>
        </w:numPr>
        <w:autoSpaceDE w:val="0"/>
        <w:autoSpaceDN w:val="0"/>
        <w:adjustRightInd w:val="0"/>
        <w:spacing w:line="480" w:lineRule="auto"/>
        <w:ind w:left="360"/>
        <w:rPr>
          <w:rFonts w:ascii="Calibri" w:hAnsi="Calibri" w:cs="Calibri"/>
          <w:noProof/>
        </w:rPr>
      </w:pPr>
      <w:r w:rsidRPr="004906E8">
        <w:rPr>
          <w:rFonts w:ascii="Calibri" w:hAnsi="Calibri" w:cs="Calibri"/>
          <w:noProof/>
        </w:rPr>
        <w:t>Ziegler, C.L., Murray, R.W., Hovan, S.A., Rea, D.K., 2007. Resolving eolian, volcanogenic, and authigenic components in pelagic sediment from the Pacific Ocean. Earth Planet. Sci. Lett. 254, 416–432. https://doi.org/10.1016/j.epsl.2006.11.049</w:t>
      </w:r>
    </w:p>
    <w:p w14:paraId="35E24C4B" w14:textId="7FB80AE2" w:rsidR="004D0562" w:rsidRPr="006811B2" w:rsidRDefault="00B80607" w:rsidP="004906E8">
      <w:pPr>
        <w:widowControl w:val="0"/>
        <w:autoSpaceDE w:val="0"/>
        <w:autoSpaceDN w:val="0"/>
        <w:adjustRightInd w:val="0"/>
        <w:spacing w:line="480" w:lineRule="auto"/>
        <w:ind w:left="120" w:hanging="480"/>
        <w:rPr>
          <w:rFonts w:cstheme="minorHAnsi"/>
        </w:rPr>
      </w:pPr>
      <w:r>
        <w:fldChar w:fldCharType="end"/>
      </w:r>
    </w:p>
    <w:sectPr w:rsidR="004D0562" w:rsidRPr="006811B2" w:rsidSect="009670CD">
      <w:pgSz w:w="11900" w:h="16840"/>
      <w:pgMar w:top="1440" w:right="1080" w:bottom="1440" w:left="108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037E9" w14:textId="77777777" w:rsidR="004D3711" w:rsidRDefault="004D3711" w:rsidP="007937C7">
      <w:r>
        <w:separator/>
      </w:r>
    </w:p>
  </w:endnote>
  <w:endnote w:type="continuationSeparator" w:id="0">
    <w:p w14:paraId="3130F644" w14:textId="77777777" w:rsidR="004D3711" w:rsidRDefault="004D3711" w:rsidP="00793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pleSystemUIFont">
    <w:altName w:val="Calibri"/>
    <w:panose1 w:val="020B0604020202020204"/>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panose1 w:val="02020400000000000000"/>
    <w:charset w:val="80"/>
    <w:family w:val="roman"/>
    <w:pitch w:val="variable"/>
    <w:sig w:usb0="800002E7" w:usb1="2AC7FCFF" w:usb2="00000012" w:usb3="00000000" w:csb0="0002009F" w:csb1="00000000"/>
  </w:font>
  <w:font w:name="Microsoft Sans Serif">
    <w:panose1 w:val="020B0604020202020204"/>
    <w:charset w:val="00"/>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04B4A" w14:textId="77777777" w:rsidR="004D3711" w:rsidRDefault="004D3711" w:rsidP="007937C7">
      <w:r>
        <w:separator/>
      </w:r>
    </w:p>
  </w:footnote>
  <w:footnote w:type="continuationSeparator" w:id="0">
    <w:p w14:paraId="0FB8300B" w14:textId="77777777" w:rsidR="004D3711" w:rsidRDefault="004D3711" w:rsidP="007937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102E4"/>
    <w:multiLevelType w:val="multilevel"/>
    <w:tmpl w:val="4D7600AA"/>
    <w:lvl w:ilvl="0">
      <w:start w:val="1"/>
      <w:numFmt w:val="decimal"/>
      <w:lvlText w:val="%1."/>
      <w:lvlJc w:val="left"/>
      <w:pPr>
        <w:ind w:left="720" w:hanging="360"/>
      </w:pPr>
      <w:rPr>
        <w:rFonts w:hint="default"/>
      </w:rPr>
    </w:lvl>
    <w:lvl w:ilvl="1">
      <w:start w:val="1"/>
      <w:numFmt w:val="decimal"/>
      <w:isLgl/>
      <w:lvlText w:val="%1.%2."/>
      <w:lvlJc w:val="left"/>
      <w:pPr>
        <w:ind w:left="1075" w:hanging="54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605" w:hanging="720"/>
      </w:pPr>
      <w:rPr>
        <w:rFonts w:hint="default"/>
      </w:rPr>
    </w:lvl>
    <w:lvl w:ilvl="4">
      <w:start w:val="1"/>
      <w:numFmt w:val="decimal"/>
      <w:isLgl/>
      <w:lvlText w:val="%1.%2.%3.%4.%5."/>
      <w:lvlJc w:val="left"/>
      <w:pPr>
        <w:ind w:left="2140" w:hanging="1080"/>
      </w:pPr>
      <w:rPr>
        <w:rFonts w:hint="default"/>
      </w:rPr>
    </w:lvl>
    <w:lvl w:ilvl="5">
      <w:start w:val="1"/>
      <w:numFmt w:val="decimal"/>
      <w:isLgl/>
      <w:lvlText w:val="%1.%2.%3.%4.%5.%6."/>
      <w:lvlJc w:val="left"/>
      <w:pPr>
        <w:ind w:left="2315" w:hanging="1080"/>
      </w:pPr>
      <w:rPr>
        <w:rFonts w:hint="default"/>
      </w:rPr>
    </w:lvl>
    <w:lvl w:ilvl="6">
      <w:start w:val="1"/>
      <w:numFmt w:val="decimal"/>
      <w:isLgl/>
      <w:lvlText w:val="%1.%2.%3.%4.%5.%6.%7."/>
      <w:lvlJc w:val="left"/>
      <w:pPr>
        <w:ind w:left="2850" w:hanging="1440"/>
      </w:pPr>
      <w:rPr>
        <w:rFonts w:hint="default"/>
      </w:rPr>
    </w:lvl>
    <w:lvl w:ilvl="7">
      <w:start w:val="1"/>
      <w:numFmt w:val="decimal"/>
      <w:isLgl/>
      <w:lvlText w:val="%1.%2.%3.%4.%5.%6.%7.%8."/>
      <w:lvlJc w:val="left"/>
      <w:pPr>
        <w:ind w:left="3025" w:hanging="1440"/>
      </w:pPr>
      <w:rPr>
        <w:rFonts w:hint="default"/>
      </w:rPr>
    </w:lvl>
    <w:lvl w:ilvl="8">
      <w:start w:val="1"/>
      <w:numFmt w:val="decimal"/>
      <w:isLgl/>
      <w:lvlText w:val="%1.%2.%3.%4.%5.%6.%7.%8.%9."/>
      <w:lvlJc w:val="left"/>
      <w:pPr>
        <w:ind w:left="3560" w:hanging="1800"/>
      </w:pPr>
      <w:rPr>
        <w:rFonts w:hint="default"/>
      </w:rPr>
    </w:lvl>
  </w:abstractNum>
  <w:abstractNum w:abstractNumId="1" w15:restartNumberingAfterBreak="0">
    <w:nsid w:val="02E6668C"/>
    <w:multiLevelType w:val="hybridMultilevel"/>
    <w:tmpl w:val="B0CAE1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B23F9B"/>
    <w:multiLevelType w:val="multilevel"/>
    <w:tmpl w:val="F8A2E26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9577753"/>
    <w:multiLevelType w:val="hybridMultilevel"/>
    <w:tmpl w:val="D9182C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640545"/>
    <w:multiLevelType w:val="multilevel"/>
    <w:tmpl w:val="C0E81914"/>
    <w:lvl w:ilvl="0">
      <w:start w:val="3"/>
      <w:numFmt w:val="decimal"/>
      <w:lvlText w:val="%1"/>
      <w:lvlJc w:val="left"/>
      <w:pPr>
        <w:ind w:left="360" w:hanging="360"/>
      </w:pPr>
      <w:rPr>
        <w:rFonts w:hint="default"/>
      </w:rPr>
    </w:lvl>
    <w:lvl w:ilvl="1">
      <w:start w:val="3"/>
      <w:numFmt w:val="decimal"/>
      <w:lvlText w:val="%1.%2"/>
      <w:lvlJc w:val="left"/>
      <w:pPr>
        <w:ind w:left="1864" w:hanging="360"/>
      </w:pPr>
      <w:rPr>
        <w:rFonts w:hint="default"/>
      </w:rPr>
    </w:lvl>
    <w:lvl w:ilvl="2">
      <w:start w:val="1"/>
      <w:numFmt w:val="decimal"/>
      <w:lvlText w:val="%1.%2.%3"/>
      <w:lvlJc w:val="left"/>
      <w:pPr>
        <w:ind w:left="3728" w:hanging="720"/>
      </w:pPr>
      <w:rPr>
        <w:rFonts w:hint="default"/>
      </w:rPr>
    </w:lvl>
    <w:lvl w:ilvl="3">
      <w:start w:val="1"/>
      <w:numFmt w:val="decimal"/>
      <w:lvlText w:val="%1.%2.%3.%4"/>
      <w:lvlJc w:val="left"/>
      <w:pPr>
        <w:ind w:left="5232" w:hanging="720"/>
      </w:pPr>
      <w:rPr>
        <w:rFonts w:hint="default"/>
      </w:rPr>
    </w:lvl>
    <w:lvl w:ilvl="4">
      <w:start w:val="1"/>
      <w:numFmt w:val="decimal"/>
      <w:lvlText w:val="%1.%2.%3.%4.%5"/>
      <w:lvlJc w:val="left"/>
      <w:pPr>
        <w:ind w:left="7096" w:hanging="1080"/>
      </w:pPr>
      <w:rPr>
        <w:rFonts w:hint="default"/>
      </w:rPr>
    </w:lvl>
    <w:lvl w:ilvl="5">
      <w:start w:val="1"/>
      <w:numFmt w:val="decimal"/>
      <w:lvlText w:val="%1.%2.%3.%4.%5.%6"/>
      <w:lvlJc w:val="left"/>
      <w:pPr>
        <w:ind w:left="8960" w:hanging="1440"/>
      </w:pPr>
      <w:rPr>
        <w:rFonts w:hint="default"/>
      </w:rPr>
    </w:lvl>
    <w:lvl w:ilvl="6">
      <w:start w:val="1"/>
      <w:numFmt w:val="decimal"/>
      <w:lvlText w:val="%1.%2.%3.%4.%5.%6.%7"/>
      <w:lvlJc w:val="left"/>
      <w:pPr>
        <w:ind w:left="10464" w:hanging="1440"/>
      </w:pPr>
      <w:rPr>
        <w:rFonts w:hint="default"/>
      </w:rPr>
    </w:lvl>
    <w:lvl w:ilvl="7">
      <w:start w:val="1"/>
      <w:numFmt w:val="decimal"/>
      <w:lvlText w:val="%1.%2.%3.%4.%5.%6.%7.%8"/>
      <w:lvlJc w:val="left"/>
      <w:pPr>
        <w:ind w:left="12328" w:hanging="1800"/>
      </w:pPr>
      <w:rPr>
        <w:rFonts w:hint="default"/>
      </w:rPr>
    </w:lvl>
    <w:lvl w:ilvl="8">
      <w:start w:val="1"/>
      <w:numFmt w:val="decimal"/>
      <w:lvlText w:val="%1.%2.%3.%4.%5.%6.%7.%8.%9"/>
      <w:lvlJc w:val="left"/>
      <w:pPr>
        <w:ind w:left="13832" w:hanging="1800"/>
      </w:pPr>
      <w:rPr>
        <w:rFonts w:hint="default"/>
      </w:rPr>
    </w:lvl>
  </w:abstractNum>
  <w:abstractNum w:abstractNumId="5" w15:restartNumberingAfterBreak="0">
    <w:nsid w:val="0E52205A"/>
    <w:multiLevelType w:val="hybridMultilevel"/>
    <w:tmpl w:val="64DA5CFC"/>
    <w:lvl w:ilvl="0" w:tplc="6AA230C6">
      <w:start w:val="5"/>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415559"/>
    <w:multiLevelType w:val="hybridMultilevel"/>
    <w:tmpl w:val="245C62F2"/>
    <w:lvl w:ilvl="0" w:tplc="430A645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10B1103"/>
    <w:multiLevelType w:val="multilevel"/>
    <w:tmpl w:val="A58C550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1C43C6F"/>
    <w:multiLevelType w:val="hybridMultilevel"/>
    <w:tmpl w:val="0A5CEC6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9C498A"/>
    <w:multiLevelType w:val="hybridMultilevel"/>
    <w:tmpl w:val="E0443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364CE7"/>
    <w:multiLevelType w:val="multilevel"/>
    <w:tmpl w:val="14184AD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8E12D90"/>
    <w:multiLevelType w:val="multilevel"/>
    <w:tmpl w:val="F8A2E26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1C010CBA"/>
    <w:multiLevelType w:val="hybridMultilevel"/>
    <w:tmpl w:val="BA5AB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F23816"/>
    <w:multiLevelType w:val="hybridMultilevel"/>
    <w:tmpl w:val="CCD6B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764DA6"/>
    <w:multiLevelType w:val="multilevel"/>
    <w:tmpl w:val="2176F74E"/>
    <w:lvl w:ilvl="0">
      <w:start w:val="3"/>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0880" w:hanging="1800"/>
      </w:pPr>
      <w:rPr>
        <w:rFonts w:hint="default"/>
      </w:rPr>
    </w:lvl>
  </w:abstractNum>
  <w:abstractNum w:abstractNumId="15" w15:restartNumberingAfterBreak="0">
    <w:nsid w:val="24CA0E9E"/>
    <w:multiLevelType w:val="hybridMultilevel"/>
    <w:tmpl w:val="CF522D40"/>
    <w:lvl w:ilvl="0" w:tplc="02FAA25A">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404ED6"/>
    <w:multiLevelType w:val="hybridMultilevel"/>
    <w:tmpl w:val="659C6F16"/>
    <w:lvl w:ilvl="0" w:tplc="058C3CF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1569E0"/>
    <w:multiLevelType w:val="hybridMultilevel"/>
    <w:tmpl w:val="8784591E"/>
    <w:lvl w:ilvl="0" w:tplc="AB6E397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29457D2D"/>
    <w:multiLevelType w:val="multilevel"/>
    <w:tmpl w:val="F8A2E26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29D87763"/>
    <w:multiLevelType w:val="hybridMultilevel"/>
    <w:tmpl w:val="E1E223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AF4E17"/>
    <w:multiLevelType w:val="multilevel"/>
    <w:tmpl w:val="F8A2E26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2EE967DA"/>
    <w:multiLevelType w:val="hybridMultilevel"/>
    <w:tmpl w:val="8028F228"/>
    <w:lvl w:ilvl="0" w:tplc="7FA421A0">
      <w:start w:val="2"/>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22" w15:restartNumberingAfterBreak="0">
    <w:nsid w:val="2F080D8E"/>
    <w:multiLevelType w:val="hybridMultilevel"/>
    <w:tmpl w:val="44922176"/>
    <w:lvl w:ilvl="0" w:tplc="AB6E397A">
      <w:start w:val="1"/>
      <w:numFmt w:val="lowerRoman"/>
      <w:lvlText w:val="%1)"/>
      <w:lvlJc w:val="left"/>
      <w:pPr>
        <w:ind w:left="144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F532FE9"/>
    <w:multiLevelType w:val="multilevel"/>
    <w:tmpl w:val="F8A2E26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326161E2"/>
    <w:multiLevelType w:val="multilevel"/>
    <w:tmpl w:val="A58C550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27D3508"/>
    <w:multiLevelType w:val="multilevel"/>
    <w:tmpl w:val="F8A2E26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33E175BE"/>
    <w:multiLevelType w:val="multilevel"/>
    <w:tmpl w:val="C5D4E1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39D31E8A"/>
    <w:multiLevelType w:val="hybridMultilevel"/>
    <w:tmpl w:val="DB562372"/>
    <w:lvl w:ilvl="0" w:tplc="997EEF3E">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3F1848D0"/>
    <w:multiLevelType w:val="multilevel"/>
    <w:tmpl w:val="7D1618C4"/>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2648" w:hanging="720"/>
      </w:pPr>
      <w:rPr>
        <w:rFonts w:hint="default"/>
      </w:rPr>
    </w:lvl>
    <w:lvl w:ilvl="3">
      <w:start w:val="1"/>
      <w:numFmt w:val="decimal"/>
      <w:isLgl/>
      <w:lvlText w:val="%1.%2.%3.%4"/>
      <w:lvlJc w:val="left"/>
      <w:pPr>
        <w:ind w:left="3432" w:hanging="720"/>
      </w:pPr>
      <w:rPr>
        <w:rFonts w:hint="default"/>
      </w:rPr>
    </w:lvl>
    <w:lvl w:ilvl="4">
      <w:start w:val="1"/>
      <w:numFmt w:val="decimal"/>
      <w:isLgl/>
      <w:lvlText w:val="%1.%2.%3.%4.%5"/>
      <w:lvlJc w:val="left"/>
      <w:pPr>
        <w:ind w:left="4576" w:hanging="1080"/>
      </w:pPr>
      <w:rPr>
        <w:rFonts w:hint="default"/>
      </w:rPr>
    </w:lvl>
    <w:lvl w:ilvl="5">
      <w:start w:val="1"/>
      <w:numFmt w:val="decimal"/>
      <w:isLgl/>
      <w:lvlText w:val="%1.%2.%3.%4.%5.%6"/>
      <w:lvlJc w:val="left"/>
      <w:pPr>
        <w:ind w:left="5720" w:hanging="1440"/>
      </w:pPr>
      <w:rPr>
        <w:rFonts w:hint="default"/>
      </w:rPr>
    </w:lvl>
    <w:lvl w:ilvl="6">
      <w:start w:val="1"/>
      <w:numFmt w:val="decimal"/>
      <w:isLgl/>
      <w:lvlText w:val="%1.%2.%3.%4.%5.%6.%7"/>
      <w:lvlJc w:val="left"/>
      <w:pPr>
        <w:ind w:left="6504" w:hanging="1440"/>
      </w:pPr>
      <w:rPr>
        <w:rFonts w:hint="default"/>
      </w:rPr>
    </w:lvl>
    <w:lvl w:ilvl="7">
      <w:start w:val="1"/>
      <w:numFmt w:val="decimal"/>
      <w:isLgl/>
      <w:lvlText w:val="%1.%2.%3.%4.%5.%6.%7.%8"/>
      <w:lvlJc w:val="left"/>
      <w:pPr>
        <w:ind w:left="7648" w:hanging="1800"/>
      </w:pPr>
      <w:rPr>
        <w:rFonts w:hint="default"/>
      </w:rPr>
    </w:lvl>
    <w:lvl w:ilvl="8">
      <w:start w:val="1"/>
      <w:numFmt w:val="decimal"/>
      <w:isLgl/>
      <w:lvlText w:val="%1.%2.%3.%4.%5.%6.%7.%8.%9"/>
      <w:lvlJc w:val="left"/>
      <w:pPr>
        <w:ind w:left="8432" w:hanging="1800"/>
      </w:pPr>
      <w:rPr>
        <w:rFonts w:hint="default"/>
      </w:rPr>
    </w:lvl>
  </w:abstractNum>
  <w:abstractNum w:abstractNumId="29" w15:restartNumberingAfterBreak="0">
    <w:nsid w:val="3FC239B2"/>
    <w:multiLevelType w:val="hybridMultilevel"/>
    <w:tmpl w:val="1FBA912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101797E"/>
    <w:multiLevelType w:val="hybridMultilevel"/>
    <w:tmpl w:val="465CA868"/>
    <w:lvl w:ilvl="0" w:tplc="1F52FF3C">
      <w:start w:val="5"/>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38622C3"/>
    <w:multiLevelType w:val="hybridMultilevel"/>
    <w:tmpl w:val="829E5550"/>
    <w:lvl w:ilvl="0" w:tplc="0F4295BA">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DE75CEA"/>
    <w:multiLevelType w:val="multilevel"/>
    <w:tmpl w:val="B28C4178"/>
    <w:lvl w:ilvl="0">
      <w:start w:val="1"/>
      <w:numFmt w:val="decimal"/>
      <w:lvlText w:val="%1"/>
      <w:lvlJc w:val="left"/>
      <w:pPr>
        <w:ind w:left="400" w:hanging="400"/>
      </w:pPr>
      <w:rPr>
        <w:rFonts w:hint="default"/>
      </w:rPr>
    </w:lvl>
    <w:lvl w:ilvl="1">
      <w:start w:val="1"/>
      <w:numFmt w:val="decimal"/>
      <w:lvlText w:val="%1.%2"/>
      <w:lvlJc w:val="left"/>
      <w:pPr>
        <w:ind w:left="1720" w:hanging="720"/>
      </w:pPr>
      <w:rPr>
        <w:rFonts w:hint="default"/>
      </w:rPr>
    </w:lvl>
    <w:lvl w:ilvl="2">
      <w:start w:val="1"/>
      <w:numFmt w:val="decimal"/>
      <w:lvlText w:val="%1.%2.%3"/>
      <w:lvlJc w:val="left"/>
      <w:pPr>
        <w:ind w:left="2720" w:hanging="720"/>
      </w:pPr>
      <w:rPr>
        <w:rFonts w:hint="default"/>
      </w:rPr>
    </w:lvl>
    <w:lvl w:ilvl="3">
      <w:start w:val="1"/>
      <w:numFmt w:val="decimal"/>
      <w:lvlText w:val="%1.%2.%3.%4"/>
      <w:lvlJc w:val="left"/>
      <w:pPr>
        <w:ind w:left="4080" w:hanging="1080"/>
      </w:pPr>
      <w:rPr>
        <w:rFonts w:hint="default"/>
      </w:rPr>
    </w:lvl>
    <w:lvl w:ilvl="4">
      <w:start w:val="1"/>
      <w:numFmt w:val="decimal"/>
      <w:lvlText w:val="%1.%2.%3.%4.%5"/>
      <w:lvlJc w:val="left"/>
      <w:pPr>
        <w:ind w:left="5440" w:hanging="1440"/>
      </w:pPr>
      <w:rPr>
        <w:rFonts w:hint="default"/>
      </w:rPr>
    </w:lvl>
    <w:lvl w:ilvl="5">
      <w:start w:val="1"/>
      <w:numFmt w:val="decimal"/>
      <w:lvlText w:val="%1.%2.%3.%4.%5.%6"/>
      <w:lvlJc w:val="left"/>
      <w:pPr>
        <w:ind w:left="6440" w:hanging="1440"/>
      </w:pPr>
      <w:rPr>
        <w:rFonts w:hint="default"/>
      </w:rPr>
    </w:lvl>
    <w:lvl w:ilvl="6">
      <w:start w:val="1"/>
      <w:numFmt w:val="decimal"/>
      <w:lvlText w:val="%1.%2.%3.%4.%5.%6.%7"/>
      <w:lvlJc w:val="left"/>
      <w:pPr>
        <w:ind w:left="7800" w:hanging="1800"/>
      </w:pPr>
      <w:rPr>
        <w:rFonts w:hint="default"/>
      </w:rPr>
    </w:lvl>
    <w:lvl w:ilvl="7">
      <w:start w:val="1"/>
      <w:numFmt w:val="decimal"/>
      <w:lvlText w:val="%1.%2.%3.%4.%5.%6.%7.%8"/>
      <w:lvlJc w:val="left"/>
      <w:pPr>
        <w:ind w:left="9160" w:hanging="2160"/>
      </w:pPr>
      <w:rPr>
        <w:rFonts w:hint="default"/>
      </w:rPr>
    </w:lvl>
    <w:lvl w:ilvl="8">
      <w:start w:val="1"/>
      <w:numFmt w:val="decimal"/>
      <w:lvlText w:val="%1.%2.%3.%4.%5.%6.%7.%8.%9"/>
      <w:lvlJc w:val="left"/>
      <w:pPr>
        <w:ind w:left="10160" w:hanging="2160"/>
      </w:pPr>
      <w:rPr>
        <w:rFonts w:hint="default"/>
      </w:rPr>
    </w:lvl>
  </w:abstractNum>
  <w:abstractNum w:abstractNumId="33" w15:restartNumberingAfterBreak="0">
    <w:nsid w:val="4F070A49"/>
    <w:multiLevelType w:val="hybridMultilevel"/>
    <w:tmpl w:val="AA5AE7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04526E7"/>
    <w:multiLevelType w:val="hybridMultilevel"/>
    <w:tmpl w:val="A29E256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4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07B5789"/>
    <w:multiLevelType w:val="hybridMultilevel"/>
    <w:tmpl w:val="F52AFE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A0F416C"/>
    <w:multiLevelType w:val="hybridMultilevel"/>
    <w:tmpl w:val="100E4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424DE7"/>
    <w:multiLevelType w:val="hybridMultilevel"/>
    <w:tmpl w:val="4822BD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CBF4A1E"/>
    <w:multiLevelType w:val="hybridMultilevel"/>
    <w:tmpl w:val="46FCC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FB6CBA"/>
    <w:multiLevelType w:val="hybridMultilevel"/>
    <w:tmpl w:val="72CC86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8B08E0"/>
    <w:multiLevelType w:val="multilevel"/>
    <w:tmpl w:val="7CF675DC"/>
    <w:lvl w:ilvl="0">
      <w:start w:val="1"/>
      <w:numFmt w:val="decimal"/>
      <w:pStyle w:val="Heading1"/>
      <w:lvlText w:val="%1"/>
      <w:lvlJc w:val="left"/>
      <w:pPr>
        <w:ind w:left="1000" w:hanging="432"/>
      </w:pPr>
      <w:rPr>
        <w:rFonts w:hint="default"/>
        <w:b w:val="0"/>
        <w:bCs/>
        <w:color w:val="4472C4" w:themeColor="accent1"/>
      </w:rPr>
    </w:lvl>
    <w:lvl w:ilvl="1">
      <w:start w:val="1"/>
      <w:numFmt w:val="decimal"/>
      <w:pStyle w:val="Heading2"/>
      <w:lvlText w:val="%1.%2"/>
      <w:lvlJc w:val="left"/>
      <w:pPr>
        <w:ind w:left="1144" w:hanging="576"/>
      </w:pPr>
      <w:rPr>
        <w:rFonts w:hint="default"/>
      </w:rPr>
    </w:lvl>
    <w:lvl w:ilvl="2">
      <w:start w:val="1"/>
      <w:numFmt w:val="decimal"/>
      <w:pStyle w:val="Heading3"/>
      <w:lvlText w:val="%1.%2.%3"/>
      <w:lvlJc w:val="left"/>
      <w:pPr>
        <w:ind w:left="1288" w:hanging="720"/>
      </w:pPr>
      <w:rPr>
        <w:rFonts w:hint="default"/>
      </w:rPr>
    </w:lvl>
    <w:lvl w:ilvl="3">
      <w:start w:val="1"/>
      <w:numFmt w:val="decimal"/>
      <w:pStyle w:val="Heading4"/>
      <w:lvlText w:val="%1.%2.%3.%4"/>
      <w:lvlJc w:val="left"/>
      <w:pPr>
        <w:ind w:left="1432" w:hanging="864"/>
      </w:pPr>
      <w:rPr>
        <w:rFonts w:hint="default"/>
      </w:rPr>
    </w:lvl>
    <w:lvl w:ilvl="4">
      <w:start w:val="1"/>
      <w:numFmt w:val="decimal"/>
      <w:pStyle w:val="Heading5"/>
      <w:lvlText w:val="%1.%2.%3.%4.%5"/>
      <w:lvlJc w:val="left"/>
      <w:pPr>
        <w:ind w:left="1576" w:hanging="1008"/>
      </w:pPr>
      <w:rPr>
        <w:rFonts w:hint="default"/>
      </w:rPr>
    </w:lvl>
    <w:lvl w:ilvl="5">
      <w:start w:val="1"/>
      <w:numFmt w:val="decimal"/>
      <w:pStyle w:val="Heading6"/>
      <w:lvlText w:val="%1.%2.%3.%4.%5.%6"/>
      <w:lvlJc w:val="left"/>
      <w:pPr>
        <w:ind w:left="1720" w:hanging="1152"/>
      </w:pPr>
      <w:rPr>
        <w:rFonts w:hint="default"/>
      </w:rPr>
    </w:lvl>
    <w:lvl w:ilvl="6">
      <w:start w:val="1"/>
      <w:numFmt w:val="decimal"/>
      <w:pStyle w:val="Heading7"/>
      <w:lvlText w:val="%1.%2.%3.%4.%5.%6.%7"/>
      <w:lvlJc w:val="left"/>
      <w:pPr>
        <w:ind w:left="1864" w:hanging="1296"/>
      </w:pPr>
      <w:rPr>
        <w:rFonts w:hint="default"/>
      </w:rPr>
    </w:lvl>
    <w:lvl w:ilvl="7">
      <w:start w:val="1"/>
      <w:numFmt w:val="decimal"/>
      <w:pStyle w:val="Heading8"/>
      <w:lvlText w:val="%1.%2.%3.%4.%5.%6.%7.%8"/>
      <w:lvlJc w:val="left"/>
      <w:pPr>
        <w:ind w:left="2008" w:hanging="1440"/>
      </w:pPr>
      <w:rPr>
        <w:rFonts w:hint="default"/>
      </w:rPr>
    </w:lvl>
    <w:lvl w:ilvl="8">
      <w:start w:val="1"/>
      <w:numFmt w:val="decimal"/>
      <w:pStyle w:val="Heading9"/>
      <w:lvlText w:val="%1.%2.%3.%4.%5.%6.%7.%8.%9"/>
      <w:lvlJc w:val="left"/>
      <w:pPr>
        <w:ind w:left="2152" w:hanging="1584"/>
      </w:pPr>
      <w:rPr>
        <w:rFonts w:hint="default"/>
      </w:rPr>
    </w:lvl>
  </w:abstractNum>
  <w:abstractNum w:abstractNumId="41" w15:restartNumberingAfterBreak="0">
    <w:nsid w:val="6DFE6782"/>
    <w:multiLevelType w:val="hybridMultilevel"/>
    <w:tmpl w:val="5686B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0287FC6"/>
    <w:multiLevelType w:val="hybridMultilevel"/>
    <w:tmpl w:val="9B02195C"/>
    <w:lvl w:ilvl="0" w:tplc="8D8247A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1A6973"/>
    <w:multiLevelType w:val="hybridMultilevel"/>
    <w:tmpl w:val="79E83F18"/>
    <w:lvl w:ilvl="0" w:tplc="0809000F">
      <w:start w:val="1"/>
      <w:numFmt w:val="decimal"/>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A33527B"/>
    <w:multiLevelType w:val="hybridMultilevel"/>
    <w:tmpl w:val="0A5CEC6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CB204EA"/>
    <w:multiLevelType w:val="hybridMultilevel"/>
    <w:tmpl w:val="81F05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num>
  <w:num w:numId="2">
    <w:abstractNumId w:val="16"/>
  </w:num>
  <w:num w:numId="3">
    <w:abstractNumId w:val="19"/>
  </w:num>
  <w:num w:numId="4">
    <w:abstractNumId w:val="26"/>
  </w:num>
  <w:num w:numId="5">
    <w:abstractNumId w:val="18"/>
  </w:num>
  <w:num w:numId="6">
    <w:abstractNumId w:val="2"/>
  </w:num>
  <w:num w:numId="7">
    <w:abstractNumId w:val="25"/>
  </w:num>
  <w:num w:numId="8">
    <w:abstractNumId w:val="40"/>
  </w:num>
  <w:num w:numId="9">
    <w:abstractNumId w:val="7"/>
  </w:num>
  <w:num w:numId="10">
    <w:abstractNumId w:val="3"/>
  </w:num>
  <w:num w:numId="11">
    <w:abstractNumId w:val="39"/>
  </w:num>
  <w:num w:numId="12">
    <w:abstractNumId w:val="5"/>
  </w:num>
  <w:num w:numId="13">
    <w:abstractNumId w:val="30"/>
  </w:num>
  <w:num w:numId="14">
    <w:abstractNumId w:val="6"/>
  </w:num>
  <w:num w:numId="15">
    <w:abstractNumId w:val="13"/>
  </w:num>
  <w:num w:numId="16">
    <w:abstractNumId w:val="9"/>
  </w:num>
  <w:num w:numId="17">
    <w:abstractNumId w:val="36"/>
  </w:num>
  <w:num w:numId="18">
    <w:abstractNumId w:val="41"/>
  </w:num>
  <w:num w:numId="19">
    <w:abstractNumId w:val="24"/>
  </w:num>
  <w:num w:numId="20">
    <w:abstractNumId w:val="38"/>
  </w:num>
  <w:num w:numId="21">
    <w:abstractNumId w:val="17"/>
  </w:num>
  <w:num w:numId="22">
    <w:abstractNumId w:val="22"/>
  </w:num>
  <w:num w:numId="23">
    <w:abstractNumId w:val="0"/>
  </w:num>
  <w:num w:numId="24">
    <w:abstractNumId w:val="11"/>
  </w:num>
  <w:num w:numId="25">
    <w:abstractNumId w:val="23"/>
  </w:num>
  <w:num w:numId="26">
    <w:abstractNumId w:val="20"/>
  </w:num>
  <w:num w:numId="27">
    <w:abstractNumId w:val="40"/>
  </w:num>
  <w:num w:numId="28">
    <w:abstractNumId w:val="27"/>
  </w:num>
  <w:num w:numId="2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3"/>
  </w:num>
  <w:num w:numId="31">
    <w:abstractNumId w:val="31"/>
  </w:num>
  <w:num w:numId="32">
    <w:abstractNumId w:val="37"/>
  </w:num>
  <w:num w:numId="33">
    <w:abstractNumId w:val="33"/>
  </w:num>
  <w:num w:numId="34">
    <w:abstractNumId w:val="44"/>
  </w:num>
  <w:num w:numId="35">
    <w:abstractNumId w:val="40"/>
  </w:num>
  <w:num w:numId="36">
    <w:abstractNumId w:val="35"/>
  </w:num>
  <w:num w:numId="37">
    <w:abstractNumId w:val="28"/>
  </w:num>
  <w:num w:numId="38">
    <w:abstractNumId w:val="8"/>
  </w:num>
  <w:num w:numId="39">
    <w:abstractNumId w:val="34"/>
  </w:num>
  <w:num w:numId="40">
    <w:abstractNumId w:val="45"/>
  </w:num>
  <w:num w:numId="41">
    <w:abstractNumId w:val="12"/>
  </w:num>
  <w:num w:numId="42">
    <w:abstractNumId w:val="15"/>
  </w:num>
  <w:num w:numId="43">
    <w:abstractNumId w:val="40"/>
  </w:num>
  <w:num w:numId="44">
    <w:abstractNumId w:val="40"/>
  </w:num>
  <w:num w:numId="45">
    <w:abstractNumId w:val="40"/>
  </w:num>
  <w:num w:numId="46">
    <w:abstractNumId w:val="40"/>
  </w:num>
  <w:num w:numId="47">
    <w:abstractNumId w:val="40"/>
  </w:num>
  <w:num w:numId="48">
    <w:abstractNumId w:val="32"/>
  </w:num>
  <w:num w:numId="49">
    <w:abstractNumId w:val="40"/>
  </w:num>
  <w:num w:numId="50">
    <w:abstractNumId w:val="21"/>
  </w:num>
  <w:num w:numId="51">
    <w:abstractNumId w:val="40"/>
  </w:num>
  <w:num w:numId="52">
    <w:abstractNumId w:val="10"/>
  </w:num>
  <w:num w:numId="53">
    <w:abstractNumId w:val="4"/>
  </w:num>
  <w:num w:numId="54">
    <w:abstractNumId w:val="1"/>
  </w:num>
  <w:num w:numId="55">
    <w:abstractNumId w:val="40"/>
  </w:num>
  <w:num w:numId="56">
    <w:abstractNumId w:val="14"/>
  </w:num>
  <w:num w:numId="57">
    <w:abstractNumId w:val="2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F93"/>
    <w:rsid w:val="00002217"/>
    <w:rsid w:val="00002557"/>
    <w:rsid w:val="00004149"/>
    <w:rsid w:val="00005E49"/>
    <w:rsid w:val="00006963"/>
    <w:rsid w:val="0000739C"/>
    <w:rsid w:val="00011736"/>
    <w:rsid w:val="000158AC"/>
    <w:rsid w:val="00017192"/>
    <w:rsid w:val="0002011E"/>
    <w:rsid w:val="00022476"/>
    <w:rsid w:val="00023077"/>
    <w:rsid w:val="000233E8"/>
    <w:rsid w:val="00023F5B"/>
    <w:rsid w:val="00024BF1"/>
    <w:rsid w:val="00025A1F"/>
    <w:rsid w:val="00030059"/>
    <w:rsid w:val="000300EF"/>
    <w:rsid w:val="00032D32"/>
    <w:rsid w:val="00033DA8"/>
    <w:rsid w:val="00036F6F"/>
    <w:rsid w:val="0003740E"/>
    <w:rsid w:val="0004043D"/>
    <w:rsid w:val="000409C9"/>
    <w:rsid w:val="00043446"/>
    <w:rsid w:val="00043813"/>
    <w:rsid w:val="0005192C"/>
    <w:rsid w:val="00052A68"/>
    <w:rsid w:val="00053610"/>
    <w:rsid w:val="00053D16"/>
    <w:rsid w:val="00054B2B"/>
    <w:rsid w:val="00056681"/>
    <w:rsid w:val="000579AA"/>
    <w:rsid w:val="00060721"/>
    <w:rsid w:val="00062234"/>
    <w:rsid w:val="00062920"/>
    <w:rsid w:val="00070EC8"/>
    <w:rsid w:val="00072682"/>
    <w:rsid w:val="0007431B"/>
    <w:rsid w:val="000754E3"/>
    <w:rsid w:val="000756C5"/>
    <w:rsid w:val="00080FE3"/>
    <w:rsid w:val="00082703"/>
    <w:rsid w:val="000831CE"/>
    <w:rsid w:val="00083696"/>
    <w:rsid w:val="00084895"/>
    <w:rsid w:val="0008496F"/>
    <w:rsid w:val="00084976"/>
    <w:rsid w:val="0008532C"/>
    <w:rsid w:val="0008590A"/>
    <w:rsid w:val="000918B6"/>
    <w:rsid w:val="00093AC4"/>
    <w:rsid w:val="0009450D"/>
    <w:rsid w:val="00096A32"/>
    <w:rsid w:val="000A106F"/>
    <w:rsid w:val="000A12E3"/>
    <w:rsid w:val="000A226B"/>
    <w:rsid w:val="000A2BB3"/>
    <w:rsid w:val="000A3013"/>
    <w:rsid w:val="000A3384"/>
    <w:rsid w:val="000A33B9"/>
    <w:rsid w:val="000A6078"/>
    <w:rsid w:val="000A6106"/>
    <w:rsid w:val="000A641D"/>
    <w:rsid w:val="000B0E8B"/>
    <w:rsid w:val="000B18D9"/>
    <w:rsid w:val="000B2DD5"/>
    <w:rsid w:val="000B3A79"/>
    <w:rsid w:val="000B3E5D"/>
    <w:rsid w:val="000B402A"/>
    <w:rsid w:val="000B4061"/>
    <w:rsid w:val="000B4462"/>
    <w:rsid w:val="000B68D4"/>
    <w:rsid w:val="000B6B15"/>
    <w:rsid w:val="000C443C"/>
    <w:rsid w:val="000C4825"/>
    <w:rsid w:val="000C4FC9"/>
    <w:rsid w:val="000C5C22"/>
    <w:rsid w:val="000C7764"/>
    <w:rsid w:val="000C7A34"/>
    <w:rsid w:val="000D14AC"/>
    <w:rsid w:val="000D238B"/>
    <w:rsid w:val="000D30AE"/>
    <w:rsid w:val="000D4349"/>
    <w:rsid w:val="000D4467"/>
    <w:rsid w:val="000D5089"/>
    <w:rsid w:val="000D51A5"/>
    <w:rsid w:val="000D6595"/>
    <w:rsid w:val="000E0D4F"/>
    <w:rsid w:val="000E2035"/>
    <w:rsid w:val="000E24D6"/>
    <w:rsid w:val="000E3979"/>
    <w:rsid w:val="000E3D18"/>
    <w:rsid w:val="000E59EE"/>
    <w:rsid w:val="000E6594"/>
    <w:rsid w:val="000E6A08"/>
    <w:rsid w:val="000F06A9"/>
    <w:rsid w:val="000F06B9"/>
    <w:rsid w:val="000F10F6"/>
    <w:rsid w:val="000F31FB"/>
    <w:rsid w:val="00101307"/>
    <w:rsid w:val="001014E3"/>
    <w:rsid w:val="001024C1"/>
    <w:rsid w:val="00102C06"/>
    <w:rsid w:val="00103691"/>
    <w:rsid w:val="00103F98"/>
    <w:rsid w:val="00106690"/>
    <w:rsid w:val="0010767B"/>
    <w:rsid w:val="00113813"/>
    <w:rsid w:val="00113A83"/>
    <w:rsid w:val="00114364"/>
    <w:rsid w:val="00114703"/>
    <w:rsid w:val="00116B8E"/>
    <w:rsid w:val="00120530"/>
    <w:rsid w:val="001208A3"/>
    <w:rsid w:val="0012232D"/>
    <w:rsid w:val="0012455D"/>
    <w:rsid w:val="00126298"/>
    <w:rsid w:val="00134C06"/>
    <w:rsid w:val="00135B45"/>
    <w:rsid w:val="00136335"/>
    <w:rsid w:val="00136D85"/>
    <w:rsid w:val="00140C3F"/>
    <w:rsid w:val="001415B4"/>
    <w:rsid w:val="00143D71"/>
    <w:rsid w:val="001443CF"/>
    <w:rsid w:val="0014450B"/>
    <w:rsid w:val="00145967"/>
    <w:rsid w:val="00152772"/>
    <w:rsid w:val="00152B54"/>
    <w:rsid w:val="00153427"/>
    <w:rsid w:val="00155C4D"/>
    <w:rsid w:val="001565EB"/>
    <w:rsid w:val="00157137"/>
    <w:rsid w:val="001574E8"/>
    <w:rsid w:val="00157CEB"/>
    <w:rsid w:val="001601EF"/>
    <w:rsid w:val="00162F9C"/>
    <w:rsid w:val="0016585E"/>
    <w:rsid w:val="0017006F"/>
    <w:rsid w:val="00171855"/>
    <w:rsid w:val="00171C23"/>
    <w:rsid w:val="001723F7"/>
    <w:rsid w:val="001748F8"/>
    <w:rsid w:val="00175F10"/>
    <w:rsid w:val="00177B2B"/>
    <w:rsid w:val="0018067A"/>
    <w:rsid w:val="00180EBB"/>
    <w:rsid w:val="00181D68"/>
    <w:rsid w:val="00182B22"/>
    <w:rsid w:val="0018381F"/>
    <w:rsid w:val="001840E9"/>
    <w:rsid w:val="00184472"/>
    <w:rsid w:val="001849CE"/>
    <w:rsid w:val="00184B60"/>
    <w:rsid w:val="00186776"/>
    <w:rsid w:val="00187502"/>
    <w:rsid w:val="0019027F"/>
    <w:rsid w:val="001906C5"/>
    <w:rsid w:val="0019349B"/>
    <w:rsid w:val="00194175"/>
    <w:rsid w:val="00194C30"/>
    <w:rsid w:val="00194F77"/>
    <w:rsid w:val="00195A55"/>
    <w:rsid w:val="00195F92"/>
    <w:rsid w:val="00196F20"/>
    <w:rsid w:val="001A0448"/>
    <w:rsid w:val="001A0FBD"/>
    <w:rsid w:val="001A1960"/>
    <w:rsid w:val="001A1D16"/>
    <w:rsid w:val="001A2524"/>
    <w:rsid w:val="001A699B"/>
    <w:rsid w:val="001A7C34"/>
    <w:rsid w:val="001B0307"/>
    <w:rsid w:val="001B27DF"/>
    <w:rsid w:val="001B3F3A"/>
    <w:rsid w:val="001B4136"/>
    <w:rsid w:val="001B4809"/>
    <w:rsid w:val="001B6525"/>
    <w:rsid w:val="001B6B95"/>
    <w:rsid w:val="001B6C04"/>
    <w:rsid w:val="001B723F"/>
    <w:rsid w:val="001C023A"/>
    <w:rsid w:val="001C037E"/>
    <w:rsid w:val="001C1C28"/>
    <w:rsid w:val="001C2ACD"/>
    <w:rsid w:val="001C5019"/>
    <w:rsid w:val="001C6493"/>
    <w:rsid w:val="001C6606"/>
    <w:rsid w:val="001C7BF9"/>
    <w:rsid w:val="001D0589"/>
    <w:rsid w:val="001D08F6"/>
    <w:rsid w:val="001D11B6"/>
    <w:rsid w:val="001D3C2D"/>
    <w:rsid w:val="001D715F"/>
    <w:rsid w:val="001D7C81"/>
    <w:rsid w:val="001E0838"/>
    <w:rsid w:val="001E09F0"/>
    <w:rsid w:val="001E23BA"/>
    <w:rsid w:val="001E2CCE"/>
    <w:rsid w:val="001E417E"/>
    <w:rsid w:val="001E630F"/>
    <w:rsid w:val="001E6894"/>
    <w:rsid w:val="001E716C"/>
    <w:rsid w:val="001E7347"/>
    <w:rsid w:val="001E77E3"/>
    <w:rsid w:val="001F02D6"/>
    <w:rsid w:val="001F0364"/>
    <w:rsid w:val="001F0782"/>
    <w:rsid w:val="001F2328"/>
    <w:rsid w:val="001F39A5"/>
    <w:rsid w:val="001F4FEE"/>
    <w:rsid w:val="001F7B77"/>
    <w:rsid w:val="00200FB8"/>
    <w:rsid w:val="002027CD"/>
    <w:rsid w:val="00203B7C"/>
    <w:rsid w:val="00204E72"/>
    <w:rsid w:val="00205204"/>
    <w:rsid w:val="002060D6"/>
    <w:rsid w:val="00206285"/>
    <w:rsid w:val="00206A96"/>
    <w:rsid w:val="00207C26"/>
    <w:rsid w:val="00207C2F"/>
    <w:rsid w:val="00211514"/>
    <w:rsid w:val="00213A7B"/>
    <w:rsid w:val="002164F3"/>
    <w:rsid w:val="002166BB"/>
    <w:rsid w:val="00216FF9"/>
    <w:rsid w:val="00217151"/>
    <w:rsid w:val="0021755D"/>
    <w:rsid w:val="002179EC"/>
    <w:rsid w:val="0022084E"/>
    <w:rsid w:val="002212B9"/>
    <w:rsid w:val="00222838"/>
    <w:rsid w:val="00225667"/>
    <w:rsid w:val="0022578D"/>
    <w:rsid w:val="002257DC"/>
    <w:rsid w:val="0022680D"/>
    <w:rsid w:val="00226F15"/>
    <w:rsid w:val="00227F23"/>
    <w:rsid w:val="00227FF0"/>
    <w:rsid w:val="00230C02"/>
    <w:rsid w:val="00230FD1"/>
    <w:rsid w:val="00231C34"/>
    <w:rsid w:val="00232721"/>
    <w:rsid w:val="00233A1B"/>
    <w:rsid w:val="0023757F"/>
    <w:rsid w:val="00241527"/>
    <w:rsid w:val="002419E4"/>
    <w:rsid w:val="00242DA0"/>
    <w:rsid w:val="00244F9E"/>
    <w:rsid w:val="00245D0B"/>
    <w:rsid w:val="002467F3"/>
    <w:rsid w:val="002473D8"/>
    <w:rsid w:val="00247660"/>
    <w:rsid w:val="00250E8F"/>
    <w:rsid w:val="00250F95"/>
    <w:rsid w:val="00251288"/>
    <w:rsid w:val="00252992"/>
    <w:rsid w:val="00253038"/>
    <w:rsid w:val="002540A3"/>
    <w:rsid w:val="00254698"/>
    <w:rsid w:val="00255789"/>
    <w:rsid w:val="00255FA1"/>
    <w:rsid w:val="002612B9"/>
    <w:rsid w:val="0026245B"/>
    <w:rsid w:val="00263649"/>
    <w:rsid w:val="00264911"/>
    <w:rsid w:val="00264D9F"/>
    <w:rsid w:val="00266268"/>
    <w:rsid w:val="00266FB6"/>
    <w:rsid w:val="00267710"/>
    <w:rsid w:val="00270008"/>
    <w:rsid w:val="00271884"/>
    <w:rsid w:val="00271F46"/>
    <w:rsid w:val="0027456C"/>
    <w:rsid w:val="002752DA"/>
    <w:rsid w:val="00275F0B"/>
    <w:rsid w:val="002767F9"/>
    <w:rsid w:val="00276F3A"/>
    <w:rsid w:val="00277474"/>
    <w:rsid w:val="00280362"/>
    <w:rsid w:val="00281D17"/>
    <w:rsid w:val="0028222F"/>
    <w:rsid w:val="00283295"/>
    <w:rsid w:val="00284C61"/>
    <w:rsid w:val="00285715"/>
    <w:rsid w:val="00286B4D"/>
    <w:rsid w:val="002875C1"/>
    <w:rsid w:val="00290BA4"/>
    <w:rsid w:val="00291514"/>
    <w:rsid w:val="00291B59"/>
    <w:rsid w:val="00294D17"/>
    <w:rsid w:val="002951A0"/>
    <w:rsid w:val="002953BF"/>
    <w:rsid w:val="00295682"/>
    <w:rsid w:val="002970DF"/>
    <w:rsid w:val="00297356"/>
    <w:rsid w:val="002A14A9"/>
    <w:rsid w:val="002A212A"/>
    <w:rsid w:val="002A321A"/>
    <w:rsid w:val="002A3A8F"/>
    <w:rsid w:val="002A4A42"/>
    <w:rsid w:val="002B0088"/>
    <w:rsid w:val="002B0190"/>
    <w:rsid w:val="002B2935"/>
    <w:rsid w:val="002B2A13"/>
    <w:rsid w:val="002B4305"/>
    <w:rsid w:val="002B7153"/>
    <w:rsid w:val="002C02CE"/>
    <w:rsid w:val="002C07C5"/>
    <w:rsid w:val="002C0E2F"/>
    <w:rsid w:val="002C18C9"/>
    <w:rsid w:val="002C2083"/>
    <w:rsid w:val="002C2F9F"/>
    <w:rsid w:val="002C36E0"/>
    <w:rsid w:val="002C3AFD"/>
    <w:rsid w:val="002C5D81"/>
    <w:rsid w:val="002D0286"/>
    <w:rsid w:val="002D42A2"/>
    <w:rsid w:val="002E104D"/>
    <w:rsid w:val="002E15BE"/>
    <w:rsid w:val="002E1727"/>
    <w:rsid w:val="002E449D"/>
    <w:rsid w:val="002E6F49"/>
    <w:rsid w:val="002F53B1"/>
    <w:rsid w:val="002F5ECE"/>
    <w:rsid w:val="002F7450"/>
    <w:rsid w:val="002F7E13"/>
    <w:rsid w:val="0030125A"/>
    <w:rsid w:val="003015F0"/>
    <w:rsid w:val="00301F3E"/>
    <w:rsid w:val="00302720"/>
    <w:rsid w:val="0030327D"/>
    <w:rsid w:val="00305925"/>
    <w:rsid w:val="003060A9"/>
    <w:rsid w:val="0030619F"/>
    <w:rsid w:val="00306728"/>
    <w:rsid w:val="00306FE2"/>
    <w:rsid w:val="00310406"/>
    <w:rsid w:val="0031166D"/>
    <w:rsid w:val="00311DDD"/>
    <w:rsid w:val="00312541"/>
    <w:rsid w:val="003157DA"/>
    <w:rsid w:val="00316FF6"/>
    <w:rsid w:val="0031786A"/>
    <w:rsid w:val="003178D9"/>
    <w:rsid w:val="00317B1D"/>
    <w:rsid w:val="00320055"/>
    <w:rsid w:val="00320F20"/>
    <w:rsid w:val="00321AAA"/>
    <w:rsid w:val="0032222D"/>
    <w:rsid w:val="00323519"/>
    <w:rsid w:val="00323972"/>
    <w:rsid w:val="00324359"/>
    <w:rsid w:val="00324E4F"/>
    <w:rsid w:val="003257A6"/>
    <w:rsid w:val="00325B31"/>
    <w:rsid w:val="00326D42"/>
    <w:rsid w:val="0033166E"/>
    <w:rsid w:val="00332C21"/>
    <w:rsid w:val="003355E9"/>
    <w:rsid w:val="003363F7"/>
    <w:rsid w:val="003412BC"/>
    <w:rsid w:val="003414D1"/>
    <w:rsid w:val="00342621"/>
    <w:rsid w:val="003439DA"/>
    <w:rsid w:val="003447A5"/>
    <w:rsid w:val="00350164"/>
    <w:rsid w:val="00350761"/>
    <w:rsid w:val="00350A16"/>
    <w:rsid w:val="003513D4"/>
    <w:rsid w:val="003517A9"/>
    <w:rsid w:val="00353313"/>
    <w:rsid w:val="0035456E"/>
    <w:rsid w:val="00355638"/>
    <w:rsid w:val="00356D6C"/>
    <w:rsid w:val="00357A72"/>
    <w:rsid w:val="00361E2C"/>
    <w:rsid w:val="00362CF3"/>
    <w:rsid w:val="0036478A"/>
    <w:rsid w:val="00365D3F"/>
    <w:rsid w:val="003670DA"/>
    <w:rsid w:val="003711E9"/>
    <w:rsid w:val="00371CCB"/>
    <w:rsid w:val="003743B6"/>
    <w:rsid w:val="00375F97"/>
    <w:rsid w:val="00377429"/>
    <w:rsid w:val="00380BB3"/>
    <w:rsid w:val="00381F78"/>
    <w:rsid w:val="0038227C"/>
    <w:rsid w:val="003824CA"/>
    <w:rsid w:val="003835C2"/>
    <w:rsid w:val="003838FC"/>
    <w:rsid w:val="00385008"/>
    <w:rsid w:val="0038501E"/>
    <w:rsid w:val="00385165"/>
    <w:rsid w:val="003857CB"/>
    <w:rsid w:val="003867A6"/>
    <w:rsid w:val="00390D27"/>
    <w:rsid w:val="00391B12"/>
    <w:rsid w:val="00392FF9"/>
    <w:rsid w:val="00393B75"/>
    <w:rsid w:val="00393FA0"/>
    <w:rsid w:val="003950C3"/>
    <w:rsid w:val="0039547C"/>
    <w:rsid w:val="00396E7C"/>
    <w:rsid w:val="003974FB"/>
    <w:rsid w:val="003A15E9"/>
    <w:rsid w:val="003A179C"/>
    <w:rsid w:val="003A1F02"/>
    <w:rsid w:val="003A279E"/>
    <w:rsid w:val="003A2DD2"/>
    <w:rsid w:val="003A3E04"/>
    <w:rsid w:val="003A516F"/>
    <w:rsid w:val="003A5B46"/>
    <w:rsid w:val="003A703B"/>
    <w:rsid w:val="003B2958"/>
    <w:rsid w:val="003B37D4"/>
    <w:rsid w:val="003B3B8E"/>
    <w:rsid w:val="003B47A1"/>
    <w:rsid w:val="003B5384"/>
    <w:rsid w:val="003B5F7E"/>
    <w:rsid w:val="003C3163"/>
    <w:rsid w:val="003C3E4E"/>
    <w:rsid w:val="003C4041"/>
    <w:rsid w:val="003C4C52"/>
    <w:rsid w:val="003C59D1"/>
    <w:rsid w:val="003C7144"/>
    <w:rsid w:val="003D3356"/>
    <w:rsid w:val="003D4C72"/>
    <w:rsid w:val="003D4D72"/>
    <w:rsid w:val="003D4F48"/>
    <w:rsid w:val="003D70BA"/>
    <w:rsid w:val="003D7410"/>
    <w:rsid w:val="003D7CF8"/>
    <w:rsid w:val="003E1BC9"/>
    <w:rsid w:val="003E3CC9"/>
    <w:rsid w:val="003E40BC"/>
    <w:rsid w:val="003E4335"/>
    <w:rsid w:val="003E43E0"/>
    <w:rsid w:val="003E6849"/>
    <w:rsid w:val="003F1BE0"/>
    <w:rsid w:val="003F315F"/>
    <w:rsid w:val="003F364F"/>
    <w:rsid w:val="003F40DD"/>
    <w:rsid w:val="003F41FD"/>
    <w:rsid w:val="003F45B1"/>
    <w:rsid w:val="003F5784"/>
    <w:rsid w:val="003F746D"/>
    <w:rsid w:val="00400030"/>
    <w:rsid w:val="00400E23"/>
    <w:rsid w:val="0040121D"/>
    <w:rsid w:val="004014CC"/>
    <w:rsid w:val="00401D38"/>
    <w:rsid w:val="00401E8F"/>
    <w:rsid w:val="00403E28"/>
    <w:rsid w:val="00404FCC"/>
    <w:rsid w:val="00411C09"/>
    <w:rsid w:val="004120D5"/>
    <w:rsid w:val="00414769"/>
    <w:rsid w:val="00415A68"/>
    <w:rsid w:val="0041794F"/>
    <w:rsid w:val="00422453"/>
    <w:rsid w:val="004227B2"/>
    <w:rsid w:val="004228A1"/>
    <w:rsid w:val="00422BF7"/>
    <w:rsid w:val="00424D44"/>
    <w:rsid w:val="004259EF"/>
    <w:rsid w:val="00425DD4"/>
    <w:rsid w:val="004321F1"/>
    <w:rsid w:val="004324C8"/>
    <w:rsid w:val="00434E19"/>
    <w:rsid w:val="00435214"/>
    <w:rsid w:val="004357E9"/>
    <w:rsid w:val="00435BF2"/>
    <w:rsid w:val="00436395"/>
    <w:rsid w:val="0043669F"/>
    <w:rsid w:val="004377E2"/>
    <w:rsid w:val="00442696"/>
    <w:rsid w:val="0044283B"/>
    <w:rsid w:val="0044387A"/>
    <w:rsid w:val="00443C36"/>
    <w:rsid w:val="00444E51"/>
    <w:rsid w:val="0044664B"/>
    <w:rsid w:val="0045265C"/>
    <w:rsid w:val="00453DA5"/>
    <w:rsid w:val="004557E8"/>
    <w:rsid w:val="00455C17"/>
    <w:rsid w:val="00456483"/>
    <w:rsid w:val="0045705D"/>
    <w:rsid w:val="00461344"/>
    <w:rsid w:val="00461404"/>
    <w:rsid w:val="00461E3A"/>
    <w:rsid w:val="00464478"/>
    <w:rsid w:val="00472FEB"/>
    <w:rsid w:val="00474090"/>
    <w:rsid w:val="00474B82"/>
    <w:rsid w:val="00475770"/>
    <w:rsid w:val="00475966"/>
    <w:rsid w:val="0047698F"/>
    <w:rsid w:val="004769D2"/>
    <w:rsid w:val="00476C1C"/>
    <w:rsid w:val="00481AB7"/>
    <w:rsid w:val="004822B2"/>
    <w:rsid w:val="004842A9"/>
    <w:rsid w:val="004877AA"/>
    <w:rsid w:val="00487A26"/>
    <w:rsid w:val="00487DEF"/>
    <w:rsid w:val="004906E8"/>
    <w:rsid w:val="00490E5F"/>
    <w:rsid w:val="004937E3"/>
    <w:rsid w:val="00494B90"/>
    <w:rsid w:val="0049509C"/>
    <w:rsid w:val="0049594A"/>
    <w:rsid w:val="00495E5A"/>
    <w:rsid w:val="00495F12"/>
    <w:rsid w:val="0049718C"/>
    <w:rsid w:val="004A2018"/>
    <w:rsid w:val="004A2DE8"/>
    <w:rsid w:val="004A4F46"/>
    <w:rsid w:val="004A59BD"/>
    <w:rsid w:val="004A6051"/>
    <w:rsid w:val="004A6D3C"/>
    <w:rsid w:val="004B11AF"/>
    <w:rsid w:val="004B25EB"/>
    <w:rsid w:val="004B4E6D"/>
    <w:rsid w:val="004B5E4C"/>
    <w:rsid w:val="004B69F1"/>
    <w:rsid w:val="004B71FD"/>
    <w:rsid w:val="004C053E"/>
    <w:rsid w:val="004C14B7"/>
    <w:rsid w:val="004C23A2"/>
    <w:rsid w:val="004C2C52"/>
    <w:rsid w:val="004C2D9A"/>
    <w:rsid w:val="004C4B04"/>
    <w:rsid w:val="004C661C"/>
    <w:rsid w:val="004C6A9C"/>
    <w:rsid w:val="004C79D7"/>
    <w:rsid w:val="004D0562"/>
    <w:rsid w:val="004D07BA"/>
    <w:rsid w:val="004D0A9B"/>
    <w:rsid w:val="004D0C72"/>
    <w:rsid w:val="004D1C34"/>
    <w:rsid w:val="004D2706"/>
    <w:rsid w:val="004D2DB9"/>
    <w:rsid w:val="004D3672"/>
    <w:rsid w:val="004D3711"/>
    <w:rsid w:val="004D5930"/>
    <w:rsid w:val="004D6A1A"/>
    <w:rsid w:val="004E092B"/>
    <w:rsid w:val="004E1AB8"/>
    <w:rsid w:val="004E45B2"/>
    <w:rsid w:val="004E5148"/>
    <w:rsid w:val="004E7025"/>
    <w:rsid w:val="004F299A"/>
    <w:rsid w:val="004F32E7"/>
    <w:rsid w:val="004F3BE6"/>
    <w:rsid w:val="004F4C5D"/>
    <w:rsid w:val="004F548C"/>
    <w:rsid w:val="004F598B"/>
    <w:rsid w:val="004F5EBF"/>
    <w:rsid w:val="004F69EF"/>
    <w:rsid w:val="004F72A1"/>
    <w:rsid w:val="004F7C4E"/>
    <w:rsid w:val="005007A0"/>
    <w:rsid w:val="00501470"/>
    <w:rsid w:val="0050270C"/>
    <w:rsid w:val="00503759"/>
    <w:rsid w:val="00505FBD"/>
    <w:rsid w:val="00507F16"/>
    <w:rsid w:val="00510341"/>
    <w:rsid w:val="005124DD"/>
    <w:rsid w:val="005126DB"/>
    <w:rsid w:val="00514C1F"/>
    <w:rsid w:val="00515186"/>
    <w:rsid w:val="0051669A"/>
    <w:rsid w:val="00520702"/>
    <w:rsid w:val="0052229E"/>
    <w:rsid w:val="00524A21"/>
    <w:rsid w:val="005262B8"/>
    <w:rsid w:val="00527DF7"/>
    <w:rsid w:val="00527FAF"/>
    <w:rsid w:val="005302E1"/>
    <w:rsid w:val="005305BD"/>
    <w:rsid w:val="00532A0D"/>
    <w:rsid w:val="00532B2D"/>
    <w:rsid w:val="00532E28"/>
    <w:rsid w:val="00533E97"/>
    <w:rsid w:val="00533EB4"/>
    <w:rsid w:val="00534072"/>
    <w:rsid w:val="0054092D"/>
    <w:rsid w:val="00541B09"/>
    <w:rsid w:val="0054214C"/>
    <w:rsid w:val="0054452E"/>
    <w:rsid w:val="0054453A"/>
    <w:rsid w:val="00545181"/>
    <w:rsid w:val="00547FC8"/>
    <w:rsid w:val="00550355"/>
    <w:rsid w:val="00552519"/>
    <w:rsid w:val="00552C20"/>
    <w:rsid w:val="0055362A"/>
    <w:rsid w:val="00553DE8"/>
    <w:rsid w:val="00554905"/>
    <w:rsid w:val="00554B7D"/>
    <w:rsid w:val="0055500B"/>
    <w:rsid w:val="0055530D"/>
    <w:rsid w:val="0055650C"/>
    <w:rsid w:val="005627D0"/>
    <w:rsid w:val="00565744"/>
    <w:rsid w:val="00567115"/>
    <w:rsid w:val="00567A36"/>
    <w:rsid w:val="00580554"/>
    <w:rsid w:val="00580A4A"/>
    <w:rsid w:val="00581CCC"/>
    <w:rsid w:val="00586A04"/>
    <w:rsid w:val="00586A99"/>
    <w:rsid w:val="0058773B"/>
    <w:rsid w:val="005905A2"/>
    <w:rsid w:val="00590C9D"/>
    <w:rsid w:val="005916D8"/>
    <w:rsid w:val="00591753"/>
    <w:rsid w:val="00593E01"/>
    <w:rsid w:val="00595E71"/>
    <w:rsid w:val="00596D4A"/>
    <w:rsid w:val="00597294"/>
    <w:rsid w:val="0059784C"/>
    <w:rsid w:val="005A0060"/>
    <w:rsid w:val="005A1817"/>
    <w:rsid w:val="005A2037"/>
    <w:rsid w:val="005A5076"/>
    <w:rsid w:val="005A50A7"/>
    <w:rsid w:val="005A543F"/>
    <w:rsid w:val="005A5FB1"/>
    <w:rsid w:val="005B02BF"/>
    <w:rsid w:val="005B1867"/>
    <w:rsid w:val="005B1D7B"/>
    <w:rsid w:val="005B2139"/>
    <w:rsid w:val="005B256F"/>
    <w:rsid w:val="005B36DA"/>
    <w:rsid w:val="005B378C"/>
    <w:rsid w:val="005B5223"/>
    <w:rsid w:val="005C054C"/>
    <w:rsid w:val="005C15D6"/>
    <w:rsid w:val="005C2C1D"/>
    <w:rsid w:val="005C38D2"/>
    <w:rsid w:val="005C6CAF"/>
    <w:rsid w:val="005D02C2"/>
    <w:rsid w:val="005D074C"/>
    <w:rsid w:val="005D14A7"/>
    <w:rsid w:val="005D24E6"/>
    <w:rsid w:val="005D383F"/>
    <w:rsid w:val="005D3918"/>
    <w:rsid w:val="005D5C1A"/>
    <w:rsid w:val="005D6D6B"/>
    <w:rsid w:val="005D6EFF"/>
    <w:rsid w:val="005D7D68"/>
    <w:rsid w:val="005E1E71"/>
    <w:rsid w:val="005E2A10"/>
    <w:rsid w:val="005E39FD"/>
    <w:rsid w:val="005E3B5E"/>
    <w:rsid w:val="005E404F"/>
    <w:rsid w:val="005E455B"/>
    <w:rsid w:val="005E4B07"/>
    <w:rsid w:val="005E4DAC"/>
    <w:rsid w:val="005E7181"/>
    <w:rsid w:val="005E7A66"/>
    <w:rsid w:val="005F29C0"/>
    <w:rsid w:val="005F29C9"/>
    <w:rsid w:val="005F31C5"/>
    <w:rsid w:val="005F45E9"/>
    <w:rsid w:val="005F4A0E"/>
    <w:rsid w:val="005F4E3E"/>
    <w:rsid w:val="005F52D6"/>
    <w:rsid w:val="005F5F7C"/>
    <w:rsid w:val="005F726B"/>
    <w:rsid w:val="005F732F"/>
    <w:rsid w:val="006016E8"/>
    <w:rsid w:val="006030A1"/>
    <w:rsid w:val="0060389B"/>
    <w:rsid w:val="006078FD"/>
    <w:rsid w:val="00607B47"/>
    <w:rsid w:val="00607BA3"/>
    <w:rsid w:val="0061317D"/>
    <w:rsid w:val="00613DB8"/>
    <w:rsid w:val="0061474A"/>
    <w:rsid w:val="00615849"/>
    <w:rsid w:val="0061624B"/>
    <w:rsid w:val="006214EA"/>
    <w:rsid w:val="00622AD8"/>
    <w:rsid w:val="00622C12"/>
    <w:rsid w:val="006264DC"/>
    <w:rsid w:val="006269EC"/>
    <w:rsid w:val="00627E22"/>
    <w:rsid w:val="0063103F"/>
    <w:rsid w:val="00631BAA"/>
    <w:rsid w:val="006322A1"/>
    <w:rsid w:val="00635472"/>
    <w:rsid w:val="00635BFA"/>
    <w:rsid w:val="00636485"/>
    <w:rsid w:val="00636B77"/>
    <w:rsid w:val="00636CFB"/>
    <w:rsid w:val="006424A8"/>
    <w:rsid w:val="00642585"/>
    <w:rsid w:val="0064354C"/>
    <w:rsid w:val="00643E2E"/>
    <w:rsid w:val="006454D6"/>
    <w:rsid w:val="00646593"/>
    <w:rsid w:val="00647897"/>
    <w:rsid w:val="0065031F"/>
    <w:rsid w:val="00654018"/>
    <w:rsid w:val="00654466"/>
    <w:rsid w:val="006544B8"/>
    <w:rsid w:val="00654833"/>
    <w:rsid w:val="006553BE"/>
    <w:rsid w:val="00655929"/>
    <w:rsid w:val="0065632A"/>
    <w:rsid w:val="00656FB2"/>
    <w:rsid w:val="00657559"/>
    <w:rsid w:val="0065789A"/>
    <w:rsid w:val="00662497"/>
    <w:rsid w:val="00663AEB"/>
    <w:rsid w:val="0066425E"/>
    <w:rsid w:val="006679A3"/>
    <w:rsid w:val="00670BF5"/>
    <w:rsid w:val="00673A38"/>
    <w:rsid w:val="00673EFC"/>
    <w:rsid w:val="00673FFF"/>
    <w:rsid w:val="00674E75"/>
    <w:rsid w:val="00674EB1"/>
    <w:rsid w:val="00676883"/>
    <w:rsid w:val="00676E49"/>
    <w:rsid w:val="00677E96"/>
    <w:rsid w:val="0068100C"/>
    <w:rsid w:val="006811B2"/>
    <w:rsid w:val="006825F5"/>
    <w:rsid w:val="00684614"/>
    <w:rsid w:val="00684DBE"/>
    <w:rsid w:val="00686375"/>
    <w:rsid w:val="00690155"/>
    <w:rsid w:val="00690633"/>
    <w:rsid w:val="00691D05"/>
    <w:rsid w:val="006923D1"/>
    <w:rsid w:val="006928B2"/>
    <w:rsid w:val="006966D1"/>
    <w:rsid w:val="006A085B"/>
    <w:rsid w:val="006A0959"/>
    <w:rsid w:val="006A2776"/>
    <w:rsid w:val="006A293E"/>
    <w:rsid w:val="006A4DD7"/>
    <w:rsid w:val="006A687E"/>
    <w:rsid w:val="006A6CFF"/>
    <w:rsid w:val="006B09AF"/>
    <w:rsid w:val="006B0C31"/>
    <w:rsid w:val="006B195B"/>
    <w:rsid w:val="006B2540"/>
    <w:rsid w:val="006B4416"/>
    <w:rsid w:val="006B4447"/>
    <w:rsid w:val="006B5727"/>
    <w:rsid w:val="006B5C89"/>
    <w:rsid w:val="006B5CAB"/>
    <w:rsid w:val="006B6116"/>
    <w:rsid w:val="006B7FFB"/>
    <w:rsid w:val="006C00ED"/>
    <w:rsid w:val="006C0B39"/>
    <w:rsid w:val="006C0C03"/>
    <w:rsid w:val="006C301C"/>
    <w:rsid w:val="006C632D"/>
    <w:rsid w:val="006C6D46"/>
    <w:rsid w:val="006C7378"/>
    <w:rsid w:val="006C7608"/>
    <w:rsid w:val="006D049D"/>
    <w:rsid w:val="006D1C0E"/>
    <w:rsid w:val="006D2130"/>
    <w:rsid w:val="006D2978"/>
    <w:rsid w:val="006D2DF0"/>
    <w:rsid w:val="006D4E1F"/>
    <w:rsid w:val="006D74E3"/>
    <w:rsid w:val="006D76FB"/>
    <w:rsid w:val="006D7CCE"/>
    <w:rsid w:val="006D7FA9"/>
    <w:rsid w:val="006E1592"/>
    <w:rsid w:val="006E1B19"/>
    <w:rsid w:val="006E26C7"/>
    <w:rsid w:val="006E2729"/>
    <w:rsid w:val="006E2A57"/>
    <w:rsid w:val="006E4441"/>
    <w:rsid w:val="006E47D8"/>
    <w:rsid w:val="006E59B3"/>
    <w:rsid w:val="006E71D2"/>
    <w:rsid w:val="006F101B"/>
    <w:rsid w:val="006F1891"/>
    <w:rsid w:val="006F1D19"/>
    <w:rsid w:val="006F2E56"/>
    <w:rsid w:val="006F2FE6"/>
    <w:rsid w:val="006F3963"/>
    <w:rsid w:val="006F3AC1"/>
    <w:rsid w:val="006F3F87"/>
    <w:rsid w:val="006F73D5"/>
    <w:rsid w:val="006F7B10"/>
    <w:rsid w:val="007007AF"/>
    <w:rsid w:val="00701810"/>
    <w:rsid w:val="00701EAE"/>
    <w:rsid w:val="007037AB"/>
    <w:rsid w:val="007047AC"/>
    <w:rsid w:val="00704A88"/>
    <w:rsid w:val="0070753B"/>
    <w:rsid w:val="00710FC2"/>
    <w:rsid w:val="0071264B"/>
    <w:rsid w:val="007128E0"/>
    <w:rsid w:val="00713DD9"/>
    <w:rsid w:val="007148A8"/>
    <w:rsid w:val="00714D82"/>
    <w:rsid w:val="00717334"/>
    <w:rsid w:val="0071759B"/>
    <w:rsid w:val="00721471"/>
    <w:rsid w:val="00721811"/>
    <w:rsid w:val="00723941"/>
    <w:rsid w:val="0072531A"/>
    <w:rsid w:val="00725CFA"/>
    <w:rsid w:val="00725EB8"/>
    <w:rsid w:val="00726AB9"/>
    <w:rsid w:val="0073021C"/>
    <w:rsid w:val="00731A55"/>
    <w:rsid w:val="0073256D"/>
    <w:rsid w:val="00733E04"/>
    <w:rsid w:val="00734B2F"/>
    <w:rsid w:val="007350FC"/>
    <w:rsid w:val="00735A92"/>
    <w:rsid w:val="00736E20"/>
    <w:rsid w:val="00737756"/>
    <w:rsid w:val="007400DE"/>
    <w:rsid w:val="007402BF"/>
    <w:rsid w:val="007428A6"/>
    <w:rsid w:val="00742D0D"/>
    <w:rsid w:val="00744EC8"/>
    <w:rsid w:val="0074638A"/>
    <w:rsid w:val="00746B05"/>
    <w:rsid w:val="00747C7D"/>
    <w:rsid w:val="00750885"/>
    <w:rsid w:val="00750BCD"/>
    <w:rsid w:val="00754001"/>
    <w:rsid w:val="00754B68"/>
    <w:rsid w:val="00757AC7"/>
    <w:rsid w:val="0076168F"/>
    <w:rsid w:val="007625D3"/>
    <w:rsid w:val="00762CC8"/>
    <w:rsid w:val="007637AB"/>
    <w:rsid w:val="00763804"/>
    <w:rsid w:val="0076471E"/>
    <w:rsid w:val="0076492B"/>
    <w:rsid w:val="00765593"/>
    <w:rsid w:val="00765694"/>
    <w:rsid w:val="007667DC"/>
    <w:rsid w:val="00766996"/>
    <w:rsid w:val="00766B5F"/>
    <w:rsid w:val="00767191"/>
    <w:rsid w:val="0077066A"/>
    <w:rsid w:val="007760B3"/>
    <w:rsid w:val="0077648B"/>
    <w:rsid w:val="007779AA"/>
    <w:rsid w:val="00781628"/>
    <w:rsid w:val="00781714"/>
    <w:rsid w:val="00783D81"/>
    <w:rsid w:val="007844CC"/>
    <w:rsid w:val="0078538E"/>
    <w:rsid w:val="00785BBD"/>
    <w:rsid w:val="007876EB"/>
    <w:rsid w:val="007916EC"/>
    <w:rsid w:val="007937C7"/>
    <w:rsid w:val="007942D2"/>
    <w:rsid w:val="0079651E"/>
    <w:rsid w:val="00796972"/>
    <w:rsid w:val="00796C98"/>
    <w:rsid w:val="007974F0"/>
    <w:rsid w:val="007A0349"/>
    <w:rsid w:val="007A08E4"/>
    <w:rsid w:val="007A0FC5"/>
    <w:rsid w:val="007A12F3"/>
    <w:rsid w:val="007A3B30"/>
    <w:rsid w:val="007A57C9"/>
    <w:rsid w:val="007A61DB"/>
    <w:rsid w:val="007A6297"/>
    <w:rsid w:val="007A7270"/>
    <w:rsid w:val="007A79A2"/>
    <w:rsid w:val="007B16A1"/>
    <w:rsid w:val="007B1BBC"/>
    <w:rsid w:val="007B2F49"/>
    <w:rsid w:val="007B2F9F"/>
    <w:rsid w:val="007B327F"/>
    <w:rsid w:val="007B48BB"/>
    <w:rsid w:val="007B5F0F"/>
    <w:rsid w:val="007C0049"/>
    <w:rsid w:val="007C0864"/>
    <w:rsid w:val="007C0B38"/>
    <w:rsid w:val="007C1462"/>
    <w:rsid w:val="007C1BEC"/>
    <w:rsid w:val="007C2857"/>
    <w:rsid w:val="007C3880"/>
    <w:rsid w:val="007C4699"/>
    <w:rsid w:val="007C63EE"/>
    <w:rsid w:val="007C7443"/>
    <w:rsid w:val="007D0C45"/>
    <w:rsid w:val="007D7B80"/>
    <w:rsid w:val="007E14B5"/>
    <w:rsid w:val="007E18E8"/>
    <w:rsid w:val="007E24BA"/>
    <w:rsid w:val="007E289F"/>
    <w:rsid w:val="007E2933"/>
    <w:rsid w:val="007E326B"/>
    <w:rsid w:val="007E3EC6"/>
    <w:rsid w:val="007E4D9F"/>
    <w:rsid w:val="007E538A"/>
    <w:rsid w:val="007E7CB2"/>
    <w:rsid w:val="007E7EBB"/>
    <w:rsid w:val="007F38AA"/>
    <w:rsid w:val="007F3E97"/>
    <w:rsid w:val="007F41B8"/>
    <w:rsid w:val="007F726B"/>
    <w:rsid w:val="007F7FC3"/>
    <w:rsid w:val="0080101C"/>
    <w:rsid w:val="00802B43"/>
    <w:rsid w:val="0080382B"/>
    <w:rsid w:val="00803A91"/>
    <w:rsid w:val="00803FEE"/>
    <w:rsid w:val="008060B2"/>
    <w:rsid w:val="00806D6A"/>
    <w:rsid w:val="0081069C"/>
    <w:rsid w:val="00813A49"/>
    <w:rsid w:val="00816521"/>
    <w:rsid w:val="00817562"/>
    <w:rsid w:val="00820924"/>
    <w:rsid w:val="0082167A"/>
    <w:rsid w:val="008225CD"/>
    <w:rsid w:val="0082335A"/>
    <w:rsid w:val="00824C47"/>
    <w:rsid w:val="00824D90"/>
    <w:rsid w:val="008306AC"/>
    <w:rsid w:val="008314A9"/>
    <w:rsid w:val="008328BA"/>
    <w:rsid w:val="0083319D"/>
    <w:rsid w:val="0083398D"/>
    <w:rsid w:val="008341C5"/>
    <w:rsid w:val="00836154"/>
    <w:rsid w:val="00836DBB"/>
    <w:rsid w:val="00837298"/>
    <w:rsid w:val="00840B0D"/>
    <w:rsid w:val="0084278E"/>
    <w:rsid w:val="00842D86"/>
    <w:rsid w:val="008471A4"/>
    <w:rsid w:val="00847839"/>
    <w:rsid w:val="00850D33"/>
    <w:rsid w:val="00851078"/>
    <w:rsid w:val="00852668"/>
    <w:rsid w:val="0085346F"/>
    <w:rsid w:val="00855A4A"/>
    <w:rsid w:val="00855B59"/>
    <w:rsid w:val="008561B9"/>
    <w:rsid w:val="008570AD"/>
    <w:rsid w:val="00857232"/>
    <w:rsid w:val="00857388"/>
    <w:rsid w:val="0085776A"/>
    <w:rsid w:val="00860CAF"/>
    <w:rsid w:val="00860D01"/>
    <w:rsid w:val="00860F73"/>
    <w:rsid w:val="00861BD7"/>
    <w:rsid w:val="00862130"/>
    <w:rsid w:val="008627E3"/>
    <w:rsid w:val="00863331"/>
    <w:rsid w:val="00863EA1"/>
    <w:rsid w:val="00865114"/>
    <w:rsid w:val="008651E2"/>
    <w:rsid w:val="00865EF9"/>
    <w:rsid w:val="00867BD2"/>
    <w:rsid w:val="008731AF"/>
    <w:rsid w:val="00875BC9"/>
    <w:rsid w:val="00877DD9"/>
    <w:rsid w:val="00883145"/>
    <w:rsid w:val="008833A0"/>
    <w:rsid w:val="00883C92"/>
    <w:rsid w:val="00883D81"/>
    <w:rsid w:val="008852BF"/>
    <w:rsid w:val="0088789C"/>
    <w:rsid w:val="00887938"/>
    <w:rsid w:val="00890A45"/>
    <w:rsid w:val="00891890"/>
    <w:rsid w:val="0089208F"/>
    <w:rsid w:val="008932CA"/>
    <w:rsid w:val="008970A7"/>
    <w:rsid w:val="008A07D4"/>
    <w:rsid w:val="008A14DA"/>
    <w:rsid w:val="008A3689"/>
    <w:rsid w:val="008A376A"/>
    <w:rsid w:val="008A7A0A"/>
    <w:rsid w:val="008A7B8D"/>
    <w:rsid w:val="008B1853"/>
    <w:rsid w:val="008B222B"/>
    <w:rsid w:val="008B24FD"/>
    <w:rsid w:val="008B28DE"/>
    <w:rsid w:val="008B2EF6"/>
    <w:rsid w:val="008B4E43"/>
    <w:rsid w:val="008B67D0"/>
    <w:rsid w:val="008B7036"/>
    <w:rsid w:val="008B7506"/>
    <w:rsid w:val="008C1A47"/>
    <w:rsid w:val="008C1AB3"/>
    <w:rsid w:val="008C1F01"/>
    <w:rsid w:val="008C26B4"/>
    <w:rsid w:val="008C6417"/>
    <w:rsid w:val="008C6823"/>
    <w:rsid w:val="008D09E2"/>
    <w:rsid w:val="008D3662"/>
    <w:rsid w:val="008D3F3E"/>
    <w:rsid w:val="008D40CE"/>
    <w:rsid w:val="008D65D0"/>
    <w:rsid w:val="008E1AD9"/>
    <w:rsid w:val="008E1D02"/>
    <w:rsid w:val="008E2767"/>
    <w:rsid w:val="008E301D"/>
    <w:rsid w:val="008E3282"/>
    <w:rsid w:val="008E3932"/>
    <w:rsid w:val="008E4690"/>
    <w:rsid w:val="008E65F9"/>
    <w:rsid w:val="008E68B5"/>
    <w:rsid w:val="008E6E23"/>
    <w:rsid w:val="008E7101"/>
    <w:rsid w:val="008F315F"/>
    <w:rsid w:val="008F37D3"/>
    <w:rsid w:val="008F49F2"/>
    <w:rsid w:val="008F5585"/>
    <w:rsid w:val="008F5863"/>
    <w:rsid w:val="008F6547"/>
    <w:rsid w:val="008F6876"/>
    <w:rsid w:val="00900566"/>
    <w:rsid w:val="00900782"/>
    <w:rsid w:val="009012DD"/>
    <w:rsid w:val="0090476B"/>
    <w:rsid w:val="00904857"/>
    <w:rsid w:val="009048EC"/>
    <w:rsid w:val="009055F6"/>
    <w:rsid w:val="00906455"/>
    <w:rsid w:val="00912607"/>
    <w:rsid w:val="0091323A"/>
    <w:rsid w:val="0091390B"/>
    <w:rsid w:val="00914CF5"/>
    <w:rsid w:val="00915DCC"/>
    <w:rsid w:val="00915F9C"/>
    <w:rsid w:val="0091654E"/>
    <w:rsid w:val="009172C3"/>
    <w:rsid w:val="00917DEE"/>
    <w:rsid w:val="00920915"/>
    <w:rsid w:val="0092140F"/>
    <w:rsid w:val="0092258B"/>
    <w:rsid w:val="00923E1F"/>
    <w:rsid w:val="009251DF"/>
    <w:rsid w:val="009255E0"/>
    <w:rsid w:val="00926654"/>
    <w:rsid w:val="00926C21"/>
    <w:rsid w:val="00927247"/>
    <w:rsid w:val="009311E3"/>
    <w:rsid w:val="00933155"/>
    <w:rsid w:val="0093524F"/>
    <w:rsid w:val="00935EC6"/>
    <w:rsid w:val="00937235"/>
    <w:rsid w:val="00942F5B"/>
    <w:rsid w:val="00943C69"/>
    <w:rsid w:val="00944C9B"/>
    <w:rsid w:val="0094517F"/>
    <w:rsid w:val="009452E2"/>
    <w:rsid w:val="00946CF9"/>
    <w:rsid w:val="00946E35"/>
    <w:rsid w:val="009539F6"/>
    <w:rsid w:val="0095539E"/>
    <w:rsid w:val="00955CA2"/>
    <w:rsid w:val="009567A4"/>
    <w:rsid w:val="0096180D"/>
    <w:rsid w:val="0096336C"/>
    <w:rsid w:val="009645DB"/>
    <w:rsid w:val="009656FA"/>
    <w:rsid w:val="009670CD"/>
    <w:rsid w:val="009706E5"/>
    <w:rsid w:val="00970A05"/>
    <w:rsid w:val="0097194C"/>
    <w:rsid w:val="009727FA"/>
    <w:rsid w:val="0097511B"/>
    <w:rsid w:val="00975B18"/>
    <w:rsid w:val="009767AC"/>
    <w:rsid w:val="0097747B"/>
    <w:rsid w:val="00984CE4"/>
    <w:rsid w:val="0098714D"/>
    <w:rsid w:val="009876AA"/>
    <w:rsid w:val="00987B4D"/>
    <w:rsid w:val="00990AC2"/>
    <w:rsid w:val="0099117D"/>
    <w:rsid w:val="00991398"/>
    <w:rsid w:val="0099154E"/>
    <w:rsid w:val="00991DC5"/>
    <w:rsid w:val="009944BC"/>
    <w:rsid w:val="00994A25"/>
    <w:rsid w:val="009955E3"/>
    <w:rsid w:val="00995D25"/>
    <w:rsid w:val="009A004C"/>
    <w:rsid w:val="009A186C"/>
    <w:rsid w:val="009A1A8E"/>
    <w:rsid w:val="009A289D"/>
    <w:rsid w:val="009A58DE"/>
    <w:rsid w:val="009A7A0D"/>
    <w:rsid w:val="009B0085"/>
    <w:rsid w:val="009B00FA"/>
    <w:rsid w:val="009B284C"/>
    <w:rsid w:val="009B4ABA"/>
    <w:rsid w:val="009B6DF7"/>
    <w:rsid w:val="009B7D90"/>
    <w:rsid w:val="009C12CE"/>
    <w:rsid w:val="009C4E47"/>
    <w:rsid w:val="009C5D64"/>
    <w:rsid w:val="009C76E3"/>
    <w:rsid w:val="009D0179"/>
    <w:rsid w:val="009D1C3E"/>
    <w:rsid w:val="009D2D08"/>
    <w:rsid w:val="009D30AF"/>
    <w:rsid w:val="009D4E53"/>
    <w:rsid w:val="009E2E68"/>
    <w:rsid w:val="009E3DA6"/>
    <w:rsid w:val="009E3EF6"/>
    <w:rsid w:val="009E705F"/>
    <w:rsid w:val="009E77F8"/>
    <w:rsid w:val="009F093C"/>
    <w:rsid w:val="009F0B22"/>
    <w:rsid w:val="009F2597"/>
    <w:rsid w:val="009F35A9"/>
    <w:rsid w:val="009F6588"/>
    <w:rsid w:val="009F6AD1"/>
    <w:rsid w:val="00A014DA"/>
    <w:rsid w:val="00A0183F"/>
    <w:rsid w:val="00A02226"/>
    <w:rsid w:val="00A0541D"/>
    <w:rsid w:val="00A05637"/>
    <w:rsid w:val="00A05AD8"/>
    <w:rsid w:val="00A10348"/>
    <w:rsid w:val="00A118A0"/>
    <w:rsid w:val="00A1415F"/>
    <w:rsid w:val="00A14635"/>
    <w:rsid w:val="00A14CD4"/>
    <w:rsid w:val="00A15062"/>
    <w:rsid w:val="00A15A39"/>
    <w:rsid w:val="00A15E26"/>
    <w:rsid w:val="00A16504"/>
    <w:rsid w:val="00A17F0F"/>
    <w:rsid w:val="00A2714E"/>
    <w:rsid w:val="00A31EFA"/>
    <w:rsid w:val="00A3270D"/>
    <w:rsid w:val="00A328B2"/>
    <w:rsid w:val="00A351CA"/>
    <w:rsid w:val="00A407C3"/>
    <w:rsid w:val="00A41542"/>
    <w:rsid w:val="00A41DF6"/>
    <w:rsid w:val="00A43058"/>
    <w:rsid w:val="00A431BD"/>
    <w:rsid w:val="00A433D1"/>
    <w:rsid w:val="00A439B1"/>
    <w:rsid w:val="00A44ABD"/>
    <w:rsid w:val="00A465A7"/>
    <w:rsid w:val="00A46673"/>
    <w:rsid w:val="00A47A82"/>
    <w:rsid w:val="00A47DC8"/>
    <w:rsid w:val="00A51FEE"/>
    <w:rsid w:val="00A54577"/>
    <w:rsid w:val="00A547E5"/>
    <w:rsid w:val="00A55A27"/>
    <w:rsid w:val="00A55B06"/>
    <w:rsid w:val="00A57A6F"/>
    <w:rsid w:val="00A6102D"/>
    <w:rsid w:val="00A62252"/>
    <w:rsid w:val="00A630A5"/>
    <w:rsid w:val="00A634F1"/>
    <w:rsid w:val="00A65E4B"/>
    <w:rsid w:val="00A667C3"/>
    <w:rsid w:val="00A70F56"/>
    <w:rsid w:val="00A72171"/>
    <w:rsid w:val="00A7272E"/>
    <w:rsid w:val="00A72B51"/>
    <w:rsid w:val="00A72C70"/>
    <w:rsid w:val="00A72E35"/>
    <w:rsid w:val="00A7316E"/>
    <w:rsid w:val="00A73E7A"/>
    <w:rsid w:val="00A74E9C"/>
    <w:rsid w:val="00A7587D"/>
    <w:rsid w:val="00A75E06"/>
    <w:rsid w:val="00A76D0C"/>
    <w:rsid w:val="00A778CD"/>
    <w:rsid w:val="00A81228"/>
    <w:rsid w:val="00A82481"/>
    <w:rsid w:val="00A86C52"/>
    <w:rsid w:val="00A87A2E"/>
    <w:rsid w:val="00A90FA9"/>
    <w:rsid w:val="00A9189E"/>
    <w:rsid w:val="00A931A1"/>
    <w:rsid w:val="00A940C3"/>
    <w:rsid w:val="00A97ED1"/>
    <w:rsid w:val="00AA05AC"/>
    <w:rsid w:val="00AA175C"/>
    <w:rsid w:val="00AA1CB7"/>
    <w:rsid w:val="00AA3993"/>
    <w:rsid w:val="00AA3F26"/>
    <w:rsid w:val="00AA4DB3"/>
    <w:rsid w:val="00AA5728"/>
    <w:rsid w:val="00AA5900"/>
    <w:rsid w:val="00AA5A12"/>
    <w:rsid w:val="00AA63A2"/>
    <w:rsid w:val="00AA7A6E"/>
    <w:rsid w:val="00AB07A6"/>
    <w:rsid w:val="00AB119D"/>
    <w:rsid w:val="00AB2450"/>
    <w:rsid w:val="00AB2F70"/>
    <w:rsid w:val="00AB3161"/>
    <w:rsid w:val="00AB550D"/>
    <w:rsid w:val="00AB739C"/>
    <w:rsid w:val="00AB7DAB"/>
    <w:rsid w:val="00AC156D"/>
    <w:rsid w:val="00AC2976"/>
    <w:rsid w:val="00AC4648"/>
    <w:rsid w:val="00AC4C75"/>
    <w:rsid w:val="00AC5239"/>
    <w:rsid w:val="00AC55F6"/>
    <w:rsid w:val="00AC5A39"/>
    <w:rsid w:val="00AC5B8A"/>
    <w:rsid w:val="00AC6093"/>
    <w:rsid w:val="00AD2087"/>
    <w:rsid w:val="00AD2700"/>
    <w:rsid w:val="00AD2B1C"/>
    <w:rsid w:val="00AD33AC"/>
    <w:rsid w:val="00AD5445"/>
    <w:rsid w:val="00AE02A3"/>
    <w:rsid w:val="00AE0B11"/>
    <w:rsid w:val="00AE1270"/>
    <w:rsid w:val="00AE1DE7"/>
    <w:rsid w:val="00AE2ABF"/>
    <w:rsid w:val="00AE3E13"/>
    <w:rsid w:val="00AE6A06"/>
    <w:rsid w:val="00AE6C91"/>
    <w:rsid w:val="00AE7C48"/>
    <w:rsid w:val="00AF021B"/>
    <w:rsid w:val="00AF075F"/>
    <w:rsid w:val="00AF097E"/>
    <w:rsid w:val="00AF18F1"/>
    <w:rsid w:val="00AF3DCB"/>
    <w:rsid w:val="00AF44EE"/>
    <w:rsid w:val="00AF5EBD"/>
    <w:rsid w:val="00B014DA"/>
    <w:rsid w:val="00B01538"/>
    <w:rsid w:val="00B021B3"/>
    <w:rsid w:val="00B0250B"/>
    <w:rsid w:val="00B04C31"/>
    <w:rsid w:val="00B06C2E"/>
    <w:rsid w:val="00B07830"/>
    <w:rsid w:val="00B103FC"/>
    <w:rsid w:val="00B10707"/>
    <w:rsid w:val="00B10894"/>
    <w:rsid w:val="00B11076"/>
    <w:rsid w:val="00B11AC9"/>
    <w:rsid w:val="00B1202B"/>
    <w:rsid w:val="00B12070"/>
    <w:rsid w:val="00B12678"/>
    <w:rsid w:val="00B15E18"/>
    <w:rsid w:val="00B174A6"/>
    <w:rsid w:val="00B17A2F"/>
    <w:rsid w:val="00B21CD4"/>
    <w:rsid w:val="00B23D40"/>
    <w:rsid w:val="00B251E9"/>
    <w:rsid w:val="00B25CBE"/>
    <w:rsid w:val="00B26EAD"/>
    <w:rsid w:val="00B2721E"/>
    <w:rsid w:val="00B2732A"/>
    <w:rsid w:val="00B27D75"/>
    <w:rsid w:val="00B30B73"/>
    <w:rsid w:val="00B30F32"/>
    <w:rsid w:val="00B311C0"/>
    <w:rsid w:val="00B314B1"/>
    <w:rsid w:val="00B315BA"/>
    <w:rsid w:val="00B33DA0"/>
    <w:rsid w:val="00B35FDE"/>
    <w:rsid w:val="00B404B2"/>
    <w:rsid w:val="00B410BF"/>
    <w:rsid w:val="00B42160"/>
    <w:rsid w:val="00B4275B"/>
    <w:rsid w:val="00B43BC5"/>
    <w:rsid w:val="00B458C8"/>
    <w:rsid w:val="00B474B2"/>
    <w:rsid w:val="00B505E4"/>
    <w:rsid w:val="00B50AA6"/>
    <w:rsid w:val="00B51427"/>
    <w:rsid w:val="00B51C88"/>
    <w:rsid w:val="00B52FD7"/>
    <w:rsid w:val="00B549B8"/>
    <w:rsid w:val="00B5562E"/>
    <w:rsid w:val="00B55E3C"/>
    <w:rsid w:val="00B5612B"/>
    <w:rsid w:val="00B60043"/>
    <w:rsid w:val="00B60A66"/>
    <w:rsid w:val="00B616F3"/>
    <w:rsid w:val="00B619BD"/>
    <w:rsid w:val="00B61FC4"/>
    <w:rsid w:val="00B62102"/>
    <w:rsid w:val="00B629EF"/>
    <w:rsid w:val="00B62E75"/>
    <w:rsid w:val="00B631B7"/>
    <w:rsid w:val="00B63C69"/>
    <w:rsid w:val="00B64BE9"/>
    <w:rsid w:val="00B654DB"/>
    <w:rsid w:val="00B6706B"/>
    <w:rsid w:val="00B71B25"/>
    <w:rsid w:val="00B737C0"/>
    <w:rsid w:val="00B737E7"/>
    <w:rsid w:val="00B73D63"/>
    <w:rsid w:val="00B75359"/>
    <w:rsid w:val="00B80607"/>
    <w:rsid w:val="00B80613"/>
    <w:rsid w:val="00B82810"/>
    <w:rsid w:val="00B8392E"/>
    <w:rsid w:val="00B84133"/>
    <w:rsid w:val="00B8529B"/>
    <w:rsid w:val="00B853A8"/>
    <w:rsid w:val="00B85E85"/>
    <w:rsid w:val="00B9044F"/>
    <w:rsid w:val="00B904BD"/>
    <w:rsid w:val="00B908D9"/>
    <w:rsid w:val="00B9331C"/>
    <w:rsid w:val="00B950B2"/>
    <w:rsid w:val="00B966E7"/>
    <w:rsid w:val="00B966F9"/>
    <w:rsid w:val="00BA0BB3"/>
    <w:rsid w:val="00BA11CD"/>
    <w:rsid w:val="00BA2BBD"/>
    <w:rsid w:val="00BA38E4"/>
    <w:rsid w:val="00BA6CD4"/>
    <w:rsid w:val="00BA7706"/>
    <w:rsid w:val="00BB1B85"/>
    <w:rsid w:val="00BB2518"/>
    <w:rsid w:val="00BB2FA0"/>
    <w:rsid w:val="00BB32EB"/>
    <w:rsid w:val="00BB74C9"/>
    <w:rsid w:val="00BC0733"/>
    <w:rsid w:val="00BC115C"/>
    <w:rsid w:val="00BC1969"/>
    <w:rsid w:val="00BC2B4C"/>
    <w:rsid w:val="00BC3353"/>
    <w:rsid w:val="00BC42C5"/>
    <w:rsid w:val="00BC4B9A"/>
    <w:rsid w:val="00BD0BE7"/>
    <w:rsid w:val="00BD1118"/>
    <w:rsid w:val="00BD11D9"/>
    <w:rsid w:val="00BD1E5D"/>
    <w:rsid w:val="00BD23BE"/>
    <w:rsid w:val="00BD5520"/>
    <w:rsid w:val="00BD5EF2"/>
    <w:rsid w:val="00BD6574"/>
    <w:rsid w:val="00BD67A1"/>
    <w:rsid w:val="00BD751F"/>
    <w:rsid w:val="00BE0128"/>
    <w:rsid w:val="00BE1393"/>
    <w:rsid w:val="00BE1C9F"/>
    <w:rsid w:val="00BE28F5"/>
    <w:rsid w:val="00BE3407"/>
    <w:rsid w:val="00BE3A89"/>
    <w:rsid w:val="00BE3D9D"/>
    <w:rsid w:val="00BE5861"/>
    <w:rsid w:val="00BE5DED"/>
    <w:rsid w:val="00BE60DA"/>
    <w:rsid w:val="00BE637D"/>
    <w:rsid w:val="00BE64A8"/>
    <w:rsid w:val="00BE6F3E"/>
    <w:rsid w:val="00BE763A"/>
    <w:rsid w:val="00BF068E"/>
    <w:rsid w:val="00BF0690"/>
    <w:rsid w:val="00BF45C0"/>
    <w:rsid w:val="00BF4B7F"/>
    <w:rsid w:val="00BF6BE0"/>
    <w:rsid w:val="00C00651"/>
    <w:rsid w:val="00C00FD4"/>
    <w:rsid w:val="00C021AC"/>
    <w:rsid w:val="00C02B9B"/>
    <w:rsid w:val="00C041CB"/>
    <w:rsid w:val="00C05D83"/>
    <w:rsid w:val="00C07730"/>
    <w:rsid w:val="00C079FA"/>
    <w:rsid w:val="00C101E8"/>
    <w:rsid w:val="00C1081E"/>
    <w:rsid w:val="00C10AA9"/>
    <w:rsid w:val="00C1411C"/>
    <w:rsid w:val="00C15E5A"/>
    <w:rsid w:val="00C168BA"/>
    <w:rsid w:val="00C2031F"/>
    <w:rsid w:val="00C205D4"/>
    <w:rsid w:val="00C22903"/>
    <w:rsid w:val="00C229A7"/>
    <w:rsid w:val="00C22B11"/>
    <w:rsid w:val="00C2483F"/>
    <w:rsid w:val="00C25F85"/>
    <w:rsid w:val="00C27130"/>
    <w:rsid w:val="00C27984"/>
    <w:rsid w:val="00C300A5"/>
    <w:rsid w:val="00C32CAD"/>
    <w:rsid w:val="00C353D2"/>
    <w:rsid w:val="00C40FA9"/>
    <w:rsid w:val="00C4253D"/>
    <w:rsid w:val="00C43A21"/>
    <w:rsid w:val="00C44726"/>
    <w:rsid w:val="00C44D5D"/>
    <w:rsid w:val="00C44FDB"/>
    <w:rsid w:val="00C45923"/>
    <w:rsid w:val="00C4662C"/>
    <w:rsid w:val="00C475C3"/>
    <w:rsid w:val="00C47663"/>
    <w:rsid w:val="00C50AA8"/>
    <w:rsid w:val="00C529BB"/>
    <w:rsid w:val="00C54F59"/>
    <w:rsid w:val="00C557A3"/>
    <w:rsid w:val="00C57653"/>
    <w:rsid w:val="00C57CB9"/>
    <w:rsid w:val="00C620E6"/>
    <w:rsid w:val="00C65144"/>
    <w:rsid w:val="00C656E7"/>
    <w:rsid w:val="00C7094F"/>
    <w:rsid w:val="00C70A17"/>
    <w:rsid w:val="00C70CF0"/>
    <w:rsid w:val="00C719C6"/>
    <w:rsid w:val="00C72879"/>
    <w:rsid w:val="00C72C6D"/>
    <w:rsid w:val="00C72DF1"/>
    <w:rsid w:val="00C72EE7"/>
    <w:rsid w:val="00C7358F"/>
    <w:rsid w:val="00C73724"/>
    <w:rsid w:val="00C74B6A"/>
    <w:rsid w:val="00C7515F"/>
    <w:rsid w:val="00C75731"/>
    <w:rsid w:val="00C75B0B"/>
    <w:rsid w:val="00C7645C"/>
    <w:rsid w:val="00C766A1"/>
    <w:rsid w:val="00C775D5"/>
    <w:rsid w:val="00C801FE"/>
    <w:rsid w:val="00C80E3F"/>
    <w:rsid w:val="00C819B8"/>
    <w:rsid w:val="00C860B4"/>
    <w:rsid w:val="00C87F5D"/>
    <w:rsid w:val="00C90BE7"/>
    <w:rsid w:val="00C91026"/>
    <w:rsid w:val="00C920D5"/>
    <w:rsid w:val="00C9787B"/>
    <w:rsid w:val="00C97945"/>
    <w:rsid w:val="00CA1911"/>
    <w:rsid w:val="00CA2477"/>
    <w:rsid w:val="00CA2750"/>
    <w:rsid w:val="00CA6124"/>
    <w:rsid w:val="00CB0486"/>
    <w:rsid w:val="00CB27E7"/>
    <w:rsid w:val="00CB2A0A"/>
    <w:rsid w:val="00CB2C23"/>
    <w:rsid w:val="00CB4772"/>
    <w:rsid w:val="00CB7251"/>
    <w:rsid w:val="00CC1B50"/>
    <w:rsid w:val="00CC3F81"/>
    <w:rsid w:val="00CC6E80"/>
    <w:rsid w:val="00CC7190"/>
    <w:rsid w:val="00CD19F4"/>
    <w:rsid w:val="00CD2467"/>
    <w:rsid w:val="00CD55EA"/>
    <w:rsid w:val="00CE1323"/>
    <w:rsid w:val="00CE265B"/>
    <w:rsid w:val="00CE2A28"/>
    <w:rsid w:val="00CE2E45"/>
    <w:rsid w:val="00CE782C"/>
    <w:rsid w:val="00CE7F87"/>
    <w:rsid w:val="00CF0060"/>
    <w:rsid w:val="00CF02EC"/>
    <w:rsid w:val="00CF1AEF"/>
    <w:rsid w:val="00CF1E15"/>
    <w:rsid w:val="00CF2841"/>
    <w:rsid w:val="00CF3E53"/>
    <w:rsid w:val="00CF41AB"/>
    <w:rsid w:val="00CF4C19"/>
    <w:rsid w:val="00CF5486"/>
    <w:rsid w:val="00CF58B3"/>
    <w:rsid w:val="00CF5FBF"/>
    <w:rsid w:val="00D001C3"/>
    <w:rsid w:val="00D009E9"/>
    <w:rsid w:val="00D0251C"/>
    <w:rsid w:val="00D02AC4"/>
    <w:rsid w:val="00D0367F"/>
    <w:rsid w:val="00D07D91"/>
    <w:rsid w:val="00D120C6"/>
    <w:rsid w:val="00D15A59"/>
    <w:rsid w:val="00D15C9A"/>
    <w:rsid w:val="00D16FC2"/>
    <w:rsid w:val="00D20286"/>
    <w:rsid w:val="00D2046A"/>
    <w:rsid w:val="00D20F76"/>
    <w:rsid w:val="00D223E0"/>
    <w:rsid w:val="00D22B73"/>
    <w:rsid w:val="00D24D1E"/>
    <w:rsid w:val="00D25BEB"/>
    <w:rsid w:val="00D25CA6"/>
    <w:rsid w:val="00D25EF3"/>
    <w:rsid w:val="00D2609A"/>
    <w:rsid w:val="00D26179"/>
    <w:rsid w:val="00D26453"/>
    <w:rsid w:val="00D27C96"/>
    <w:rsid w:val="00D27CC0"/>
    <w:rsid w:val="00D27E7D"/>
    <w:rsid w:val="00D30BD6"/>
    <w:rsid w:val="00D31D8E"/>
    <w:rsid w:val="00D34858"/>
    <w:rsid w:val="00D363CD"/>
    <w:rsid w:val="00D37962"/>
    <w:rsid w:val="00D41741"/>
    <w:rsid w:val="00D41A1A"/>
    <w:rsid w:val="00D42E70"/>
    <w:rsid w:val="00D45B96"/>
    <w:rsid w:val="00D461E0"/>
    <w:rsid w:val="00D474B1"/>
    <w:rsid w:val="00D47A9F"/>
    <w:rsid w:val="00D5065E"/>
    <w:rsid w:val="00D50DBE"/>
    <w:rsid w:val="00D518B5"/>
    <w:rsid w:val="00D5342D"/>
    <w:rsid w:val="00D54A76"/>
    <w:rsid w:val="00D55AFF"/>
    <w:rsid w:val="00D560AA"/>
    <w:rsid w:val="00D56139"/>
    <w:rsid w:val="00D602B5"/>
    <w:rsid w:val="00D61736"/>
    <w:rsid w:val="00D622C9"/>
    <w:rsid w:val="00D6275D"/>
    <w:rsid w:val="00D639D4"/>
    <w:rsid w:val="00D648D0"/>
    <w:rsid w:val="00D64F7F"/>
    <w:rsid w:val="00D65D98"/>
    <w:rsid w:val="00D671BD"/>
    <w:rsid w:val="00D671DF"/>
    <w:rsid w:val="00D7145E"/>
    <w:rsid w:val="00D7174E"/>
    <w:rsid w:val="00D71752"/>
    <w:rsid w:val="00D72A2A"/>
    <w:rsid w:val="00D74D64"/>
    <w:rsid w:val="00D7518D"/>
    <w:rsid w:val="00D75DC0"/>
    <w:rsid w:val="00D84F01"/>
    <w:rsid w:val="00D86025"/>
    <w:rsid w:val="00D862A0"/>
    <w:rsid w:val="00D86437"/>
    <w:rsid w:val="00D86537"/>
    <w:rsid w:val="00D90A03"/>
    <w:rsid w:val="00D9167C"/>
    <w:rsid w:val="00D91CCC"/>
    <w:rsid w:val="00D92B6E"/>
    <w:rsid w:val="00D92E41"/>
    <w:rsid w:val="00D93408"/>
    <w:rsid w:val="00D948EE"/>
    <w:rsid w:val="00DA212B"/>
    <w:rsid w:val="00DA2B2C"/>
    <w:rsid w:val="00DA3628"/>
    <w:rsid w:val="00DA4C52"/>
    <w:rsid w:val="00DB1F89"/>
    <w:rsid w:val="00DB2AF7"/>
    <w:rsid w:val="00DB2F09"/>
    <w:rsid w:val="00DB33B1"/>
    <w:rsid w:val="00DB3716"/>
    <w:rsid w:val="00DB4E9C"/>
    <w:rsid w:val="00DB6666"/>
    <w:rsid w:val="00DB6849"/>
    <w:rsid w:val="00DB724C"/>
    <w:rsid w:val="00DB7D6B"/>
    <w:rsid w:val="00DC0A89"/>
    <w:rsid w:val="00DC14EE"/>
    <w:rsid w:val="00DC2423"/>
    <w:rsid w:val="00DC3ADD"/>
    <w:rsid w:val="00DC3AE2"/>
    <w:rsid w:val="00DC3BB2"/>
    <w:rsid w:val="00DC46C4"/>
    <w:rsid w:val="00DC4E90"/>
    <w:rsid w:val="00DC5125"/>
    <w:rsid w:val="00DC69E2"/>
    <w:rsid w:val="00DC7DF5"/>
    <w:rsid w:val="00DD0F3E"/>
    <w:rsid w:val="00DD30BF"/>
    <w:rsid w:val="00DD59FC"/>
    <w:rsid w:val="00DD5A0C"/>
    <w:rsid w:val="00DE0DA0"/>
    <w:rsid w:val="00DE51FC"/>
    <w:rsid w:val="00DE79A9"/>
    <w:rsid w:val="00DF0153"/>
    <w:rsid w:val="00DF199C"/>
    <w:rsid w:val="00DF4058"/>
    <w:rsid w:val="00DF4DAE"/>
    <w:rsid w:val="00DF5F97"/>
    <w:rsid w:val="00DF6BDB"/>
    <w:rsid w:val="00E003BF"/>
    <w:rsid w:val="00E013F0"/>
    <w:rsid w:val="00E03A90"/>
    <w:rsid w:val="00E05E4C"/>
    <w:rsid w:val="00E11720"/>
    <w:rsid w:val="00E11EF9"/>
    <w:rsid w:val="00E13D78"/>
    <w:rsid w:val="00E1494E"/>
    <w:rsid w:val="00E14FEB"/>
    <w:rsid w:val="00E15D0A"/>
    <w:rsid w:val="00E15D5D"/>
    <w:rsid w:val="00E169E8"/>
    <w:rsid w:val="00E17674"/>
    <w:rsid w:val="00E2013D"/>
    <w:rsid w:val="00E20D57"/>
    <w:rsid w:val="00E217EC"/>
    <w:rsid w:val="00E23988"/>
    <w:rsid w:val="00E24AD7"/>
    <w:rsid w:val="00E24ECC"/>
    <w:rsid w:val="00E24F57"/>
    <w:rsid w:val="00E250AE"/>
    <w:rsid w:val="00E25631"/>
    <w:rsid w:val="00E312E3"/>
    <w:rsid w:val="00E31D5C"/>
    <w:rsid w:val="00E37123"/>
    <w:rsid w:val="00E37B66"/>
    <w:rsid w:val="00E417E3"/>
    <w:rsid w:val="00E4186E"/>
    <w:rsid w:val="00E42301"/>
    <w:rsid w:val="00E4290E"/>
    <w:rsid w:val="00E42F54"/>
    <w:rsid w:val="00E44CD0"/>
    <w:rsid w:val="00E44F93"/>
    <w:rsid w:val="00E4522C"/>
    <w:rsid w:val="00E466A6"/>
    <w:rsid w:val="00E47259"/>
    <w:rsid w:val="00E523B2"/>
    <w:rsid w:val="00E53955"/>
    <w:rsid w:val="00E5490B"/>
    <w:rsid w:val="00E56C46"/>
    <w:rsid w:val="00E5776D"/>
    <w:rsid w:val="00E602E1"/>
    <w:rsid w:val="00E603B4"/>
    <w:rsid w:val="00E6086B"/>
    <w:rsid w:val="00E61A24"/>
    <w:rsid w:val="00E61CF5"/>
    <w:rsid w:val="00E61F28"/>
    <w:rsid w:val="00E62A70"/>
    <w:rsid w:val="00E65168"/>
    <w:rsid w:val="00E6593B"/>
    <w:rsid w:val="00E66D4D"/>
    <w:rsid w:val="00E710A5"/>
    <w:rsid w:val="00E71B97"/>
    <w:rsid w:val="00E72EE9"/>
    <w:rsid w:val="00E7355C"/>
    <w:rsid w:val="00E749C2"/>
    <w:rsid w:val="00E75120"/>
    <w:rsid w:val="00E76C8C"/>
    <w:rsid w:val="00E7744D"/>
    <w:rsid w:val="00E803DE"/>
    <w:rsid w:val="00E80767"/>
    <w:rsid w:val="00E8121A"/>
    <w:rsid w:val="00E81EC8"/>
    <w:rsid w:val="00E8248F"/>
    <w:rsid w:val="00E827AE"/>
    <w:rsid w:val="00E845CE"/>
    <w:rsid w:val="00E84A3F"/>
    <w:rsid w:val="00E8680D"/>
    <w:rsid w:val="00E869C7"/>
    <w:rsid w:val="00E8707B"/>
    <w:rsid w:val="00E903C4"/>
    <w:rsid w:val="00E9495E"/>
    <w:rsid w:val="00E95664"/>
    <w:rsid w:val="00E9604A"/>
    <w:rsid w:val="00E975B3"/>
    <w:rsid w:val="00E976BC"/>
    <w:rsid w:val="00E97E20"/>
    <w:rsid w:val="00EA01DE"/>
    <w:rsid w:val="00EA12C7"/>
    <w:rsid w:val="00EA1588"/>
    <w:rsid w:val="00EA16AB"/>
    <w:rsid w:val="00EA20B5"/>
    <w:rsid w:val="00EA2DDF"/>
    <w:rsid w:val="00EA4886"/>
    <w:rsid w:val="00EA4F06"/>
    <w:rsid w:val="00EB04B0"/>
    <w:rsid w:val="00EB1853"/>
    <w:rsid w:val="00EB3068"/>
    <w:rsid w:val="00EB472F"/>
    <w:rsid w:val="00EB4C08"/>
    <w:rsid w:val="00EB65ED"/>
    <w:rsid w:val="00EB6BB0"/>
    <w:rsid w:val="00EB6DEF"/>
    <w:rsid w:val="00EB7A1C"/>
    <w:rsid w:val="00EB7F36"/>
    <w:rsid w:val="00EC06B9"/>
    <w:rsid w:val="00EC160D"/>
    <w:rsid w:val="00EC19BC"/>
    <w:rsid w:val="00EC2B86"/>
    <w:rsid w:val="00EC507F"/>
    <w:rsid w:val="00EC5DE5"/>
    <w:rsid w:val="00EC733C"/>
    <w:rsid w:val="00EC7B14"/>
    <w:rsid w:val="00ED2505"/>
    <w:rsid w:val="00ED29E5"/>
    <w:rsid w:val="00ED3E15"/>
    <w:rsid w:val="00ED4539"/>
    <w:rsid w:val="00ED54F8"/>
    <w:rsid w:val="00ED5B94"/>
    <w:rsid w:val="00ED5C43"/>
    <w:rsid w:val="00ED5D18"/>
    <w:rsid w:val="00ED655C"/>
    <w:rsid w:val="00ED74D1"/>
    <w:rsid w:val="00EE0138"/>
    <w:rsid w:val="00EE16FF"/>
    <w:rsid w:val="00EE170D"/>
    <w:rsid w:val="00EE2173"/>
    <w:rsid w:val="00EE367B"/>
    <w:rsid w:val="00EE53BA"/>
    <w:rsid w:val="00EE5A0F"/>
    <w:rsid w:val="00EE5CB9"/>
    <w:rsid w:val="00EE6819"/>
    <w:rsid w:val="00EE6C6C"/>
    <w:rsid w:val="00EF10EA"/>
    <w:rsid w:val="00EF15CA"/>
    <w:rsid w:val="00EF1B3E"/>
    <w:rsid w:val="00EF37AD"/>
    <w:rsid w:val="00EF4501"/>
    <w:rsid w:val="00EF5B05"/>
    <w:rsid w:val="00EF63D8"/>
    <w:rsid w:val="00EF66DC"/>
    <w:rsid w:val="00EF6B3C"/>
    <w:rsid w:val="00EF7C49"/>
    <w:rsid w:val="00EF7CEE"/>
    <w:rsid w:val="00F00E08"/>
    <w:rsid w:val="00F01821"/>
    <w:rsid w:val="00F0191E"/>
    <w:rsid w:val="00F01D9C"/>
    <w:rsid w:val="00F02B08"/>
    <w:rsid w:val="00F02DAA"/>
    <w:rsid w:val="00F03579"/>
    <w:rsid w:val="00F03A34"/>
    <w:rsid w:val="00F04510"/>
    <w:rsid w:val="00F060E1"/>
    <w:rsid w:val="00F06102"/>
    <w:rsid w:val="00F07122"/>
    <w:rsid w:val="00F07FCC"/>
    <w:rsid w:val="00F108EA"/>
    <w:rsid w:val="00F11288"/>
    <w:rsid w:val="00F12153"/>
    <w:rsid w:val="00F15E9E"/>
    <w:rsid w:val="00F2080C"/>
    <w:rsid w:val="00F20F6D"/>
    <w:rsid w:val="00F2147B"/>
    <w:rsid w:val="00F216E4"/>
    <w:rsid w:val="00F216FD"/>
    <w:rsid w:val="00F2293D"/>
    <w:rsid w:val="00F231EB"/>
    <w:rsid w:val="00F23E97"/>
    <w:rsid w:val="00F24E4B"/>
    <w:rsid w:val="00F24F2E"/>
    <w:rsid w:val="00F2554D"/>
    <w:rsid w:val="00F27698"/>
    <w:rsid w:val="00F27B04"/>
    <w:rsid w:val="00F30002"/>
    <w:rsid w:val="00F31583"/>
    <w:rsid w:val="00F316E1"/>
    <w:rsid w:val="00F31FD2"/>
    <w:rsid w:val="00F326F6"/>
    <w:rsid w:val="00F33A3A"/>
    <w:rsid w:val="00F35B98"/>
    <w:rsid w:val="00F4212A"/>
    <w:rsid w:val="00F423FF"/>
    <w:rsid w:val="00F42F85"/>
    <w:rsid w:val="00F43731"/>
    <w:rsid w:val="00F4454E"/>
    <w:rsid w:val="00F449AC"/>
    <w:rsid w:val="00F4773E"/>
    <w:rsid w:val="00F4789D"/>
    <w:rsid w:val="00F47CA0"/>
    <w:rsid w:val="00F47F2E"/>
    <w:rsid w:val="00F50213"/>
    <w:rsid w:val="00F50A37"/>
    <w:rsid w:val="00F50BD6"/>
    <w:rsid w:val="00F50D74"/>
    <w:rsid w:val="00F513FC"/>
    <w:rsid w:val="00F51A85"/>
    <w:rsid w:val="00F551BA"/>
    <w:rsid w:val="00F5520B"/>
    <w:rsid w:val="00F5582C"/>
    <w:rsid w:val="00F6112E"/>
    <w:rsid w:val="00F61437"/>
    <w:rsid w:val="00F625AC"/>
    <w:rsid w:val="00F64143"/>
    <w:rsid w:val="00F64C81"/>
    <w:rsid w:val="00F65CD4"/>
    <w:rsid w:val="00F65D5E"/>
    <w:rsid w:val="00F667C5"/>
    <w:rsid w:val="00F66A55"/>
    <w:rsid w:val="00F719A0"/>
    <w:rsid w:val="00F73ECA"/>
    <w:rsid w:val="00F75943"/>
    <w:rsid w:val="00F76C49"/>
    <w:rsid w:val="00F771D5"/>
    <w:rsid w:val="00F77696"/>
    <w:rsid w:val="00F81C66"/>
    <w:rsid w:val="00F81E98"/>
    <w:rsid w:val="00F82B27"/>
    <w:rsid w:val="00F82C8B"/>
    <w:rsid w:val="00F8361A"/>
    <w:rsid w:val="00F84A86"/>
    <w:rsid w:val="00F854E2"/>
    <w:rsid w:val="00F87DAF"/>
    <w:rsid w:val="00F948A5"/>
    <w:rsid w:val="00F95C98"/>
    <w:rsid w:val="00F965C4"/>
    <w:rsid w:val="00F97230"/>
    <w:rsid w:val="00FA1337"/>
    <w:rsid w:val="00FA3D7A"/>
    <w:rsid w:val="00FA4181"/>
    <w:rsid w:val="00FA444F"/>
    <w:rsid w:val="00FA4632"/>
    <w:rsid w:val="00FA47B7"/>
    <w:rsid w:val="00FA653D"/>
    <w:rsid w:val="00FA6CCA"/>
    <w:rsid w:val="00FA744A"/>
    <w:rsid w:val="00FB08C5"/>
    <w:rsid w:val="00FB2576"/>
    <w:rsid w:val="00FB277B"/>
    <w:rsid w:val="00FB2807"/>
    <w:rsid w:val="00FB3046"/>
    <w:rsid w:val="00FB3B8B"/>
    <w:rsid w:val="00FB52B7"/>
    <w:rsid w:val="00FB6775"/>
    <w:rsid w:val="00FB7553"/>
    <w:rsid w:val="00FB7A7F"/>
    <w:rsid w:val="00FB7D93"/>
    <w:rsid w:val="00FC11C3"/>
    <w:rsid w:val="00FC1799"/>
    <w:rsid w:val="00FC1D7D"/>
    <w:rsid w:val="00FC2130"/>
    <w:rsid w:val="00FC2FCC"/>
    <w:rsid w:val="00FC312A"/>
    <w:rsid w:val="00FC3EE7"/>
    <w:rsid w:val="00FC45BC"/>
    <w:rsid w:val="00FC50A8"/>
    <w:rsid w:val="00FC59BA"/>
    <w:rsid w:val="00FC5AD6"/>
    <w:rsid w:val="00FC6E74"/>
    <w:rsid w:val="00FC7239"/>
    <w:rsid w:val="00FD0E87"/>
    <w:rsid w:val="00FD1392"/>
    <w:rsid w:val="00FD25B5"/>
    <w:rsid w:val="00FD34CD"/>
    <w:rsid w:val="00FD4965"/>
    <w:rsid w:val="00FD5159"/>
    <w:rsid w:val="00FE2AC5"/>
    <w:rsid w:val="00FE2D88"/>
    <w:rsid w:val="00FE39FA"/>
    <w:rsid w:val="00FE3CB7"/>
    <w:rsid w:val="00FE4C7F"/>
    <w:rsid w:val="00FE5FAA"/>
    <w:rsid w:val="00FE620D"/>
    <w:rsid w:val="00FE63CB"/>
    <w:rsid w:val="00FE7E31"/>
    <w:rsid w:val="00FF2153"/>
    <w:rsid w:val="00FF2F60"/>
    <w:rsid w:val="00FF364E"/>
    <w:rsid w:val="00FF3BB0"/>
    <w:rsid w:val="00FF3E82"/>
    <w:rsid w:val="00FF4AE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988491E"/>
  <w14:defaultImageDpi w14:val="32767"/>
  <w15:docId w15:val="{409E0A54-78CD-5C4B-91D5-9CCEB24C1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4F93"/>
    <w:pPr>
      <w:keepNext/>
      <w:keepLines/>
      <w:numPr>
        <w:numId w:val="8"/>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458C8"/>
    <w:pPr>
      <w:keepNext/>
      <w:keepLines/>
      <w:numPr>
        <w:ilvl w:val="1"/>
        <w:numId w:val="8"/>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F746D"/>
    <w:pPr>
      <w:keepNext/>
      <w:keepLines/>
      <w:numPr>
        <w:ilvl w:val="2"/>
        <w:numId w:val="8"/>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5C2C1D"/>
    <w:pPr>
      <w:keepNext/>
      <w:keepLines/>
      <w:numPr>
        <w:ilvl w:val="3"/>
        <w:numId w:val="8"/>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C2C1D"/>
    <w:pPr>
      <w:keepNext/>
      <w:keepLines/>
      <w:numPr>
        <w:ilvl w:val="4"/>
        <w:numId w:val="8"/>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C2C1D"/>
    <w:pPr>
      <w:keepNext/>
      <w:keepLines/>
      <w:numPr>
        <w:ilvl w:val="5"/>
        <w:numId w:val="8"/>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C2C1D"/>
    <w:pPr>
      <w:keepNext/>
      <w:keepLines/>
      <w:numPr>
        <w:ilvl w:val="6"/>
        <w:numId w:val="8"/>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C2C1D"/>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C2C1D"/>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44F9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4F93"/>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44F9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E44F93"/>
    <w:pPr>
      <w:ind w:left="720"/>
      <w:contextualSpacing/>
    </w:pPr>
  </w:style>
  <w:style w:type="character" w:customStyle="1" w:styleId="Heading2Char">
    <w:name w:val="Heading 2 Char"/>
    <w:basedOn w:val="DefaultParagraphFont"/>
    <w:link w:val="Heading2"/>
    <w:uiPriority w:val="9"/>
    <w:rsid w:val="00B458C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F746D"/>
    <w:rPr>
      <w:rFonts w:asciiTheme="majorHAnsi" w:eastAsiaTheme="majorEastAsia" w:hAnsiTheme="majorHAnsi" w:cstheme="majorBidi"/>
      <w:color w:val="1F3763" w:themeColor="accent1" w:themeShade="7F"/>
    </w:rPr>
  </w:style>
  <w:style w:type="character" w:styleId="CommentReference">
    <w:name w:val="annotation reference"/>
    <w:basedOn w:val="DefaultParagraphFont"/>
    <w:uiPriority w:val="99"/>
    <w:semiHidden/>
    <w:unhideWhenUsed/>
    <w:rsid w:val="00FC3EE7"/>
    <w:rPr>
      <w:sz w:val="16"/>
      <w:szCs w:val="16"/>
    </w:rPr>
  </w:style>
  <w:style w:type="paragraph" w:styleId="CommentText">
    <w:name w:val="annotation text"/>
    <w:basedOn w:val="Normal"/>
    <w:link w:val="CommentTextChar"/>
    <w:uiPriority w:val="99"/>
    <w:semiHidden/>
    <w:unhideWhenUsed/>
    <w:rsid w:val="00FC3EE7"/>
    <w:rPr>
      <w:sz w:val="20"/>
      <w:szCs w:val="20"/>
    </w:rPr>
  </w:style>
  <w:style w:type="character" w:customStyle="1" w:styleId="CommentTextChar">
    <w:name w:val="Comment Text Char"/>
    <w:basedOn w:val="DefaultParagraphFont"/>
    <w:link w:val="CommentText"/>
    <w:uiPriority w:val="99"/>
    <w:semiHidden/>
    <w:rsid w:val="00FC3EE7"/>
    <w:rPr>
      <w:sz w:val="20"/>
      <w:szCs w:val="20"/>
    </w:rPr>
  </w:style>
  <w:style w:type="paragraph" w:styleId="CommentSubject">
    <w:name w:val="annotation subject"/>
    <w:basedOn w:val="CommentText"/>
    <w:next w:val="CommentText"/>
    <w:link w:val="CommentSubjectChar"/>
    <w:uiPriority w:val="99"/>
    <w:semiHidden/>
    <w:unhideWhenUsed/>
    <w:rsid w:val="00FC3EE7"/>
    <w:rPr>
      <w:b/>
      <w:bCs/>
    </w:rPr>
  </w:style>
  <w:style w:type="character" w:customStyle="1" w:styleId="CommentSubjectChar">
    <w:name w:val="Comment Subject Char"/>
    <w:basedOn w:val="CommentTextChar"/>
    <w:link w:val="CommentSubject"/>
    <w:uiPriority w:val="99"/>
    <w:semiHidden/>
    <w:rsid w:val="00FC3EE7"/>
    <w:rPr>
      <w:b/>
      <w:bCs/>
      <w:sz w:val="20"/>
      <w:szCs w:val="20"/>
    </w:rPr>
  </w:style>
  <w:style w:type="paragraph" w:styleId="BalloonText">
    <w:name w:val="Balloon Text"/>
    <w:basedOn w:val="Normal"/>
    <w:link w:val="BalloonTextChar"/>
    <w:uiPriority w:val="99"/>
    <w:semiHidden/>
    <w:unhideWhenUsed/>
    <w:rsid w:val="00FC3EE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C3EE7"/>
    <w:rPr>
      <w:rFonts w:ascii="Times New Roman" w:hAnsi="Times New Roman" w:cs="Times New Roman"/>
      <w:sz w:val="18"/>
      <w:szCs w:val="18"/>
    </w:rPr>
  </w:style>
  <w:style w:type="paragraph" w:styleId="NormalWeb">
    <w:name w:val="Normal (Web)"/>
    <w:basedOn w:val="Normal"/>
    <w:uiPriority w:val="99"/>
    <w:semiHidden/>
    <w:unhideWhenUsed/>
    <w:rsid w:val="00EA12C7"/>
    <w:pPr>
      <w:spacing w:before="100" w:beforeAutospacing="1" w:after="100" w:afterAutospacing="1"/>
    </w:pPr>
    <w:rPr>
      <w:rFonts w:ascii="Times New Roman" w:eastAsia="Times New Roman" w:hAnsi="Times New Roman" w:cs="Times New Roman"/>
    </w:rPr>
  </w:style>
  <w:style w:type="paragraph" w:styleId="EndnoteText">
    <w:name w:val="endnote text"/>
    <w:basedOn w:val="Normal"/>
    <w:link w:val="EndnoteTextChar"/>
    <w:uiPriority w:val="99"/>
    <w:semiHidden/>
    <w:unhideWhenUsed/>
    <w:rsid w:val="007937C7"/>
    <w:rPr>
      <w:sz w:val="20"/>
      <w:szCs w:val="20"/>
    </w:rPr>
  </w:style>
  <w:style w:type="character" w:customStyle="1" w:styleId="EndnoteTextChar">
    <w:name w:val="Endnote Text Char"/>
    <w:basedOn w:val="DefaultParagraphFont"/>
    <w:link w:val="EndnoteText"/>
    <w:uiPriority w:val="99"/>
    <w:semiHidden/>
    <w:rsid w:val="007937C7"/>
    <w:rPr>
      <w:sz w:val="20"/>
      <w:szCs w:val="20"/>
    </w:rPr>
  </w:style>
  <w:style w:type="character" w:styleId="EndnoteReference">
    <w:name w:val="endnote reference"/>
    <w:basedOn w:val="DefaultParagraphFont"/>
    <w:uiPriority w:val="99"/>
    <w:semiHidden/>
    <w:unhideWhenUsed/>
    <w:rsid w:val="007937C7"/>
    <w:rPr>
      <w:vertAlign w:val="superscript"/>
    </w:rPr>
  </w:style>
  <w:style w:type="character" w:styleId="LineNumber">
    <w:name w:val="line number"/>
    <w:basedOn w:val="DefaultParagraphFont"/>
    <w:uiPriority w:val="99"/>
    <w:semiHidden/>
    <w:unhideWhenUsed/>
    <w:rsid w:val="009670CD"/>
  </w:style>
  <w:style w:type="character" w:customStyle="1" w:styleId="Heading4Char">
    <w:name w:val="Heading 4 Char"/>
    <w:basedOn w:val="DefaultParagraphFont"/>
    <w:link w:val="Heading4"/>
    <w:uiPriority w:val="9"/>
    <w:semiHidden/>
    <w:rsid w:val="005C2C1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C2C1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C2C1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C2C1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C2C1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C2C1D"/>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D2046A"/>
  </w:style>
  <w:style w:type="character" w:styleId="PlaceholderText">
    <w:name w:val="Placeholder Text"/>
    <w:basedOn w:val="DefaultParagraphFont"/>
    <w:uiPriority w:val="99"/>
    <w:semiHidden/>
    <w:rsid w:val="00C920D5"/>
    <w:rPr>
      <w:color w:val="808080"/>
    </w:rPr>
  </w:style>
  <w:style w:type="character" w:styleId="Hyperlink">
    <w:name w:val="Hyperlink"/>
    <w:basedOn w:val="DefaultParagraphFont"/>
    <w:uiPriority w:val="99"/>
    <w:unhideWhenUsed/>
    <w:rsid w:val="0054452E"/>
    <w:rPr>
      <w:color w:val="0563C1" w:themeColor="hyperlink"/>
      <w:u w:val="single"/>
    </w:rPr>
  </w:style>
  <w:style w:type="character" w:styleId="FollowedHyperlink">
    <w:name w:val="FollowedHyperlink"/>
    <w:basedOn w:val="DefaultParagraphFont"/>
    <w:uiPriority w:val="99"/>
    <w:semiHidden/>
    <w:unhideWhenUsed/>
    <w:rsid w:val="009C12CE"/>
    <w:rPr>
      <w:color w:val="954F72" w:themeColor="followedHyperlink"/>
      <w:u w:val="single"/>
    </w:rPr>
  </w:style>
  <w:style w:type="table" w:styleId="TableGrid">
    <w:name w:val="Table Grid"/>
    <w:basedOn w:val="TableNormal"/>
    <w:uiPriority w:val="39"/>
    <w:rsid w:val="00555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55530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unhideWhenUsed/>
    <w:rsid w:val="00255789"/>
    <w:rPr>
      <w:color w:val="605E5C"/>
      <w:shd w:val="clear" w:color="auto" w:fill="E1DFDD"/>
    </w:rPr>
  </w:style>
  <w:style w:type="character" w:customStyle="1" w:styleId="apple-converted-space">
    <w:name w:val="apple-converted-space"/>
    <w:basedOn w:val="DefaultParagraphFont"/>
    <w:rsid w:val="006E59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91658">
      <w:bodyDiv w:val="1"/>
      <w:marLeft w:val="0"/>
      <w:marRight w:val="0"/>
      <w:marTop w:val="0"/>
      <w:marBottom w:val="0"/>
      <w:divBdr>
        <w:top w:val="none" w:sz="0" w:space="0" w:color="auto"/>
        <w:left w:val="none" w:sz="0" w:space="0" w:color="auto"/>
        <w:bottom w:val="none" w:sz="0" w:space="0" w:color="auto"/>
        <w:right w:val="none" w:sz="0" w:space="0" w:color="auto"/>
      </w:divBdr>
      <w:divsChild>
        <w:div w:id="1874727367">
          <w:marLeft w:val="0"/>
          <w:marRight w:val="0"/>
          <w:marTop w:val="0"/>
          <w:marBottom w:val="0"/>
          <w:divBdr>
            <w:top w:val="none" w:sz="0" w:space="0" w:color="auto"/>
            <w:left w:val="none" w:sz="0" w:space="0" w:color="auto"/>
            <w:bottom w:val="none" w:sz="0" w:space="0" w:color="auto"/>
            <w:right w:val="none" w:sz="0" w:space="0" w:color="auto"/>
          </w:divBdr>
          <w:divsChild>
            <w:div w:id="925460924">
              <w:marLeft w:val="0"/>
              <w:marRight w:val="0"/>
              <w:marTop w:val="0"/>
              <w:marBottom w:val="0"/>
              <w:divBdr>
                <w:top w:val="none" w:sz="0" w:space="0" w:color="auto"/>
                <w:left w:val="none" w:sz="0" w:space="0" w:color="auto"/>
                <w:bottom w:val="none" w:sz="0" w:space="0" w:color="auto"/>
                <w:right w:val="none" w:sz="0" w:space="0" w:color="auto"/>
              </w:divBdr>
              <w:divsChild>
                <w:div w:id="190560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7311">
      <w:bodyDiv w:val="1"/>
      <w:marLeft w:val="0"/>
      <w:marRight w:val="0"/>
      <w:marTop w:val="0"/>
      <w:marBottom w:val="0"/>
      <w:divBdr>
        <w:top w:val="none" w:sz="0" w:space="0" w:color="auto"/>
        <w:left w:val="none" w:sz="0" w:space="0" w:color="auto"/>
        <w:bottom w:val="none" w:sz="0" w:space="0" w:color="auto"/>
        <w:right w:val="none" w:sz="0" w:space="0" w:color="auto"/>
      </w:divBdr>
    </w:div>
    <w:div w:id="186798556">
      <w:bodyDiv w:val="1"/>
      <w:marLeft w:val="0"/>
      <w:marRight w:val="0"/>
      <w:marTop w:val="0"/>
      <w:marBottom w:val="0"/>
      <w:divBdr>
        <w:top w:val="none" w:sz="0" w:space="0" w:color="auto"/>
        <w:left w:val="none" w:sz="0" w:space="0" w:color="auto"/>
        <w:bottom w:val="none" w:sz="0" w:space="0" w:color="auto"/>
        <w:right w:val="none" w:sz="0" w:space="0" w:color="auto"/>
      </w:divBdr>
    </w:div>
    <w:div w:id="196045929">
      <w:bodyDiv w:val="1"/>
      <w:marLeft w:val="0"/>
      <w:marRight w:val="0"/>
      <w:marTop w:val="0"/>
      <w:marBottom w:val="0"/>
      <w:divBdr>
        <w:top w:val="none" w:sz="0" w:space="0" w:color="auto"/>
        <w:left w:val="none" w:sz="0" w:space="0" w:color="auto"/>
        <w:bottom w:val="none" w:sz="0" w:space="0" w:color="auto"/>
        <w:right w:val="none" w:sz="0" w:space="0" w:color="auto"/>
      </w:divBdr>
    </w:div>
    <w:div w:id="244843455">
      <w:bodyDiv w:val="1"/>
      <w:marLeft w:val="0"/>
      <w:marRight w:val="0"/>
      <w:marTop w:val="0"/>
      <w:marBottom w:val="0"/>
      <w:divBdr>
        <w:top w:val="none" w:sz="0" w:space="0" w:color="auto"/>
        <w:left w:val="none" w:sz="0" w:space="0" w:color="auto"/>
        <w:bottom w:val="none" w:sz="0" w:space="0" w:color="auto"/>
        <w:right w:val="none" w:sz="0" w:space="0" w:color="auto"/>
      </w:divBdr>
    </w:div>
    <w:div w:id="353388130">
      <w:bodyDiv w:val="1"/>
      <w:marLeft w:val="0"/>
      <w:marRight w:val="0"/>
      <w:marTop w:val="0"/>
      <w:marBottom w:val="0"/>
      <w:divBdr>
        <w:top w:val="none" w:sz="0" w:space="0" w:color="auto"/>
        <w:left w:val="none" w:sz="0" w:space="0" w:color="auto"/>
        <w:bottom w:val="none" w:sz="0" w:space="0" w:color="auto"/>
        <w:right w:val="none" w:sz="0" w:space="0" w:color="auto"/>
      </w:divBdr>
    </w:div>
    <w:div w:id="386346146">
      <w:bodyDiv w:val="1"/>
      <w:marLeft w:val="0"/>
      <w:marRight w:val="0"/>
      <w:marTop w:val="0"/>
      <w:marBottom w:val="0"/>
      <w:divBdr>
        <w:top w:val="none" w:sz="0" w:space="0" w:color="auto"/>
        <w:left w:val="none" w:sz="0" w:space="0" w:color="auto"/>
        <w:bottom w:val="none" w:sz="0" w:space="0" w:color="auto"/>
        <w:right w:val="none" w:sz="0" w:space="0" w:color="auto"/>
      </w:divBdr>
      <w:divsChild>
        <w:div w:id="1546529849">
          <w:marLeft w:val="0"/>
          <w:marRight w:val="0"/>
          <w:marTop w:val="0"/>
          <w:marBottom w:val="0"/>
          <w:divBdr>
            <w:top w:val="none" w:sz="0" w:space="0" w:color="auto"/>
            <w:left w:val="none" w:sz="0" w:space="0" w:color="auto"/>
            <w:bottom w:val="none" w:sz="0" w:space="0" w:color="auto"/>
            <w:right w:val="none" w:sz="0" w:space="0" w:color="auto"/>
          </w:divBdr>
          <w:divsChild>
            <w:div w:id="1531720129">
              <w:marLeft w:val="0"/>
              <w:marRight w:val="0"/>
              <w:marTop w:val="0"/>
              <w:marBottom w:val="0"/>
              <w:divBdr>
                <w:top w:val="none" w:sz="0" w:space="0" w:color="auto"/>
                <w:left w:val="none" w:sz="0" w:space="0" w:color="auto"/>
                <w:bottom w:val="none" w:sz="0" w:space="0" w:color="auto"/>
                <w:right w:val="none" w:sz="0" w:space="0" w:color="auto"/>
              </w:divBdr>
              <w:divsChild>
                <w:div w:id="91698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154702">
      <w:bodyDiv w:val="1"/>
      <w:marLeft w:val="0"/>
      <w:marRight w:val="0"/>
      <w:marTop w:val="0"/>
      <w:marBottom w:val="0"/>
      <w:divBdr>
        <w:top w:val="none" w:sz="0" w:space="0" w:color="auto"/>
        <w:left w:val="none" w:sz="0" w:space="0" w:color="auto"/>
        <w:bottom w:val="none" w:sz="0" w:space="0" w:color="auto"/>
        <w:right w:val="none" w:sz="0" w:space="0" w:color="auto"/>
      </w:divBdr>
      <w:divsChild>
        <w:div w:id="1774202223">
          <w:marLeft w:val="0"/>
          <w:marRight w:val="0"/>
          <w:marTop w:val="0"/>
          <w:marBottom w:val="0"/>
          <w:divBdr>
            <w:top w:val="none" w:sz="0" w:space="0" w:color="auto"/>
            <w:left w:val="none" w:sz="0" w:space="0" w:color="auto"/>
            <w:bottom w:val="none" w:sz="0" w:space="0" w:color="auto"/>
            <w:right w:val="none" w:sz="0" w:space="0" w:color="auto"/>
          </w:divBdr>
          <w:divsChild>
            <w:div w:id="528877161">
              <w:marLeft w:val="0"/>
              <w:marRight w:val="0"/>
              <w:marTop w:val="0"/>
              <w:marBottom w:val="0"/>
              <w:divBdr>
                <w:top w:val="none" w:sz="0" w:space="0" w:color="auto"/>
                <w:left w:val="none" w:sz="0" w:space="0" w:color="auto"/>
                <w:bottom w:val="none" w:sz="0" w:space="0" w:color="auto"/>
                <w:right w:val="none" w:sz="0" w:space="0" w:color="auto"/>
              </w:divBdr>
              <w:divsChild>
                <w:div w:id="195103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36244">
      <w:bodyDiv w:val="1"/>
      <w:marLeft w:val="0"/>
      <w:marRight w:val="0"/>
      <w:marTop w:val="0"/>
      <w:marBottom w:val="0"/>
      <w:divBdr>
        <w:top w:val="none" w:sz="0" w:space="0" w:color="auto"/>
        <w:left w:val="none" w:sz="0" w:space="0" w:color="auto"/>
        <w:bottom w:val="none" w:sz="0" w:space="0" w:color="auto"/>
        <w:right w:val="none" w:sz="0" w:space="0" w:color="auto"/>
      </w:divBdr>
      <w:divsChild>
        <w:div w:id="632833350">
          <w:marLeft w:val="0"/>
          <w:marRight w:val="0"/>
          <w:marTop w:val="0"/>
          <w:marBottom w:val="0"/>
          <w:divBdr>
            <w:top w:val="none" w:sz="0" w:space="0" w:color="auto"/>
            <w:left w:val="none" w:sz="0" w:space="0" w:color="auto"/>
            <w:bottom w:val="none" w:sz="0" w:space="0" w:color="auto"/>
            <w:right w:val="none" w:sz="0" w:space="0" w:color="auto"/>
          </w:divBdr>
          <w:divsChild>
            <w:div w:id="1928076461">
              <w:marLeft w:val="0"/>
              <w:marRight w:val="0"/>
              <w:marTop w:val="0"/>
              <w:marBottom w:val="0"/>
              <w:divBdr>
                <w:top w:val="none" w:sz="0" w:space="0" w:color="auto"/>
                <w:left w:val="none" w:sz="0" w:space="0" w:color="auto"/>
                <w:bottom w:val="none" w:sz="0" w:space="0" w:color="auto"/>
                <w:right w:val="none" w:sz="0" w:space="0" w:color="auto"/>
              </w:divBdr>
              <w:divsChild>
                <w:div w:id="44843666">
                  <w:marLeft w:val="0"/>
                  <w:marRight w:val="0"/>
                  <w:marTop w:val="0"/>
                  <w:marBottom w:val="0"/>
                  <w:divBdr>
                    <w:top w:val="none" w:sz="0" w:space="0" w:color="auto"/>
                    <w:left w:val="none" w:sz="0" w:space="0" w:color="auto"/>
                    <w:bottom w:val="none" w:sz="0" w:space="0" w:color="auto"/>
                    <w:right w:val="none" w:sz="0" w:space="0" w:color="auto"/>
                  </w:divBdr>
                  <w:divsChild>
                    <w:div w:id="54198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205892">
      <w:bodyDiv w:val="1"/>
      <w:marLeft w:val="0"/>
      <w:marRight w:val="0"/>
      <w:marTop w:val="0"/>
      <w:marBottom w:val="0"/>
      <w:divBdr>
        <w:top w:val="none" w:sz="0" w:space="0" w:color="auto"/>
        <w:left w:val="none" w:sz="0" w:space="0" w:color="auto"/>
        <w:bottom w:val="none" w:sz="0" w:space="0" w:color="auto"/>
        <w:right w:val="none" w:sz="0" w:space="0" w:color="auto"/>
      </w:divBdr>
    </w:div>
    <w:div w:id="661733936">
      <w:bodyDiv w:val="1"/>
      <w:marLeft w:val="0"/>
      <w:marRight w:val="0"/>
      <w:marTop w:val="0"/>
      <w:marBottom w:val="0"/>
      <w:divBdr>
        <w:top w:val="none" w:sz="0" w:space="0" w:color="auto"/>
        <w:left w:val="none" w:sz="0" w:space="0" w:color="auto"/>
        <w:bottom w:val="none" w:sz="0" w:space="0" w:color="auto"/>
        <w:right w:val="none" w:sz="0" w:space="0" w:color="auto"/>
      </w:divBdr>
    </w:div>
    <w:div w:id="736821325">
      <w:bodyDiv w:val="1"/>
      <w:marLeft w:val="0"/>
      <w:marRight w:val="0"/>
      <w:marTop w:val="0"/>
      <w:marBottom w:val="0"/>
      <w:divBdr>
        <w:top w:val="none" w:sz="0" w:space="0" w:color="auto"/>
        <w:left w:val="none" w:sz="0" w:space="0" w:color="auto"/>
        <w:bottom w:val="none" w:sz="0" w:space="0" w:color="auto"/>
        <w:right w:val="none" w:sz="0" w:space="0" w:color="auto"/>
      </w:divBdr>
      <w:divsChild>
        <w:div w:id="1233931554">
          <w:marLeft w:val="0"/>
          <w:marRight w:val="0"/>
          <w:marTop w:val="0"/>
          <w:marBottom w:val="0"/>
          <w:divBdr>
            <w:top w:val="none" w:sz="0" w:space="0" w:color="auto"/>
            <w:left w:val="none" w:sz="0" w:space="0" w:color="auto"/>
            <w:bottom w:val="none" w:sz="0" w:space="0" w:color="auto"/>
            <w:right w:val="none" w:sz="0" w:space="0" w:color="auto"/>
          </w:divBdr>
          <w:divsChild>
            <w:div w:id="821778814">
              <w:marLeft w:val="0"/>
              <w:marRight w:val="0"/>
              <w:marTop w:val="0"/>
              <w:marBottom w:val="0"/>
              <w:divBdr>
                <w:top w:val="none" w:sz="0" w:space="0" w:color="auto"/>
                <w:left w:val="none" w:sz="0" w:space="0" w:color="auto"/>
                <w:bottom w:val="none" w:sz="0" w:space="0" w:color="auto"/>
                <w:right w:val="none" w:sz="0" w:space="0" w:color="auto"/>
              </w:divBdr>
              <w:divsChild>
                <w:div w:id="199139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597344">
      <w:bodyDiv w:val="1"/>
      <w:marLeft w:val="0"/>
      <w:marRight w:val="0"/>
      <w:marTop w:val="0"/>
      <w:marBottom w:val="0"/>
      <w:divBdr>
        <w:top w:val="none" w:sz="0" w:space="0" w:color="auto"/>
        <w:left w:val="none" w:sz="0" w:space="0" w:color="auto"/>
        <w:bottom w:val="none" w:sz="0" w:space="0" w:color="auto"/>
        <w:right w:val="none" w:sz="0" w:space="0" w:color="auto"/>
      </w:divBdr>
      <w:divsChild>
        <w:div w:id="1802728587">
          <w:marLeft w:val="0"/>
          <w:marRight w:val="0"/>
          <w:marTop w:val="0"/>
          <w:marBottom w:val="0"/>
          <w:divBdr>
            <w:top w:val="none" w:sz="0" w:space="0" w:color="auto"/>
            <w:left w:val="none" w:sz="0" w:space="0" w:color="auto"/>
            <w:bottom w:val="none" w:sz="0" w:space="0" w:color="auto"/>
            <w:right w:val="none" w:sz="0" w:space="0" w:color="auto"/>
          </w:divBdr>
          <w:divsChild>
            <w:div w:id="215941626">
              <w:marLeft w:val="0"/>
              <w:marRight w:val="0"/>
              <w:marTop w:val="0"/>
              <w:marBottom w:val="0"/>
              <w:divBdr>
                <w:top w:val="none" w:sz="0" w:space="0" w:color="auto"/>
                <w:left w:val="none" w:sz="0" w:space="0" w:color="auto"/>
                <w:bottom w:val="none" w:sz="0" w:space="0" w:color="auto"/>
                <w:right w:val="none" w:sz="0" w:space="0" w:color="auto"/>
              </w:divBdr>
              <w:divsChild>
                <w:div w:id="43733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95362">
      <w:bodyDiv w:val="1"/>
      <w:marLeft w:val="0"/>
      <w:marRight w:val="0"/>
      <w:marTop w:val="0"/>
      <w:marBottom w:val="0"/>
      <w:divBdr>
        <w:top w:val="none" w:sz="0" w:space="0" w:color="auto"/>
        <w:left w:val="none" w:sz="0" w:space="0" w:color="auto"/>
        <w:bottom w:val="none" w:sz="0" w:space="0" w:color="auto"/>
        <w:right w:val="none" w:sz="0" w:space="0" w:color="auto"/>
      </w:divBdr>
    </w:div>
    <w:div w:id="835922285">
      <w:bodyDiv w:val="1"/>
      <w:marLeft w:val="0"/>
      <w:marRight w:val="0"/>
      <w:marTop w:val="0"/>
      <w:marBottom w:val="0"/>
      <w:divBdr>
        <w:top w:val="none" w:sz="0" w:space="0" w:color="auto"/>
        <w:left w:val="none" w:sz="0" w:space="0" w:color="auto"/>
        <w:bottom w:val="none" w:sz="0" w:space="0" w:color="auto"/>
        <w:right w:val="none" w:sz="0" w:space="0" w:color="auto"/>
      </w:divBdr>
    </w:div>
    <w:div w:id="1252857982">
      <w:bodyDiv w:val="1"/>
      <w:marLeft w:val="0"/>
      <w:marRight w:val="0"/>
      <w:marTop w:val="0"/>
      <w:marBottom w:val="0"/>
      <w:divBdr>
        <w:top w:val="none" w:sz="0" w:space="0" w:color="auto"/>
        <w:left w:val="none" w:sz="0" w:space="0" w:color="auto"/>
        <w:bottom w:val="none" w:sz="0" w:space="0" w:color="auto"/>
        <w:right w:val="none" w:sz="0" w:space="0" w:color="auto"/>
      </w:divBdr>
    </w:div>
    <w:div w:id="1268004988">
      <w:bodyDiv w:val="1"/>
      <w:marLeft w:val="0"/>
      <w:marRight w:val="0"/>
      <w:marTop w:val="0"/>
      <w:marBottom w:val="0"/>
      <w:divBdr>
        <w:top w:val="none" w:sz="0" w:space="0" w:color="auto"/>
        <w:left w:val="none" w:sz="0" w:space="0" w:color="auto"/>
        <w:bottom w:val="none" w:sz="0" w:space="0" w:color="auto"/>
        <w:right w:val="none" w:sz="0" w:space="0" w:color="auto"/>
      </w:divBdr>
      <w:divsChild>
        <w:div w:id="273095487">
          <w:marLeft w:val="0"/>
          <w:marRight w:val="0"/>
          <w:marTop w:val="0"/>
          <w:marBottom w:val="0"/>
          <w:divBdr>
            <w:top w:val="none" w:sz="0" w:space="0" w:color="auto"/>
            <w:left w:val="none" w:sz="0" w:space="0" w:color="auto"/>
            <w:bottom w:val="none" w:sz="0" w:space="0" w:color="auto"/>
            <w:right w:val="none" w:sz="0" w:space="0" w:color="auto"/>
          </w:divBdr>
          <w:divsChild>
            <w:div w:id="1687248086">
              <w:marLeft w:val="0"/>
              <w:marRight w:val="0"/>
              <w:marTop w:val="0"/>
              <w:marBottom w:val="0"/>
              <w:divBdr>
                <w:top w:val="none" w:sz="0" w:space="0" w:color="auto"/>
                <w:left w:val="none" w:sz="0" w:space="0" w:color="auto"/>
                <w:bottom w:val="none" w:sz="0" w:space="0" w:color="auto"/>
                <w:right w:val="none" w:sz="0" w:space="0" w:color="auto"/>
              </w:divBdr>
              <w:divsChild>
                <w:div w:id="265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991748">
      <w:bodyDiv w:val="1"/>
      <w:marLeft w:val="0"/>
      <w:marRight w:val="0"/>
      <w:marTop w:val="0"/>
      <w:marBottom w:val="0"/>
      <w:divBdr>
        <w:top w:val="none" w:sz="0" w:space="0" w:color="auto"/>
        <w:left w:val="none" w:sz="0" w:space="0" w:color="auto"/>
        <w:bottom w:val="none" w:sz="0" w:space="0" w:color="auto"/>
        <w:right w:val="none" w:sz="0" w:space="0" w:color="auto"/>
      </w:divBdr>
    </w:div>
    <w:div w:id="1311249639">
      <w:bodyDiv w:val="1"/>
      <w:marLeft w:val="0"/>
      <w:marRight w:val="0"/>
      <w:marTop w:val="0"/>
      <w:marBottom w:val="0"/>
      <w:divBdr>
        <w:top w:val="none" w:sz="0" w:space="0" w:color="auto"/>
        <w:left w:val="none" w:sz="0" w:space="0" w:color="auto"/>
        <w:bottom w:val="none" w:sz="0" w:space="0" w:color="auto"/>
        <w:right w:val="none" w:sz="0" w:space="0" w:color="auto"/>
      </w:divBdr>
      <w:divsChild>
        <w:div w:id="1412237808">
          <w:marLeft w:val="0"/>
          <w:marRight w:val="0"/>
          <w:marTop w:val="0"/>
          <w:marBottom w:val="0"/>
          <w:divBdr>
            <w:top w:val="none" w:sz="0" w:space="0" w:color="auto"/>
            <w:left w:val="none" w:sz="0" w:space="0" w:color="auto"/>
            <w:bottom w:val="none" w:sz="0" w:space="0" w:color="auto"/>
            <w:right w:val="none" w:sz="0" w:space="0" w:color="auto"/>
          </w:divBdr>
          <w:divsChild>
            <w:div w:id="548803364">
              <w:marLeft w:val="0"/>
              <w:marRight w:val="0"/>
              <w:marTop w:val="0"/>
              <w:marBottom w:val="0"/>
              <w:divBdr>
                <w:top w:val="none" w:sz="0" w:space="0" w:color="auto"/>
                <w:left w:val="none" w:sz="0" w:space="0" w:color="auto"/>
                <w:bottom w:val="none" w:sz="0" w:space="0" w:color="auto"/>
                <w:right w:val="none" w:sz="0" w:space="0" w:color="auto"/>
              </w:divBdr>
              <w:divsChild>
                <w:div w:id="78400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402295">
      <w:bodyDiv w:val="1"/>
      <w:marLeft w:val="0"/>
      <w:marRight w:val="0"/>
      <w:marTop w:val="0"/>
      <w:marBottom w:val="0"/>
      <w:divBdr>
        <w:top w:val="none" w:sz="0" w:space="0" w:color="auto"/>
        <w:left w:val="none" w:sz="0" w:space="0" w:color="auto"/>
        <w:bottom w:val="none" w:sz="0" w:space="0" w:color="auto"/>
        <w:right w:val="none" w:sz="0" w:space="0" w:color="auto"/>
      </w:divBdr>
    </w:div>
    <w:div w:id="1388184820">
      <w:bodyDiv w:val="1"/>
      <w:marLeft w:val="0"/>
      <w:marRight w:val="0"/>
      <w:marTop w:val="0"/>
      <w:marBottom w:val="0"/>
      <w:divBdr>
        <w:top w:val="none" w:sz="0" w:space="0" w:color="auto"/>
        <w:left w:val="none" w:sz="0" w:space="0" w:color="auto"/>
        <w:bottom w:val="none" w:sz="0" w:space="0" w:color="auto"/>
        <w:right w:val="none" w:sz="0" w:space="0" w:color="auto"/>
      </w:divBdr>
      <w:divsChild>
        <w:div w:id="1610816659">
          <w:marLeft w:val="0"/>
          <w:marRight w:val="0"/>
          <w:marTop w:val="0"/>
          <w:marBottom w:val="0"/>
          <w:divBdr>
            <w:top w:val="none" w:sz="0" w:space="0" w:color="auto"/>
            <w:left w:val="none" w:sz="0" w:space="0" w:color="auto"/>
            <w:bottom w:val="none" w:sz="0" w:space="0" w:color="auto"/>
            <w:right w:val="none" w:sz="0" w:space="0" w:color="auto"/>
          </w:divBdr>
          <w:divsChild>
            <w:div w:id="629286156">
              <w:marLeft w:val="0"/>
              <w:marRight w:val="0"/>
              <w:marTop w:val="0"/>
              <w:marBottom w:val="0"/>
              <w:divBdr>
                <w:top w:val="none" w:sz="0" w:space="0" w:color="auto"/>
                <w:left w:val="none" w:sz="0" w:space="0" w:color="auto"/>
                <w:bottom w:val="none" w:sz="0" w:space="0" w:color="auto"/>
                <w:right w:val="none" w:sz="0" w:space="0" w:color="auto"/>
              </w:divBdr>
              <w:divsChild>
                <w:div w:id="30894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06638">
      <w:bodyDiv w:val="1"/>
      <w:marLeft w:val="0"/>
      <w:marRight w:val="0"/>
      <w:marTop w:val="0"/>
      <w:marBottom w:val="0"/>
      <w:divBdr>
        <w:top w:val="none" w:sz="0" w:space="0" w:color="auto"/>
        <w:left w:val="none" w:sz="0" w:space="0" w:color="auto"/>
        <w:bottom w:val="none" w:sz="0" w:space="0" w:color="auto"/>
        <w:right w:val="none" w:sz="0" w:space="0" w:color="auto"/>
      </w:divBdr>
    </w:div>
    <w:div w:id="1647465304">
      <w:bodyDiv w:val="1"/>
      <w:marLeft w:val="0"/>
      <w:marRight w:val="0"/>
      <w:marTop w:val="0"/>
      <w:marBottom w:val="0"/>
      <w:divBdr>
        <w:top w:val="none" w:sz="0" w:space="0" w:color="auto"/>
        <w:left w:val="none" w:sz="0" w:space="0" w:color="auto"/>
        <w:bottom w:val="none" w:sz="0" w:space="0" w:color="auto"/>
        <w:right w:val="none" w:sz="0" w:space="0" w:color="auto"/>
      </w:divBdr>
      <w:divsChild>
        <w:div w:id="1301886505">
          <w:marLeft w:val="0"/>
          <w:marRight w:val="0"/>
          <w:marTop w:val="0"/>
          <w:marBottom w:val="0"/>
          <w:divBdr>
            <w:top w:val="none" w:sz="0" w:space="0" w:color="auto"/>
            <w:left w:val="none" w:sz="0" w:space="0" w:color="auto"/>
            <w:bottom w:val="none" w:sz="0" w:space="0" w:color="auto"/>
            <w:right w:val="none" w:sz="0" w:space="0" w:color="auto"/>
          </w:divBdr>
          <w:divsChild>
            <w:div w:id="331107545">
              <w:marLeft w:val="0"/>
              <w:marRight w:val="0"/>
              <w:marTop w:val="0"/>
              <w:marBottom w:val="0"/>
              <w:divBdr>
                <w:top w:val="none" w:sz="0" w:space="0" w:color="auto"/>
                <w:left w:val="none" w:sz="0" w:space="0" w:color="auto"/>
                <w:bottom w:val="none" w:sz="0" w:space="0" w:color="auto"/>
                <w:right w:val="none" w:sz="0" w:space="0" w:color="auto"/>
              </w:divBdr>
              <w:divsChild>
                <w:div w:id="3488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9004">
      <w:bodyDiv w:val="1"/>
      <w:marLeft w:val="0"/>
      <w:marRight w:val="0"/>
      <w:marTop w:val="0"/>
      <w:marBottom w:val="0"/>
      <w:divBdr>
        <w:top w:val="none" w:sz="0" w:space="0" w:color="auto"/>
        <w:left w:val="none" w:sz="0" w:space="0" w:color="auto"/>
        <w:bottom w:val="none" w:sz="0" w:space="0" w:color="auto"/>
        <w:right w:val="none" w:sz="0" w:space="0" w:color="auto"/>
      </w:divBdr>
    </w:div>
    <w:div w:id="1657800363">
      <w:bodyDiv w:val="1"/>
      <w:marLeft w:val="0"/>
      <w:marRight w:val="0"/>
      <w:marTop w:val="0"/>
      <w:marBottom w:val="0"/>
      <w:divBdr>
        <w:top w:val="none" w:sz="0" w:space="0" w:color="auto"/>
        <w:left w:val="none" w:sz="0" w:space="0" w:color="auto"/>
        <w:bottom w:val="none" w:sz="0" w:space="0" w:color="auto"/>
        <w:right w:val="none" w:sz="0" w:space="0" w:color="auto"/>
      </w:divBdr>
      <w:divsChild>
        <w:div w:id="828905319">
          <w:marLeft w:val="0"/>
          <w:marRight w:val="0"/>
          <w:marTop w:val="0"/>
          <w:marBottom w:val="0"/>
          <w:divBdr>
            <w:top w:val="none" w:sz="0" w:space="0" w:color="auto"/>
            <w:left w:val="none" w:sz="0" w:space="0" w:color="auto"/>
            <w:bottom w:val="none" w:sz="0" w:space="0" w:color="auto"/>
            <w:right w:val="none" w:sz="0" w:space="0" w:color="auto"/>
          </w:divBdr>
          <w:divsChild>
            <w:div w:id="816922570">
              <w:marLeft w:val="0"/>
              <w:marRight w:val="0"/>
              <w:marTop w:val="0"/>
              <w:marBottom w:val="0"/>
              <w:divBdr>
                <w:top w:val="none" w:sz="0" w:space="0" w:color="auto"/>
                <w:left w:val="none" w:sz="0" w:space="0" w:color="auto"/>
                <w:bottom w:val="none" w:sz="0" w:space="0" w:color="auto"/>
                <w:right w:val="none" w:sz="0" w:space="0" w:color="auto"/>
              </w:divBdr>
            </w:div>
          </w:divsChild>
        </w:div>
        <w:div w:id="1400134320">
          <w:marLeft w:val="0"/>
          <w:marRight w:val="0"/>
          <w:marTop w:val="0"/>
          <w:marBottom w:val="0"/>
          <w:divBdr>
            <w:top w:val="none" w:sz="0" w:space="0" w:color="auto"/>
            <w:left w:val="none" w:sz="0" w:space="0" w:color="auto"/>
            <w:bottom w:val="none" w:sz="0" w:space="0" w:color="auto"/>
            <w:right w:val="none" w:sz="0" w:space="0" w:color="auto"/>
          </w:divBdr>
        </w:div>
      </w:divsChild>
    </w:div>
    <w:div w:id="1681278878">
      <w:bodyDiv w:val="1"/>
      <w:marLeft w:val="0"/>
      <w:marRight w:val="0"/>
      <w:marTop w:val="0"/>
      <w:marBottom w:val="0"/>
      <w:divBdr>
        <w:top w:val="none" w:sz="0" w:space="0" w:color="auto"/>
        <w:left w:val="none" w:sz="0" w:space="0" w:color="auto"/>
        <w:bottom w:val="none" w:sz="0" w:space="0" w:color="auto"/>
        <w:right w:val="none" w:sz="0" w:space="0" w:color="auto"/>
      </w:divBdr>
      <w:divsChild>
        <w:div w:id="354117538">
          <w:marLeft w:val="0"/>
          <w:marRight w:val="0"/>
          <w:marTop w:val="0"/>
          <w:marBottom w:val="0"/>
          <w:divBdr>
            <w:top w:val="none" w:sz="0" w:space="0" w:color="auto"/>
            <w:left w:val="none" w:sz="0" w:space="0" w:color="auto"/>
            <w:bottom w:val="none" w:sz="0" w:space="0" w:color="auto"/>
            <w:right w:val="none" w:sz="0" w:space="0" w:color="auto"/>
          </w:divBdr>
          <w:divsChild>
            <w:div w:id="1026950612">
              <w:marLeft w:val="0"/>
              <w:marRight w:val="0"/>
              <w:marTop w:val="0"/>
              <w:marBottom w:val="0"/>
              <w:divBdr>
                <w:top w:val="none" w:sz="0" w:space="0" w:color="auto"/>
                <w:left w:val="none" w:sz="0" w:space="0" w:color="auto"/>
                <w:bottom w:val="none" w:sz="0" w:space="0" w:color="auto"/>
                <w:right w:val="none" w:sz="0" w:space="0" w:color="auto"/>
              </w:divBdr>
              <w:divsChild>
                <w:div w:id="66108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266742">
      <w:bodyDiv w:val="1"/>
      <w:marLeft w:val="0"/>
      <w:marRight w:val="0"/>
      <w:marTop w:val="0"/>
      <w:marBottom w:val="0"/>
      <w:divBdr>
        <w:top w:val="none" w:sz="0" w:space="0" w:color="auto"/>
        <w:left w:val="none" w:sz="0" w:space="0" w:color="auto"/>
        <w:bottom w:val="none" w:sz="0" w:space="0" w:color="auto"/>
        <w:right w:val="none" w:sz="0" w:space="0" w:color="auto"/>
      </w:divBdr>
    </w:div>
    <w:div w:id="1724715548">
      <w:bodyDiv w:val="1"/>
      <w:marLeft w:val="0"/>
      <w:marRight w:val="0"/>
      <w:marTop w:val="0"/>
      <w:marBottom w:val="0"/>
      <w:divBdr>
        <w:top w:val="none" w:sz="0" w:space="0" w:color="auto"/>
        <w:left w:val="none" w:sz="0" w:space="0" w:color="auto"/>
        <w:bottom w:val="none" w:sz="0" w:space="0" w:color="auto"/>
        <w:right w:val="none" w:sz="0" w:space="0" w:color="auto"/>
      </w:divBdr>
      <w:divsChild>
        <w:div w:id="617906079">
          <w:marLeft w:val="0"/>
          <w:marRight w:val="0"/>
          <w:marTop w:val="0"/>
          <w:marBottom w:val="0"/>
          <w:divBdr>
            <w:top w:val="none" w:sz="0" w:space="0" w:color="auto"/>
            <w:left w:val="none" w:sz="0" w:space="0" w:color="auto"/>
            <w:bottom w:val="none" w:sz="0" w:space="0" w:color="auto"/>
            <w:right w:val="none" w:sz="0" w:space="0" w:color="auto"/>
          </w:divBdr>
          <w:divsChild>
            <w:div w:id="552892116">
              <w:marLeft w:val="0"/>
              <w:marRight w:val="0"/>
              <w:marTop w:val="0"/>
              <w:marBottom w:val="0"/>
              <w:divBdr>
                <w:top w:val="none" w:sz="0" w:space="0" w:color="auto"/>
                <w:left w:val="none" w:sz="0" w:space="0" w:color="auto"/>
                <w:bottom w:val="none" w:sz="0" w:space="0" w:color="auto"/>
                <w:right w:val="none" w:sz="0" w:space="0" w:color="auto"/>
              </w:divBdr>
              <w:divsChild>
                <w:div w:id="2006586567">
                  <w:marLeft w:val="0"/>
                  <w:marRight w:val="0"/>
                  <w:marTop w:val="0"/>
                  <w:marBottom w:val="0"/>
                  <w:divBdr>
                    <w:top w:val="none" w:sz="0" w:space="0" w:color="auto"/>
                    <w:left w:val="none" w:sz="0" w:space="0" w:color="auto"/>
                    <w:bottom w:val="none" w:sz="0" w:space="0" w:color="auto"/>
                    <w:right w:val="none" w:sz="0" w:space="0" w:color="auto"/>
                  </w:divBdr>
                </w:div>
              </w:divsChild>
            </w:div>
            <w:div w:id="1127968093">
              <w:marLeft w:val="0"/>
              <w:marRight w:val="0"/>
              <w:marTop w:val="0"/>
              <w:marBottom w:val="0"/>
              <w:divBdr>
                <w:top w:val="none" w:sz="0" w:space="0" w:color="auto"/>
                <w:left w:val="none" w:sz="0" w:space="0" w:color="auto"/>
                <w:bottom w:val="none" w:sz="0" w:space="0" w:color="auto"/>
                <w:right w:val="none" w:sz="0" w:space="0" w:color="auto"/>
              </w:divBdr>
              <w:divsChild>
                <w:div w:id="100809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73577">
          <w:marLeft w:val="0"/>
          <w:marRight w:val="0"/>
          <w:marTop w:val="0"/>
          <w:marBottom w:val="0"/>
          <w:divBdr>
            <w:top w:val="none" w:sz="0" w:space="0" w:color="auto"/>
            <w:left w:val="none" w:sz="0" w:space="0" w:color="auto"/>
            <w:bottom w:val="none" w:sz="0" w:space="0" w:color="auto"/>
            <w:right w:val="none" w:sz="0" w:space="0" w:color="auto"/>
          </w:divBdr>
          <w:divsChild>
            <w:div w:id="734739896">
              <w:marLeft w:val="0"/>
              <w:marRight w:val="0"/>
              <w:marTop w:val="0"/>
              <w:marBottom w:val="0"/>
              <w:divBdr>
                <w:top w:val="none" w:sz="0" w:space="0" w:color="auto"/>
                <w:left w:val="none" w:sz="0" w:space="0" w:color="auto"/>
                <w:bottom w:val="none" w:sz="0" w:space="0" w:color="auto"/>
                <w:right w:val="none" w:sz="0" w:space="0" w:color="auto"/>
              </w:divBdr>
              <w:divsChild>
                <w:div w:id="82447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274272">
      <w:bodyDiv w:val="1"/>
      <w:marLeft w:val="0"/>
      <w:marRight w:val="0"/>
      <w:marTop w:val="0"/>
      <w:marBottom w:val="0"/>
      <w:divBdr>
        <w:top w:val="none" w:sz="0" w:space="0" w:color="auto"/>
        <w:left w:val="none" w:sz="0" w:space="0" w:color="auto"/>
        <w:bottom w:val="none" w:sz="0" w:space="0" w:color="auto"/>
        <w:right w:val="none" w:sz="0" w:space="0" w:color="auto"/>
      </w:divBdr>
    </w:div>
    <w:div w:id="1787043031">
      <w:bodyDiv w:val="1"/>
      <w:marLeft w:val="0"/>
      <w:marRight w:val="0"/>
      <w:marTop w:val="0"/>
      <w:marBottom w:val="0"/>
      <w:divBdr>
        <w:top w:val="none" w:sz="0" w:space="0" w:color="auto"/>
        <w:left w:val="none" w:sz="0" w:space="0" w:color="auto"/>
        <w:bottom w:val="none" w:sz="0" w:space="0" w:color="auto"/>
        <w:right w:val="none" w:sz="0" w:space="0" w:color="auto"/>
      </w:divBdr>
    </w:div>
    <w:div w:id="1844052481">
      <w:bodyDiv w:val="1"/>
      <w:marLeft w:val="0"/>
      <w:marRight w:val="0"/>
      <w:marTop w:val="0"/>
      <w:marBottom w:val="0"/>
      <w:divBdr>
        <w:top w:val="none" w:sz="0" w:space="0" w:color="auto"/>
        <w:left w:val="none" w:sz="0" w:space="0" w:color="auto"/>
        <w:bottom w:val="none" w:sz="0" w:space="0" w:color="auto"/>
        <w:right w:val="none" w:sz="0" w:space="0" w:color="auto"/>
      </w:divBdr>
      <w:divsChild>
        <w:div w:id="162404667">
          <w:marLeft w:val="0"/>
          <w:marRight w:val="0"/>
          <w:marTop w:val="0"/>
          <w:marBottom w:val="0"/>
          <w:divBdr>
            <w:top w:val="none" w:sz="0" w:space="0" w:color="auto"/>
            <w:left w:val="none" w:sz="0" w:space="0" w:color="auto"/>
            <w:bottom w:val="none" w:sz="0" w:space="0" w:color="auto"/>
            <w:right w:val="none" w:sz="0" w:space="0" w:color="auto"/>
          </w:divBdr>
          <w:divsChild>
            <w:div w:id="2123987583">
              <w:marLeft w:val="0"/>
              <w:marRight w:val="0"/>
              <w:marTop w:val="0"/>
              <w:marBottom w:val="0"/>
              <w:divBdr>
                <w:top w:val="none" w:sz="0" w:space="0" w:color="auto"/>
                <w:left w:val="none" w:sz="0" w:space="0" w:color="auto"/>
                <w:bottom w:val="none" w:sz="0" w:space="0" w:color="auto"/>
                <w:right w:val="none" w:sz="0" w:space="0" w:color="auto"/>
              </w:divBdr>
              <w:divsChild>
                <w:div w:id="1335185707">
                  <w:marLeft w:val="0"/>
                  <w:marRight w:val="0"/>
                  <w:marTop w:val="0"/>
                  <w:marBottom w:val="0"/>
                  <w:divBdr>
                    <w:top w:val="none" w:sz="0" w:space="0" w:color="auto"/>
                    <w:left w:val="none" w:sz="0" w:space="0" w:color="auto"/>
                    <w:bottom w:val="none" w:sz="0" w:space="0" w:color="auto"/>
                    <w:right w:val="none" w:sz="0" w:space="0" w:color="auto"/>
                  </w:divBdr>
                  <w:divsChild>
                    <w:div w:id="151364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78838">
      <w:bodyDiv w:val="1"/>
      <w:marLeft w:val="0"/>
      <w:marRight w:val="0"/>
      <w:marTop w:val="0"/>
      <w:marBottom w:val="0"/>
      <w:divBdr>
        <w:top w:val="none" w:sz="0" w:space="0" w:color="auto"/>
        <w:left w:val="none" w:sz="0" w:space="0" w:color="auto"/>
        <w:bottom w:val="none" w:sz="0" w:space="0" w:color="auto"/>
        <w:right w:val="none" w:sz="0" w:space="0" w:color="auto"/>
      </w:divBdr>
      <w:divsChild>
        <w:div w:id="716471771">
          <w:marLeft w:val="0"/>
          <w:marRight w:val="0"/>
          <w:marTop w:val="0"/>
          <w:marBottom w:val="0"/>
          <w:divBdr>
            <w:top w:val="none" w:sz="0" w:space="0" w:color="auto"/>
            <w:left w:val="none" w:sz="0" w:space="0" w:color="auto"/>
            <w:bottom w:val="none" w:sz="0" w:space="0" w:color="auto"/>
            <w:right w:val="none" w:sz="0" w:space="0" w:color="auto"/>
          </w:divBdr>
          <w:divsChild>
            <w:div w:id="653147365">
              <w:marLeft w:val="0"/>
              <w:marRight w:val="0"/>
              <w:marTop w:val="0"/>
              <w:marBottom w:val="0"/>
              <w:divBdr>
                <w:top w:val="none" w:sz="0" w:space="0" w:color="auto"/>
                <w:left w:val="none" w:sz="0" w:space="0" w:color="auto"/>
                <w:bottom w:val="none" w:sz="0" w:space="0" w:color="auto"/>
                <w:right w:val="none" w:sz="0" w:space="0" w:color="auto"/>
              </w:divBdr>
              <w:divsChild>
                <w:div w:id="1131901497">
                  <w:marLeft w:val="0"/>
                  <w:marRight w:val="0"/>
                  <w:marTop w:val="0"/>
                  <w:marBottom w:val="0"/>
                  <w:divBdr>
                    <w:top w:val="none" w:sz="0" w:space="0" w:color="auto"/>
                    <w:left w:val="none" w:sz="0" w:space="0" w:color="auto"/>
                    <w:bottom w:val="none" w:sz="0" w:space="0" w:color="auto"/>
                    <w:right w:val="none" w:sz="0" w:space="0" w:color="auto"/>
                  </w:divBdr>
                  <w:divsChild>
                    <w:div w:id="213964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659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2.xml><?xml version="1.0" encoding="utf-8"?>
<ct:contentTypeSchema xmlns:ct="http://schemas.microsoft.com/office/2006/metadata/contentType" xmlns:ma="http://schemas.microsoft.com/office/2006/metadata/properties/metaAttributes" ct:_="" ma:_="" ma:contentTypeName="Document" ma:contentTypeID="0x010100721C5C4CDF5EDC40A5C07C8755696111" ma:contentTypeVersion="13" ma:contentTypeDescription="Create a new document." ma:contentTypeScope="" ma:versionID="2679f15f1f84ddb33b8caafeafe17253">
  <xsd:schema xmlns:xsd="http://www.w3.org/2001/XMLSchema" xmlns:xs="http://www.w3.org/2001/XMLSchema" xmlns:p="http://schemas.microsoft.com/office/2006/metadata/properties" xmlns:ns3="9a21c998-9757-4ea4-8ea2-43f5045cc591" xmlns:ns4="667166ff-87b7-485d-92c2-6b63dc7b2279" targetNamespace="http://schemas.microsoft.com/office/2006/metadata/properties" ma:root="true" ma:fieldsID="d5859bb38997b5493b3157999ec4bf9c" ns3:_="" ns4:_="">
    <xsd:import namespace="9a21c998-9757-4ea4-8ea2-43f5045cc591"/>
    <xsd:import namespace="667166ff-87b7-485d-92c2-6b63dc7b227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21c998-9757-4ea4-8ea2-43f5045cc5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7166ff-87b7-485d-92c2-6b63dc7b227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76E5C8A-27D3-2946-B96E-85520C8D6B0D}">
  <ds:schemaRefs>
    <ds:schemaRef ds:uri="http://schemas.openxmlformats.org/officeDocument/2006/bibliography"/>
  </ds:schemaRefs>
</ds:datastoreItem>
</file>

<file path=customXml/itemProps2.xml><?xml version="1.0" encoding="utf-8"?>
<ds:datastoreItem xmlns:ds="http://schemas.openxmlformats.org/officeDocument/2006/customXml" ds:itemID="{F46532F0-1876-4137-A446-A54F6A72D1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21c998-9757-4ea4-8ea2-43f5045cc591"/>
    <ds:schemaRef ds:uri="667166ff-87b7-485d-92c2-6b63dc7b22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EB2192-0D9F-49BA-BF75-334CBD3CB8A8}">
  <ds:schemaRefs>
    <ds:schemaRef ds:uri="http://schemas.microsoft.com/sharepoint/v3/contenttype/forms"/>
  </ds:schemaRefs>
</ds:datastoreItem>
</file>

<file path=customXml/itemProps4.xml><?xml version="1.0" encoding="utf-8"?>
<ds:datastoreItem xmlns:ds="http://schemas.openxmlformats.org/officeDocument/2006/customXml" ds:itemID="{37C37F98-96EB-4D6E-9866-A9EBECFE500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67952</Words>
  <Characters>387331</Characters>
  <Application>Microsoft Office Word</Application>
  <DocSecurity>0</DocSecurity>
  <Lines>3227</Lines>
  <Paragraphs>908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Jewell</dc:creator>
  <cp:keywords/>
  <dc:description/>
  <cp:lastModifiedBy>Amy Jewell</cp:lastModifiedBy>
  <cp:revision>3</cp:revision>
  <dcterms:created xsi:type="dcterms:W3CDTF">2021-11-25T11:07:00Z</dcterms:created>
  <dcterms:modified xsi:type="dcterms:W3CDTF">2021-11-25T11:09:00Z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http://www.zotero.org/styles/earth-and-planetary-science-letters</vt:lpwstr>
  </property>
  <property fmtid="{D5CDD505-2E9C-101B-9397-08002B2CF9AE}" pid="9" name="Mendeley Recent Style Name 3_1">
    <vt:lpwstr>Earth and Planetary Science Letters</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http://www.zotero.org/styles/harvard-university-of-exeter-geography</vt:lpwstr>
  </property>
  <property fmtid="{D5CDD505-2E9C-101B-9397-08002B2CF9AE}" pid="21" name="Mendeley Recent Style Name 9_1">
    <vt:lpwstr>University of Exeter - Geography - Harvard</vt:lpwstr>
  </property>
  <property fmtid="{D5CDD505-2E9C-101B-9397-08002B2CF9AE}" pid="22" name="Mendeley Document_1">
    <vt:lpwstr>True</vt:lpwstr>
  </property>
  <property fmtid="{D5CDD505-2E9C-101B-9397-08002B2CF9AE}" pid="23" name="Mendeley Unique User Id_1">
    <vt:lpwstr>cb4e3eb9-8fea-3ec3-81e7-32d1b622c258</vt:lpwstr>
  </property>
  <property fmtid="{D5CDD505-2E9C-101B-9397-08002B2CF9AE}" pid="24" name="Mendeley Citation Style_1">
    <vt:lpwstr>http://www.zotero.org/styles/earth-and-planetary-science-letters</vt:lpwstr>
  </property>
  <property fmtid="{D5CDD505-2E9C-101B-9397-08002B2CF9AE}" pid="25" name="ContentTypeId">
    <vt:lpwstr>0x010100721C5C4CDF5EDC40A5C07C8755696111</vt:lpwstr>
  </property>
</Properties>
</file>