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F76B" w14:textId="41964879" w:rsidR="007704F7" w:rsidRPr="007704F7" w:rsidRDefault="007704F7" w:rsidP="007704F7">
      <w:pPr>
        <w:spacing w:after="0" w:line="240" w:lineRule="auto"/>
        <w:jc w:val="center"/>
        <w:rPr>
          <w:rFonts w:ascii="Times New Roman" w:eastAsia="Times New Roman" w:hAnsi="Times New Roman" w:cs="Times New Roman"/>
          <w:b/>
          <w:spacing w:val="-10"/>
          <w:kern w:val="28"/>
          <w:sz w:val="32"/>
          <w:szCs w:val="56"/>
          <w:lang w:val="en-US" w:eastAsia="en-GB"/>
        </w:rPr>
      </w:pPr>
      <w:r w:rsidRPr="007704F7">
        <w:rPr>
          <w:rFonts w:ascii="Times New Roman" w:eastAsia="Times New Roman" w:hAnsi="Times New Roman" w:cs="Times New Roman"/>
          <w:b/>
          <w:spacing w:val="-10"/>
          <w:kern w:val="28"/>
          <w:sz w:val="32"/>
          <w:szCs w:val="56"/>
          <w:lang w:val="en-US" w:eastAsia="en-GB"/>
        </w:rPr>
        <w:t>The Corporate Governance–Risk Taking Nexus: Evidence from Insurance Companies</w:t>
      </w:r>
    </w:p>
    <w:p w14:paraId="100C892F" w14:textId="77777777" w:rsidR="007704F7" w:rsidRPr="007704F7" w:rsidRDefault="007704F7" w:rsidP="007704F7">
      <w:pPr>
        <w:spacing w:after="0" w:line="240" w:lineRule="auto"/>
        <w:jc w:val="center"/>
        <w:rPr>
          <w:rFonts w:eastAsia="Calibri"/>
          <w:lang w:val="en-US"/>
        </w:rPr>
      </w:pPr>
    </w:p>
    <w:p w14:paraId="4BF79B3A" w14:textId="77777777" w:rsidR="007704F7" w:rsidRPr="007704F7" w:rsidRDefault="007704F7" w:rsidP="007704F7">
      <w:pPr>
        <w:spacing w:after="0" w:line="240" w:lineRule="auto"/>
        <w:jc w:val="center"/>
        <w:rPr>
          <w:rFonts w:eastAsia="Calibri"/>
        </w:rPr>
      </w:pPr>
    </w:p>
    <w:p w14:paraId="750AE106" w14:textId="77777777" w:rsidR="007704F7" w:rsidRPr="007704F7" w:rsidRDefault="007704F7" w:rsidP="007704F7">
      <w:pPr>
        <w:spacing w:after="0" w:line="240" w:lineRule="auto"/>
        <w:jc w:val="center"/>
        <w:rPr>
          <w:rFonts w:eastAsia="Calibri"/>
        </w:rPr>
      </w:pPr>
    </w:p>
    <w:p w14:paraId="3D67A508"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bCs/>
          <w:sz w:val="24"/>
          <w:szCs w:val="24"/>
          <w:lang w:eastAsia="zh-CN"/>
        </w:rPr>
        <w:t>(1) Ahmed A. Elamer</w:t>
      </w:r>
    </w:p>
    <w:p w14:paraId="4C32F581"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bCs/>
          <w:sz w:val="24"/>
          <w:szCs w:val="24"/>
          <w:lang w:eastAsia="zh-CN"/>
        </w:rPr>
        <w:t>Bradford University School of Management, University of Bradford, UK, and</w:t>
      </w:r>
    </w:p>
    <w:p w14:paraId="5A012848"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bCs/>
          <w:sz w:val="24"/>
          <w:szCs w:val="24"/>
          <w:lang w:eastAsia="zh-CN"/>
        </w:rPr>
        <w:t>Accounting Department, Faculty of Commerce, Mansoura University, Mansoura, Egypt</w:t>
      </w:r>
    </w:p>
    <w:p w14:paraId="79734ADD" w14:textId="77777777" w:rsidR="007704F7" w:rsidRPr="007704F7" w:rsidRDefault="007704F7" w:rsidP="007704F7">
      <w:pPr>
        <w:spacing w:after="0" w:line="240" w:lineRule="auto"/>
        <w:jc w:val="center"/>
        <w:rPr>
          <w:rFonts w:ascii="Times New Roman" w:eastAsia="SimSun" w:hAnsi="Times New Roman" w:cs="Times New Roman"/>
          <w:bCs/>
          <w:sz w:val="24"/>
          <w:szCs w:val="24"/>
          <w:u w:val="single"/>
          <w:lang w:eastAsia="zh-CN"/>
        </w:rPr>
      </w:pPr>
      <w:r w:rsidRPr="007704F7">
        <w:rPr>
          <w:rFonts w:ascii="Times New Roman" w:eastAsia="SimSun" w:hAnsi="Times New Roman" w:cs="Times New Roman"/>
          <w:bCs/>
          <w:sz w:val="24"/>
          <w:szCs w:val="24"/>
          <w:lang w:eastAsia="zh-CN"/>
        </w:rPr>
        <w:t xml:space="preserve">Email: </w:t>
      </w:r>
      <w:hyperlink r:id="rId8" w:history="1">
        <w:r w:rsidRPr="007704F7">
          <w:rPr>
            <w:rFonts w:ascii="Times New Roman" w:eastAsia="SimSun" w:hAnsi="Times New Roman" w:cs="Times New Roman"/>
            <w:bCs/>
            <w:sz w:val="24"/>
            <w:szCs w:val="24"/>
            <w:u w:val="single"/>
            <w:lang w:eastAsia="zh-CN"/>
          </w:rPr>
          <w:t>ahmed.a.elamer@gmail.com</w:t>
        </w:r>
      </w:hyperlink>
    </w:p>
    <w:p w14:paraId="570BF206" w14:textId="77777777" w:rsidR="007704F7" w:rsidRPr="007704F7" w:rsidRDefault="007704F7" w:rsidP="007704F7">
      <w:pPr>
        <w:spacing w:after="0" w:line="240" w:lineRule="auto"/>
        <w:jc w:val="center"/>
        <w:rPr>
          <w:rFonts w:ascii="Times New Roman" w:eastAsia="SimSun" w:hAnsi="Times New Roman" w:cs="Times New Roman"/>
          <w:bCs/>
          <w:sz w:val="24"/>
          <w:szCs w:val="24"/>
          <w:u w:val="single"/>
          <w:lang w:eastAsia="zh-CN"/>
        </w:rPr>
      </w:pPr>
    </w:p>
    <w:p w14:paraId="0050C632"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(2) Aws AlHares</w:t>
      </w:r>
    </w:p>
    <w:p w14:paraId="35D022DD"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 xml:space="preserve">Financial Ethics and Governance Research Group, Department of Accountancy and Finance, Business School, University of Huddersfield, UK, and </w:t>
      </w:r>
    </w:p>
    <w:p w14:paraId="0CD642B2"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sz w:val="24"/>
          <w:szCs w:val="24"/>
          <w:lang w:eastAsia="zh-CN"/>
        </w:rPr>
        <w:t xml:space="preserve">Faculty of School of Business Studies, College of the North Atlantic in Qatar, Qatar </w:t>
      </w:r>
      <w:hyperlink r:id="rId9" w:history="1"/>
    </w:p>
    <w:p w14:paraId="12C95054"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 xml:space="preserve">Email: </w:t>
      </w:r>
      <w:hyperlink r:id="rId10" w:history="1">
        <w:r w:rsidRPr="007704F7">
          <w:rPr>
            <w:rFonts w:eastAsia="Calibri"/>
            <w:color w:val="0563C1"/>
            <w:u w:val="single"/>
          </w:rPr>
          <w:t>aalhares@yahoo.co.uk</w:t>
        </w:r>
      </w:hyperlink>
      <w:r w:rsidRPr="007704F7">
        <w:rPr>
          <w:rFonts w:eastAsia="Calibri"/>
        </w:rPr>
        <w:t xml:space="preserve"> </w:t>
      </w:r>
    </w:p>
    <w:p w14:paraId="501B59B1"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bCs/>
          <w:sz w:val="24"/>
          <w:szCs w:val="24"/>
          <w:u w:val="single"/>
          <w:lang w:eastAsia="zh-CN"/>
        </w:rPr>
        <w:t xml:space="preserve">  </w:t>
      </w:r>
    </w:p>
    <w:p w14:paraId="444CB776"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p>
    <w:p w14:paraId="4E2713BE"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(3) Collins G. Ntim</w:t>
      </w:r>
    </w:p>
    <w:p w14:paraId="4C2D2CC0" w14:textId="77777777" w:rsidR="007704F7" w:rsidRPr="007704F7" w:rsidRDefault="007704F7" w:rsidP="007704F7">
      <w:pPr>
        <w:tabs>
          <w:tab w:val="left" w:pos="7350"/>
        </w:tabs>
        <w:spacing w:after="0" w:line="240" w:lineRule="auto"/>
        <w:jc w:val="center"/>
        <w:rPr>
          <w:rFonts w:ascii="Times New Roman" w:eastAsia="SimSun" w:hAnsi="Times New Roman" w:cs="Times New Roman"/>
          <w:bCs/>
          <w:sz w:val="24"/>
          <w:szCs w:val="24"/>
          <w:lang w:eastAsia="zh-CN"/>
        </w:rPr>
      </w:pPr>
      <w:r w:rsidRPr="007704F7">
        <w:rPr>
          <w:rFonts w:ascii="Times New Roman" w:eastAsia="Times New Roman" w:hAnsi="Times New Roman" w:cs="Times New Roman"/>
          <w:bCs/>
          <w:sz w:val="24"/>
          <w:szCs w:val="24"/>
          <w:lang w:eastAsia="en-GB"/>
        </w:rPr>
        <w:t xml:space="preserve">Department of Accounting, Centre for Research in Accounting, Accountability and Governance, </w:t>
      </w:r>
      <w:r w:rsidRPr="007704F7">
        <w:rPr>
          <w:rFonts w:ascii="Times New Roman" w:eastAsia="SimSun" w:hAnsi="Times New Roman" w:cs="Times New Roman"/>
          <w:bCs/>
          <w:sz w:val="24"/>
          <w:szCs w:val="24"/>
          <w:lang w:eastAsia="zh-CN"/>
        </w:rPr>
        <w:t>Southampton Business School, University of Southampton, UK</w:t>
      </w:r>
    </w:p>
    <w:p w14:paraId="7C1A9B96"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r w:rsidRPr="007704F7">
        <w:rPr>
          <w:rFonts w:ascii="Times New Roman" w:eastAsia="SimSun" w:hAnsi="Times New Roman" w:cs="Times New Roman"/>
          <w:bCs/>
          <w:sz w:val="24"/>
          <w:szCs w:val="24"/>
          <w:lang w:eastAsia="zh-CN"/>
        </w:rPr>
        <w:t xml:space="preserve">Email: </w:t>
      </w:r>
      <w:hyperlink r:id="rId11" w:history="1">
        <w:r w:rsidRPr="007704F7">
          <w:rPr>
            <w:rFonts w:ascii="Times New Roman" w:eastAsia="SimSun" w:hAnsi="Times New Roman" w:cs="Times New Roman"/>
            <w:bCs/>
            <w:sz w:val="24"/>
            <w:szCs w:val="24"/>
            <w:u w:val="single"/>
            <w:lang w:eastAsia="zh-CN"/>
          </w:rPr>
          <w:t>c.g.ntim@soton.ac.uk</w:t>
        </w:r>
      </w:hyperlink>
      <w:r w:rsidRPr="007704F7">
        <w:rPr>
          <w:rFonts w:ascii="Times New Roman" w:eastAsia="SimSun" w:hAnsi="Times New Roman" w:cs="Times New Roman"/>
          <w:bCs/>
          <w:sz w:val="24"/>
          <w:szCs w:val="24"/>
          <w:lang w:eastAsia="zh-CN"/>
        </w:rPr>
        <w:t xml:space="preserve"> </w:t>
      </w:r>
    </w:p>
    <w:p w14:paraId="23CFC188" w14:textId="77777777" w:rsidR="007704F7" w:rsidRPr="007704F7" w:rsidRDefault="007704F7" w:rsidP="007704F7">
      <w:pPr>
        <w:spacing w:after="0" w:line="240" w:lineRule="auto"/>
        <w:jc w:val="center"/>
        <w:rPr>
          <w:rFonts w:ascii="Times New Roman" w:eastAsia="SimSun" w:hAnsi="Times New Roman" w:cs="Times New Roman"/>
          <w:bCs/>
          <w:sz w:val="24"/>
          <w:szCs w:val="24"/>
          <w:lang w:eastAsia="zh-CN"/>
        </w:rPr>
      </w:pPr>
    </w:p>
    <w:p w14:paraId="74403194"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Ismail Benyazid</w:t>
      </w:r>
    </w:p>
    <w:p w14:paraId="5DBAFD4A"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r w:rsidRPr="007704F7">
        <w:rPr>
          <w:rFonts w:ascii="Times New Roman" w:eastAsia="SimSun" w:hAnsi="Times New Roman" w:cs="Times New Roman"/>
          <w:sz w:val="24"/>
          <w:szCs w:val="24"/>
          <w:lang w:eastAsia="zh-CN"/>
        </w:rPr>
        <w:t>Accounting Department, Faculty of Economics and Trade, Asmarya University, Libya</w:t>
      </w:r>
    </w:p>
    <w:p w14:paraId="6993E9E7" w14:textId="4B2711B2" w:rsidR="007704F7" w:rsidRDefault="007704F7" w:rsidP="007704F7">
      <w:pPr>
        <w:spacing w:after="0" w:line="240" w:lineRule="auto"/>
        <w:jc w:val="center"/>
        <w:rPr>
          <w:rFonts w:ascii="Times New Roman" w:eastAsia="SimSun" w:hAnsi="Times New Roman" w:cs="Times New Roman"/>
          <w:sz w:val="24"/>
          <w:szCs w:val="24"/>
          <w:u w:val="single"/>
          <w:lang w:eastAsia="zh-CN"/>
        </w:rPr>
      </w:pPr>
      <w:r w:rsidRPr="007704F7">
        <w:rPr>
          <w:rFonts w:ascii="Times New Roman" w:eastAsia="SimSun" w:hAnsi="Times New Roman" w:cs="Times New Roman"/>
          <w:sz w:val="24"/>
          <w:szCs w:val="24"/>
          <w:lang w:eastAsia="zh-CN"/>
        </w:rPr>
        <w:t xml:space="preserve">Email: </w:t>
      </w:r>
      <w:hyperlink r:id="rId12" w:history="1">
        <w:r w:rsidRPr="007704F7">
          <w:rPr>
            <w:rFonts w:ascii="Times New Roman" w:eastAsia="SimSun" w:hAnsi="Times New Roman" w:cs="Times New Roman"/>
            <w:sz w:val="24"/>
            <w:szCs w:val="24"/>
            <w:u w:val="single"/>
            <w:lang w:eastAsia="zh-CN"/>
          </w:rPr>
          <w:t>ismailr218@gmail.com</w:t>
        </w:r>
      </w:hyperlink>
    </w:p>
    <w:p w14:paraId="34DEAF9C" w14:textId="2E963A94"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545202D3" w14:textId="6D736205"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7E84525F" w14:textId="559376BF"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153F6D42" w14:textId="35EB2432"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18D85A53" w14:textId="38710016"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621D1FD6" w14:textId="45F17EAE"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5C95BDD7" w14:textId="2B153055"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66EBE4D9" w14:textId="77777777" w:rsidR="007704F7" w:rsidRDefault="007704F7" w:rsidP="007704F7">
      <w:pPr>
        <w:spacing w:after="0" w:line="240" w:lineRule="auto"/>
        <w:jc w:val="center"/>
        <w:rPr>
          <w:rFonts w:ascii="Times New Roman" w:eastAsia="SimSun" w:hAnsi="Times New Roman" w:cs="Times New Roman"/>
          <w:sz w:val="24"/>
          <w:szCs w:val="24"/>
          <w:u w:val="single"/>
          <w:lang w:eastAsia="zh-CN"/>
        </w:rPr>
      </w:pPr>
    </w:p>
    <w:p w14:paraId="002930D7" w14:textId="77777777" w:rsidR="007704F7" w:rsidRPr="004A1109" w:rsidRDefault="007704F7" w:rsidP="007704F7">
      <w:pPr>
        <w:rPr>
          <w:rFonts w:ascii="Times New Roman" w:hAnsi="Times New Roman" w:cs="Times New Roman"/>
          <w:sz w:val="20"/>
          <w:szCs w:val="20"/>
        </w:rPr>
      </w:pPr>
      <w:r>
        <w:rPr>
          <w:rFonts w:ascii="Times New Roman" w:hAnsi="Times New Roman" w:cs="Times New Roman"/>
          <w:sz w:val="20"/>
          <w:szCs w:val="20"/>
        </w:rPr>
        <w:t xml:space="preserve">Suggested reference: </w:t>
      </w:r>
      <w:r w:rsidRPr="004A1109">
        <w:rPr>
          <w:rFonts w:ascii="Times New Roman" w:hAnsi="Times New Roman" w:cs="Times New Roman"/>
          <w:sz w:val="20"/>
          <w:szCs w:val="20"/>
        </w:rPr>
        <w:t xml:space="preserve">Elamer, A.A., AlHares, A., Ntim, C.G. and Benyazid, I., </w:t>
      </w:r>
      <w:r>
        <w:rPr>
          <w:rFonts w:ascii="Times New Roman" w:hAnsi="Times New Roman" w:cs="Times New Roman"/>
          <w:sz w:val="20"/>
          <w:szCs w:val="20"/>
        </w:rPr>
        <w:t>(</w:t>
      </w:r>
      <w:r w:rsidRPr="004A1109">
        <w:rPr>
          <w:rFonts w:ascii="Times New Roman" w:hAnsi="Times New Roman" w:cs="Times New Roman"/>
          <w:sz w:val="20"/>
          <w:szCs w:val="20"/>
        </w:rPr>
        <w:t>2018</w:t>
      </w:r>
      <w:r>
        <w:rPr>
          <w:rFonts w:ascii="Times New Roman" w:hAnsi="Times New Roman" w:cs="Times New Roman"/>
          <w:sz w:val="20"/>
          <w:szCs w:val="20"/>
        </w:rPr>
        <w:t>)</w:t>
      </w:r>
      <w:r w:rsidRPr="004A1109">
        <w:rPr>
          <w:rFonts w:ascii="Times New Roman" w:hAnsi="Times New Roman" w:cs="Times New Roman"/>
          <w:sz w:val="20"/>
          <w:szCs w:val="20"/>
        </w:rPr>
        <w:t>. The corporate governance–risk-taking nexus: evidence from insurance companies. </w:t>
      </w:r>
      <w:r w:rsidRPr="004A1109">
        <w:rPr>
          <w:rFonts w:ascii="Times New Roman" w:hAnsi="Times New Roman" w:cs="Times New Roman"/>
          <w:i/>
          <w:iCs/>
          <w:sz w:val="20"/>
          <w:szCs w:val="20"/>
        </w:rPr>
        <w:t>International Journal of Ethics and Systems</w:t>
      </w:r>
      <w:r w:rsidRPr="004A1109">
        <w:rPr>
          <w:rFonts w:ascii="Times New Roman" w:hAnsi="Times New Roman" w:cs="Times New Roman"/>
          <w:sz w:val="20"/>
          <w:szCs w:val="20"/>
        </w:rPr>
        <w:t>. , Vol. 34 Issue: 4, pp.493-509, </w:t>
      </w:r>
      <w:hyperlink r:id="rId13" w:history="1">
        <w:r w:rsidRPr="004A1109">
          <w:rPr>
            <w:rStyle w:val="Hyperlink"/>
            <w:rFonts w:ascii="Times New Roman" w:hAnsi="Times New Roman" w:cs="Times New Roman"/>
            <w:sz w:val="20"/>
            <w:szCs w:val="20"/>
          </w:rPr>
          <w:t>https://doi.org/10.1108/IJOES-07-2018-0103</w:t>
        </w:r>
      </w:hyperlink>
      <w:r w:rsidRPr="004A1109">
        <w:rPr>
          <w:rFonts w:ascii="Times New Roman" w:hAnsi="Times New Roman" w:cs="Times New Roman"/>
          <w:sz w:val="20"/>
          <w:szCs w:val="20"/>
        </w:rPr>
        <w:t xml:space="preserve"> (Accepted </w:t>
      </w:r>
      <w:r>
        <w:rPr>
          <w:rFonts w:ascii="Times New Roman" w:hAnsi="Times New Roman" w:cs="Times New Roman"/>
          <w:sz w:val="20"/>
          <w:szCs w:val="20"/>
        </w:rPr>
        <w:t>6</w:t>
      </w:r>
      <w:r w:rsidRPr="004A1109">
        <w:rPr>
          <w:rFonts w:ascii="Times New Roman" w:hAnsi="Times New Roman" w:cs="Times New Roman"/>
          <w:sz w:val="20"/>
          <w:szCs w:val="20"/>
        </w:rPr>
        <w:t xml:space="preserve"> September, 201</w:t>
      </w:r>
      <w:r>
        <w:rPr>
          <w:rFonts w:ascii="Times New Roman" w:hAnsi="Times New Roman" w:cs="Times New Roman"/>
          <w:sz w:val="20"/>
          <w:szCs w:val="20"/>
        </w:rPr>
        <w:t>8</w:t>
      </w:r>
      <w:r w:rsidRPr="004A1109">
        <w:rPr>
          <w:rFonts w:ascii="Times New Roman" w:hAnsi="Times New Roman" w:cs="Times New Roman"/>
          <w:sz w:val="20"/>
          <w:szCs w:val="20"/>
        </w:rPr>
        <w:t>).</w:t>
      </w:r>
    </w:p>
    <w:p w14:paraId="2988D311" w14:textId="77777777" w:rsidR="007704F7" w:rsidRPr="007704F7" w:rsidRDefault="007704F7" w:rsidP="007704F7">
      <w:pPr>
        <w:spacing w:after="0" w:line="240" w:lineRule="auto"/>
        <w:jc w:val="center"/>
        <w:rPr>
          <w:rFonts w:ascii="Times New Roman" w:eastAsia="SimSun" w:hAnsi="Times New Roman" w:cs="Times New Roman"/>
          <w:sz w:val="24"/>
          <w:szCs w:val="24"/>
          <w:lang w:eastAsia="zh-CN"/>
        </w:rPr>
      </w:pPr>
    </w:p>
    <w:p w14:paraId="6C9EF16A" w14:textId="77777777" w:rsidR="007704F7" w:rsidRDefault="007704F7">
      <w:pPr>
        <w:rPr>
          <w:rFonts w:ascii="Times New Roman" w:eastAsia="Times New Roman" w:hAnsi="Times New Roman" w:cs="Times New Roman"/>
          <w:b/>
          <w:spacing w:val="-10"/>
          <w:kern w:val="28"/>
          <w:sz w:val="32"/>
          <w:szCs w:val="56"/>
          <w:lang w:val="en-US" w:eastAsia="en-GB"/>
        </w:rPr>
      </w:pPr>
    </w:p>
    <w:p w14:paraId="4CE2199D" w14:textId="77777777" w:rsidR="007704F7" w:rsidRPr="007704F7" w:rsidRDefault="007704F7">
      <w:pPr>
        <w:rPr>
          <w:rFonts w:ascii="Times New Roman" w:eastAsia="Times New Roman" w:hAnsi="Times New Roman" w:cs="Times New Roman"/>
          <w:b/>
          <w:spacing w:val="-10"/>
          <w:kern w:val="28"/>
          <w:sz w:val="32"/>
          <w:szCs w:val="56"/>
          <w:lang w:eastAsia="en-GB"/>
        </w:rPr>
      </w:pPr>
      <w:r>
        <w:rPr>
          <w:rFonts w:ascii="Times New Roman" w:eastAsia="Times New Roman" w:hAnsi="Times New Roman" w:cs="Times New Roman"/>
          <w:b/>
          <w:spacing w:val="-10"/>
          <w:kern w:val="28"/>
          <w:sz w:val="32"/>
          <w:szCs w:val="56"/>
          <w:lang w:val="en-US" w:eastAsia="en-GB"/>
        </w:rPr>
        <w:br w:type="page"/>
      </w:r>
      <w:bookmarkStart w:id="0" w:name="_GoBack"/>
      <w:bookmarkEnd w:id="0"/>
    </w:p>
    <w:p w14:paraId="2D0FF3D8" w14:textId="1261CC2A" w:rsidR="00476369" w:rsidRPr="00476369" w:rsidRDefault="00476369" w:rsidP="00B802BF">
      <w:pPr>
        <w:spacing w:after="0" w:line="240" w:lineRule="auto"/>
        <w:jc w:val="center"/>
        <w:rPr>
          <w:rFonts w:ascii="Times New Roman" w:eastAsia="Times New Roman" w:hAnsi="Times New Roman" w:cs="Times New Roman"/>
          <w:b/>
          <w:spacing w:val="-10"/>
          <w:kern w:val="28"/>
          <w:sz w:val="32"/>
          <w:szCs w:val="56"/>
          <w:lang w:val="en-US" w:eastAsia="en-GB"/>
        </w:rPr>
      </w:pPr>
      <w:r w:rsidRPr="00476369">
        <w:rPr>
          <w:rFonts w:ascii="Times New Roman" w:eastAsia="Times New Roman" w:hAnsi="Times New Roman" w:cs="Times New Roman"/>
          <w:b/>
          <w:spacing w:val="-10"/>
          <w:kern w:val="28"/>
          <w:sz w:val="32"/>
          <w:szCs w:val="56"/>
          <w:lang w:val="en-US" w:eastAsia="en-GB"/>
        </w:rPr>
        <w:lastRenderedPageBreak/>
        <w:t>The Corporate Governance</w:t>
      </w:r>
      <w:r w:rsidR="00B802BF">
        <w:rPr>
          <w:rFonts w:ascii="Times New Roman" w:eastAsia="Times New Roman" w:hAnsi="Times New Roman" w:cs="Times New Roman"/>
          <w:b/>
          <w:spacing w:val="-10"/>
          <w:kern w:val="28"/>
          <w:sz w:val="32"/>
          <w:szCs w:val="56"/>
          <w:lang w:val="en-US" w:eastAsia="en-GB"/>
        </w:rPr>
        <w:t>–</w:t>
      </w:r>
      <w:r>
        <w:rPr>
          <w:rFonts w:ascii="Times New Roman" w:eastAsia="Times New Roman" w:hAnsi="Times New Roman" w:cs="Times New Roman"/>
          <w:b/>
          <w:spacing w:val="-10"/>
          <w:kern w:val="28"/>
          <w:sz w:val="32"/>
          <w:szCs w:val="56"/>
          <w:lang w:val="en-US" w:eastAsia="en-GB"/>
        </w:rPr>
        <w:t>Risk Taking</w:t>
      </w:r>
      <w:r w:rsidR="00B802BF">
        <w:rPr>
          <w:rFonts w:ascii="Times New Roman" w:eastAsia="Times New Roman" w:hAnsi="Times New Roman" w:cs="Times New Roman"/>
          <w:b/>
          <w:spacing w:val="-10"/>
          <w:kern w:val="28"/>
          <w:sz w:val="32"/>
          <w:szCs w:val="56"/>
          <w:lang w:val="en-US" w:eastAsia="en-GB"/>
        </w:rPr>
        <w:t xml:space="preserve"> Nexus</w:t>
      </w:r>
      <w:r w:rsidRPr="00476369">
        <w:rPr>
          <w:rFonts w:ascii="Times New Roman" w:eastAsia="Times New Roman" w:hAnsi="Times New Roman" w:cs="Times New Roman"/>
          <w:b/>
          <w:spacing w:val="-10"/>
          <w:kern w:val="28"/>
          <w:sz w:val="32"/>
          <w:szCs w:val="56"/>
          <w:lang w:val="en-US" w:eastAsia="en-GB"/>
        </w:rPr>
        <w:t>: Evidence from Insurance Companies</w:t>
      </w:r>
    </w:p>
    <w:p w14:paraId="580A6502" w14:textId="77777777" w:rsidR="001912D1" w:rsidRPr="001912D1" w:rsidRDefault="001912D1" w:rsidP="001912D1">
      <w:pPr>
        <w:spacing w:line="480" w:lineRule="auto"/>
        <w:ind w:firstLine="360"/>
        <w:jc w:val="both"/>
        <w:rPr>
          <w:rFonts w:ascii="Times New Roman" w:eastAsiaTheme="majorEastAsia" w:hAnsi="Times New Roman" w:cs="Times New Roman"/>
          <w:b/>
          <w:bCs/>
          <w:sz w:val="14"/>
          <w:szCs w:val="14"/>
        </w:rPr>
      </w:pPr>
    </w:p>
    <w:p w14:paraId="21D1D8C4" w14:textId="77777777" w:rsidR="00A271A8" w:rsidRPr="00E574C7" w:rsidRDefault="001912D1" w:rsidP="001912D1">
      <w:pPr>
        <w:spacing w:line="480" w:lineRule="auto"/>
        <w:ind w:firstLine="360"/>
        <w:jc w:val="both"/>
        <w:rPr>
          <w:rFonts w:ascii="Times New Roman" w:eastAsiaTheme="majorEastAsia" w:hAnsi="Times New Roman" w:cs="Times New Roman"/>
          <w:b/>
          <w:bCs/>
          <w:sz w:val="24"/>
          <w:szCs w:val="24"/>
        </w:rPr>
      </w:pPr>
      <w:r w:rsidRPr="00E574C7">
        <w:rPr>
          <w:rFonts w:ascii="Times New Roman" w:eastAsiaTheme="majorEastAsia" w:hAnsi="Times New Roman" w:cs="Times New Roman"/>
          <w:b/>
          <w:bCs/>
          <w:sz w:val="24"/>
          <w:szCs w:val="24"/>
        </w:rPr>
        <w:t xml:space="preserve">Abstract </w:t>
      </w:r>
    </w:p>
    <w:p w14:paraId="0A75A548" w14:textId="5F31FDAA" w:rsidR="007C76F0" w:rsidRPr="007C76F0" w:rsidRDefault="007C76F0">
      <w:pPr>
        <w:spacing w:line="360" w:lineRule="auto"/>
        <w:ind w:firstLine="360"/>
        <w:jc w:val="both"/>
        <w:rPr>
          <w:rFonts w:asciiTheme="majorBidi" w:hAnsiTheme="majorBidi" w:cstheme="majorBidi"/>
          <w:sz w:val="24"/>
          <w:szCs w:val="24"/>
        </w:rPr>
      </w:pPr>
      <w:r w:rsidRPr="007C76F0">
        <w:rPr>
          <w:rFonts w:asciiTheme="majorBidi" w:hAnsiTheme="majorBidi" w:cstheme="majorBidi"/>
          <w:sz w:val="24"/>
          <w:szCs w:val="24"/>
        </w:rPr>
        <w:t xml:space="preserve">This study examines the impact of internal corporate governance mechanisms on insurance companies’ risk-taking in the UK context. The study uses a panel data of all listed insurance companies on FTSE 350 </w:t>
      </w:r>
      <w:r w:rsidR="00EE0BAA">
        <w:rPr>
          <w:rFonts w:asciiTheme="majorBidi" w:hAnsiTheme="majorBidi" w:cstheme="majorBidi"/>
          <w:sz w:val="24"/>
          <w:szCs w:val="24"/>
        </w:rPr>
        <w:t xml:space="preserve">over the </w:t>
      </w:r>
      <w:r w:rsidRPr="007C76F0">
        <w:rPr>
          <w:rFonts w:asciiTheme="majorBidi" w:hAnsiTheme="majorBidi" w:cstheme="majorBidi"/>
          <w:sz w:val="24"/>
          <w:szCs w:val="24"/>
        </w:rPr>
        <w:t>2005-2014</w:t>
      </w:r>
      <w:r w:rsidR="00EE0BAA">
        <w:rPr>
          <w:rFonts w:asciiTheme="majorBidi" w:hAnsiTheme="majorBidi" w:cstheme="majorBidi"/>
          <w:sz w:val="24"/>
          <w:szCs w:val="24"/>
        </w:rPr>
        <w:t xml:space="preserve"> period</w:t>
      </w:r>
      <w:r w:rsidRPr="007C76F0">
        <w:rPr>
          <w:rFonts w:asciiTheme="majorBidi" w:hAnsiTheme="majorBidi" w:cstheme="majorBidi"/>
          <w:sz w:val="24"/>
          <w:szCs w:val="24"/>
        </w:rPr>
        <w:t xml:space="preserve">. The results show that the board size and board meetings are significantly and negatively </w:t>
      </w:r>
      <w:r w:rsidR="004251C1">
        <w:rPr>
          <w:rFonts w:asciiTheme="majorBidi" w:hAnsiTheme="majorBidi" w:cstheme="majorBidi"/>
          <w:sz w:val="24"/>
          <w:szCs w:val="24"/>
        </w:rPr>
        <w:t xml:space="preserve">related </w:t>
      </w:r>
      <w:r w:rsidRPr="007C76F0">
        <w:rPr>
          <w:rFonts w:asciiTheme="majorBidi" w:hAnsiTheme="majorBidi" w:cstheme="majorBidi"/>
          <w:sz w:val="24"/>
          <w:szCs w:val="24"/>
        </w:rPr>
        <w:t xml:space="preserve">to risk-taking. In contrast, the results </w:t>
      </w:r>
      <w:r w:rsidR="004251C1">
        <w:rPr>
          <w:rFonts w:asciiTheme="majorBidi" w:hAnsiTheme="majorBidi" w:cstheme="majorBidi"/>
          <w:sz w:val="24"/>
          <w:szCs w:val="24"/>
        </w:rPr>
        <w:t>show</w:t>
      </w:r>
      <w:r w:rsidR="004251C1" w:rsidRPr="007C76F0">
        <w:rPr>
          <w:rFonts w:asciiTheme="majorBidi" w:hAnsiTheme="majorBidi" w:cstheme="majorBidi"/>
          <w:sz w:val="24"/>
          <w:szCs w:val="24"/>
        </w:rPr>
        <w:t xml:space="preserve"> </w:t>
      </w:r>
      <w:r w:rsidRPr="007C76F0">
        <w:rPr>
          <w:rFonts w:asciiTheme="majorBidi" w:hAnsiTheme="majorBidi" w:cstheme="majorBidi"/>
          <w:sz w:val="24"/>
          <w:szCs w:val="24"/>
        </w:rPr>
        <w:t>that board independence and audit committee size are</w:t>
      </w:r>
      <w:r w:rsidR="004251C1">
        <w:rPr>
          <w:rFonts w:asciiTheme="majorBidi" w:hAnsiTheme="majorBidi" w:cstheme="majorBidi"/>
          <w:sz w:val="24"/>
          <w:szCs w:val="24"/>
        </w:rPr>
        <w:t xml:space="preserve"> statistically insignificant, but</w:t>
      </w:r>
      <w:r w:rsidRPr="007C76F0">
        <w:rPr>
          <w:rFonts w:asciiTheme="majorBidi" w:hAnsiTheme="majorBidi" w:cstheme="majorBidi"/>
          <w:sz w:val="24"/>
          <w:szCs w:val="24"/>
        </w:rPr>
        <w:t xml:space="preserve"> negatively </w:t>
      </w:r>
      <w:r w:rsidR="004251C1">
        <w:rPr>
          <w:rFonts w:asciiTheme="majorBidi" w:hAnsiTheme="majorBidi" w:cstheme="majorBidi"/>
          <w:sz w:val="24"/>
          <w:szCs w:val="24"/>
        </w:rPr>
        <w:t xml:space="preserve">related </w:t>
      </w:r>
      <w:r w:rsidRPr="007C76F0">
        <w:rPr>
          <w:rFonts w:asciiTheme="majorBidi" w:hAnsiTheme="majorBidi" w:cstheme="majorBidi"/>
          <w:sz w:val="24"/>
          <w:szCs w:val="24"/>
        </w:rPr>
        <w:t xml:space="preserve">to risk-taking. </w:t>
      </w:r>
      <w:r w:rsidR="00F26DF2">
        <w:rPr>
          <w:rFonts w:asciiTheme="majorBidi" w:hAnsiTheme="majorBidi" w:cstheme="majorBidi"/>
          <w:sz w:val="24"/>
          <w:szCs w:val="24"/>
        </w:rPr>
        <w:t xml:space="preserve">The findings are robust to alternative measures and endogeneities. </w:t>
      </w:r>
      <w:r w:rsidR="004251C1">
        <w:rPr>
          <w:rFonts w:asciiTheme="majorBidi" w:hAnsiTheme="majorBidi" w:cstheme="majorBidi"/>
          <w:sz w:val="24"/>
          <w:szCs w:val="24"/>
        </w:rPr>
        <w:t>Our findings have important implications for investors, managers, regulators of financial institutions and effectiveness of corporate governance reforms that have been pursued</w:t>
      </w:r>
      <w:r w:rsidRPr="007C76F0">
        <w:rPr>
          <w:rFonts w:asciiTheme="majorBidi" w:hAnsiTheme="majorBidi" w:cstheme="majorBidi"/>
          <w:sz w:val="24"/>
          <w:szCs w:val="24"/>
        </w:rPr>
        <w:t>.</w:t>
      </w:r>
    </w:p>
    <w:p w14:paraId="5E5278F8" w14:textId="422AE5CD" w:rsidR="00674362" w:rsidRDefault="00A271A8" w:rsidP="001912D1">
      <w:pPr>
        <w:spacing w:line="360" w:lineRule="auto"/>
        <w:ind w:firstLine="360"/>
        <w:jc w:val="both"/>
        <w:rPr>
          <w:rFonts w:asciiTheme="majorBidi" w:eastAsia="Times New Roman" w:hAnsiTheme="majorBidi" w:cstheme="majorBidi"/>
          <w:sz w:val="24"/>
          <w:szCs w:val="24"/>
          <w:lang w:eastAsia="en-GB"/>
        </w:rPr>
      </w:pPr>
      <w:r w:rsidRPr="00E574C7">
        <w:rPr>
          <w:rFonts w:asciiTheme="majorBidi" w:hAnsiTheme="majorBidi" w:cstheme="majorBidi"/>
          <w:b/>
          <w:bCs/>
          <w:i/>
          <w:sz w:val="24"/>
          <w:szCs w:val="24"/>
        </w:rPr>
        <w:t>Keywords</w:t>
      </w:r>
      <w:r w:rsidRPr="00E574C7">
        <w:rPr>
          <w:rFonts w:asciiTheme="majorBidi" w:hAnsiTheme="majorBidi" w:cstheme="majorBidi"/>
          <w:i/>
          <w:sz w:val="24"/>
          <w:szCs w:val="24"/>
        </w:rPr>
        <w:t>:</w:t>
      </w:r>
      <w:r w:rsidRPr="00E574C7">
        <w:rPr>
          <w:rFonts w:asciiTheme="majorBidi" w:eastAsia="Calibri" w:hAnsiTheme="majorBidi" w:cstheme="majorBidi"/>
          <w:b/>
          <w:sz w:val="24"/>
          <w:szCs w:val="24"/>
        </w:rPr>
        <w:t xml:space="preserve"> </w:t>
      </w:r>
      <w:r w:rsidR="00476369" w:rsidRPr="00E574C7">
        <w:rPr>
          <w:rFonts w:asciiTheme="majorBidi" w:eastAsia="Times New Roman" w:hAnsiTheme="majorBidi" w:cstheme="majorBidi"/>
          <w:sz w:val="24"/>
          <w:szCs w:val="24"/>
          <w:lang w:eastAsia="en-GB"/>
        </w:rPr>
        <w:t>Agency Theory; Corpora</w:t>
      </w:r>
      <w:r w:rsidR="00035535">
        <w:rPr>
          <w:rFonts w:asciiTheme="majorBidi" w:eastAsia="Times New Roman" w:hAnsiTheme="majorBidi" w:cstheme="majorBidi"/>
          <w:sz w:val="24"/>
          <w:szCs w:val="24"/>
          <w:lang w:eastAsia="en-GB"/>
        </w:rPr>
        <w:t>te Governance; Insurance Companies</w:t>
      </w:r>
      <w:r w:rsidR="00FD61B1" w:rsidRPr="00E574C7">
        <w:rPr>
          <w:rFonts w:asciiTheme="majorBidi" w:eastAsia="Times New Roman" w:hAnsiTheme="majorBidi" w:cstheme="majorBidi"/>
          <w:sz w:val="24"/>
          <w:szCs w:val="24"/>
          <w:lang w:eastAsia="en-GB"/>
        </w:rPr>
        <w:t>; Risk</w:t>
      </w:r>
      <w:r w:rsidR="00555B56">
        <w:rPr>
          <w:rFonts w:asciiTheme="majorBidi" w:eastAsia="Times New Roman" w:hAnsiTheme="majorBidi" w:cstheme="majorBidi"/>
          <w:sz w:val="24"/>
          <w:szCs w:val="24"/>
          <w:lang w:eastAsia="en-GB"/>
        </w:rPr>
        <w:t>-</w:t>
      </w:r>
      <w:r w:rsidR="00FD61B1" w:rsidRPr="00E574C7">
        <w:rPr>
          <w:rFonts w:asciiTheme="majorBidi" w:eastAsia="Times New Roman" w:hAnsiTheme="majorBidi" w:cstheme="majorBidi"/>
          <w:sz w:val="24"/>
          <w:szCs w:val="24"/>
          <w:lang w:eastAsia="en-GB"/>
        </w:rPr>
        <w:t>Taking;</w:t>
      </w:r>
      <w:r w:rsidR="00476369" w:rsidRPr="00E574C7">
        <w:rPr>
          <w:rFonts w:asciiTheme="majorBidi" w:eastAsia="Times New Roman" w:hAnsiTheme="majorBidi" w:cstheme="majorBidi"/>
          <w:sz w:val="24"/>
          <w:szCs w:val="24"/>
          <w:lang w:eastAsia="en-GB"/>
        </w:rPr>
        <w:t xml:space="preserve"> UK.</w:t>
      </w:r>
    </w:p>
    <w:p w14:paraId="1CF7BCAE" w14:textId="77777777" w:rsidR="007C76F0" w:rsidRDefault="007C76F0">
      <w:pP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p>
    <w:p w14:paraId="670E18FB" w14:textId="77777777" w:rsidR="00316F19" w:rsidRPr="00D15B6A" w:rsidRDefault="00E574C7" w:rsidP="005578B9">
      <w:pPr>
        <w:pStyle w:val="Heading1"/>
        <w:rPr>
          <w:rFonts w:cs="Times New Roman"/>
          <w:szCs w:val="24"/>
        </w:rPr>
      </w:pPr>
      <w:r w:rsidRPr="00D15B6A">
        <w:rPr>
          <w:rFonts w:cs="Times New Roman"/>
          <w:szCs w:val="24"/>
        </w:rPr>
        <w:t>Introduction</w:t>
      </w:r>
    </w:p>
    <w:p w14:paraId="22E130C0" w14:textId="620EB54C" w:rsidR="009F6844" w:rsidRPr="00D15B6A" w:rsidRDefault="00831CDF" w:rsidP="00EE7FBF">
      <w:pPr>
        <w:spacing w:before="120" w:after="120" w:line="360" w:lineRule="auto"/>
        <w:ind w:firstLine="360"/>
        <w:contextualSpacing/>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This study examine</w:t>
      </w:r>
      <w:r w:rsidR="006C1AFA">
        <w:rPr>
          <w:rFonts w:ascii="Times New Roman" w:eastAsia="Calibri" w:hAnsi="Times New Roman" w:cs="Times New Roman"/>
          <w:sz w:val="24"/>
          <w:szCs w:val="24"/>
        </w:rPr>
        <w:t>s</w:t>
      </w:r>
      <w:r w:rsidRPr="00D15B6A">
        <w:rPr>
          <w:rFonts w:ascii="Times New Roman" w:eastAsia="Calibri" w:hAnsi="Times New Roman" w:cs="Times New Roman"/>
          <w:sz w:val="24"/>
          <w:szCs w:val="24"/>
        </w:rPr>
        <w:t xml:space="preserve"> the impact of internal corporate governance mechanism on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 xml:space="preserve">during the period 2005 to 2014 in UK insurance companies. </w:t>
      </w:r>
      <w:r w:rsidR="009F6844" w:rsidRPr="00D15B6A">
        <w:rPr>
          <w:rFonts w:ascii="Times New Roman" w:eastAsia="Calibri" w:hAnsi="Times New Roman" w:cs="Times New Roman"/>
          <w:sz w:val="24"/>
          <w:szCs w:val="24"/>
        </w:rPr>
        <w:t>Insurance companies’ activities are opaque and complex, since they depend on complex assumptions</w:t>
      </w:r>
      <w:r w:rsidR="00555B56">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 xml:space="preserve"> including mortality rates, upcoming expenses</w:t>
      </w:r>
      <w:r w:rsidR="00555B56">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 xml:space="preserve"> and interval and discontinuance percentages, in addition to impending investment yields </w:t>
      </w:r>
      <w:r w:rsidR="009F6844"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Y051bT4xODwvUmVjTnVtPjxEaXNwbGF5VGV4dD4oQWRhbXMgJmFtcDsgSmlhbmcsIDIwMTY7IEJv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</w:fldData>
        </w:fldChar>
      </w:r>
      <w:r w:rsidR="009F6844" w:rsidRPr="00D15B6A">
        <w:rPr>
          <w:rFonts w:ascii="Times New Roman" w:eastAsia="Calibri" w:hAnsi="Times New Roman" w:cs="Times New Roman"/>
          <w:sz w:val="24"/>
          <w:szCs w:val="24"/>
        </w:rPr>
        <w:instrText xml:space="preserve"> ADDIN EN.CITE </w:instrText>
      </w:r>
      <w:r w:rsidR="009F6844"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Y051bT4xODwvUmVjTnVtPjxEaXNwbGF5VGV4dD4oQWRhbXMgJmFtcDsgSmlhbmcsIDIwMTY7IEJv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</w:fldData>
        </w:fldChar>
      </w:r>
      <w:r w:rsidR="009F6844" w:rsidRPr="00D15B6A">
        <w:rPr>
          <w:rFonts w:ascii="Times New Roman" w:eastAsia="Calibri" w:hAnsi="Times New Roman" w:cs="Times New Roman"/>
          <w:sz w:val="24"/>
          <w:szCs w:val="24"/>
        </w:rPr>
        <w:instrText xml:space="preserve"> ADDIN EN.CITE.DATA </w:instrText>
      </w:r>
      <w:r w:rsidR="009F6844" w:rsidRPr="00D15B6A">
        <w:rPr>
          <w:rFonts w:ascii="Times New Roman" w:eastAsia="Calibri" w:hAnsi="Times New Roman" w:cs="Times New Roman"/>
          <w:sz w:val="24"/>
          <w:szCs w:val="24"/>
        </w:rPr>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r>
      <w:r w:rsidR="009F6844" w:rsidRPr="00D15B6A">
        <w:rPr>
          <w:rFonts w:ascii="Times New Roman" w:eastAsia="Calibri" w:hAnsi="Times New Roman" w:cs="Times New Roman"/>
          <w:sz w:val="24"/>
          <w:szCs w:val="24"/>
        </w:rPr>
        <w:fldChar w:fldCharType="separate"/>
      </w:r>
      <w:r w:rsidR="009F6844" w:rsidRPr="00D15B6A">
        <w:rPr>
          <w:rFonts w:ascii="Times New Roman" w:eastAsia="Calibri" w:hAnsi="Times New Roman" w:cs="Times New Roman"/>
          <w:noProof/>
          <w:sz w:val="24"/>
          <w:szCs w:val="24"/>
        </w:rPr>
        <w:t>(</w:t>
      </w:r>
      <w:hyperlink w:anchor="_ENREF_1" w:tooltip="Adams, 2016 #18" w:history="1">
        <w:r w:rsidR="009F6844" w:rsidRPr="00D15B6A">
          <w:rPr>
            <w:rFonts w:ascii="Times New Roman" w:eastAsia="Calibri" w:hAnsi="Times New Roman" w:cs="Times New Roman"/>
            <w:noProof/>
            <w:sz w:val="24"/>
            <w:szCs w:val="24"/>
          </w:rPr>
          <w:t>Adams &amp; Jiang, 2016</w:t>
        </w:r>
      </w:hyperlink>
      <w:r w:rsidR="009F6844" w:rsidRPr="00D15B6A">
        <w:rPr>
          <w:rFonts w:ascii="Times New Roman" w:eastAsia="Calibri" w:hAnsi="Times New Roman" w:cs="Times New Roman"/>
          <w:noProof/>
          <w:sz w:val="24"/>
          <w:szCs w:val="24"/>
        </w:rPr>
        <w:t xml:space="preserve">; </w:t>
      </w:r>
      <w:hyperlink w:anchor="_ENREF_7" w:tooltip="Boubakri, 2011 #17" w:history="1">
        <w:r w:rsidR="009F6844" w:rsidRPr="00D15B6A">
          <w:rPr>
            <w:rFonts w:ascii="Times New Roman" w:eastAsia="Calibri" w:hAnsi="Times New Roman" w:cs="Times New Roman"/>
            <w:noProof/>
            <w:sz w:val="24"/>
            <w:szCs w:val="24"/>
          </w:rPr>
          <w:t>Boubakri, 2011</w:t>
        </w:r>
      </w:hyperlink>
      <w:r w:rsidR="009F6844" w:rsidRPr="00D15B6A">
        <w:rPr>
          <w:rFonts w:ascii="Times New Roman" w:eastAsia="Calibri" w:hAnsi="Times New Roman" w:cs="Times New Roman"/>
          <w:noProof/>
          <w:sz w:val="24"/>
          <w:szCs w:val="24"/>
        </w:rPr>
        <w:t>)</w:t>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t xml:space="preserve">. As a result, insurance companies need strong governance, as well as effective accounting and financial reporting standards, to enable proper insights into the company’s financial position. However, the World Bank and IMF </w:t>
      </w:r>
      <w:r w:rsidR="006C1AFA">
        <w:rPr>
          <w:rFonts w:ascii="Times New Roman" w:eastAsia="Calibri" w:hAnsi="Times New Roman" w:cs="Times New Roman"/>
          <w:sz w:val="24"/>
          <w:szCs w:val="24"/>
        </w:rPr>
        <w:t>highlight</w:t>
      </w:r>
      <w:r w:rsidR="009F6844" w:rsidRPr="00D15B6A">
        <w:rPr>
          <w:rFonts w:ascii="Times New Roman" w:eastAsia="Calibri" w:hAnsi="Times New Roman" w:cs="Times New Roman"/>
          <w:sz w:val="24"/>
          <w:szCs w:val="24"/>
        </w:rPr>
        <w:t xml:space="preserve"> </w:t>
      </w:r>
      <w:r w:rsidR="00486DBC">
        <w:rPr>
          <w:rFonts w:ascii="Times New Roman" w:eastAsia="Calibri" w:hAnsi="Times New Roman" w:cs="Times New Roman"/>
          <w:sz w:val="24"/>
          <w:szCs w:val="24"/>
        </w:rPr>
        <w:t xml:space="preserve">corporate </w:t>
      </w:r>
      <w:r w:rsidR="00486DBC" w:rsidRPr="00D15B6A">
        <w:rPr>
          <w:rFonts w:ascii="Times New Roman" w:eastAsia="Calibri" w:hAnsi="Times New Roman" w:cs="Times New Roman"/>
          <w:sz w:val="24"/>
          <w:szCs w:val="24"/>
        </w:rPr>
        <w:t xml:space="preserve">governance </w:t>
      </w:r>
      <w:r w:rsidR="00486DBC">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CG</w:t>
      </w:r>
      <w:r w:rsidR="00486DBC">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 xml:space="preserve"> as a major defence in the insurance sector </w:t>
      </w:r>
      <w:r w:rsidR="009F6844" w:rsidRPr="00D15B6A">
        <w:rPr>
          <w:rFonts w:ascii="Times New Roman" w:eastAsia="Calibri" w:hAnsi="Times New Roman" w:cs="Times New Roman"/>
          <w:sz w:val="24"/>
          <w:szCs w:val="24"/>
        </w:rPr>
        <w:fldChar w:fldCharType="begin"/>
      </w:r>
      <w:r w:rsidR="009F6844" w:rsidRPr="00D15B6A">
        <w:rPr>
          <w:rFonts w:ascii="Times New Roman" w:eastAsia="Calibri" w:hAnsi="Times New Roman" w:cs="Times New Roman"/>
          <w:sz w:val="24"/>
          <w:szCs w:val="24"/>
        </w:rPr>
        <w:instrText xml:space="preserve"> ADDIN EN.CITE &lt;EndNote&gt;&lt;Cite&gt;&lt;Author&gt;Cheng&lt;/Author&gt;&lt;Year&gt;2011&lt;/Year&gt;&lt;RecNum&gt;33&lt;/RecNum&gt;&lt;DisplayText&gt;(J. Cheng et al., 2011; Eling &amp;amp; Marek, 2014)&lt;/DisplayText&gt;&lt;record&gt;&lt;rec-number&gt;33&lt;/rec-number&gt;&lt;foreign-keys&gt;&lt;key app="EN" db-id="t5v9xwx225adw1erxp8pdzxowddx2vd020f0"&gt;33&lt;/key&gt;&lt;/foreign-keys&gt;&lt;ref-type name="Journal Article"&gt;17&lt;/ref-type&gt;&lt;contributors&gt;&lt;authors&gt;&lt;author&gt;Cheng, Jiang&lt;/author&gt;&lt;author&gt;Elyasiani, Elyas&lt;/author&gt;&lt;author&gt;Jia, Jingyi Jane&lt;/author&gt;&lt;/authors&gt;&lt;/contributors&gt;&lt;titles&gt;&lt;title&gt;Institutional ownership stability and risk taking: Evidence from the life–health insurance industry&lt;/title&gt;&lt;secondary-title&gt;Journal of Risk and Insurance&lt;/secondary-title&gt;&lt;/titles&gt;&lt;periodical&gt;&lt;full-title&gt;Journal of Risk and Insurance&lt;/full-title&gt;&lt;/periodical&gt;&lt;pages&gt;609-641&lt;/pages&gt;&lt;volume&gt;78&lt;/volume&gt;&lt;number&gt;3&lt;/number&gt;&lt;dates&gt;&lt;year&gt;2011&lt;/year&gt;&lt;/dates&gt;&lt;isbn&gt;1539-6975&lt;/isbn&gt;&lt;urls&gt;&lt;/urls&gt;&lt;/record&gt;&lt;/Cite&gt;&lt;Cite&gt;&lt;Author&gt;Eling&lt;/Author&gt;&lt;Year&gt;2014&lt;/Year&gt;&lt;RecNum&gt;1&lt;/RecNum&gt;&lt;record&gt;&lt;rec-number&gt;1&lt;/rec-number&gt;&lt;foreign-keys&gt;&lt;key app="EN" db-id="t5v9xwx225adw1erxp8pdzxowddx2vd020f0"&gt;1&lt;/key&gt;&lt;/foreign-keys&gt;&lt;ref-type name="Journal Article"&gt;17&lt;/ref-type&gt;&lt;contributors&gt;&lt;authors&gt;&lt;author&gt;Eling, Martin&lt;/author&gt;&lt;author&gt;Marek, Sebastian D&lt;/author&gt;&lt;/authors&gt;&lt;/contributors&gt;&lt;titles&gt;&lt;title&gt;Corporate governance and risk taking: Evidence from the UK and German insurance markets&lt;/title&gt;&lt;secondary-title&gt;Journal of Risk and Insurance&lt;/secondary-title&gt;&lt;/titles&gt;&lt;periodical&gt;&lt;full-title&gt;Journal of Risk and Insurance&lt;/full-title&gt;&lt;/periodical&gt;&lt;pages&gt;653-682&lt;/pages&gt;&lt;volume&gt;81&lt;/volume&gt;&lt;number&gt;3&lt;/number&gt;&lt;dates&gt;&lt;year&gt;2014&lt;/year&gt;&lt;/dates&gt;&lt;isbn&gt;1539-6975&lt;/isbn&gt;&lt;urls&gt;&lt;/urls&gt;&lt;/record&gt;&lt;/Cite&gt;&lt;/EndNote&gt;</w:instrText>
      </w:r>
      <w:r w:rsidR="009F6844" w:rsidRPr="00D15B6A">
        <w:rPr>
          <w:rFonts w:ascii="Times New Roman" w:eastAsia="Calibri" w:hAnsi="Times New Roman" w:cs="Times New Roman"/>
          <w:sz w:val="24"/>
          <w:szCs w:val="24"/>
        </w:rPr>
        <w:fldChar w:fldCharType="separate"/>
      </w:r>
      <w:r w:rsidR="009F6844" w:rsidRPr="00D15B6A">
        <w:rPr>
          <w:rFonts w:ascii="Times New Roman" w:eastAsia="Calibri" w:hAnsi="Times New Roman" w:cs="Times New Roman"/>
          <w:noProof/>
          <w:sz w:val="24"/>
          <w:szCs w:val="24"/>
        </w:rPr>
        <w:t>(</w:t>
      </w:r>
      <w:hyperlink w:anchor="_ENREF_15" w:tooltip="Cheng, 2011 #33" w:history="1">
        <w:r w:rsidR="009F6844" w:rsidRPr="00D15B6A">
          <w:rPr>
            <w:rFonts w:ascii="Times New Roman" w:eastAsia="Calibri" w:hAnsi="Times New Roman" w:cs="Times New Roman"/>
            <w:noProof/>
            <w:sz w:val="24"/>
            <w:szCs w:val="24"/>
          </w:rPr>
          <w:t>Cheng et al., 2011</w:t>
        </w:r>
      </w:hyperlink>
      <w:r w:rsidR="009F6844" w:rsidRPr="00D15B6A">
        <w:rPr>
          <w:rFonts w:ascii="Times New Roman" w:eastAsia="Calibri" w:hAnsi="Times New Roman" w:cs="Times New Roman"/>
          <w:noProof/>
          <w:sz w:val="24"/>
          <w:szCs w:val="24"/>
        </w:rPr>
        <w:t xml:space="preserve">; </w:t>
      </w:r>
      <w:hyperlink w:anchor="_ENREF_24" w:tooltip="Eling, 2014 #1" w:history="1">
        <w:r w:rsidR="009F6844" w:rsidRPr="00D15B6A">
          <w:rPr>
            <w:rFonts w:ascii="Times New Roman" w:eastAsia="Calibri" w:hAnsi="Times New Roman" w:cs="Times New Roman"/>
            <w:noProof/>
            <w:sz w:val="24"/>
            <w:szCs w:val="24"/>
          </w:rPr>
          <w:t>Eling &amp; Marek, 2014</w:t>
        </w:r>
      </w:hyperlink>
      <w:r w:rsidR="009F6844" w:rsidRPr="00D15B6A">
        <w:rPr>
          <w:rFonts w:ascii="Times New Roman" w:eastAsia="Calibri" w:hAnsi="Times New Roman" w:cs="Times New Roman"/>
          <w:noProof/>
          <w:sz w:val="24"/>
          <w:szCs w:val="24"/>
        </w:rPr>
        <w:t>)</w:t>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t xml:space="preserve">. In addition, the EU introduced and approved Solvency II in 2009. Solvency II ensures that a firm’s governance and risk management method is acceptable </w:t>
      </w:r>
      <w:r w:rsidR="009F6844" w:rsidRPr="00D15B6A">
        <w:rPr>
          <w:rFonts w:ascii="Times New Roman" w:eastAsia="Calibri" w:hAnsi="Times New Roman" w:cs="Times New Roman"/>
          <w:sz w:val="24"/>
          <w:szCs w:val="24"/>
        </w:rPr>
        <w:fldChar w:fldCharType="begin"/>
      </w:r>
      <w:r w:rsidR="009F6844" w:rsidRPr="00D15B6A">
        <w:rPr>
          <w:rFonts w:ascii="Times New Roman" w:eastAsia="Calibri" w:hAnsi="Times New Roman" w:cs="Times New Roman"/>
          <w:sz w:val="24"/>
          <w:szCs w:val="24"/>
        </w:rPr>
        <w:instrText xml:space="preserve"> ADDIN EN.CITE &lt;EndNote&gt;&lt;Cite&gt;&lt;Author&gt;Boubakri&lt;/Author&gt;&lt;Year&gt;2008&lt;/Year&gt;&lt;RecNum&gt;27&lt;/RecNum&gt;&lt;DisplayText&gt;(Boubakri, 2011; Boubakri, Dionne, &amp;amp; Triki, 2008)&lt;/DisplayText&gt;&lt;record&gt;&lt;rec-number&gt;27&lt;/rec-number&gt;&lt;foreign-keys&gt;&lt;key app="EN" db-id="t5v9xwx225adw1erxp8pdzxowddx2vd020f0"&gt;27&lt;/key&gt;&lt;/foreign-keys&gt;&lt;ref-type name="Journal Article"&gt;17&lt;/ref-type&gt;&lt;contributors&gt;&lt;authors&gt;&lt;author&gt;Boubakri, Narjess&lt;/author&gt;&lt;author&gt;Dionne, Georges&lt;/author&gt;&lt;author&gt;Triki, Thouraya&lt;/author&gt;&lt;/authors&gt;&lt;/contributors&gt;&lt;titles&gt;&lt;title&gt;Consolidation and value creation in the insurance industry: The role of governance&lt;/title&gt;&lt;secondary-title&gt;Journal of Banking &amp;amp; Finance&lt;/secondary-title&gt;&lt;/titles&gt;&lt;periodical&gt;&lt;full-title&gt;Journal of Banking &amp;amp; Finance&lt;/full-title&gt;&lt;/periodical&gt;&lt;pages&gt;56-68&lt;/pages&gt;&lt;volume&gt;32&lt;/volume&gt;&lt;number&gt;1&lt;/number&gt;&lt;dates&gt;&lt;year&gt;2008&lt;/year&gt;&lt;/dates&gt;&lt;isbn&gt;0378-4266&lt;/isbn&gt;&lt;urls&gt;&lt;/urls&gt;&lt;/record&gt;&lt;/Cite&gt;&lt;Cite&gt;&lt;Author&gt;Boubakri&lt;/Author&gt;&lt;Year&gt;2011&lt;/Year&gt;&lt;RecNum&gt;17&lt;/RecNum&gt;&lt;record&gt;&lt;rec-number&gt;17&lt;/rec-number&gt;&lt;foreign-keys&gt;&lt;key app="EN" db-id="t5v9xwx225adw1erxp8pdzxowddx2vd020f0"&gt;17&lt;/key&gt;&lt;/foreign-keys&gt;&lt;ref-type name="Journal Article"&gt;17&lt;/ref-type&gt;&lt;contributors&gt;&lt;authors&gt;&lt;author&gt;Boubakri, Narjess&lt;/author&gt;&lt;/authors&gt;&lt;/contributors&gt;&lt;titles&gt;&lt;title&gt;Corporate governance and issues from the insurance industry&lt;/title&gt;&lt;secondary-title&gt;Journal of Risk and Insurance&lt;/secondary-title&gt;&lt;/titles&gt;&lt;periodical&gt;&lt;full-title&gt;Journal of Risk and Insurance&lt;/full-title&gt;&lt;/periodical&gt;&lt;pages&gt;501-518&lt;/pages&gt;&lt;volume&gt;78&lt;/volume&gt;&lt;number&gt;3&lt;/number&gt;&lt;dates&gt;&lt;year&gt;2011&lt;/year&gt;&lt;/dates&gt;&lt;isbn&gt;1539-6975&lt;/isbn&gt;&lt;urls&gt;&lt;/urls&gt;&lt;/record&gt;&lt;/Cite&gt;&lt;/EndNote&gt;</w:instrText>
      </w:r>
      <w:r w:rsidR="009F6844" w:rsidRPr="00D15B6A">
        <w:rPr>
          <w:rFonts w:ascii="Times New Roman" w:eastAsia="Calibri" w:hAnsi="Times New Roman" w:cs="Times New Roman"/>
          <w:sz w:val="24"/>
          <w:szCs w:val="24"/>
        </w:rPr>
        <w:fldChar w:fldCharType="separate"/>
      </w:r>
      <w:r w:rsidR="009F6844" w:rsidRPr="00D15B6A">
        <w:rPr>
          <w:rFonts w:ascii="Times New Roman" w:eastAsia="Calibri" w:hAnsi="Times New Roman" w:cs="Times New Roman"/>
          <w:noProof/>
          <w:sz w:val="24"/>
          <w:szCs w:val="24"/>
        </w:rPr>
        <w:t>(</w:t>
      </w:r>
      <w:hyperlink w:anchor="_ENREF_7" w:tooltip="Boubakri, 2011 #17" w:history="1">
        <w:r w:rsidR="009F6844" w:rsidRPr="00D15B6A">
          <w:rPr>
            <w:rFonts w:ascii="Times New Roman" w:eastAsia="Calibri" w:hAnsi="Times New Roman" w:cs="Times New Roman"/>
            <w:noProof/>
            <w:sz w:val="24"/>
            <w:szCs w:val="24"/>
          </w:rPr>
          <w:t>Boubakri, 2011</w:t>
        </w:r>
      </w:hyperlink>
      <w:r w:rsidR="009F6844" w:rsidRPr="00D15B6A">
        <w:rPr>
          <w:rFonts w:ascii="Times New Roman" w:eastAsia="Calibri" w:hAnsi="Times New Roman" w:cs="Times New Roman"/>
          <w:noProof/>
          <w:sz w:val="24"/>
          <w:szCs w:val="24"/>
        </w:rPr>
        <w:t>)</w:t>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t xml:space="preserve">. We focus on insurance companies because the ownership construction of different insurers offers an interesting setting in which to investigate the effect of CG on insurer’ </w:t>
      </w:r>
      <w:r w:rsidR="007C76F0">
        <w:rPr>
          <w:rFonts w:ascii="Times New Roman" w:eastAsia="Calibri" w:hAnsi="Times New Roman" w:cs="Times New Roman"/>
          <w:sz w:val="24"/>
          <w:szCs w:val="24"/>
        </w:rPr>
        <w:t xml:space="preserve">risk-taking </w:t>
      </w:r>
      <w:r w:rsidR="009F6844" w:rsidRPr="00D15B6A">
        <w:rPr>
          <w:rFonts w:ascii="Times New Roman" w:eastAsia="Calibri" w:hAnsi="Times New Roman" w:cs="Times New Roman"/>
          <w:sz w:val="24"/>
          <w:szCs w:val="24"/>
        </w:rPr>
        <w:fldChar w:fldCharType="begin"/>
      </w:r>
      <w:r w:rsidR="009F6844" w:rsidRPr="00D15B6A">
        <w:rPr>
          <w:rFonts w:ascii="Times New Roman" w:eastAsia="Calibri" w:hAnsi="Times New Roman" w:cs="Times New Roman"/>
          <w:sz w:val="24"/>
          <w:szCs w:val="24"/>
        </w:rPr>
        <w:instrText xml:space="preserve"> ADDIN EN.CITE &lt;EndNote&gt;&lt;Cite&gt;&lt;Author&gt;Cheng&lt;/Author&gt;&lt;Year&gt;2011&lt;/Year&gt;&lt;RecNum&gt;33&lt;/RecNum&gt;&lt;DisplayText&gt;(J. Cheng et al., 2011; Mayers &amp;amp; Smith, 2010)&lt;/DisplayText&gt;&lt;record&gt;&lt;rec-number&gt;33&lt;/rec-number&gt;&lt;foreign-keys&gt;&lt;key app="EN" db-id="t5v9xwx225adw1erxp8pdzxowddx2vd020f0"&gt;33&lt;/key&gt;&lt;/foreign-keys&gt;&lt;ref-type name="Journal Article"&gt;17&lt;/ref-type&gt;&lt;contributors&gt;&lt;authors&gt;&lt;author&gt;Cheng, Jiang&lt;/author&gt;&lt;author&gt;Elyasiani, Elyas&lt;/author&gt;&lt;author&gt;Jia, Jingyi Jane&lt;/author&gt;&lt;/authors&gt;&lt;/contributors&gt;&lt;titles&gt;&lt;title&gt;Institutional ownership stability and risk taking: Evidence from the life–health insurance industry&lt;/title&gt;&lt;secondary-title&gt;Journal of Risk and Insurance&lt;/secondary-title&gt;&lt;/titles&gt;&lt;periodical&gt;&lt;full-title&gt;Journal of Risk and Insurance&lt;/full-title&gt;&lt;/periodical&gt;&lt;pages&gt;609-641&lt;/pages&gt;&lt;volume&gt;78&lt;/volume&gt;&lt;number&gt;3&lt;/number&gt;&lt;dates&gt;&lt;year&gt;2011&lt;/year&gt;&lt;/dates&gt;&lt;isbn&gt;1539-6975&lt;/isbn&gt;&lt;urls&gt;&lt;/urls&gt;&lt;/record&gt;&lt;/Cite&gt;&lt;Cite&gt;&lt;Author&gt;Mayers&lt;/Author&gt;&lt;Year&gt;2010&lt;/Year&gt;&lt;RecNum&gt;3&lt;/RecNum&gt;&lt;record&gt;&lt;rec-number&gt;3&lt;/rec-number&gt;&lt;foreign-keys&gt;&lt;key app="EN" db-id="t5v9xwx225adw1erxp8pdzxowddx2vd020f0"&gt;3&lt;/key&gt;&lt;/foreign-keys&gt;&lt;ref-type name="Journal Article"&gt;17&lt;/ref-type&gt;&lt;contributors&gt;&lt;authors&gt;&lt;author&gt;Mayers, David&lt;/author&gt;&lt;author&gt;Smith, Clifford W&lt;/author&gt;&lt;/authors&gt;&lt;/contributors&gt;&lt;titles&gt;&lt;title&gt;Compensation and board structure: Evidence from the insurance industry&lt;/title&gt;&lt;secondary-title&gt;Journal of Risk and Insurance&lt;/secondary-title&gt;&lt;/titles&gt;&lt;periodical&gt;&lt;full-title&gt;Journal of Risk and Insurance&lt;/full-title&gt;&lt;/periodical&gt;&lt;pages&gt;297-327&lt;/pages&gt;&lt;volume&gt;77&lt;/volume&gt;&lt;number&gt;2&lt;/number&gt;&lt;dates&gt;&lt;year&gt;2010&lt;/year&gt;&lt;/dates&gt;&lt;isbn&gt;1539-6975&lt;/isbn&gt;&lt;urls&gt;&lt;/urls&gt;&lt;/record&gt;&lt;/Cite&gt;&lt;/EndNote&gt;</w:instrText>
      </w:r>
      <w:r w:rsidR="009F6844" w:rsidRPr="00D15B6A">
        <w:rPr>
          <w:rFonts w:ascii="Times New Roman" w:eastAsia="Calibri" w:hAnsi="Times New Roman" w:cs="Times New Roman"/>
          <w:sz w:val="24"/>
          <w:szCs w:val="24"/>
        </w:rPr>
        <w:fldChar w:fldCharType="separate"/>
      </w:r>
      <w:r w:rsidR="009F6844" w:rsidRPr="00D15B6A">
        <w:rPr>
          <w:rFonts w:ascii="Times New Roman" w:eastAsia="Calibri" w:hAnsi="Times New Roman" w:cs="Times New Roman"/>
          <w:noProof/>
          <w:sz w:val="24"/>
          <w:szCs w:val="24"/>
        </w:rPr>
        <w:t>(</w:t>
      </w:r>
      <w:hyperlink w:anchor="_ENREF_15" w:tooltip="Cheng, 2011 #33" w:history="1">
        <w:r w:rsidR="009F6844" w:rsidRPr="00D15B6A">
          <w:rPr>
            <w:rFonts w:ascii="Times New Roman" w:eastAsia="Calibri" w:hAnsi="Times New Roman" w:cs="Times New Roman"/>
            <w:noProof/>
            <w:sz w:val="24"/>
            <w:szCs w:val="24"/>
          </w:rPr>
          <w:t>Cheng et al., 2011</w:t>
        </w:r>
      </w:hyperlink>
      <w:r w:rsidR="009F6844" w:rsidRPr="00D15B6A">
        <w:rPr>
          <w:rFonts w:ascii="Times New Roman" w:eastAsia="Calibri" w:hAnsi="Times New Roman" w:cs="Times New Roman"/>
          <w:noProof/>
          <w:sz w:val="24"/>
          <w:szCs w:val="24"/>
        </w:rPr>
        <w:t xml:space="preserve">; </w:t>
      </w:r>
      <w:r w:rsidR="00525B27" w:rsidRPr="00525B27">
        <w:rPr>
          <w:rFonts w:ascii="Times New Roman" w:eastAsia="Calibri" w:hAnsi="Times New Roman" w:cs="Times New Roman"/>
          <w:noProof/>
          <w:sz w:val="24"/>
          <w:szCs w:val="24"/>
        </w:rPr>
        <w:t xml:space="preserve">Maffei </w:t>
      </w:r>
      <w:r w:rsidR="00525B27">
        <w:rPr>
          <w:rFonts w:ascii="Times New Roman" w:eastAsia="Calibri" w:hAnsi="Times New Roman" w:cs="Times New Roman"/>
          <w:noProof/>
          <w:sz w:val="24"/>
          <w:szCs w:val="24"/>
        </w:rPr>
        <w:t xml:space="preserve">et al., 2014; </w:t>
      </w:r>
      <w:hyperlink w:anchor="_ENREF_51" w:tooltip="Mayers, 2010 #3" w:history="1">
        <w:r w:rsidR="009F6844" w:rsidRPr="00D15B6A">
          <w:rPr>
            <w:rFonts w:ascii="Times New Roman" w:eastAsia="Calibri" w:hAnsi="Times New Roman" w:cs="Times New Roman"/>
            <w:noProof/>
            <w:sz w:val="24"/>
            <w:szCs w:val="24"/>
          </w:rPr>
          <w:t>Mayers &amp; Smith, 2010</w:t>
        </w:r>
      </w:hyperlink>
      <w:r w:rsidR="009F6844" w:rsidRPr="00D15B6A">
        <w:rPr>
          <w:rFonts w:ascii="Times New Roman" w:eastAsia="Calibri" w:hAnsi="Times New Roman" w:cs="Times New Roman"/>
          <w:noProof/>
          <w:sz w:val="24"/>
          <w:szCs w:val="24"/>
        </w:rPr>
        <w:t>)</w:t>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t>. Insurance companies were not protected from the recent crisis, and the turmoil of the American Insurance Group (AIG) was blamed on weak CG</w:t>
      </w:r>
      <w:r w:rsidR="00555B56">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 xml:space="preserve"> as well as extreme risk</w:t>
      </w:r>
      <w:r w:rsidR="00A76AC5">
        <w:rPr>
          <w:rFonts w:ascii="Times New Roman" w:eastAsia="Calibri" w:hAnsi="Times New Roman" w:cs="Times New Roman"/>
          <w:sz w:val="24"/>
          <w:szCs w:val="24"/>
        </w:rPr>
        <w:t>-</w:t>
      </w:r>
      <w:r w:rsidR="009F6844" w:rsidRPr="00D15B6A">
        <w:rPr>
          <w:rFonts w:ascii="Times New Roman" w:eastAsia="Calibri" w:hAnsi="Times New Roman" w:cs="Times New Roman"/>
          <w:sz w:val="24"/>
          <w:szCs w:val="24"/>
        </w:rPr>
        <w:t xml:space="preserve">taking. The financial crisis revealed weaknesses in executive compensation, board of directors’ responsibilities and the significance of risk management, leading to an enormous consideration of the different categories of current CG mechanisms that could reduce </w:t>
      </w:r>
      <w:r w:rsidR="007C76F0">
        <w:rPr>
          <w:rFonts w:ascii="Times New Roman" w:eastAsia="Calibri" w:hAnsi="Times New Roman" w:cs="Times New Roman"/>
          <w:sz w:val="24"/>
          <w:szCs w:val="24"/>
        </w:rPr>
        <w:t xml:space="preserve">risk-taking </w:t>
      </w:r>
      <w:r w:rsidR="009F6844" w:rsidRPr="00D15B6A">
        <w:rPr>
          <w:rFonts w:ascii="Times New Roman" w:eastAsia="Calibri" w:hAnsi="Times New Roman" w:cs="Times New Roman"/>
          <w:sz w:val="24"/>
          <w:szCs w:val="24"/>
        </w:rPr>
        <w:fldChar w:fldCharType="begin">
          <w:fldData xml:space="preserve">PEVuZE5vdGU+PENpdGU+PEF1dGhvcj5Cb3ViYWtyaTwvQXV0aG9yPjxZZWFyPjIwMTE8L1llYXI+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</w:fldData>
        </w:fldChar>
      </w:r>
      <w:r w:rsidR="009F6844" w:rsidRPr="00D15B6A">
        <w:rPr>
          <w:rFonts w:ascii="Times New Roman" w:eastAsia="Calibri" w:hAnsi="Times New Roman" w:cs="Times New Roman"/>
          <w:sz w:val="24"/>
          <w:szCs w:val="24"/>
        </w:rPr>
        <w:instrText xml:space="preserve"> ADDIN EN.CITE </w:instrText>
      </w:r>
      <w:r w:rsidR="009F6844" w:rsidRPr="00D15B6A">
        <w:rPr>
          <w:rFonts w:ascii="Times New Roman" w:eastAsia="Calibri" w:hAnsi="Times New Roman" w:cs="Times New Roman"/>
          <w:sz w:val="24"/>
          <w:szCs w:val="24"/>
        </w:rPr>
        <w:fldChar w:fldCharType="begin">
          <w:fldData xml:space="preserve">PEVuZE5vdGU+PENpdGU+PEF1dGhvcj5Cb3ViYWtyaTwvQXV0aG9yPjxZZWFyPjIwMTE8L1llYXI+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</w:fldData>
        </w:fldChar>
      </w:r>
      <w:r w:rsidR="009F6844" w:rsidRPr="00D15B6A">
        <w:rPr>
          <w:rFonts w:ascii="Times New Roman" w:eastAsia="Calibri" w:hAnsi="Times New Roman" w:cs="Times New Roman"/>
          <w:sz w:val="24"/>
          <w:szCs w:val="24"/>
        </w:rPr>
        <w:instrText xml:space="preserve"> ADDIN EN.CITE.DATA </w:instrText>
      </w:r>
      <w:r w:rsidR="009F6844" w:rsidRPr="00D15B6A">
        <w:rPr>
          <w:rFonts w:ascii="Times New Roman" w:eastAsia="Calibri" w:hAnsi="Times New Roman" w:cs="Times New Roman"/>
          <w:sz w:val="24"/>
          <w:szCs w:val="24"/>
        </w:rPr>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r>
      <w:r w:rsidR="009F6844" w:rsidRPr="00D15B6A">
        <w:rPr>
          <w:rFonts w:ascii="Times New Roman" w:eastAsia="Calibri" w:hAnsi="Times New Roman" w:cs="Times New Roman"/>
          <w:sz w:val="24"/>
          <w:szCs w:val="24"/>
        </w:rPr>
        <w:fldChar w:fldCharType="separate"/>
      </w:r>
      <w:r w:rsidR="009F6844" w:rsidRPr="00D15B6A">
        <w:rPr>
          <w:rFonts w:ascii="Times New Roman" w:eastAsia="Calibri" w:hAnsi="Times New Roman" w:cs="Times New Roman"/>
          <w:noProof/>
          <w:sz w:val="24"/>
          <w:szCs w:val="24"/>
        </w:rPr>
        <w:t>(</w:t>
      </w:r>
      <w:hyperlink w:anchor="_ENREF_1" w:tooltip="Adams, 2016 #18" w:history="1">
        <w:r w:rsidR="009F6844" w:rsidRPr="00D15B6A">
          <w:rPr>
            <w:rFonts w:ascii="Times New Roman" w:eastAsia="Calibri" w:hAnsi="Times New Roman" w:cs="Times New Roman"/>
            <w:noProof/>
            <w:sz w:val="24"/>
            <w:szCs w:val="24"/>
          </w:rPr>
          <w:t>Adams &amp; Jiang, 2016</w:t>
        </w:r>
      </w:hyperlink>
      <w:r w:rsidR="009F6844" w:rsidRPr="00D15B6A">
        <w:rPr>
          <w:rFonts w:ascii="Times New Roman" w:eastAsia="Calibri" w:hAnsi="Times New Roman" w:cs="Times New Roman"/>
          <w:noProof/>
          <w:sz w:val="24"/>
          <w:szCs w:val="24"/>
        </w:rPr>
        <w:t xml:space="preserve">; </w:t>
      </w:r>
      <w:hyperlink w:anchor="_ENREF_7" w:tooltip="Boubakri, 2011 #17" w:history="1">
        <w:r w:rsidR="009F6844" w:rsidRPr="00D15B6A">
          <w:rPr>
            <w:rFonts w:ascii="Times New Roman" w:eastAsia="Calibri" w:hAnsi="Times New Roman" w:cs="Times New Roman"/>
            <w:noProof/>
            <w:sz w:val="24"/>
            <w:szCs w:val="24"/>
          </w:rPr>
          <w:t>Boubakri, 2011</w:t>
        </w:r>
      </w:hyperlink>
      <w:r w:rsidR="009F6844" w:rsidRPr="00D15B6A">
        <w:rPr>
          <w:rFonts w:ascii="Times New Roman" w:eastAsia="Calibri" w:hAnsi="Times New Roman" w:cs="Times New Roman"/>
          <w:noProof/>
          <w:sz w:val="24"/>
          <w:szCs w:val="24"/>
        </w:rPr>
        <w:t>;</w:t>
      </w:r>
      <w:r w:rsidR="007E72CE" w:rsidRPr="00525B27">
        <w:rPr>
          <w:rFonts w:ascii="Times New Roman" w:eastAsia="Calibri" w:hAnsi="Times New Roman" w:cs="Times New Roman"/>
          <w:noProof/>
          <w:sz w:val="24"/>
          <w:szCs w:val="24"/>
        </w:rPr>
        <w:t xml:space="preserve"> </w:t>
      </w:r>
      <w:r w:rsidR="00525B27" w:rsidRPr="00525B27">
        <w:rPr>
          <w:rFonts w:ascii="Times New Roman" w:eastAsia="Calibri" w:hAnsi="Times New Roman" w:cs="Times New Roman"/>
          <w:noProof/>
          <w:sz w:val="24"/>
          <w:szCs w:val="24"/>
        </w:rPr>
        <w:t xml:space="preserve">Mokhtar &amp; Mellett, 2013; </w:t>
      </w:r>
      <w:r w:rsidR="007E72CE">
        <w:rPr>
          <w:rFonts w:ascii="Times New Roman" w:eastAsia="Calibri" w:hAnsi="Times New Roman" w:cs="Times New Roman"/>
          <w:noProof/>
          <w:sz w:val="24"/>
          <w:szCs w:val="24"/>
        </w:rPr>
        <w:t xml:space="preserve">Nahar, </w:t>
      </w:r>
      <w:r w:rsidR="007E72CE" w:rsidRPr="007E72CE">
        <w:rPr>
          <w:rFonts w:ascii="Times New Roman" w:eastAsia="Calibri" w:hAnsi="Times New Roman" w:cs="Times New Roman"/>
          <w:noProof/>
          <w:sz w:val="24"/>
          <w:szCs w:val="24"/>
        </w:rPr>
        <w:t>2004</w:t>
      </w:r>
      <w:r w:rsidR="007E72CE">
        <w:rPr>
          <w:rFonts w:ascii="Times New Roman" w:eastAsia="Calibri" w:hAnsi="Times New Roman" w:cs="Times New Roman"/>
          <w:noProof/>
          <w:sz w:val="24"/>
          <w:szCs w:val="24"/>
        </w:rPr>
        <w:t>;</w:t>
      </w:r>
      <w:r w:rsidR="009F6844" w:rsidRPr="00D15B6A">
        <w:rPr>
          <w:rFonts w:ascii="Times New Roman" w:eastAsia="Calibri" w:hAnsi="Times New Roman" w:cs="Times New Roman"/>
          <w:noProof/>
          <w:sz w:val="24"/>
          <w:szCs w:val="24"/>
        </w:rPr>
        <w:t xml:space="preserve"> </w:t>
      </w:r>
      <w:r w:rsidR="007E72CE">
        <w:rPr>
          <w:rFonts w:ascii="Times New Roman" w:eastAsia="Calibri" w:hAnsi="Times New Roman" w:cs="Times New Roman"/>
          <w:noProof/>
          <w:sz w:val="24"/>
          <w:szCs w:val="24"/>
        </w:rPr>
        <w:t>Laeven</w:t>
      </w:r>
      <w:r w:rsidR="007E72CE" w:rsidRPr="007E72CE">
        <w:rPr>
          <w:rFonts w:ascii="Times New Roman" w:eastAsia="Calibri" w:hAnsi="Times New Roman" w:cs="Times New Roman"/>
          <w:noProof/>
          <w:sz w:val="24"/>
          <w:szCs w:val="24"/>
        </w:rPr>
        <w:t xml:space="preserve"> &amp; Levine</w:t>
      </w:r>
      <w:r w:rsidR="007E72CE">
        <w:rPr>
          <w:rFonts w:ascii="Times New Roman" w:eastAsia="Calibri" w:hAnsi="Times New Roman" w:cs="Times New Roman"/>
          <w:noProof/>
          <w:sz w:val="24"/>
          <w:szCs w:val="24"/>
        </w:rPr>
        <w:t xml:space="preserve">, </w:t>
      </w:r>
      <w:r w:rsidR="007E72CE" w:rsidRPr="007E72CE">
        <w:rPr>
          <w:rFonts w:ascii="Times New Roman" w:eastAsia="Calibri" w:hAnsi="Times New Roman" w:cs="Times New Roman"/>
          <w:noProof/>
          <w:sz w:val="24"/>
          <w:szCs w:val="24"/>
        </w:rPr>
        <w:t>2009</w:t>
      </w:r>
      <w:r w:rsidR="007E72CE">
        <w:rPr>
          <w:rFonts w:ascii="Times New Roman" w:eastAsia="Calibri" w:hAnsi="Times New Roman" w:cs="Times New Roman"/>
          <w:noProof/>
          <w:sz w:val="24"/>
          <w:szCs w:val="24"/>
        </w:rPr>
        <w:t>; Calomiris</w:t>
      </w:r>
      <w:r w:rsidR="007E72CE" w:rsidRPr="007E72CE">
        <w:rPr>
          <w:rFonts w:ascii="Times New Roman" w:eastAsia="Calibri" w:hAnsi="Times New Roman" w:cs="Times New Roman"/>
          <w:noProof/>
          <w:sz w:val="24"/>
          <w:szCs w:val="24"/>
        </w:rPr>
        <w:t xml:space="preserve"> &amp; Carlson</w:t>
      </w:r>
      <w:r w:rsidR="007E72CE">
        <w:rPr>
          <w:rFonts w:ascii="Times New Roman" w:eastAsia="Calibri" w:hAnsi="Times New Roman" w:cs="Times New Roman"/>
          <w:noProof/>
          <w:sz w:val="24"/>
          <w:szCs w:val="24"/>
        </w:rPr>
        <w:t xml:space="preserve">, </w:t>
      </w:r>
      <w:r w:rsidR="007E72CE" w:rsidRPr="007E72CE">
        <w:rPr>
          <w:rFonts w:ascii="Times New Roman" w:eastAsia="Calibri" w:hAnsi="Times New Roman" w:cs="Times New Roman"/>
          <w:noProof/>
          <w:sz w:val="24"/>
          <w:szCs w:val="24"/>
        </w:rPr>
        <w:t>2016</w:t>
      </w:r>
      <w:r w:rsidR="009F6844" w:rsidRPr="00D15B6A">
        <w:rPr>
          <w:rFonts w:ascii="Times New Roman" w:eastAsia="Calibri" w:hAnsi="Times New Roman" w:cs="Times New Roman"/>
          <w:noProof/>
          <w:sz w:val="24"/>
          <w:szCs w:val="24"/>
        </w:rPr>
        <w:t>)</w:t>
      </w:r>
      <w:r w:rsidR="009F6844" w:rsidRPr="00D15B6A">
        <w:rPr>
          <w:rFonts w:ascii="Times New Roman" w:eastAsia="Calibri" w:hAnsi="Times New Roman" w:cs="Times New Roman"/>
          <w:sz w:val="24"/>
          <w:szCs w:val="24"/>
        </w:rPr>
        <w:fldChar w:fldCharType="end"/>
      </w:r>
      <w:r w:rsidR="009F6844" w:rsidRPr="00D15B6A">
        <w:rPr>
          <w:rFonts w:ascii="Times New Roman" w:eastAsia="Calibri" w:hAnsi="Times New Roman" w:cs="Times New Roman"/>
          <w:sz w:val="24"/>
          <w:szCs w:val="24"/>
        </w:rPr>
        <w:t>.</w:t>
      </w:r>
    </w:p>
    <w:p w14:paraId="3417E7E1" w14:textId="27A227CF" w:rsidR="009F6844" w:rsidRDefault="009F6844">
      <w:pPr>
        <w:spacing w:before="120" w:after="120" w:line="360" w:lineRule="auto"/>
        <w:ind w:firstLine="360"/>
        <w:contextualSpacing/>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Despite the fact that the insurance sector in the UK is smaller than the UK banking sector, the insurance sector is large with regard to the overall economy. The UK has about 600 insurance firms</w:t>
      </w:r>
      <w:r w:rsidR="00437C0B">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 whose total investments were </w:t>
      </w:r>
      <w:r w:rsidR="00437C0B">
        <w:rPr>
          <w:rFonts w:ascii="Times New Roman" w:eastAsia="Calibri" w:hAnsi="Times New Roman" w:cs="Times New Roman"/>
          <w:sz w:val="24"/>
          <w:szCs w:val="24"/>
        </w:rPr>
        <w:t>estimated</w:t>
      </w:r>
      <w:r w:rsidRPr="00D15B6A">
        <w:rPr>
          <w:rFonts w:ascii="Times New Roman" w:eastAsia="Calibri" w:hAnsi="Times New Roman" w:cs="Times New Roman"/>
          <w:sz w:val="24"/>
          <w:szCs w:val="24"/>
        </w:rPr>
        <w:t xml:space="preserve"> </w:t>
      </w:r>
      <w:r w:rsidR="00437C0B">
        <w:rPr>
          <w:rFonts w:ascii="Times New Roman" w:eastAsia="Calibri" w:hAnsi="Times New Roman" w:cs="Times New Roman"/>
          <w:sz w:val="24"/>
          <w:szCs w:val="24"/>
        </w:rPr>
        <w:t>to be around</w:t>
      </w:r>
      <w:r w:rsidRPr="00D15B6A">
        <w:rPr>
          <w:rFonts w:ascii="Times New Roman" w:eastAsia="Calibri" w:hAnsi="Times New Roman" w:cs="Times New Roman"/>
          <w:sz w:val="24"/>
          <w:szCs w:val="24"/>
        </w:rPr>
        <w:t xml:space="preserve"> £1.9 trillion </w:t>
      </w:r>
      <w:r w:rsidR="006B743A">
        <w:rPr>
          <w:rFonts w:ascii="Times New Roman" w:eastAsia="Calibri" w:hAnsi="Times New Roman" w:cs="Times New Roman"/>
          <w:sz w:val="24"/>
          <w:szCs w:val="24"/>
        </w:rPr>
        <w:t xml:space="preserve">as </w:t>
      </w:r>
      <w:r w:rsidRPr="00D15B6A">
        <w:rPr>
          <w:rFonts w:ascii="Times New Roman" w:eastAsia="Calibri" w:hAnsi="Times New Roman" w:cs="Times New Roman"/>
          <w:sz w:val="24"/>
          <w:szCs w:val="24"/>
        </w:rPr>
        <w:t xml:space="preserve">at </w:t>
      </w:r>
      <w:r w:rsidR="006B743A">
        <w:rPr>
          <w:rFonts w:ascii="Times New Roman" w:eastAsia="Calibri" w:hAnsi="Times New Roman" w:cs="Times New Roman"/>
          <w:sz w:val="24"/>
          <w:szCs w:val="24"/>
        </w:rPr>
        <w:t xml:space="preserve">December </w:t>
      </w:r>
      <w:r w:rsidRPr="00D15B6A">
        <w:rPr>
          <w:rFonts w:ascii="Times New Roman" w:eastAsia="Calibri" w:hAnsi="Times New Roman" w:cs="Times New Roman"/>
          <w:sz w:val="24"/>
          <w:szCs w:val="24"/>
        </w:rPr>
        <w:t>2014. This equates to 40% of the assets of UK banks and is equal to the</w:t>
      </w:r>
      <w:r w:rsidR="00F07AD0">
        <w:rPr>
          <w:rFonts w:ascii="Times New Roman" w:eastAsia="Calibri" w:hAnsi="Times New Roman" w:cs="Times New Roman"/>
          <w:sz w:val="24"/>
          <w:szCs w:val="24"/>
        </w:rPr>
        <w:t xml:space="preserve"> total value of</w:t>
      </w:r>
      <w:r w:rsidRPr="00D15B6A">
        <w:rPr>
          <w:rFonts w:ascii="Times New Roman" w:eastAsia="Calibri" w:hAnsi="Times New Roman" w:cs="Times New Roman"/>
          <w:sz w:val="24"/>
          <w:szCs w:val="24"/>
        </w:rPr>
        <w:t xml:space="preserve"> UK GDP. Furthermore, the insurance sector in the UK is one of the world leaders, since it is the third largest insurance market worldwide, and UK insurance firms also gain a third of their revenue from overseas (French, Vital &amp; Minot, 2015; </w:t>
      </w:r>
      <w:hyperlink w:anchor="_ENREF_1" w:tooltip="Adams, 2016 #18" w:history="1">
        <w:r w:rsidRPr="00D15B6A">
          <w:rPr>
            <w:rFonts w:ascii="Times New Roman" w:eastAsia="Calibri" w:hAnsi="Times New Roman" w:cs="Times New Roman"/>
            <w:sz w:val="24"/>
            <w:szCs w:val="24"/>
          </w:rPr>
          <w:t>Adams &amp; Jiang, 2016</w:t>
        </w:r>
      </w:hyperlink>
      <w:r w:rsidRPr="00D15B6A">
        <w:rPr>
          <w:rFonts w:ascii="Times New Roman" w:eastAsia="Calibri" w:hAnsi="Times New Roman" w:cs="Times New Roman"/>
          <w:sz w:val="24"/>
          <w:szCs w:val="24"/>
        </w:rPr>
        <w:t>). Insurance firms also play a great role in stabilising the financial system of the economy. Although insurance firms were to some extent more successful in facing the financial crisis than several other sectors</w:t>
      </w:r>
      <w:r w:rsidR="00201C99">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 strong governance and high standards of accounting and financial reporting are essential to enabl</w:t>
      </w:r>
      <w:r w:rsidR="00201C99">
        <w:rPr>
          <w:rFonts w:ascii="Times New Roman" w:eastAsia="Calibri" w:hAnsi="Times New Roman" w:cs="Times New Roman"/>
          <w:sz w:val="24"/>
          <w:szCs w:val="24"/>
        </w:rPr>
        <w:t>ing</w:t>
      </w:r>
      <w:r w:rsidRPr="00D15B6A">
        <w:rPr>
          <w:rFonts w:ascii="Times New Roman" w:eastAsia="Calibri" w:hAnsi="Times New Roman" w:cs="Times New Roman"/>
          <w:sz w:val="24"/>
          <w:szCs w:val="24"/>
        </w:rPr>
        <w:t xml:space="preserve"> an open and robust financial system</w:t>
      </w:r>
      <w:r w:rsidR="00201C99">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 which </w:t>
      </w:r>
      <w:r w:rsidR="00201C99">
        <w:rPr>
          <w:rFonts w:ascii="Times New Roman" w:eastAsia="Calibri" w:hAnsi="Times New Roman" w:cs="Times New Roman"/>
          <w:sz w:val="24"/>
          <w:szCs w:val="24"/>
        </w:rPr>
        <w:t xml:space="preserve">can </w:t>
      </w:r>
      <w:r w:rsidRPr="00D15B6A">
        <w:rPr>
          <w:rFonts w:ascii="Times New Roman" w:eastAsia="Calibri" w:hAnsi="Times New Roman" w:cs="Times New Roman"/>
          <w:sz w:val="24"/>
          <w:szCs w:val="24"/>
        </w:rPr>
        <w:t xml:space="preserve">assist and support the economy’s needs. By enhancing </w:t>
      </w:r>
      <w:r w:rsidR="00486DBC">
        <w:rPr>
          <w:rFonts w:ascii="Times New Roman" w:eastAsia="Calibri" w:hAnsi="Times New Roman" w:cs="Times New Roman"/>
          <w:sz w:val="24"/>
          <w:szCs w:val="24"/>
        </w:rPr>
        <w:t>CG</w:t>
      </w:r>
      <w:r w:rsidRPr="00D15B6A">
        <w:rPr>
          <w:rFonts w:ascii="Times New Roman" w:eastAsia="Calibri" w:hAnsi="Times New Roman" w:cs="Times New Roman"/>
          <w:sz w:val="24"/>
          <w:szCs w:val="24"/>
        </w:rPr>
        <w:t xml:space="preserve">, insurers </w:t>
      </w:r>
      <w:r w:rsidR="00201C99">
        <w:rPr>
          <w:rFonts w:ascii="Times New Roman" w:eastAsia="Calibri" w:hAnsi="Times New Roman" w:cs="Times New Roman"/>
          <w:sz w:val="24"/>
          <w:szCs w:val="24"/>
        </w:rPr>
        <w:t xml:space="preserve">can </w:t>
      </w:r>
      <w:r w:rsidRPr="00D15B6A">
        <w:rPr>
          <w:rFonts w:ascii="Times New Roman" w:eastAsia="Calibri" w:hAnsi="Times New Roman" w:cs="Times New Roman"/>
          <w:sz w:val="24"/>
          <w:szCs w:val="24"/>
        </w:rPr>
        <w:t xml:space="preserve">safeguard their companies and individuals from risks and increase the economy’s resilience </w:t>
      </w:r>
      <w:r w:rsidRPr="00D15B6A">
        <w:rPr>
          <w:rFonts w:ascii="Times New Roman" w:eastAsia="Calibri" w:hAnsi="Times New Roman" w:cs="Times New Roman"/>
          <w:sz w:val="24"/>
          <w:szCs w:val="24"/>
        </w:rPr>
        <w:fldChar w:fldCharType="begin">
          <w:fldData xml:space="preserve">PEVuZE5vdGU+PENpdGU+PEF1dGhvcj5Ic3U8L0F1dGhvcj48WWVhcj4yMDEwPC9ZZWFyPjxSZWNO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</w:fldData>
        </w:fldChar>
      </w:r>
      <w:r w:rsidRPr="00D15B6A">
        <w:rPr>
          <w:rFonts w:ascii="Times New Roman" w:eastAsia="Calibri" w:hAnsi="Times New Roman" w:cs="Times New Roman"/>
          <w:sz w:val="24"/>
          <w:szCs w:val="24"/>
        </w:rPr>
        <w:instrText xml:space="preserve"> ADDIN EN.CITE </w:instrText>
      </w:r>
      <w:r w:rsidRPr="00D15B6A">
        <w:rPr>
          <w:rFonts w:ascii="Times New Roman" w:eastAsia="Calibri" w:hAnsi="Times New Roman" w:cs="Times New Roman"/>
          <w:sz w:val="24"/>
          <w:szCs w:val="24"/>
        </w:rPr>
        <w:fldChar w:fldCharType="begin">
          <w:fldData xml:space="preserve">PEVuZE5vdGU+PENpdGU+PEF1dGhvcj5Ic3U8L0F1dGhvcj48WWVhcj4yMDEwPC9ZZWFyPjxSZWNO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</w:fldData>
        </w:fldChar>
      </w:r>
      <w:r w:rsidRPr="00D15B6A">
        <w:rPr>
          <w:rFonts w:ascii="Times New Roman" w:eastAsia="Calibri" w:hAnsi="Times New Roman" w:cs="Times New Roman"/>
          <w:sz w:val="24"/>
          <w:szCs w:val="24"/>
        </w:rPr>
        <w:instrText xml:space="preserve"> ADDIN EN.CITE.DATA </w:instrText>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noProof/>
          <w:sz w:val="24"/>
          <w:szCs w:val="24"/>
        </w:rPr>
        <w:t>(</w:t>
      </w:r>
      <w:hyperlink w:anchor="_ENREF_1" w:tooltip="Adams, 2016 #18" w:history="1">
        <w:r w:rsidRPr="00D15B6A">
          <w:rPr>
            <w:rFonts w:ascii="Times New Roman" w:eastAsia="Calibri" w:hAnsi="Times New Roman" w:cs="Times New Roman"/>
            <w:noProof/>
            <w:sz w:val="24"/>
            <w:szCs w:val="24"/>
          </w:rPr>
          <w:t>Adams &amp; Jiang, 2016</w:t>
        </w:r>
      </w:hyperlink>
      <w:r w:rsidRPr="00D15B6A">
        <w:rPr>
          <w:rFonts w:ascii="Times New Roman" w:eastAsia="Calibri" w:hAnsi="Times New Roman" w:cs="Times New Roman"/>
          <w:noProof/>
          <w:sz w:val="24"/>
          <w:szCs w:val="24"/>
        </w:rPr>
        <w:t xml:space="preserve">; </w:t>
      </w:r>
      <w:r w:rsidR="00462650">
        <w:rPr>
          <w:rFonts w:ascii="Times New Roman" w:eastAsia="Calibri" w:hAnsi="Times New Roman" w:cs="Times New Roman"/>
          <w:noProof/>
          <w:sz w:val="24"/>
          <w:szCs w:val="24"/>
        </w:rPr>
        <w:t xml:space="preserve">Afrifa &amp; Tauringana, </w:t>
      </w:r>
      <w:r w:rsidR="00462650" w:rsidRPr="00462650">
        <w:rPr>
          <w:rFonts w:ascii="Times New Roman" w:eastAsia="Calibri" w:hAnsi="Times New Roman" w:cs="Times New Roman"/>
          <w:noProof/>
          <w:sz w:val="24"/>
          <w:szCs w:val="24"/>
        </w:rPr>
        <w:t>2015</w:t>
      </w:r>
      <w:r w:rsidR="00462650">
        <w:rPr>
          <w:rFonts w:ascii="Times New Roman" w:eastAsia="Calibri" w:hAnsi="Times New Roman" w:cs="Times New Roman"/>
          <w:noProof/>
          <w:sz w:val="24"/>
          <w:szCs w:val="24"/>
        </w:rPr>
        <w:t xml:space="preserve">; </w:t>
      </w:r>
      <w:hyperlink w:anchor="_ENREF_7" w:tooltip="Boubakri, 2011 #17" w:history="1">
        <w:r w:rsidRPr="00D15B6A">
          <w:rPr>
            <w:rFonts w:ascii="Times New Roman" w:eastAsia="Calibri" w:hAnsi="Times New Roman" w:cs="Times New Roman"/>
            <w:noProof/>
            <w:sz w:val="24"/>
            <w:szCs w:val="24"/>
          </w:rPr>
          <w:t>Boubakri, 201</w:t>
        </w:r>
        <w:r w:rsidR="00486DBC">
          <w:rPr>
            <w:rFonts w:ascii="Times New Roman" w:eastAsia="Calibri" w:hAnsi="Times New Roman" w:cs="Times New Roman"/>
            <w:noProof/>
            <w:sz w:val="24"/>
            <w:szCs w:val="24"/>
          </w:rPr>
          <w:t>1</w:t>
        </w:r>
      </w:hyperlink>
      <w:r w:rsidRPr="00D15B6A">
        <w:rPr>
          <w:rFonts w:ascii="Times New Roman" w:eastAsia="Calibri" w:hAnsi="Times New Roman" w:cs="Times New Roman"/>
          <w:noProof/>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Overall, these </w:t>
      </w:r>
      <w:r w:rsidR="00201C99">
        <w:rPr>
          <w:rFonts w:ascii="Times New Roman" w:eastAsia="Calibri" w:hAnsi="Times New Roman" w:cs="Times New Roman"/>
          <w:sz w:val="24"/>
          <w:szCs w:val="24"/>
        </w:rPr>
        <w:t xml:space="preserve">major </w:t>
      </w:r>
      <w:r w:rsidRPr="00D15B6A">
        <w:rPr>
          <w:rFonts w:ascii="Times New Roman" w:eastAsia="Calibri" w:hAnsi="Times New Roman" w:cs="Times New Roman"/>
          <w:sz w:val="24"/>
          <w:szCs w:val="24"/>
        </w:rPr>
        <w:t xml:space="preserve">roles </w:t>
      </w:r>
      <w:r w:rsidR="00201C99">
        <w:rPr>
          <w:rFonts w:ascii="Times New Roman" w:eastAsia="Calibri" w:hAnsi="Times New Roman" w:cs="Times New Roman"/>
          <w:sz w:val="24"/>
          <w:szCs w:val="24"/>
        </w:rPr>
        <w:t>performed by</w:t>
      </w:r>
      <w:r w:rsidRPr="00D15B6A">
        <w:rPr>
          <w:rFonts w:ascii="Times New Roman" w:eastAsia="Calibri" w:hAnsi="Times New Roman" w:cs="Times New Roman"/>
          <w:sz w:val="24"/>
          <w:szCs w:val="24"/>
        </w:rPr>
        <w:t xml:space="preserve"> the insurance sector in the UK are accompanied by many governance reforms</w:t>
      </w:r>
      <w:r w:rsidR="00201C99">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 and statutory modifications that challenge its business models</w:t>
      </w:r>
      <w:r w:rsidR="00486DBC">
        <w:rPr>
          <w:rFonts w:ascii="Times New Roman" w:eastAsia="Calibri" w:hAnsi="Times New Roman" w:cs="Times New Roman"/>
          <w:sz w:val="24"/>
          <w:szCs w:val="24"/>
        </w:rPr>
        <w:t xml:space="preserve"> (</w:t>
      </w:r>
      <w:r w:rsidR="00486DBC" w:rsidRPr="00486DBC">
        <w:rPr>
          <w:rFonts w:ascii="Times New Roman" w:eastAsia="Calibri" w:hAnsi="Times New Roman" w:cs="Times New Roman"/>
          <w:sz w:val="24"/>
          <w:szCs w:val="24"/>
        </w:rPr>
        <w:t>Elmagrhi et al., 2016</w:t>
      </w:r>
      <w:r w:rsidR="00A34354">
        <w:rPr>
          <w:rFonts w:ascii="Times New Roman" w:eastAsia="Calibri" w:hAnsi="Times New Roman" w:cs="Times New Roman"/>
          <w:sz w:val="24"/>
          <w:szCs w:val="24"/>
        </w:rPr>
        <w:t>, 2017</w:t>
      </w:r>
      <w:r w:rsidR="00486DBC">
        <w:rPr>
          <w:rFonts w:ascii="Times New Roman" w:eastAsia="Calibri" w:hAnsi="Times New Roman" w:cs="Times New Roman"/>
          <w:sz w:val="24"/>
          <w:szCs w:val="24"/>
        </w:rPr>
        <w:t>)</w:t>
      </w:r>
      <w:r w:rsidRPr="00D15B6A">
        <w:rPr>
          <w:rFonts w:ascii="Times New Roman" w:eastAsia="Calibri" w:hAnsi="Times New Roman" w:cs="Times New Roman"/>
          <w:sz w:val="24"/>
          <w:szCs w:val="24"/>
        </w:rPr>
        <w:t>, and these factors have motivated this study.</w:t>
      </w:r>
    </w:p>
    <w:p w14:paraId="14276A13" w14:textId="3A448607" w:rsidR="000B291C" w:rsidRDefault="000B291C" w:rsidP="00155637">
      <w:pPr>
        <w:spacing w:before="120" w:after="120" w:line="360" w:lineRule="auto"/>
        <w:ind w:firstLine="360"/>
        <w:contextualSpacing/>
        <w:jc w:val="both"/>
        <w:rPr>
          <w:rFonts w:ascii="Times New Roman" w:eastAsia="Calibri" w:hAnsi="Times New Roman" w:cs="Times New Roman"/>
          <w:sz w:val="24"/>
          <w:szCs w:val="24"/>
        </w:rPr>
      </w:pPr>
      <w:r w:rsidRPr="000B291C">
        <w:rPr>
          <w:rFonts w:ascii="Times New Roman" w:eastAsia="Calibri" w:hAnsi="Times New Roman" w:cs="Times New Roman"/>
          <w:sz w:val="24"/>
          <w:szCs w:val="24"/>
        </w:rPr>
        <w:t xml:space="preserve">Debatably, there have been substantial improvements to the </w:t>
      </w:r>
      <w:r w:rsidR="00201C99">
        <w:rPr>
          <w:rFonts w:ascii="Times New Roman" w:eastAsia="Calibri" w:hAnsi="Times New Roman" w:cs="Times New Roman"/>
          <w:sz w:val="24"/>
          <w:szCs w:val="24"/>
        </w:rPr>
        <w:t xml:space="preserve">UK </w:t>
      </w:r>
      <w:r w:rsidRPr="000B291C">
        <w:rPr>
          <w:rFonts w:ascii="Times New Roman" w:eastAsia="Calibri" w:hAnsi="Times New Roman" w:cs="Times New Roman"/>
          <w:sz w:val="24"/>
          <w:szCs w:val="24"/>
        </w:rPr>
        <w:t>CG Code nearly every year. The latest worldwide financial crisis</w:t>
      </w:r>
      <w:r w:rsidR="00201C99">
        <w:rPr>
          <w:rFonts w:ascii="Times New Roman" w:eastAsia="Calibri" w:hAnsi="Times New Roman" w:cs="Times New Roman"/>
          <w:sz w:val="24"/>
          <w:szCs w:val="24"/>
        </w:rPr>
        <w:t xml:space="preserve"> places greater</w:t>
      </w:r>
      <w:r w:rsidRPr="000B291C">
        <w:rPr>
          <w:rFonts w:ascii="Times New Roman" w:eastAsia="Calibri" w:hAnsi="Times New Roman" w:cs="Times New Roman"/>
          <w:sz w:val="24"/>
          <w:szCs w:val="24"/>
        </w:rPr>
        <w:t xml:space="preserve"> emphasis</w:t>
      </w:r>
      <w:r w:rsidR="00201C99">
        <w:rPr>
          <w:rFonts w:ascii="Times New Roman" w:eastAsia="Calibri" w:hAnsi="Times New Roman" w:cs="Times New Roman"/>
          <w:sz w:val="24"/>
          <w:szCs w:val="24"/>
        </w:rPr>
        <w:t xml:space="preserve"> on</w:t>
      </w:r>
      <w:r w:rsidRPr="000B291C">
        <w:rPr>
          <w:rFonts w:ascii="Times New Roman" w:eastAsia="Calibri" w:hAnsi="Times New Roman" w:cs="Times New Roman"/>
          <w:sz w:val="24"/>
          <w:szCs w:val="24"/>
        </w:rPr>
        <w:t xml:space="preserve"> the </w:t>
      </w:r>
      <w:r w:rsidR="00201C99">
        <w:rPr>
          <w:rFonts w:ascii="Times New Roman" w:eastAsia="Calibri" w:hAnsi="Times New Roman" w:cs="Times New Roman"/>
          <w:sz w:val="24"/>
          <w:szCs w:val="24"/>
        </w:rPr>
        <w:t>need for</w:t>
      </w:r>
      <w:r w:rsidRPr="000B291C">
        <w:rPr>
          <w:rFonts w:ascii="Times New Roman" w:eastAsia="Calibri" w:hAnsi="Times New Roman" w:cs="Times New Roman"/>
          <w:sz w:val="24"/>
          <w:szCs w:val="24"/>
        </w:rPr>
        <w:t xml:space="preserve"> </w:t>
      </w:r>
      <w:r w:rsidR="00201C99">
        <w:rPr>
          <w:rFonts w:ascii="Times New Roman" w:eastAsia="Calibri" w:hAnsi="Times New Roman" w:cs="Times New Roman"/>
          <w:sz w:val="24"/>
          <w:szCs w:val="24"/>
        </w:rPr>
        <w:t xml:space="preserve">effective </w:t>
      </w:r>
      <w:r w:rsidRPr="000B291C">
        <w:rPr>
          <w:rFonts w:ascii="Times New Roman" w:eastAsia="Calibri" w:hAnsi="Times New Roman" w:cs="Times New Roman"/>
          <w:sz w:val="24"/>
          <w:szCs w:val="24"/>
        </w:rPr>
        <w:t xml:space="preserve">CG </w:t>
      </w:r>
      <w:r w:rsidR="00201C99">
        <w:rPr>
          <w:rFonts w:ascii="Times New Roman" w:eastAsia="Calibri" w:hAnsi="Times New Roman" w:cs="Times New Roman"/>
          <w:sz w:val="24"/>
          <w:szCs w:val="24"/>
        </w:rPr>
        <w:t xml:space="preserve">structures and systems </w:t>
      </w:r>
      <w:r w:rsidRPr="000B291C">
        <w:rPr>
          <w:rFonts w:ascii="Times New Roman" w:eastAsia="Calibri" w:hAnsi="Times New Roman" w:cs="Times New Roman"/>
          <w:sz w:val="24"/>
          <w:szCs w:val="24"/>
        </w:rPr>
        <w:t>to</w:t>
      </w:r>
      <w:r w:rsidR="00201C99">
        <w:rPr>
          <w:rFonts w:ascii="Times New Roman" w:eastAsia="Calibri" w:hAnsi="Times New Roman" w:cs="Times New Roman"/>
          <w:sz w:val="24"/>
          <w:szCs w:val="24"/>
        </w:rPr>
        <w:t>wards</w:t>
      </w:r>
      <w:r w:rsidRPr="000B291C">
        <w:rPr>
          <w:rFonts w:ascii="Times New Roman" w:eastAsia="Calibri" w:hAnsi="Times New Roman" w:cs="Times New Roman"/>
          <w:sz w:val="24"/>
          <w:szCs w:val="24"/>
        </w:rPr>
        <w:t xml:space="preserve"> ensur</w:t>
      </w:r>
      <w:r w:rsidR="00201C99">
        <w:rPr>
          <w:rFonts w:ascii="Times New Roman" w:eastAsia="Calibri" w:hAnsi="Times New Roman" w:cs="Times New Roman"/>
          <w:sz w:val="24"/>
          <w:szCs w:val="24"/>
        </w:rPr>
        <w:t>ing</w:t>
      </w:r>
      <w:r w:rsidRPr="000B291C">
        <w:rPr>
          <w:rFonts w:ascii="Times New Roman" w:eastAsia="Calibri" w:hAnsi="Times New Roman" w:cs="Times New Roman"/>
          <w:sz w:val="24"/>
          <w:szCs w:val="24"/>
        </w:rPr>
        <w:t xml:space="preserve"> a firm’s continued existence. Accordingly, the UK CG Codes of 2010, 2012</w:t>
      </w:r>
      <w:r w:rsidR="009944F0">
        <w:rPr>
          <w:rFonts w:ascii="Times New Roman" w:eastAsia="Calibri" w:hAnsi="Times New Roman" w:cs="Times New Roman"/>
          <w:sz w:val="24"/>
          <w:szCs w:val="24"/>
        </w:rPr>
        <w:t>,</w:t>
      </w:r>
      <w:r w:rsidRPr="000B291C">
        <w:rPr>
          <w:rFonts w:ascii="Times New Roman" w:eastAsia="Calibri" w:hAnsi="Times New Roman" w:cs="Times New Roman"/>
          <w:sz w:val="24"/>
          <w:szCs w:val="24"/>
        </w:rPr>
        <w:t xml:space="preserve"> 2014</w:t>
      </w:r>
      <w:r w:rsidR="009944F0">
        <w:rPr>
          <w:rFonts w:ascii="Times New Roman" w:eastAsia="Calibri" w:hAnsi="Times New Roman" w:cs="Times New Roman"/>
          <w:sz w:val="24"/>
          <w:szCs w:val="24"/>
        </w:rPr>
        <w:t>, 2016 and 2018 (forthcoming) have</w:t>
      </w:r>
      <w:r w:rsidRPr="000B291C">
        <w:rPr>
          <w:rFonts w:ascii="Times New Roman" w:eastAsia="Calibri" w:hAnsi="Times New Roman" w:cs="Times New Roman"/>
          <w:sz w:val="24"/>
          <w:szCs w:val="24"/>
        </w:rPr>
        <w:t xml:space="preserve"> clarified the role of the board of directors in adding value to the firm. The FRC (201</w:t>
      </w:r>
      <w:r w:rsidR="00155637">
        <w:rPr>
          <w:rFonts w:ascii="Times New Roman" w:eastAsia="Calibri" w:hAnsi="Times New Roman" w:cs="Times New Roman"/>
          <w:sz w:val="24"/>
          <w:szCs w:val="24"/>
        </w:rPr>
        <w:t>2</w:t>
      </w:r>
      <w:r w:rsidRPr="000B291C">
        <w:rPr>
          <w:rFonts w:ascii="Times New Roman" w:eastAsia="Calibri" w:hAnsi="Times New Roman" w:cs="Times New Roman"/>
          <w:sz w:val="24"/>
          <w:szCs w:val="24"/>
        </w:rPr>
        <w:t>) indicated that an active board should</w:t>
      </w:r>
      <w:r w:rsidR="009944F0">
        <w:rPr>
          <w:rFonts w:ascii="Times New Roman" w:eastAsia="Calibri" w:hAnsi="Times New Roman" w:cs="Times New Roman"/>
          <w:sz w:val="24"/>
          <w:szCs w:val="24"/>
        </w:rPr>
        <w:t xml:space="preserve"> work towards</w:t>
      </w:r>
      <w:r w:rsidRPr="000B291C">
        <w:rPr>
          <w:rFonts w:ascii="Times New Roman" w:eastAsia="Calibri" w:hAnsi="Times New Roman" w:cs="Times New Roman"/>
          <w:sz w:val="24"/>
          <w:szCs w:val="24"/>
        </w:rPr>
        <w:t xml:space="preserve"> increas</w:t>
      </w:r>
      <w:r w:rsidR="009944F0">
        <w:rPr>
          <w:rFonts w:ascii="Times New Roman" w:eastAsia="Calibri" w:hAnsi="Times New Roman" w:cs="Times New Roman"/>
          <w:sz w:val="24"/>
          <w:szCs w:val="24"/>
        </w:rPr>
        <w:t>ing</w:t>
      </w:r>
      <w:r w:rsidRPr="000B291C">
        <w:rPr>
          <w:rFonts w:ascii="Times New Roman" w:eastAsia="Calibri" w:hAnsi="Times New Roman" w:cs="Times New Roman"/>
          <w:sz w:val="24"/>
          <w:szCs w:val="24"/>
        </w:rPr>
        <w:t xml:space="preserve"> and improv</w:t>
      </w:r>
      <w:r w:rsidR="009944F0">
        <w:rPr>
          <w:rFonts w:ascii="Times New Roman" w:eastAsia="Calibri" w:hAnsi="Times New Roman" w:cs="Times New Roman"/>
          <w:sz w:val="24"/>
          <w:szCs w:val="24"/>
        </w:rPr>
        <w:t>ing</w:t>
      </w:r>
      <w:r w:rsidRPr="000B291C">
        <w:rPr>
          <w:rFonts w:ascii="Times New Roman" w:eastAsia="Calibri" w:hAnsi="Times New Roman" w:cs="Times New Roman"/>
          <w:sz w:val="24"/>
          <w:szCs w:val="24"/>
        </w:rPr>
        <w:t xml:space="preserve"> the firm’s values, behaviours and culture. The latest UK CG Code, launched in October 201</w:t>
      </w:r>
      <w:r w:rsidR="00B571F8">
        <w:rPr>
          <w:rFonts w:ascii="Times New Roman" w:eastAsia="Calibri" w:hAnsi="Times New Roman" w:cs="Times New Roman"/>
          <w:sz w:val="24"/>
          <w:szCs w:val="24"/>
        </w:rPr>
        <w:t>6</w:t>
      </w:r>
      <w:r w:rsidRPr="000B291C">
        <w:rPr>
          <w:rFonts w:ascii="Times New Roman" w:eastAsia="Calibri" w:hAnsi="Times New Roman" w:cs="Times New Roman"/>
          <w:sz w:val="24"/>
          <w:szCs w:val="24"/>
        </w:rPr>
        <w:t xml:space="preserve">, is based on the ‘comply or explain’ approach (FRC, 2014). It aims to simplify effective, innovative and prudent management to achieve long-term growth for companies (FRC, 2014). Given the significance of CG, some may assume that the sound </w:t>
      </w:r>
      <w:r w:rsidR="007C76F0">
        <w:rPr>
          <w:rFonts w:ascii="Times New Roman" w:eastAsia="Calibri" w:hAnsi="Times New Roman" w:cs="Times New Roman"/>
          <w:sz w:val="24"/>
          <w:szCs w:val="24"/>
        </w:rPr>
        <w:t xml:space="preserve">risk-taking </w:t>
      </w:r>
      <w:r w:rsidRPr="000B291C">
        <w:rPr>
          <w:rFonts w:ascii="Times New Roman" w:eastAsia="Calibri" w:hAnsi="Times New Roman" w:cs="Times New Roman"/>
          <w:sz w:val="24"/>
          <w:szCs w:val="24"/>
        </w:rPr>
        <w:t>of insurance companies is connected to sound CG. However, as a result of the complexity and opacity of such companies, this does not directly answer the question of which components of CG will increase (or shrink) risk</w:t>
      </w:r>
      <w:r w:rsidR="00B571F8">
        <w:rPr>
          <w:rFonts w:ascii="Times New Roman" w:eastAsia="Calibri" w:hAnsi="Times New Roman" w:cs="Times New Roman"/>
          <w:sz w:val="24"/>
          <w:szCs w:val="24"/>
        </w:rPr>
        <w:t>-</w:t>
      </w:r>
      <w:r w:rsidRPr="000B291C">
        <w:rPr>
          <w:rFonts w:ascii="Times New Roman" w:eastAsia="Calibri" w:hAnsi="Times New Roman" w:cs="Times New Roman"/>
          <w:sz w:val="24"/>
          <w:szCs w:val="24"/>
        </w:rPr>
        <w:t>taking.</w:t>
      </w:r>
    </w:p>
    <w:p w14:paraId="471D0B61" w14:textId="0317005D" w:rsidR="005B3775" w:rsidRPr="00D15B6A" w:rsidRDefault="000B291C" w:rsidP="00534A3A">
      <w:pPr>
        <w:spacing w:before="120" w:after="120" w:line="36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Thus, t</w:t>
      </w:r>
      <w:r w:rsidR="005B3775" w:rsidRPr="00D15B6A">
        <w:rPr>
          <w:rFonts w:ascii="Times New Roman" w:eastAsia="Calibri" w:hAnsi="Times New Roman" w:cs="Times New Roman"/>
          <w:sz w:val="24"/>
          <w:szCs w:val="24"/>
        </w:rPr>
        <w:t xml:space="preserve">his </w:t>
      </w:r>
      <w:r w:rsidR="00831CDF" w:rsidRPr="00D15B6A">
        <w:rPr>
          <w:rFonts w:ascii="Times New Roman" w:eastAsia="Calibri" w:hAnsi="Times New Roman" w:cs="Times New Roman"/>
          <w:sz w:val="24"/>
          <w:szCs w:val="24"/>
        </w:rPr>
        <w:t>study</w:t>
      </w:r>
      <w:r w:rsidR="005B3775" w:rsidRPr="00D15B6A">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contributes to current research by analysing</w:t>
      </w:r>
      <w:r w:rsidR="005B3775" w:rsidRPr="00D15B6A">
        <w:rPr>
          <w:rFonts w:ascii="Times New Roman" w:eastAsia="Calibri" w:hAnsi="Times New Roman" w:cs="Times New Roman"/>
          <w:sz w:val="24"/>
          <w:szCs w:val="24"/>
        </w:rPr>
        <w:t xml:space="preserve"> the effects of insurers’ corporate governance environment on their </w:t>
      </w:r>
      <w:r w:rsidR="007C76F0">
        <w:rPr>
          <w:rFonts w:ascii="Times New Roman" w:eastAsia="Calibri" w:hAnsi="Times New Roman" w:cs="Times New Roman"/>
          <w:sz w:val="24"/>
          <w:szCs w:val="24"/>
        </w:rPr>
        <w:t xml:space="preserve">risk-taking </w:t>
      </w:r>
      <w:r w:rsidR="005B3775" w:rsidRPr="00D15B6A">
        <w:rPr>
          <w:rFonts w:ascii="Times New Roman" w:eastAsia="Calibri" w:hAnsi="Times New Roman" w:cs="Times New Roman"/>
          <w:sz w:val="24"/>
          <w:szCs w:val="24"/>
        </w:rPr>
        <w:t>behaviour in the UK context, especially after the introduction of Solvency II</w:t>
      </w:r>
      <w:r w:rsidR="00D42C30">
        <w:rPr>
          <w:rFonts w:ascii="Times New Roman" w:eastAsia="Calibri" w:hAnsi="Times New Roman" w:cs="Times New Roman"/>
          <w:sz w:val="24"/>
          <w:szCs w:val="24"/>
        </w:rPr>
        <w:t xml:space="preserve"> and CG reforms</w:t>
      </w:r>
      <w:r w:rsidR="005B3775" w:rsidRPr="00D15B6A">
        <w:rPr>
          <w:rFonts w:ascii="Times New Roman" w:eastAsia="Calibri" w:hAnsi="Times New Roman" w:cs="Times New Roman"/>
          <w:sz w:val="24"/>
          <w:szCs w:val="24"/>
        </w:rPr>
        <w:t xml:space="preserve">. A considerable quantity of literature has been published on CG and </w:t>
      </w:r>
      <w:r w:rsidR="007C76F0">
        <w:rPr>
          <w:rFonts w:ascii="Times New Roman" w:eastAsia="Calibri" w:hAnsi="Times New Roman" w:cs="Times New Roman"/>
          <w:sz w:val="24"/>
          <w:szCs w:val="24"/>
        </w:rPr>
        <w:t>risk-taking</w:t>
      </w:r>
      <w:r w:rsidR="00B571F8">
        <w:rPr>
          <w:rFonts w:ascii="Times New Roman" w:eastAsia="Calibri" w:hAnsi="Times New Roman" w:cs="Times New Roman"/>
          <w:sz w:val="24"/>
          <w:szCs w:val="24"/>
        </w:rPr>
        <w:t>,</w:t>
      </w:r>
      <w:r w:rsidR="007C76F0">
        <w:rPr>
          <w:rFonts w:ascii="Times New Roman" w:eastAsia="Calibri" w:hAnsi="Times New Roman" w:cs="Times New Roman"/>
          <w:sz w:val="24"/>
          <w:szCs w:val="24"/>
        </w:rPr>
        <w:t xml:space="preserve"> </w:t>
      </w:r>
      <w:r w:rsidR="005B3775" w:rsidRPr="00D15B6A">
        <w:rPr>
          <w:rFonts w:ascii="Times New Roman" w:eastAsia="Calibri" w:hAnsi="Times New Roman" w:cs="Times New Roman"/>
          <w:sz w:val="24"/>
          <w:szCs w:val="24"/>
        </w:rPr>
        <w:t xml:space="preserve">but empirical evidence for the insurance sector, especially in the UK context, remains limited. Therefore, this study will shed light on CG practices and their impact on UK insurance companies’ </w:t>
      </w:r>
      <w:r w:rsidR="00831CDF" w:rsidRPr="00D15B6A">
        <w:rPr>
          <w:rFonts w:ascii="Times New Roman" w:eastAsia="Calibri" w:hAnsi="Times New Roman" w:cs="Times New Roman"/>
          <w:sz w:val="24"/>
          <w:szCs w:val="24"/>
        </w:rPr>
        <w:t>risk</w:t>
      </w:r>
      <w:r w:rsidR="00B571F8">
        <w:rPr>
          <w:rFonts w:ascii="Times New Roman" w:eastAsia="Calibri" w:hAnsi="Times New Roman" w:cs="Times New Roman"/>
          <w:sz w:val="24"/>
          <w:szCs w:val="24"/>
        </w:rPr>
        <w:t>-</w:t>
      </w:r>
      <w:r w:rsidR="00831CDF" w:rsidRPr="00D15B6A">
        <w:rPr>
          <w:rFonts w:ascii="Times New Roman" w:eastAsia="Calibri" w:hAnsi="Times New Roman" w:cs="Times New Roman"/>
          <w:sz w:val="24"/>
          <w:szCs w:val="24"/>
        </w:rPr>
        <w:t>taking</w:t>
      </w:r>
      <w:r w:rsidR="005B3775" w:rsidRPr="00D15B6A">
        <w:rPr>
          <w:rFonts w:ascii="Times New Roman" w:eastAsia="Calibri" w:hAnsi="Times New Roman" w:cs="Times New Roman"/>
          <w:sz w:val="24"/>
          <w:szCs w:val="24"/>
        </w:rPr>
        <w:t>.</w:t>
      </w:r>
      <w:r w:rsidR="00B571F8">
        <w:rPr>
          <w:rFonts w:ascii="Times New Roman" w:eastAsia="Calibri" w:hAnsi="Times New Roman" w:cs="Times New Roman"/>
          <w:sz w:val="24"/>
          <w:szCs w:val="24"/>
        </w:rPr>
        <w:t xml:space="preserve"> Specifically, the study contributes to the existing literature by providing evidence on the effect of board structures, such as audit committee, board independence and board size</w:t>
      </w:r>
      <w:r w:rsidR="009559F9">
        <w:rPr>
          <w:rFonts w:ascii="Times New Roman" w:eastAsia="Calibri" w:hAnsi="Times New Roman" w:cs="Times New Roman"/>
          <w:sz w:val="24"/>
          <w:szCs w:val="24"/>
        </w:rPr>
        <w:t>,</w:t>
      </w:r>
      <w:r w:rsidR="00B571F8">
        <w:rPr>
          <w:rFonts w:ascii="Times New Roman" w:eastAsia="Calibri" w:hAnsi="Times New Roman" w:cs="Times New Roman"/>
          <w:sz w:val="24"/>
          <w:szCs w:val="24"/>
        </w:rPr>
        <w:t xml:space="preserve"> on risk-taking.</w:t>
      </w:r>
    </w:p>
    <w:p w14:paraId="404A7615" w14:textId="489F472C" w:rsidR="00155D89" w:rsidRPr="00D15B6A" w:rsidRDefault="00DE41DC" w:rsidP="00534A3A">
      <w:pPr>
        <w:spacing w:before="120" w:after="120" w:line="360" w:lineRule="auto"/>
        <w:ind w:firstLine="360"/>
        <w:contextualSpacing/>
        <w:jc w:val="both"/>
        <w:rPr>
          <w:rFonts w:ascii="Times New Roman" w:hAnsi="Times New Roman" w:cs="Times New Roman"/>
          <w:sz w:val="24"/>
          <w:szCs w:val="24"/>
        </w:rPr>
      </w:pPr>
      <w:r w:rsidRPr="00D15B6A">
        <w:rPr>
          <w:rFonts w:ascii="Times New Roman" w:eastAsia="Calibri" w:hAnsi="Times New Roman" w:cs="Times New Roman"/>
          <w:sz w:val="24"/>
          <w:szCs w:val="24"/>
        </w:rPr>
        <w:t>The remain</w:t>
      </w:r>
      <w:r w:rsidR="00B571F8">
        <w:rPr>
          <w:rFonts w:ascii="Times New Roman" w:eastAsia="Calibri" w:hAnsi="Times New Roman" w:cs="Times New Roman"/>
          <w:sz w:val="24"/>
          <w:szCs w:val="24"/>
        </w:rPr>
        <w:t>der</w:t>
      </w:r>
      <w:r w:rsidRPr="00D15B6A">
        <w:rPr>
          <w:rFonts w:ascii="Times New Roman" w:eastAsia="Calibri" w:hAnsi="Times New Roman" w:cs="Times New Roman"/>
          <w:sz w:val="24"/>
          <w:szCs w:val="24"/>
        </w:rPr>
        <w:t xml:space="preserve"> of the study is structured as follows. Section 2 3 </w:t>
      </w:r>
      <w:r w:rsidR="009559F9">
        <w:rPr>
          <w:rFonts w:ascii="Times New Roman" w:eastAsia="Calibri" w:hAnsi="Times New Roman" w:cs="Times New Roman"/>
          <w:sz w:val="24"/>
          <w:szCs w:val="24"/>
        </w:rPr>
        <w:t>presents the</w:t>
      </w:r>
      <w:r w:rsidRPr="00D15B6A">
        <w:rPr>
          <w:rFonts w:ascii="Times New Roman" w:eastAsia="Calibri" w:hAnsi="Times New Roman" w:cs="Times New Roman"/>
          <w:sz w:val="24"/>
          <w:szCs w:val="24"/>
        </w:rPr>
        <w:t xml:space="preserve"> theoretical framework. Section </w:t>
      </w:r>
      <w:r w:rsidR="00534A3A">
        <w:rPr>
          <w:rFonts w:ascii="Times New Roman" w:eastAsia="Calibri" w:hAnsi="Times New Roman" w:cs="Times New Roman"/>
          <w:sz w:val="24"/>
          <w:szCs w:val="24"/>
        </w:rPr>
        <w:t>3</w:t>
      </w:r>
      <w:r w:rsidR="00534A3A"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reviews the literature on CG and risk</w:t>
      </w:r>
      <w:r w:rsidR="009559F9">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taking. Section </w:t>
      </w:r>
      <w:r w:rsidR="00534A3A">
        <w:rPr>
          <w:rFonts w:ascii="Times New Roman" w:eastAsia="Calibri" w:hAnsi="Times New Roman" w:cs="Times New Roman"/>
          <w:sz w:val="24"/>
          <w:szCs w:val="24"/>
        </w:rPr>
        <w:t>4</w:t>
      </w:r>
      <w:r w:rsidR="00534A3A"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outlines the research design.  Section </w:t>
      </w:r>
      <w:r w:rsidR="00534A3A">
        <w:rPr>
          <w:rFonts w:ascii="Times New Roman" w:eastAsia="Calibri" w:hAnsi="Times New Roman" w:cs="Times New Roman"/>
          <w:sz w:val="24"/>
          <w:szCs w:val="24"/>
        </w:rPr>
        <w:t>5</w:t>
      </w:r>
      <w:r w:rsidR="00534A3A"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reports and discusses the empirical results. Section </w:t>
      </w:r>
      <w:r w:rsidR="00534A3A">
        <w:rPr>
          <w:rFonts w:ascii="Times New Roman" w:eastAsia="Calibri" w:hAnsi="Times New Roman" w:cs="Times New Roman"/>
          <w:sz w:val="24"/>
          <w:szCs w:val="24"/>
        </w:rPr>
        <w:t>6</w:t>
      </w:r>
      <w:r w:rsidR="00534A3A"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concludes.</w:t>
      </w:r>
    </w:p>
    <w:p w14:paraId="03A0E869" w14:textId="77777777" w:rsidR="00316F19" w:rsidRPr="00D15B6A" w:rsidRDefault="00E574C7" w:rsidP="005578B9">
      <w:pPr>
        <w:pStyle w:val="Heading1"/>
        <w:rPr>
          <w:rFonts w:cs="Times New Roman"/>
          <w:szCs w:val="24"/>
        </w:rPr>
      </w:pPr>
      <w:r w:rsidRPr="00D15B6A">
        <w:rPr>
          <w:rFonts w:cs="Times New Roman"/>
          <w:szCs w:val="24"/>
        </w:rPr>
        <w:t>Theoretical framework</w:t>
      </w:r>
    </w:p>
    <w:p w14:paraId="4F00C362" w14:textId="0820ED70" w:rsidR="00C829B4" w:rsidRPr="00D15B6A" w:rsidRDefault="00C829B4" w:rsidP="00C829B4">
      <w:pPr>
        <w:spacing w:before="120" w:after="120" w:line="360" w:lineRule="auto"/>
        <w:ind w:firstLine="360"/>
        <w:contextualSpacing/>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CG in insurance companies differs from that </w:t>
      </w:r>
      <w:r w:rsidR="009559F9">
        <w:rPr>
          <w:rFonts w:ascii="Times New Roman" w:eastAsia="Calibri" w:hAnsi="Times New Roman" w:cs="Times New Roman"/>
          <w:sz w:val="24"/>
          <w:szCs w:val="24"/>
        </w:rPr>
        <w:t>of</w:t>
      </w:r>
      <w:r w:rsidRPr="00D15B6A">
        <w:rPr>
          <w:rFonts w:ascii="Times New Roman" w:eastAsia="Calibri" w:hAnsi="Times New Roman" w:cs="Times New Roman"/>
          <w:sz w:val="24"/>
          <w:szCs w:val="24"/>
        </w:rPr>
        <w:t xml:space="preserve"> non-financial companies because of the complexity and size of insurers, as well as the wide range of stakeholders (e.g., shareholders, customers, employees, regulators and tax authorities) </w:t>
      </w:r>
      <w:r w:rsidRPr="00D15B6A">
        <w:rPr>
          <w:rFonts w:ascii="Times New Roman" w:eastAsia="Calibri" w:hAnsi="Times New Roman" w:cs="Times New Roman"/>
          <w:sz w:val="24"/>
          <w:szCs w:val="24"/>
        </w:rPr>
        <w:fldChar w:fldCharType="begin"/>
      </w:r>
      <w:r w:rsidRPr="00D15B6A">
        <w:rPr>
          <w:rFonts w:ascii="Times New Roman" w:eastAsia="Calibri" w:hAnsi="Times New Roman" w:cs="Times New Roman"/>
          <w:sz w:val="24"/>
          <w:szCs w:val="24"/>
        </w:rPr>
        <w:instrText xml:space="preserve"> ADDIN EN.CITE &lt;EndNote&gt;&lt;Cite&gt;&lt;Author&gt;Bhimani&lt;/Author&gt;&lt;Year&gt;2009&lt;/Year&gt;&lt;RecNum&gt;43&lt;/RecNum&gt;&lt;DisplayText&gt;(Adams &amp;amp; Jiang, 2016; Bhimani, 2009)&lt;/DisplayText&gt;&lt;record&gt;&lt;rec-number&gt;43&lt;/rec-number&gt;&lt;foreign-keys&gt;&lt;key app="EN" db-id="t5v9xwx225adw1erxp8pdzxowddx2vd020f0"&gt;43&lt;/key&gt;&lt;/foreign-keys&gt;&lt;ref-type name="Journal Article"&gt;17&lt;/ref-type&gt;&lt;contributors&gt;&lt;authors&gt;&lt;author&gt;Bhimani, Alnoor&lt;/author&gt;&lt;/authors&gt;&lt;/contributors&gt;&lt;titles&gt;&lt;title&gt;Risk management, corporate governance and management accounting: Emerging interdependencies&lt;/title&gt;&lt;secondary-title&gt;Management Accounting Research&lt;/secondary-title&gt;&lt;/titles&gt;&lt;periodical&gt;&lt;full-title&gt;Management Accounting Research&lt;/full-title&gt;&lt;/periodical&gt;&lt;pages&gt;2-5&lt;/pages&gt;&lt;volume&gt;20&lt;/volume&gt;&lt;number&gt;1&lt;/number&gt;&lt;dates&gt;&lt;year&gt;2009&lt;/year&gt;&lt;/dates&gt;&lt;isbn&gt;1044-5005&lt;/isbn&gt;&lt;urls&gt;&lt;/urls&gt;&lt;/record&gt;&lt;/Cite&gt;&lt;Cite&gt;&lt;Author&gt;Adams&lt;/Author&gt;&lt;Year&gt;2016&lt;/Year&gt;&lt;RecNum&gt;18&lt;/RecNum&gt;&lt;record&gt;&lt;rec-number&gt;18&lt;/rec-number&gt;&lt;foreign-keys&gt;&lt;key app="EN" db-id="t5v9xwx225adw1erxp8pdzxowddx2vd020f0"&gt;18&lt;/key&gt;&lt;/foreign-keys&gt;&lt;ref-type name="Journal Article"&gt;17&lt;/ref-type&gt;&lt;contributors&gt;&lt;authors&gt;&lt;author&gt;Adams, Mike&lt;/author&gt;&lt;author&gt;Jiang, Wei&lt;/author&gt;&lt;/authors&gt;&lt;/contributors&gt;&lt;titles&gt;&lt;title&gt;Do outside directors influence the financial performance of risk-trading firms? Evidence from the United Kingdom (UK) insurance industry&lt;/title&gt;&lt;secondary-title&gt;Journal of Banking &amp;amp; Finance&lt;/secondary-title&gt;&lt;/titles&gt;&lt;periodical&gt;&lt;full-title&gt;Journal of Banking &amp;amp; Finance&lt;/full-title&gt;&lt;/periodical&gt;&lt;pages&gt;36-51&lt;/pages&gt;&lt;volume&gt;64&lt;/volume&gt;&lt;dates&gt;&lt;year&gt;2016&lt;/year&gt;&lt;/dates&gt;&lt;isbn&gt;0378-4266&lt;/isbn&gt;&lt;urls&gt;&lt;/urls&gt;&lt;/record&gt;&lt;/Cite&gt;&lt;/EndNote&gt;</w:instrText>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sz w:val="24"/>
          <w:szCs w:val="24"/>
        </w:rPr>
        <w:t>(</w:t>
      </w:r>
      <w:hyperlink w:anchor="_ENREF_1" w:tooltip="Adams, 2016 #18" w:history="1">
        <w:r w:rsidRPr="00D15B6A">
          <w:rPr>
            <w:rFonts w:ascii="Times New Roman" w:eastAsia="Calibri" w:hAnsi="Times New Roman" w:cs="Times New Roman"/>
            <w:sz w:val="24"/>
            <w:szCs w:val="24"/>
          </w:rPr>
          <w:t>Adams &amp; Jiang, 2016</w:t>
        </w:r>
      </w:hyperlink>
      <w:r w:rsidRPr="00D15B6A">
        <w:rPr>
          <w:rFonts w:ascii="Times New Roman" w:eastAsia="Calibri" w:hAnsi="Times New Roman" w:cs="Times New Roman"/>
          <w:sz w:val="24"/>
          <w:szCs w:val="24"/>
        </w:rPr>
        <w:t xml:space="preserve">; </w:t>
      </w:r>
      <w:hyperlink w:anchor="_ENREF_5" w:tooltip="Bhimani, 2009 #43" w:history="1">
        <w:r w:rsidRPr="00D15B6A">
          <w:rPr>
            <w:rFonts w:ascii="Times New Roman" w:eastAsia="Calibri" w:hAnsi="Times New Roman" w:cs="Times New Roman"/>
            <w:sz w:val="24"/>
            <w:szCs w:val="24"/>
          </w:rPr>
          <w:t>Bhimani, 2009</w:t>
        </w:r>
      </w:hyperlink>
      <w:r w:rsidRPr="00D15B6A">
        <w:rPr>
          <w:rFonts w:ascii="Times New Roman" w:eastAsia="Calibri" w:hAnsi="Times New Roman" w:cs="Times New Roman"/>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Additionally, it can be argued that financial authorities, the government, investors and academics </w:t>
      </w:r>
      <w:r w:rsidR="009559F9">
        <w:rPr>
          <w:rFonts w:ascii="Times New Roman" w:eastAsia="Calibri" w:hAnsi="Times New Roman" w:cs="Times New Roman"/>
          <w:sz w:val="24"/>
          <w:szCs w:val="24"/>
        </w:rPr>
        <w:t>tend to</w:t>
      </w:r>
      <w:r w:rsidRPr="00D15B6A">
        <w:rPr>
          <w:rFonts w:ascii="Times New Roman" w:eastAsia="Calibri" w:hAnsi="Times New Roman" w:cs="Times New Roman"/>
          <w:sz w:val="24"/>
          <w:szCs w:val="24"/>
        </w:rPr>
        <w:t xml:space="preserve"> worry about a firm’s performance if directors become self-interested instead of creating value for shareholders (Pass, 2008). Agency theory expects that strong CG systems have a controlling role over directors’ behaviour, particularly if the board of directors is large, and if its members assign appropriate time for the compan</w:t>
      </w:r>
      <w:r w:rsidR="007C0030">
        <w:rPr>
          <w:rFonts w:ascii="Times New Roman" w:eastAsia="Calibri" w:hAnsi="Times New Roman" w:cs="Times New Roman"/>
          <w:sz w:val="24"/>
          <w:szCs w:val="24"/>
        </w:rPr>
        <w:t xml:space="preserve">ies that they are independent directors </w:t>
      </w:r>
      <w:r w:rsidRPr="00D15B6A">
        <w:rPr>
          <w:rFonts w:ascii="Times New Roman" w:eastAsia="Calibri" w:hAnsi="Times New Roman" w:cs="Times New Roman"/>
          <w:sz w:val="24"/>
          <w:szCs w:val="24"/>
        </w:rPr>
        <w:t xml:space="preserve"> </w:t>
      </w:r>
      <w:r w:rsidR="007C0030">
        <w:rPr>
          <w:rFonts w:ascii="Times New Roman" w:eastAsia="Calibri" w:hAnsi="Times New Roman" w:cs="Times New Roman"/>
          <w:sz w:val="24"/>
          <w:szCs w:val="24"/>
        </w:rPr>
        <w:t>of</w:t>
      </w:r>
      <w:r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fldChar w:fldCharType="begin">
          <w:fldData xml:space="preserve">PEVuZE5vdGU+PENpdGU+PEF1dGhvcj5BZWJpPC9BdXRob3I+PFllYXI+MjAxMjwvWWVhcj48UmVj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</w:fldData>
        </w:fldChar>
      </w:r>
      <w:r w:rsidRPr="00D15B6A">
        <w:rPr>
          <w:rFonts w:ascii="Times New Roman" w:eastAsia="Calibri" w:hAnsi="Times New Roman" w:cs="Times New Roman"/>
          <w:sz w:val="24"/>
          <w:szCs w:val="24"/>
        </w:rPr>
        <w:instrText xml:space="preserve"> ADDIN EN.CITE </w:instrText>
      </w:r>
      <w:r w:rsidRPr="00D15B6A">
        <w:rPr>
          <w:rFonts w:ascii="Times New Roman" w:eastAsia="Calibri" w:hAnsi="Times New Roman" w:cs="Times New Roman"/>
          <w:sz w:val="24"/>
          <w:szCs w:val="24"/>
        </w:rPr>
        <w:fldChar w:fldCharType="begin">
          <w:fldData xml:space="preserve">PEVuZE5vdGU+PENpdGU+PEF1dGhvcj5BZWJpPC9BdXRob3I+PFllYXI+MjAxMjwvWWVhcj48UmVj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</w:fldData>
        </w:fldChar>
      </w:r>
      <w:r w:rsidRPr="00D15B6A">
        <w:rPr>
          <w:rFonts w:ascii="Times New Roman" w:eastAsia="Calibri" w:hAnsi="Times New Roman" w:cs="Times New Roman"/>
          <w:sz w:val="24"/>
          <w:szCs w:val="24"/>
        </w:rPr>
        <w:instrText xml:space="preserve"> ADDIN EN.CITE.DATA </w:instrText>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sz w:val="24"/>
          <w:szCs w:val="24"/>
        </w:rPr>
        <w:t>(</w:t>
      </w:r>
      <w:hyperlink w:anchor="_ENREF_1" w:tooltip="Adams, 2016 #18" w:history="1">
        <w:r w:rsidRPr="00D15B6A">
          <w:rPr>
            <w:rFonts w:ascii="Times New Roman" w:eastAsia="Calibri" w:hAnsi="Times New Roman" w:cs="Times New Roman"/>
            <w:sz w:val="24"/>
            <w:szCs w:val="24"/>
          </w:rPr>
          <w:t>Adams &amp; Jiang, 2016</w:t>
        </w:r>
      </w:hyperlink>
      <w:r w:rsidRPr="00D15B6A">
        <w:rPr>
          <w:rFonts w:ascii="Times New Roman" w:eastAsia="Calibri" w:hAnsi="Times New Roman" w:cs="Times New Roman"/>
          <w:sz w:val="24"/>
          <w:szCs w:val="24"/>
        </w:rPr>
        <w:t xml:space="preserve">; </w:t>
      </w:r>
      <w:hyperlink w:anchor="_ENREF_7" w:tooltip="Boubakri, 2011 #17" w:history="1">
        <w:r w:rsidRPr="00D15B6A">
          <w:rPr>
            <w:rFonts w:ascii="Times New Roman" w:eastAsia="Calibri" w:hAnsi="Times New Roman" w:cs="Times New Roman"/>
            <w:sz w:val="24"/>
            <w:szCs w:val="24"/>
          </w:rPr>
          <w:t>Boubakri, 2011</w:t>
        </w:r>
      </w:hyperlink>
      <w:r w:rsidRPr="00D15B6A">
        <w:rPr>
          <w:rFonts w:ascii="Times New Roman" w:eastAsia="Calibri" w:hAnsi="Times New Roman" w:cs="Times New Roman"/>
          <w:sz w:val="24"/>
          <w:szCs w:val="24"/>
        </w:rPr>
        <w:t xml:space="preserve">; </w:t>
      </w:r>
      <w:hyperlink w:anchor="_ENREF_30" w:tooltip="Fama, 1985 #51" w:history="1">
        <w:r w:rsidRPr="00D15B6A">
          <w:rPr>
            <w:rFonts w:ascii="Times New Roman" w:eastAsia="Calibri" w:hAnsi="Times New Roman" w:cs="Times New Roman"/>
            <w:sz w:val="24"/>
            <w:szCs w:val="24"/>
          </w:rPr>
          <w:t>Fama &amp; Jensen, 1985</w:t>
        </w:r>
      </w:hyperlink>
      <w:r w:rsidRPr="00D15B6A">
        <w:rPr>
          <w:rFonts w:ascii="Times New Roman" w:eastAsia="Calibri" w:hAnsi="Times New Roman" w:cs="Times New Roman"/>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Agency theory suggests that strong CG mechanisms offer regular controls that ensure dependable and true performance; </w:t>
      </w:r>
      <w:r w:rsidR="007C0030">
        <w:rPr>
          <w:rFonts w:ascii="Times New Roman" w:eastAsia="Calibri" w:hAnsi="Times New Roman" w:cs="Times New Roman"/>
          <w:sz w:val="24"/>
          <w:szCs w:val="24"/>
        </w:rPr>
        <w:t xml:space="preserve">and </w:t>
      </w:r>
      <w:r w:rsidRPr="00D15B6A">
        <w:rPr>
          <w:rFonts w:ascii="Times New Roman" w:eastAsia="Calibri" w:hAnsi="Times New Roman" w:cs="Times New Roman"/>
          <w:sz w:val="24"/>
          <w:szCs w:val="24"/>
        </w:rPr>
        <w:t xml:space="preserve">therefore, strong CG systems can increase value to agents by periodically confirming and appraising insurance companies’ management plans and strategies </w:t>
      </w:r>
      <w:r w:rsidRPr="00D15B6A">
        <w:rPr>
          <w:rFonts w:ascii="Times New Roman" w:eastAsia="Calibri" w:hAnsi="Times New Roman" w:cs="Times New Roman"/>
          <w:sz w:val="24"/>
          <w:szCs w:val="24"/>
        </w:rPr>
        <w:fldChar w:fldCharType="begin">
          <w:fldData xml:space="preserve">PEVuZE5vdGU+PENpdGU+PEF1dGhvcj5CaGltYW5pPC9BdXRob3I+PFllYXI+MjAwOTwvWWVhcj48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</w:fldData>
        </w:fldChar>
      </w:r>
      <w:r w:rsidRPr="00D15B6A">
        <w:rPr>
          <w:rFonts w:ascii="Times New Roman" w:eastAsia="Calibri" w:hAnsi="Times New Roman" w:cs="Times New Roman"/>
          <w:sz w:val="24"/>
          <w:szCs w:val="24"/>
        </w:rPr>
        <w:instrText xml:space="preserve"> ADDIN EN.CITE </w:instrText>
      </w:r>
      <w:r w:rsidRPr="00D15B6A">
        <w:rPr>
          <w:rFonts w:ascii="Times New Roman" w:eastAsia="Calibri" w:hAnsi="Times New Roman" w:cs="Times New Roman"/>
          <w:sz w:val="24"/>
          <w:szCs w:val="24"/>
        </w:rPr>
        <w:fldChar w:fldCharType="begin">
          <w:fldData xml:space="preserve">PEVuZE5vdGU+PENpdGU+PEF1dGhvcj5CaGltYW5pPC9BdXRob3I+PFllYXI+MjAwOTwvWWVhcj48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</w:fldData>
        </w:fldChar>
      </w:r>
      <w:r w:rsidRPr="00D15B6A">
        <w:rPr>
          <w:rFonts w:ascii="Times New Roman" w:eastAsia="Calibri" w:hAnsi="Times New Roman" w:cs="Times New Roman"/>
          <w:sz w:val="24"/>
          <w:szCs w:val="24"/>
        </w:rPr>
        <w:instrText xml:space="preserve"> ADDIN EN.CITE.DATA </w:instrText>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sz w:val="24"/>
          <w:szCs w:val="24"/>
        </w:rPr>
        <w:t>(</w:t>
      </w:r>
      <w:hyperlink w:anchor="_ENREF_5" w:tooltip="Bhimani, 2009 #43" w:history="1">
        <w:r w:rsidRPr="00D15B6A">
          <w:rPr>
            <w:rFonts w:ascii="Times New Roman" w:eastAsia="Calibri" w:hAnsi="Times New Roman" w:cs="Times New Roman"/>
            <w:sz w:val="24"/>
            <w:szCs w:val="24"/>
          </w:rPr>
          <w:t>Bhimani, 2009</w:t>
        </w:r>
      </w:hyperlink>
      <w:r w:rsidRPr="00D15B6A">
        <w:rPr>
          <w:rFonts w:ascii="Times New Roman" w:eastAsia="Calibri" w:hAnsi="Times New Roman" w:cs="Times New Roman"/>
          <w:sz w:val="24"/>
          <w:szCs w:val="24"/>
        </w:rPr>
        <w:t xml:space="preserve">; </w:t>
      </w:r>
      <w:hyperlink w:anchor="_ENREF_40" w:tooltip="Jensen, 1976 #50" w:history="1">
        <w:r w:rsidRPr="00D15B6A">
          <w:rPr>
            <w:rFonts w:ascii="Times New Roman" w:eastAsia="Calibri" w:hAnsi="Times New Roman" w:cs="Times New Roman"/>
            <w:sz w:val="24"/>
            <w:szCs w:val="24"/>
          </w:rPr>
          <w:t>Jensen &amp; Meckling, 1976</w:t>
        </w:r>
      </w:hyperlink>
      <w:r w:rsidRPr="00D15B6A">
        <w:rPr>
          <w:rFonts w:ascii="Times New Roman" w:eastAsia="Calibri" w:hAnsi="Times New Roman" w:cs="Times New Roman"/>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To decrease unprincipled managerial performance and diminish agency charges, agency theory suggests that a large board of directors, appropriate time for control, the presence of independent members and the existence of an audit committee can all enhance the monitoring and, consequently, performance of a firm and contribute to stockholder wealth </w:t>
      </w:r>
      <w:r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Y051bT4xODwvUmVjTnVtPjxEaXNwbGF5VGV4dD4oQWRhbXMgJmFtcDsgSmlhbmcsIDIwMTY7IEhh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</w:fldData>
        </w:fldChar>
      </w:r>
      <w:r w:rsidRPr="00D15B6A">
        <w:rPr>
          <w:rFonts w:ascii="Times New Roman" w:eastAsia="Calibri" w:hAnsi="Times New Roman" w:cs="Times New Roman"/>
          <w:sz w:val="24"/>
          <w:szCs w:val="24"/>
        </w:rPr>
        <w:instrText xml:space="preserve"> ADDIN EN.CITE </w:instrText>
      </w:r>
      <w:r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Y051bT4xODwvUmVjTnVtPjxEaXNwbGF5VGV4dD4oQWRhbXMgJmFtcDsgSmlhbmcsIDIwMTY7IEhh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</w:fldData>
        </w:fldChar>
      </w:r>
      <w:r w:rsidRPr="00D15B6A">
        <w:rPr>
          <w:rFonts w:ascii="Times New Roman" w:eastAsia="Calibri" w:hAnsi="Times New Roman" w:cs="Times New Roman"/>
          <w:sz w:val="24"/>
          <w:szCs w:val="24"/>
        </w:rPr>
        <w:instrText xml:space="preserve"> ADDIN EN.CITE.DATA </w:instrText>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sz w:val="24"/>
          <w:szCs w:val="24"/>
        </w:rPr>
        <w:t>(</w:t>
      </w:r>
      <w:hyperlink w:anchor="_ENREF_1" w:tooltip="Adams, 2016 #18" w:history="1">
        <w:r w:rsidRPr="00D15B6A">
          <w:rPr>
            <w:rFonts w:ascii="Times New Roman" w:eastAsia="Calibri" w:hAnsi="Times New Roman" w:cs="Times New Roman"/>
            <w:sz w:val="24"/>
            <w:szCs w:val="24"/>
          </w:rPr>
          <w:t>Adams &amp; Jiang, 2016</w:t>
        </w:r>
      </w:hyperlink>
      <w:r w:rsidRPr="00D15B6A">
        <w:rPr>
          <w:rFonts w:ascii="Times New Roman" w:eastAsia="Calibri" w:hAnsi="Times New Roman" w:cs="Times New Roman"/>
          <w:sz w:val="24"/>
          <w:szCs w:val="24"/>
        </w:rPr>
        <w:t xml:space="preserve">; </w:t>
      </w:r>
      <w:hyperlink w:anchor="_ENREF_34" w:tooltip="Hardwick, 2011 #5" w:history="1">
        <w:r w:rsidRPr="00D15B6A">
          <w:rPr>
            <w:rFonts w:ascii="Times New Roman" w:eastAsia="Calibri" w:hAnsi="Times New Roman" w:cs="Times New Roman"/>
            <w:sz w:val="24"/>
            <w:szCs w:val="24"/>
          </w:rPr>
          <w:t>Hardwick et al., 2011</w:t>
        </w:r>
      </w:hyperlink>
      <w:r w:rsidRPr="00D15B6A">
        <w:rPr>
          <w:rFonts w:ascii="Times New Roman" w:eastAsia="Calibri" w:hAnsi="Times New Roman" w:cs="Times New Roman"/>
          <w:sz w:val="24"/>
          <w:szCs w:val="24"/>
        </w:rPr>
        <w:t xml:space="preserve">; </w:t>
      </w:r>
      <w:hyperlink w:anchor="_ENREF_36" w:tooltip="Hines, 2015 #47" w:history="1">
        <w:r w:rsidRPr="00D15B6A">
          <w:rPr>
            <w:rFonts w:ascii="Times New Roman" w:eastAsia="Calibri" w:hAnsi="Times New Roman" w:cs="Times New Roman"/>
            <w:sz w:val="24"/>
            <w:szCs w:val="24"/>
          </w:rPr>
          <w:t>Hines et al., 2015</w:t>
        </w:r>
      </w:hyperlink>
      <w:r w:rsidRPr="00D15B6A">
        <w:rPr>
          <w:rFonts w:ascii="Times New Roman" w:eastAsia="Calibri" w:hAnsi="Times New Roman" w:cs="Times New Roman"/>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Eisenhardt (1989) argues that managers have different interests and goals compared to shareholders with regard to profit maximization. Even if their goals are not different, managers and shareholders may have differing opportunistic behaviour. As a result, with the aim of protecting shareholders’ interests, it is necessary for an appropriate and a suitable CG structure to be recognised (Haniffa &amp; Hudaib, 2006).</w:t>
      </w:r>
    </w:p>
    <w:p w14:paraId="6B546C21" w14:textId="31F33179" w:rsidR="00476369" w:rsidRPr="00D15B6A" w:rsidRDefault="00C829B4" w:rsidP="00EE7FBF">
      <w:pPr>
        <w:spacing w:before="120" w:after="120" w:line="360" w:lineRule="auto"/>
        <w:ind w:firstLine="360"/>
        <w:contextualSpacing/>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The purpose of CG mechanisms, therefore, is to moderate agency problems and confirm that managers’ performance is in line with shareholders’ interests (e.g., </w:t>
      </w:r>
      <w:r w:rsidR="00525B27" w:rsidRPr="00525B27">
        <w:rPr>
          <w:rFonts w:ascii="Times New Roman" w:eastAsia="Calibri" w:hAnsi="Times New Roman" w:cs="Times New Roman"/>
          <w:sz w:val="24"/>
          <w:szCs w:val="24"/>
        </w:rPr>
        <w:t xml:space="preserve">Nahar </w:t>
      </w:r>
      <w:r w:rsidR="00525B27">
        <w:rPr>
          <w:rFonts w:ascii="Times New Roman" w:eastAsia="Calibri" w:hAnsi="Times New Roman" w:cs="Times New Roman"/>
          <w:sz w:val="24"/>
          <w:szCs w:val="24"/>
        </w:rPr>
        <w:t xml:space="preserve">et al., 2016; </w:t>
      </w:r>
      <w:r w:rsidR="007E72CE">
        <w:rPr>
          <w:rFonts w:ascii="Times New Roman" w:eastAsia="Calibri" w:hAnsi="Times New Roman" w:cs="Times New Roman"/>
          <w:sz w:val="24"/>
          <w:szCs w:val="24"/>
        </w:rPr>
        <w:t xml:space="preserve">Rashid &amp; Islam, </w:t>
      </w:r>
      <w:r w:rsidR="007E72CE" w:rsidRPr="007E72CE">
        <w:rPr>
          <w:rFonts w:ascii="Times New Roman" w:eastAsia="Calibri" w:hAnsi="Times New Roman" w:cs="Times New Roman"/>
          <w:sz w:val="24"/>
          <w:szCs w:val="24"/>
        </w:rPr>
        <w:t>2014</w:t>
      </w:r>
      <w:r w:rsidRPr="00D15B6A">
        <w:rPr>
          <w:rFonts w:ascii="Times New Roman" w:eastAsia="Calibri" w:hAnsi="Times New Roman" w:cs="Times New Roman"/>
          <w:sz w:val="24"/>
          <w:szCs w:val="24"/>
        </w:rPr>
        <w:t xml:space="preserve">). The Cadbury Code in the UK recommends a set of significant methods for bringing the actions of managers into line with shareholders’ interests. These include, for example, improving the responsibility and transparency of companies. The active construction of CG codes for the UK was designed to support the involvement of non-executive directors and encourage audit committees to embrace their </w:t>
      </w:r>
      <w:r w:rsidR="00080D9B">
        <w:rPr>
          <w:rFonts w:ascii="Times New Roman" w:eastAsia="Calibri" w:hAnsi="Times New Roman" w:cs="Times New Roman"/>
          <w:sz w:val="24"/>
          <w:szCs w:val="24"/>
        </w:rPr>
        <w:t>responsibilities</w:t>
      </w:r>
      <w:r w:rsidR="00080D9B"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because of their outside knowledge and skills (Fama &amp; Jensen, 1983).  Similarly, agency theory argues that the board of directors has a monitoring function; it is able to provide active observation of executive directors and to launch strategies which will accordingly be capable of benefitting the shareholders. Therefore, a board is regarded as a key tool which can indicate the success of a firm. Hence, CG best practices are organised to safeguard the boards’ actions and tasks from any unregulated influence, and to consequently decrease agency costs associated with these tasks by reducing information asymmetry (Spira &amp; Page, 2003).</w:t>
      </w:r>
    </w:p>
    <w:p w14:paraId="20C50C8D" w14:textId="77777777" w:rsidR="0047742B" w:rsidRPr="00D15B6A" w:rsidRDefault="00E574C7" w:rsidP="005578B9">
      <w:pPr>
        <w:pStyle w:val="Heading1"/>
        <w:rPr>
          <w:rFonts w:cs="Times New Roman"/>
          <w:szCs w:val="24"/>
        </w:rPr>
      </w:pPr>
      <w:r w:rsidRPr="00D15B6A">
        <w:rPr>
          <w:rFonts w:cs="Times New Roman"/>
          <w:szCs w:val="24"/>
        </w:rPr>
        <w:t>Empirical literature and hypotheses development</w:t>
      </w:r>
    </w:p>
    <w:p w14:paraId="427F39B1" w14:textId="6FC0405E" w:rsidR="00C829B4" w:rsidRPr="00D15B6A" w:rsidRDefault="00C829B4">
      <w:pPr>
        <w:spacing w:line="360" w:lineRule="auto"/>
        <w:ind w:firstLine="576"/>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Regardless of the </w:t>
      </w:r>
      <w:r w:rsidR="00080D9B">
        <w:rPr>
          <w:rFonts w:ascii="Times New Roman" w:eastAsia="Calibri" w:hAnsi="Times New Roman" w:cs="Times New Roman"/>
          <w:sz w:val="24"/>
          <w:szCs w:val="24"/>
        </w:rPr>
        <w:t>large</w:t>
      </w:r>
      <w:r w:rsidR="00080D9B"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number of previous studies on various aspects of CG, evidence about the connection between CG and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 xml:space="preserve">is rare. In the next sections, this study will evaluate the previous empirical and theoretical literature regarding relationship between CG </w:t>
      </w:r>
      <w:r w:rsidR="00080D9B">
        <w:rPr>
          <w:rFonts w:ascii="Times New Roman" w:eastAsia="Calibri" w:hAnsi="Times New Roman" w:cs="Times New Roman"/>
          <w:sz w:val="24"/>
          <w:szCs w:val="24"/>
        </w:rPr>
        <w:t xml:space="preserve">structures </w:t>
      </w:r>
      <w:r w:rsidRPr="00D15B6A">
        <w:rPr>
          <w:rFonts w:ascii="Times New Roman" w:eastAsia="Calibri" w:hAnsi="Times New Roman" w:cs="Times New Roman"/>
          <w:sz w:val="24"/>
          <w:szCs w:val="24"/>
        </w:rPr>
        <w:t xml:space="preserve">and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 xml:space="preserve">in order to clarify the gap in knowledge regarding this connection and develop </w:t>
      </w:r>
      <w:r w:rsidR="00080D9B">
        <w:rPr>
          <w:rFonts w:ascii="Times New Roman" w:eastAsia="Calibri" w:hAnsi="Times New Roman" w:cs="Times New Roman"/>
          <w:sz w:val="24"/>
          <w:szCs w:val="24"/>
        </w:rPr>
        <w:t xml:space="preserve">a number of </w:t>
      </w:r>
      <w:r w:rsidRPr="00D15B6A">
        <w:rPr>
          <w:rFonts w:ascii="Times New Roman" w:eastAsia="Calibri" w:hAnsi="Times New Roman" w:cs="Times New Roman"/>
          <w:sz w:val="24"/>
          <w:szCs w:val="24"/>
        </w:rPr>
        <w:t>hypotheses.</w:t>
      </w:r>
    </w:p>
    <w:p w14:paraId="25D5052F" w14:textId="44A77F53" w:rsidR="00C829B4" w:rsidRPr="00424B88" w:rsidRDefault="00C829B4" w:rsidP="00C46E13">
      <w:pPr>
        <w:pStyle w:val="ListParagraph"/>
        <w:keepNext/>
        <w:keepLines/>
        <w:numPr>
          <w:ilvl w:val="1"/>
          <w:numId w:val="27"/>
        </w:numPr>
        <w:spacing w:before="160" w:after="120" w:line="240" w:lineRule="auto"/>
        <w:jc w:val="both"/>
        <w:outlineLvl w:val="2"/>
        <w:rPr>
          <w:rFonts w:ascii="Times New Roman" w:eastAsia="Times New Roman" w:hAnsi="Times New Roman" w:cs="Times New Roman"/>
          <w:b/>
          <w:i/>
          <w:sz w:val="24"/>
          <w:szCs w:val="24"/>
        </w:rPr>
      </w:pPr>
      <w:bookmarkStart w:id="1" w:name="_Toc459125845"/>
      <w:bookmarkStart w:id="2" w:name="_Toc459936858"/>
      <w:bookmarkStart w:id="3" w:name="_Toc459937733"/>
      <w:r w:rsidRPr="00424B88">
        <w:rPr>
          <w:rFonts w:ascii="Times New Roman" w:eastAsia="Times New Roman" w:hAnsi="Times New Roman" w:cs="Times New Roman"/>
          <w:b/>
          <w:i/>
          <w:sz w:val="24"/>
          <w:szCs w:val="24"/>
        </w:rPr>
        <w:t xml:space="preserve">Board </w:t>
      </w:r>
      <w:r w:rsidR="00E574C7" w:rsidRPr="00424B88">
        <w:rPr>
          <w:rFonts w:ascii="Times New Roman" w:eastAsia="Times New Roman" w:hAnsi="Times New Roman" w:cs="Times New Roman"/>
          <w:b/>
          <w:i/>
          <w:sz w:val="24"/>
          <w:szCs w:val="24"/>
        </w:rPr>
        <w:t xml:space="preserve">size and </w:t>
      </w:r>
      <w:bookmarkEnd w:id="1"/>
      <w:bookmarkEnd w:id="2"/>
      <w:bookmarkEnd w:id="3"/>
      <w:r w:rsidR="00E574C7" w:rsidRPr="00424B88">
        <w:rPr>
          <w:rFonts w:ascii="Times New Roman" w:eastAsia="Times New Roman" w:hAnsi="Times New Roman" w:cs="Times New Roman"/>
          <w:b/>
          <w:i/>
          <w:sz w:val="24"/>
          <w:szCs w:val="24"/>
        </w:rPr>
        <w:t>risk</w:t>
      </w:r>
      <w:r w:rsidR="00A76AC5">
        <w:rPr>
          <w:rFonts w:ascii="Times New Roman" w:eastAsia="Times New Roman" w:hAnsi="Times New Roman" w:cs="Times New Roman"/>
          <w:b/>
          <w:i/>
          <w:sz w:val="24"/>
          <w:szCs w:val="24"/>
        </w:rPr>
        <w:t>-</w:t>
      </w:r>
      <w:r w:rsidR="00E574C7" w:rsidRPr="00424B88">
        <w:rPr>
          <w:rFonts w:ascii="Times New Roman" w:eastAsia="Times New Roman" w:hAnsi="Times New Roman" w:cs="Times New Roman"/>
          <w:b/>
          <w:i/>
          <w:sz w:val="24"/>
          <w:szCs w:val="24"/>
        </w:rPr>
        <w:t>taking</w:t>
      </w:r>
    </w:p>
    <w:p w14:paraId="7834934B" w14:textId="2F1C8901" w:rsidR="00C829B4" w:rsidRPr="00D15B6A" w:rsidRDefault="005A299F" w:rsidP="00534A3A">
      <w:pPr>
        <w:spacing w:line="360" w:lineRule="auto"/>
        <w:ind w:firstLine="360"/>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B</w:t>
      </w:r>
      <w:r w:rsidR="00C829B4" w:rsidRPr="00D15B6A">
        <w:rPr>
          <w:rFonts w:ascii="Times New Roman" w:eastAsia="Calibri" w:hAnsi="Times New Roman" w:cs="Times New Roman"/>
          <w:sz w:val="24"/>
          <w:szCs w:val="24"/>
        </w:rPr>
        <w:t>oard size plays a ma</w:t>
      </w:r>
      <w:r w:rsidR="00EC67F0">
        <w:rPr>
          <w:rFonts w:ascii="Times New Roman" w:eastAsia="Calibri" w:hAnsi="Times New Roman" w:cs="Times New Roman"/>
          <w:sz w:val="24"/>
          <w:szCs w:val="24"/>
        </w:rPr>
        <w:t>jor</w:t>
      </w:r>
      <w:r w:rsidR="00C829B4" w:rsidRPr="00D15B6A">
        <w:rPr>
          <w:rFonts w:ascii="Times New Roman" w:eastAsia="Calibri" w:hAnsi="Times New Roman" w:cs="Times New Roman"/>
          <w:sz w:val="24"/>
          <w:szCs w:val="24"/>
        </w:rPr>
        <w:t xml:space="preserve"> role in the relationship between CG and </w:t>
      </w:r>
      <w:r w:rsidR="007C76F0">
        <w:rPr>
          <w:rFonts w:ascii="Times New Roman" w:eastAsia="Calibri" w:hAnsi="Times New Roman" w:cs="Times New Roman"/>
          <w:sz w:val="24"/>
          <w:szCs w:val="24"/>
        </w:rPr>
        <w:t xml:space="preserve">risk-taking </w:t>
      </w:r>
      <w:r w:rsidR="00C829B4" w:rsidRPr="00D15B6A">
        <w:rPr>
          <w:rFonts w:ascii="Times New Roman" w:eastAsia="Calibri" w:hAnsi="Times New Roman" w:cs="Times New Roman"/>
          <w:sz w:val="24"/>
          <w:szCs w:val="24"/>
        </w:rPr>
        <w:fldChar w:fldCharType="begin">
          <w:fldData xml:space="preserve">PEVuZE5vdGU+PENpdGU+PEF1dGhvcj5Lcml2b2dvcnNreTwvQXV0aG9yPjxZZWFyPjIwMDY8L1ll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</w:fldData>
        </w:fldChar>
      </w:r>
      <w:r w:rsidR="00C829B4" w:rsidRPr="00D15B6A">
        <w:rPr>
          <w:rFonts w:ascii="Times New Roman" w:eastAsia="Calibri" w:hAnsi="Times New Roman" w:cs="Times New Roman"/>
          <w:sz w:val="24"/>
          <w:szCs w:val="24"/>
        </w:rPr>
        <w:instrText xml:space="preserve"> ADDIN EN.CITE </w:instrText>
      </w:r>
      <w:r w:rsidR="00C829B4" w:rsidRPr="00D15B6A">
        <w:rPr>
          <w:rFonts w:ascii="Times New Roman" w:eastAsia="Calibri" w:hAnsi="Times New Roman" w:cs="Times New Roman"/>
          <w:sz w:val="24"/>
          <w:szCs w:val="24"/>
        </w:rPr>
        <w:fldChar w:fldCharType="begin">
          <w:fldData xml:space="preserve">PEVuZE5vdGU+PENpdGU+PEF1dGhvcj5Lcml2b2dvcnNreTwvQXV0aG9yPjxZZWFyPjIwMDY8L1ll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</w:fldData>
        </w:fldChar>
      </w:r>
      <w:r w:rsidR="00C829B4" w:rsidRPr="00D15B6A">
        <w:rPr>
          <w:rFonts w:ascii="Times New Roman" w:eastAsia="Calibri" w:hAnsi="Times New Roman" w:cs="Times New Roman"/>
          <w:sz w:val="24"/>
          <w:szCs w:val="24"/>
        </w:rPr>
        <w:instrText xml:space="preserve"> ADDIN EN.CITE.DATA </w:instrText>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separate"/>
      </w:r>
      <w:r w:rsidR="00C829B4" w:rsidRPr="00D15B6A">
        <w:rPr>
          <w:rFonts w:ascii="Times New Roman" w:eastAsia="Calibri" w:hAnsi="Times New Roman" w:cs="Times New Roman"/>
          <w:noProof/>
          <w:sz w:val="24"/>
          <w:szCs w:val="24"/>
        </w:rPr>
        <w:t>(</w:t>
      </w:r>
      <w:hyperlink w:anchor="_ENREF_1" w:tooltip="Adams, 2016 #18" w:history="1">
        <w:r w:rsidR="00C829B4" w:rsidRPr="00D15B6A">
          <w:rPr>
            <w:rFonts w:ascii="Times New Roman" w:eastAsia="Calibri" w:hAnsi="Times New Roman" w:cs="Times New Roman"/>
            <w:noProof/>
            <w:sz w:val="24"/>
            <w:szCs w:val="24"/>
          </w:rPr>
          <w:t>Adams &amp; Jiang, 2016</w:t>
        </w:r>
      </w:hyperlink>
      <w:r w:rsidR="00C829B4" w:rsidRPr="00D15B6A">
        <w:rPr>
          <w:rFonts w:ascii="Times New Roman" w:eastAsia="Calibri" w:hAnsi="Times New Roman" w:cs="Times New Roman"/>
          <w:noProof/>
          <w:sz w:val="24"/>
          <w:szCs w:val="24"/>
        </w:rPr>
        <w:t xml:space="preserve">; </w:t>
      </w:r>
      <w:r w:rsidR="00E56C41" w:rsidRPr="00E56C41">
        <w:rPr>
          <w:rFonts w:ascii="Times New Roman" w:eastAsia="Calibri" w:hAnsi="Times New Roman" w:cs="Times New Roman"/>
          <w:noProof/>
          <w:sz w:val="24"/>
          <w:szCs w:val="24"/>
        </w:rPr>
        <w:t>Bozec</w:t>
      </w:r>
      <w:r w:rsidR="00E56C41">
        <w:rPr>
          <w:rFonts w:ascii="Times New Roman" w:eastAsia="Calibri" w:hAnsi="Times New Roman" w:cs="Times New Roman"/>
          <w:noProof/>
          <w:sz w:val="24"/>
          <w:szCs w:val="24"/>
        </w:rPr>
        <w:t xml:space="preserve"> &amp;</w:t>
      </w:r>
      <w:r w:rsidR="00E56C41" w:rsidRPr="00E56C41">
        <w:rPr>
          <w:rFonts w:ascii="Times New Roman" w:eastAsia="Calibri" w:hAnsi="Times New Roman" w:cs="Times New Roman"/>
          <w:noProof/>
          <w:sz w:val="24"/>
          <w:szCs w:val="24"/>
        </w:rPr>
        <w:t xml:space="preserve"> Dia, 2017</w:t>
      </w:r>
      <w:r w:rsidR="00C829B4" w:rsidRPr="00D15B6A">
        <w:rPr>
          <w:rFonts w:ascii="Times New Roman" w:eastAsia="Calibri" w:hAnsi="Times New Roman" w:cs="Times New Roman"/>
          <w:noProof/>
          <w:sz w:val="24"/>
          <w:szCs w:val="24"/>
        </w:rPr>
        <w:t>)</w:t>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fldChar w:fldCharType="begin">
          <w:fldData xml:space="preserve">PEVuZE5vdGU+PENpdGUgQXV0aG9yWWVhcj0iMSI+PEF1dGhvcj5KZW5zZW48L0F1dGhvcj48WWVh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</w:fldData>
        </w:fldChar>
      </w:r>
      <w:r w:rsidR="00C829B4" w:rsidRPr="00D15B6A">
        <w:rPr>
          <w:rFonts w:ascii="Times New Roman" w:eastAsia="Calibri" w:hAnsi="Times New Roman" w:cs="Times New Roman"/>
          <w:sz w:val="24"/>
          <w:szCs w:val="24"/>
        </w:rPr>
        <w:instrText xml:space="preserve"> ADDIN EN.CITE </w:instrText>
      </w:r>
      <w:r w:rsidR="00C829B4" w:rsidRPr="00D15B6A">
        <w:rPr>
          <w:rFonts w:ascii="Times New Roman" w:eastAsia="Calibri" w:hAnsi="Times New Roman" w:cs="Times New Roman"/>
          <w:sz w:val="24"/>
          <w:szCs w:val="24"/>
        </w:rPr>
        <w:fldChar w:fldCharType="begin">
          <w:fldData xml:space="preserve">PEVuZE5vdGU+PENpdGUgQXV0aG9yWWVhcj0iMSI+PEF1dGhvcj5KZW5zZW48L0F1dGhvcj48WWVh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</w:fldData>
        </w:fldChar>
      </w:r>
      <w:r w:rsidR="00C829B4" w:rsidRPr="00D15B6A">
        <w:rPr>
          <w:rFonts w:ascii="Times New Roman" w:eastAsia="Calibri" w:hAnsi="Times New Roman" w:cs="Times New Roman"/>
          <w:sz w:val="24"/>
          <w:szCs w:val="24"/>
        </w:rPr>
        <w:instrText xml:space="preserve"> ADDIN EN.CITE.DATA </w:instrText>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separate"/>
      </w:r>
      <w:hyperlink w:anchor="_ENREF_1" w:tooltip="Adams, 2016 #18" w:history="1">
        <w:r w:rsidR="00C829B4" w:rsidRPr="00D15B6A">
          <w:rPr>
            <w:rFonts w:ascii="Times New Roman" w:eastAsia="Calibri" w:hAnsi="Times New Roman" w:cs="Times New Roman"/>
            <w:noProof/>
            <w:sz w:val="24"/>
            <w:szCs w:val="24"/>
          </w:rPr>
          <w:t>Adams and Jiang (2016)</w:t>
        </w:r>
      </w:hyperlink>
      <w:r w:rsidR="00C829B4" w:rsidRPr="00D15B6A">
        <w:rPr>
          <w:rFonts w:ascii="Times New Roman" w:eastAsia="Calibri" w:hAnsi="Times New Roman" w:cs="Times New Roman"/>
          <w:noProof/>
          <w:sz w:val="24"/>
          <w:szCs w:val="24"/>
        </w:rPr>
        <w:t xml:space="preserve"> </w:t>
      </w:r>
      <w:r w:rsidR="00C829B4" w:rsidRPr="00D15B6A">
        <w:rPr>
          <w:rFonts w:ascii="Times New Roman" w:eastAsia="Calibri" w:hAnsi="Times New Roman" w:cs="Times New Roman"/>
          <w:sz w:val="24"/>
          <w:szCs w:val="24"/>
        </w:rPr>
        <w:fldChar w:fldCharType="end"/>
      </w:r>
      <w:r w:rsidR="00DF2F94">
        <w:rPr>
          <w:rFonts w:ascii="Times New Roman" w:eastAsia="Calibri" w:hAnsi="Times New Roman" w:cs="Times New Roman"/>
          <w:sz w:val="24"/>
          <w:szCs w:val="24"/>
        </w:rPr>
        <w:t>argue</w:t>
      </w:r>
      <w:r w:rsidR="00C46E13">
        <w:rPr>
          <w:rFonts w:ascii="Times New Roman" w:eastAsia="Calibri" w:hAnsi="Times New Roman" w:cs="Times New Roman"/>
          <w:sz w:val="24"/>
          <w:szCs w:val="24"/>
        </w:rPr>
        <w:t xml:space="preserve"> that </w:t>
      </w:r>
      <w:r w:rsidR="00EC67F0">
        <w:rPr>
          <w:rFonts w:ascii="Times New Roman" w:eastAsia="Calibri" w:hAnsi="Times New Roman" w:cs="Times New Roman"/>
          <w:sz w:val="24"/>
          <w:szCs w:val="24"/>
        </w:rPr>
        <w:t xml:space="preserve">having a </w:t>
      </w:r>
      <w:r w:rsidR="00C829B4" w:rsidRPr="00D15B6A">
        <w:rPr>
          <w:rFonts w:ascii="Times New Roman" w:eastAsia="Calibri" w:hAnsi="Times New Roman" w:cs="Times New Roman"/>
          <w:sz w:val="24"/>
          <w:szCs w:val="24"/>
        </w:rPr>
        <w:t>strong</w:t>
      </w:r>
      <w:r w:rsidR="00EC67F0">
        <w:rPr>
          <w:rFonts w:ascii="Times New Roman" w:eastAsia="Calibri" w:hAnsi="Times New Roman" w:cs="Times New Roman"/>
          <w:sz w:val="24"/>
          <w:szCs w:val="24"/>
        </w:rPr>
        <w:t>er</w:t>
      </w:r>
      <w:r w:rsidR="00C829B4" w:rsidRPr="00D15B6A">
        <w:rPr>
          <w:rFonts w:ascii="Times New Roman" w:eastAsia="Calibri" w:hAnsi="Times New Roman" w:cs="Times New Roman"/>
          <w:sz w:val="24"/>
          <w:szCs w:val="24"/>
        </w:rPr>
        <w:t xml:space="preserve"> board of directors can have a </w:t>
      </w:r>
      <w:r w:rsidR="00EC67F0">
        <w:rPr>
          <w:rFonts w:ascii="Times New Roman" w:eastAsia="Calibri" w:hAnsi="Times New Roman" w:cs="Times New Roman"/>
          <w:sz w:val="24"/>
          <w:szCs w:val="24"/>
        </w:rPr>
        <w:t>moderating</w:t>
      </w:r>
      <w:r w:rsidR="00EC67F0"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t xml:space="preserve">role on </w:t>
      </w:r>
      <w:r w:rsidR="00EC67F0">
        <w:rPr>
          <w:rFonts w:ascii="Times New Roman" w:eastAsia="Calibri" w:hAnsi="Times New Roman" w:cs="Times New Roman"/>
          <w:sz w:val="24"/>
          <w:szCs w:val="24"/>
        </w:rPr>
        <w:t>managerial</w:t>
      </w:r>
      <w:r w:rsidR="00C829B4" w:rsidRPr="00D15B6A">
        <w:rPr>
          <w:rFonts w:ascii="Times New Roman" w:eastAsia="Calibri" w:hAnsi="Times New Roman" w:cs="Times New Roman"/>
          <w:sz w:val="24"/>
          <w:szCs w:val="24"/>
        </w:rPr>
        <w:t xml:space="preserve"> behaviour if the board of directors is large, </w:t>
      </w:r>
      <w:r w:rsidR="00EC67F0">
        <w:rPr>
          <w:rFonts w:ascii="Times New Roman" w:eastAsia="Calibri" w:hAnsi="Times New Roman" w:cs="Times New Roman"/>
          <w:sz w:val="24"/>
          <w:szCs w:val="24"/>
        </w:rPr>
        <w:t>especially where they consist of highly</w:t>
      </w:r>
      <w:r w:rsidR="00C829B4" w:rsidRPr="00D15B6A">
        <w:rPr>
          <w:rFonts w:ascii="Times New Roman" w:eastAsia="Calibri" w:hAnsi="Times New Roman" w:cs="Times New Roman"/>
          <w:sz w:val="24"/>
          <w:szCs w:val="24"/>
        </w:rPr>
        <w:t xml:space="preserve"> qualified and knowledgeable members. Therefore, a strong board of directors can increase value to agents by periodically </w:t>
      </w:r>
      <w:r w:rsidR="00EC67F0">
        <w:rPr>
          <w:rFonts w:ascii="Times New Roman" w:eastAsia="Calibri" w:hAnsi="Times New Roman" w:cs="Times New Roman"/>
          <w:sz w:val="24"/>
          <w:szCs w:val="24"/>
        </w:rPr>
        <w:t>reviewing</w:t>
      </w:r>
      <w:r w:rsidR="00EC67F0"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t>and appraising insurance companies’ management plans and strategies (Bhimani, 2009; Jensen &amp; Meckling, 1976; Laas &amp; Siegel, 2013). However, some previous studies have argued that a large board may lead to delays in decision</w:t>
      </w:r>
      <w:r w:rsidR="00EC67F0">
        <w:rPr>
          <w:rFonts w:ascii="Times New Roman" w:eastAsia="Calibri" w:hAnsi="Times New Roman" w:cs="Times New Roman"/>
          <w:sz w:val="24"/>
          <w:szCs w:val="24"/>
        </w:rPr>
        <w:t>-</w:t>
      </w:r>
      <w:r w:rsidR="00C829B4" w:rsidRPr="00D15B6A">
        <w:rPr>
          <w:rFonts w:ascii="Times New Roman" w:eastAsia="Calibri" w:hAnsi="Times New Roman" w:cs="Times New Roman"/>
          <w:sz w:val="24"/>
          <w:szCs w:val="24"/>
        </w:rPr>
        <w:t>making</w:t>
      </w:r>
      <w:r w:rsidR="00EC67F0">
        <w:rPr>
          <w:rFonts w:ascii="Times New Roman" w:eastAsia="Calibri" w:hAnsi="Times New Roman" w:cs="Times New Roman"/>
          <w:sz w:val="24"/>
          <w:szCs w:val="24"/>
        </w:rPr>
        <w:t>,</w:t>
      </w:r>
      <w:r w:rsidR="00C829B4" w:rsidRPr="00D15B6A">
        <w:rPr>
          <w:rFonts w:ascii="Times New Roman" w:eastAsia="Calibri" w:hAnsi="Times New Roman" w:cs="Times New Roman"/>
          <w:sz w:val="24"/>
          <w:szCs w:val="24"/>
        </w:rPr>
        <w:t xml:space="preserve"> as well as conflicts and time-wasting for the board </w:t>
      </w:r>
      <w:r w:rsidR="00C829B4" w:rsidRPr="00D15B6A">
        <w:rPr>
          <w:rFonts w:ascii="Times New Roman" w:eastAsia="Calibri" w:hAnsi="Times New Roman" w:cs="Times New Roman"/>
          <w:sz w:val="24"/>
          <w:szCs w:val="24"/>
        </w:rPr>
        <w:fldChar w:fldCharType="begin"/>
      </w:r>
      <w:r w:rsidR="00C829B4" w:rsidRPr="00D15B6A">
        <w:rPr>
          <w:rFonts w:ascii="Times New Roman" w:eastAsia="Calibri" w:hAnsi="Times New Roman" w:cs="Times New Roman"/>
          <w:sz w:val="24"/>
          <w:szCs w:val="24"/>
        </w:rPr>
        <w:instrText xml:space="preserve"> ADDIN EN.CITE &lt;EndNote&gt;&lt;Cite&gt;&lt;Author&gt;Fama&lt;/Author&gt;&lt;Year&gt;1985&lt;/Year&gt;&lt;RecNum&gt;51&lt;/RecNum&gt;&lt;DisplayText&gt;(Eugene F Fama &amp;amp; Jensen, 1985; Jensen, 2001)&lt;/DisplayText&gt;&lt;record&gt;&lt;rec-number&gt;51&lt;/rec-number&gt;&lt;foreign-keys&gt;&lt;key app="EN" db-id="t5v9xwx225adw1erxp8pdzxowddx2vd020f0"&gt;51&lt;/key&gt;&lt;/foreign-keys&gt;&lt;ref-type name="Journal Article"&gt;17&lt;/ref-type&gt;&lt;contributors&gt;&lt;authors&gt;&lt;author&gt;Fama,  Eugene F&lt;/author&gt;&lt;author&gt;Jensen, Michael C&lt;/author&gt;&lt;/authors&gt;&lt;/contributors&gt;&lt;titles&gt;&lt;title&gt;Organizational forms and investment decisions&lt;/title&gt;&lt;secondary-title&gt;Journal of financial Economics&lt;/secondary-title&gt;&lt;/titles&gt;&lt;periodical&gt;&lt;full-title&gt;Journal of Financial Economics&lt;/full-title&gt;&lt;/periodical&gt;&lt;pages&gt;101-119&lt;/pages&gt;&lt;volume&gt;14&lt;/volume&gt;&lt;number&gt;1&lt;/number&gt;&lt;dates&gt;&lt;year&gt;1985&lt;/year&gt;&lt;/dates&gt;&lt;isbn&gt;0304-405X&lt;/isbn&gt;&lt;urls&gt;&lt;/urls&gt;&lt;/record&gt;&lt;/Cite&gt;&lt;Cite&gt;&lt;Author&gt;Jensen&lt;/Author&gt;&lt;Year&gt;2001&lt;/Year&gt;&lt;RecNum&gt;61&lt;/RecNum&gt;&lt;record&gt;&lt;rec-number&gt;61&lt;/rec-number&gt;&lt;foreign-keys&gt;&lt;key app="EN" db-id="t5v9xwx225adw1erxp8pdzxowddx2vd020f0"&gt;61&lt;/key&gt;&lt;/foreign-keys&gt;&lt;ref-type name="Journal Article"&gt;17&lt;/ref-type&gt;&lt;contributors&gt;&lt;authors&gt;&lt;author&gt;Jensen, Michael C&lt;/author&gt;&lt;/authors&gt;&lt;/contributors&gt;&lt;titles&gt;&lt;title&gt;Value maximization, stakeholder theory, and the corporate objective function&lt;/title&gt;&lt;secondary-title&gt;Journal of applied corporate finance&lt;/secondary-title&gt;&lt;/titles&gt;&lt;periodical&gt;&lt;full-title&gt;Journal of applied corporate finance&lt;/full-title&gt;&lt;/periodical&gt;&lt;pages&gt;8-21&lt;/pages&gt;&lt;volume&gt;14&lt;/volume&gt;&lt;number&gt;3&lt;/number&gt;&lt;dates&gt;&lt;year&gt;2001&lt;/year&gt;&lt;/dates&gt;&lt;isbn&gt;1745-6622&lt;/isbn&gt;&lt;urls&gt;&lt;/urls&gt;&lt;/record&gt;&lt;/Cite&gt;&lt;/EndNote&gt;</w:instrText>
      </w:r>
      <w:r w:rsidR="00C829B4" w:rsidRPr="00D15B6A">
        <w:rPr>
          <w:rFonts w:ascii="Times New Roman" w:eastAsia="Calibri" w:hAnsi="Times New Roman" w:cs="Times New Roman"/>
          <w:sz w:val="24"/>
          <w:szCs w:val="24"/>
        </w:rPr>
        <w:fldChar w:fldCharType="separate"/>
      </w:r>
      <w:r w:rsidR="00C829B4" w:rsidRPr="00D15B6A">
        <w:rPr>
          <w:rFonts w:ascii="Times New Roman" w:eastAsia="Calibri" w:hAnsi="Times New Roman" w:cs="Times New Roman"/>
          <w:sz w:val="24"/>
          <w:szCs w:val="24"/>
        </w:rPr>
        <w:t>(</w:t>
      </w:r>
      <w:hyperlink w:anchor="_ENREF_30" w:tooltip="Fama, 1985 #51" w:history="1">
        <w:r w:rsidR="00C829B4" w:rsidRPr="00D15B6A">
          <w:rPr>
            <w:rFonts w:ascii="Times New Roman" w:eastAsia="Calibri" w:hAnsi="Times New Roman" w:cs="Times New Roman"/>
            <w:sz w:val="24"/>
            <w:szCs w:val="24"/>
          </w:rPr>
          <w:t>Fama &amp; Jensen, 1985</w:t>
        </w:r>
      </w:hyperlink>
      <w:r w:rsidR="00C829B4" w:rsidRPr="00D15B6A">
        <w:rPr>
          <w:rFonts w:ascii="Times New Roman" w:eastAsia="Calibri" w:hAnsi="Times New Roman" w:cs="Times New Roman"/>
          <w:sz w:val="24"/>
          <w:szCs w:val="24"/>
        </w:rPr>
        <w:t xml:space="preserve">; </w:t>
      </w:r>
      <w:hyperlink w:anchor="_ENREF_39" w:tooltip="Jensen, 2001 #61" w:history="1">
        <w:r w:rsidR="00C829B4" w:rsidRPr="00D15B6A">
          <w:rPr>
            <w:rFonts w:ascii="Times New Roman" w:eastAsia="Calibri" w:hAnsi="Times New Roman" w:cs="Times New Roman"/>
            <w:sz w:val="24"/>
            <w:szCs w:val="24"/>
          </w:rPr>
          <w:t>Jensen, 2001</w:t>
        </w:r>
      </w:hyperlink>
      <w:r w:rsidR="00C829B4" w:rsidRPr="00D15B6A">
        <w:rPr>
          <w:rFonts w:ascii="Times New Roman" w:eastAsia="Calibri" w:hAnsi="Times New Roman" w:cs="Times New Roman"/>
          <w:sz w:val="24"/>
          <w:szCs w:val="24"/>
        </w:rPr>
        <w:t>)</w:t>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t>.</w:t>
      </w:r>
      <w:r w:rsidR="009F396E"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t>In particular, Fama and Jensen (1983) propose that the board of directors should accept responsibility for monitoring management choices and performance, as well as agency problems between managers and stockholders. Cadbury (2002) claims that the most effective board size is between six and eight members, not including the chairman. However, Pathan and Faff (2013) have a different viewpoint; they suggest that a large board may face many problems</w:t>
      </w:r>
      <w:r w:rsidR="00EC67F0">
        <w:rPr>
          <w:rFonts w:ascii="Times New Roman" w:eastAsia="Calibri" w:hAnsi="Times New Roman" w:cs="Times New Roman"/>
          <w:sz w:val="24"/>
          <w:szCs w:val="24"/>
        </w:rPr>
        <w:t>, including poor communication and co-ordination, and thus impact negatively on their ability to monitor managers.</w:t>
      </w:r>
      <w:r w:rsidR="00C829B4" w:rsidRPr="00D15B6A">
        <w:rPr>
          <w:rFonts w:ascii="Times New Roman" w:eastAsia="Calibri" w:hAnsi="Times New Roman" w:cs="Times New Roman"/>
          <w:sz w:val="24"/>
          <w:szCs w:val="24"/>
        </w:rPr>
        <w:t xml:space="preserve"> </w:t>
      </w:r>
    </w:p>
    <w:p w14:paraId="14039F6E" w14:textId="2B39002C" w:rsidR="00C829B4" w:rsidRPr="00D15B6A" w:rsidRDefault="00DF2F94" w:rsidP="00534A3A">
      <w:pPr>
        <w:spacing w:line="360" w:lineRule="auto"/>
        <w:ind w:firstLine="576"/>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P</w:t>
      </w:r>
      <w:r w:rsidR="00C829B4" w:rsidRPr="00D15B6A">
        <w:rPr>
          <w:rFonts w:ascii="Times New Roman" w:eastAsia="Calibri" w:hAnsi="Times New Roman" w:cs="Times New Roman"/>
          <w:sz w:val="24"/>
          <w:szCs w:val="24"/>
        </w:rPr>
        <w:t xml:space="preserve">revious </w:t>
      </w:r>
      <w:r w:rsidR="00E430D5">
        <w:rPr>
          <w:rFonts w:ascii="Times New Roman" w:eastAsia="Calibri" w:hAnsi="Times New Roman" w:cs="Times New Roman"/>
          <w:sz w:val="24"/>
          <w:szCs w:val="24"/>
        </w:rPr>
        <w:t xml:space="preserve">empirical </w:t>
      </w:r>
      <w:r w:rsidR="00C829B4" w:rsidRPr="00D15B6A">
        <w:rPr>
          <w:rFonts w:ascii="Times New Roman" w:eastAsia="Calibri" w:hAnsi="Times New Roman" w:cs="Times New Roman"/>
          <w:sz w:val="24"/>
          <w:szCs w:val="24"/>
        </w:rPr>
        <w:t xml:space="preserve">studies have examined the relationship between board size and </w:t>
      </w:r>
      <w:r w:rsidR="009F396E" w:rsidRPr="00D15B6A">
        <w:rPr>
          <w:rFonts w:ascii="Times New Roman" w:eastAsia="Calibri" w:hAnsi="Times New Roman" w:cs="Times New Roman"/>
          <w:sz w:val="24"/>
          <w:szCs w:val="24"/>
        </w:rPr>
        <w:t>risk taking</w:t>
      </w:r>
      <w:r w:rsidR="00E430D5">
        <w:rPr>
          <w:rFonts w:ascii="Times New Roman" w:eastAsia="Calibri" w:hAnsi="Times New Roman" w:cs="Times New Roman"/>
          <w:sz w:val="24"/>
          <w:szCs w:val="24"/>
        </w:rPr>
        <w:t>, although they have in the main</w:t>
      </w:r>
      <w:r w:rsidR="00C829B4" w:rsidRPr="00D15B6A">
        <w:rPr>
          <w:rFonts w:ascii="Times New Roman" w:eastAsia="Calibri" w:hAnsi="Times New Roman" w:cs="Times New Roman"/>
          <w:sz w:val="24"/>
          <w:szCs w:val="24"/>
        </w:rPr>
        <w:t xml:space="preserve"> yielded mixed results. For example, Adams and Jiang (2016) explore the impact of board structure on insurance companies’ </w:t>
      </w:r>
      <w:r w:rsidR="007C76F0">
        <w:rPr>
          <w:rFonts w:ascii="Times New Roman" w:eastAsia="Calibri" w:hAnsi="Times New Roman" w:cs="Times New Roman"/>
          <w:sz w:val="24"/>
          <w:szCs w:val="24"/>
        </w:rPr>
        <w:t xml:space="preserve">risk-taking </w:t>
      </w:r>
      <w:r w:rsidR="00C829B4" w:rsidRPr="00D15B6A">
        <w:rPr>
          <w:rFonts w:ascii="Times New Roman" w:eastAsia="Calibri" w:hAnsi="Times New Roman" w:cs="Times New Roman"/>
          <w:sz w:val="24"/>
          <w:szCs w:val="24"/>
        </w:rPr>
        <w:t>by selecting 92 insurance firms in the UK, and presenting 1</w:t>
      </w:r>
      <w:r w:rsidR="00E430D5">
        <w:rPr>
          <w:rFonts w:ascii="Times New Roman" w:eastAsia="Calibri" w:hAnsi="Times New Roman" w:cs="Times New Roman"/>
          <w:sz w:val="24"/>
          <w:szCs w:val="24"/>
        </w:rPr>
        <w:t>,</w:t>
      </w:r>
      <w:r w:rsidR="00C829B4" w:rsidRPr="00D15B6A">
        <w:rPr>
          <w:rFonts w:ascii="Times New Roman" w:eastAsia="Calibri" w:hAnsi="Times New Roman" w:cs="Times New Roman"/>
          <w:sz w:val="24"/>
          <w:szCs w:val="24"/>
        </w:rPr>
        <w:t xml:space="preserve">168 observations over 13 years from 1999–2012. The study finds a positive relationship between board size and </w:t>
      </w:r>
      <w:r w:rsidR="009F396E" w:rsidRPr="00D15B6A">
        <w:rPr>
          <w:rFonts w:ascii="Times New Roman" w:eastAsia="Calibri" w:hAnsi="Times New Roman" w:cs="Times New Roman"/>
          <w:sz w:val="24"/>
          <w:szCs w:val="24"/>
        </w:rPr>
        <w:t>risk taking</w:t>
      </w:r>
      <w:r w:rsidR="00C829B4" w:rsidRPr="00D15B6A">
        <w:rPr>
          <w:rFonts w:ascii="Times New Roman" w:eastAsia="Calibri" w:hAnsi="Times New Roman" w:cs="Times New Roman"/>
          <w:sz w:val="24"/>
          <w:szCs w:val="24"/>
        </w:rPr>
        <w:t xml:space="preserve">. The positive relationship </w:t>
      </w:r>
      <w:r w:rsidR="009F396E" w:rsidRPr="00D15B6A">
        <w:rPr>
          <w:rFonts w:ascii="Times New Roman" w:eastAsia="Calibri" w:hAnsi="Times New Roman" w:cs="Times New Roman"/>
          <w:sz w:val="24"/>
          <w:szCs w:val="24"/>
        </w:rPr>
        <w:t>implies that</w:t>
      </w:r>
      <w:r w:rsidR="00C829B4" w:rsidRPr="00D15B6A">
        <w:rPr>
          <w:rFonts w:ascii="Times New Roman" w:eastAsia="Calibri" w:hAnsi="Times New Roman" w:cs="Times New Roman"/>
          <w:sz w:val="24"/>
          <w:szCs w:val="24"/>
        </w:rPr>
        <w:t xml:space="preserve"> larger boards with qualified and knowledgeable members have an enhanced </w:t>
      </w:r>
      <w:r w:rsidR="00E83DE6">
        <w:rPr>
          <w:rFonts w:ascii="Times New Roman" w:eastAsia="Calibri" w:hAnsi="Times New Roman" w:cs="Times New Roman"/>
          <w:sz w:val="24"/>
          <w:szCs w:val="24"/>
        </w:rPr>
        <w:t>moderating effect on</w:t>
      </w:r>
      <w:r w:rsidR="00C829B4" w:rsidRPr="00D15B6A">
        <w:rPr>
          <w:rFonts w:ascii="Times New Roman" w:eastAsia="Calibri" w:hAnsi="Times New Roman" w:cs="Times New Roman"/>
          <w:sz w:val="24"/>
          <w:szCs w:val="24"/>
        </w:rPr>
        <w:t xml:space="preserve"> </w:t>
      </w:r>
      <w:r w:rsidR="00E83DE6">
        <w:rPr>
          <w:rFonts w:ascii="Times New Roman" w:eastAsia="Calibri" w:hAnsi="Times New Roman" w:cs="Times New Roman"/>
          <w:sz w:val="24"/>
          <w:szCs w:val="24"/>
        </w:rPr>
        <w:t>managerial</w:t>
      </w:r>
      <w:r w:rsidR="00C829B4" w:rsidRPr="00D15B6A">
        <w:rPr>
          <w:rFonts w:ascii="Times New Roman" w:eastAsia="Calibri" w:hAnsi="Times New Roman" w:cs="Times New Roman"/>
          <w:sz w:val="24"/>
          <w:szCs w:val="24"/>
        </w:rPr>
        <w:t xml:space="preserve"> behaviour</w:t>
      </w:r>
      <w:r w:rsidR="00E83DE6">
        <w:rPr>
          <w:rFonts w:ascii="Times New Roman" w:eastAsia="Calibri" w:hAnsi="Times New Roman" w:cs="Times New Roman"/>
          <w:sz w:val="24"/>
          <w:szCs w:val="24"/>
        </w:rPr>
        <w:t xml:space="preserve"> and decisions</w:t>
      </w:r>
      <w:r w:rsidR="00C829B4" w:rsidRPr="00D15B6A">
        <w:rPr>
          <w:rFonts w:ascii="Times New Roman" w:eastAsia="Calibri" w:hAnsi="Times New Roman" w:cs="Times New Roman"/>
          <w:sz w:val="24"/>
          <w:szCs w:val="24"/>
        </w:rPr>
        <w:t xml:space="preserve">. </w:t>
      </w:r>
      <w:r w:rsidR="009F396E" w:rsidRPr="00D15B6A">
        <w:rPr>
          <w:rFonts w:ascii="Times New Roman" w:eastAsia="Calibri" w:hAnsi="Times New Roman" w:cs="Times New Roman"/>
          <w:sz w:val="24"/>
          <w:szCs w:val="24"/>
        </w:rPr>
        <w:t>Conversely</w:t>
      </w:r>
      <w:r w:rsidR="00C829B4" w:rsidRPr="00D15B6A">
        <w:rPr>
          <w:rFonts w:ascii="Times New Roman" w:eastAsia="Calibri" w:hAnsi="Times New Roman" w:cs="Times New Roman"/>
          <w:sz w:val="24"/>
          <w:szCs w:val="24"/>
        </w:rPr>
        <w:t>, in a study of the performance of Bahraini insurance companies by Najjar (2012)</w:t>
      </w:r>
      <w:r w:rsidR="00E83DE6">
        <w:rPr>
          <w:rFonts w:ascii="Times New Roman" w:eastAsia="Calibri" w:hAnsi="Times New Roman" w:cs="Times New Roman"/>
          <w:sz w:val="24"/>
          <w:szCs w:val="24"/>
        </w:rPr>
        <w:t xml:space="preserve"> over the</w:t>
      </w:r>
      <w:r w:rsidR="00C829B4" w:rsidRPr="00D15B6A">
        <w:rPr>
          <w:rFonts w:ascii="Times New Roman" w:eastAsia="Calibri" w:hAnsi="Times New Roman" w:cs="Times New Roman"/>
          <w:sz w:val="24"/>
          <w:szCs w:val="24"/>
        </w:rPr>
        <w:t xml:space="preserve"> 2005-2010</w:t>
      </w:r>
      <w:r w:rsidR="00E83DE6">
        <w:rPr>
          <w:rFonts w:ascii="Times New Roman" w:eastAsia="Calibri" w:hAnsi="Times New Roman" w:cs="Times New Roman"/>
          <w:sz w:val="24"/>
          <w:szCs w:val="24"/>
        </w:rPr>
        <w:t xml:space="preserve"> period, they reported statistically insignificant relationship between board size and risk-taking</w:t>
      </w:r>
      <w:r w:rsidR="00534A3A">
        <w:rPr>
          <w:rFonts w:ascii="Times New Roman" w:eastAsia="Calibri" w:hAnsi="Times New Roman" w:cs="Times New Roman"/>
          <w:sz w:val="24"/>
          <w:szCs w:val="24"/>
        </w:rPr>
        <w:t>.</w:t>
      </w:r>
      <w:r w:rsidR="00C829B4" w:rsidRPr="00D15B6A">
        <w:rPr>
          <w:rFonts w:ascii="Times New Roman" w:eastAsia="Calibri" w:hAnsi="Times New Roman" w:cs="Times New Roman"/>
          <w:sz w:val="24"/>
          <w:szCs w:val="24"/>
        </w:rPr>
        <w:t xml:space="preserve"> </w:t>
      </w:r>
      <w:r w:rsidR="00E83DE6">
        <w:rPr>
          <w:rFonts w:ascii="Times New Roman" w:eastAsia="Calibri" w:hAnsi="Times New Roman" w:cs="Times New Roman"/>
          <w:sz w:val="24"/>
          <w:szCs w:val="24"/>
        </w:rPr>
        <w:t xml:space="preserve">Additionally, </w:t>
      </w:r>
      <w:r w:rsidR="00C829B4" w:rsidRPr="00D15B6A">
        <w:rPr>
          <w:rFonts w:ascii="Times New Roman" w:eastAsia="Calibri" w:hAnsi="Times New Roman" w:cs="Times New Roman"/>
          <w:sz w:val="24"/>
          <w:szCs w:val="24"/>
        </w:rPr>
        <w:t xml:space="preserve">Brick and Chidambaran (2010) examined the relationship between board size and </w:t>
      </w:r>
      <w:r w:rsidR="007C76F0">
        <w:rPr>
          <w:rFonts w:ascii="Times New Roman" w:eastAsia="Calibri" w:hAnsi="Times New Roman" w:cs="Times New Roman"/>
          <w:sz w:val="24"/>
          <w:szCs w:val="24"/>
        </w:rPr>
        <w:t xml:space="preserve">risk-taking </w:t>
      </w:r>
      <w:r w:rsidR="00C829B4" w:rsidRPr="00D15B6A">
        <w:rPr>
          <w:rFonts w:ascii="Times New Roman" w:eastAsia="Calibri" w:hAnsi="Times New Roman" w:cs="Times New Roman"/>
          <w:sz w:val="24"/>
          <w:szCs w:val="24"/>
        </w:rPr>
        <w:t xml:space="preserve">based on yearly observations of 5,228 firms in the USA </w:t>
      </w:r>
      <w:r w:rsidR="009F396E" w:rsidRPr="00D15B6A">
        <w:rPr>
          <w:rFonts w:ascii="Times New Roman" w:eastAsia="Calibri" w:hAnsi="Times New Roman" w:cs="Times New Roman"/>
          <w:sz w:val="24"/>
          <w:szCs w:val="24"/>
        </w:rPr>
        <w:t>during the 1999</w:t>
      </w:r>
      <w:r w:rsidR="00E83DE6">
        <w:rPr>
          <w:rFonts w:ascii="Times New Roman" w:eastAsia="Calibri" w:hAnsi="Times New Roman" w:cs="Times New Roman"/>
          <w:sz w:val="24"/>
          <w:szCs w:val="24"/>
        </w:rPr>
        <w:t>–</w:t>
      </w:r>
      <w:r w:rsidR="009F396E" w:rsidRPr="00D15B6A">
        <w:rPr>
          <w:rFonts w:ascii="Times New Roman" w:eastAsia="Calibri" w:hAnsi="Times New Roman" w:cs="Times New Roman"/>
          <w:sz w:val="24"/>
          <w:szCs w:val="24"/>
        </w:rPr>
        <w:t>2005</w:t>
      </w:r>
      <w:r w:rsidR="00E83DE6">
        <w:rPr>
          <w:rFonts w:ascii="Times New Roman" w:eastAsia="Calibri" w:hAnsi="Times New Roman" w:cs="Times New Roman"/>
          <w:sz w:val="24"/>
          <w:szCs w:val="24"/>
        </w:rPr>
        <w:t xml:space="preserve"> period</w:t>
      </w:r>
      <w:r w:rsidR="009F396E"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t xml:space="preserve">The regression </w:t>
      </w:r>
      <w:r w:rsidR="009F396E" w:rsidRPr="00D15B6A">
        <w:rPr>
          <w:rFonts w:ascii="Times New Roman" w:eastAsia="Calibri" w:hAnsi="Times New Roman" w:cs="Times New Roman"/>
          <w:sz w:val="24"/>
          <w:szCs w:val="24"/>
        </w:rPr>
        <w:t xml:space="preserve">results </w:t>
      </w:r>
      <w:r w:rsidR="00C829B4" w:rsidRPr="00D15B6A">
        <w:rPr>
          <w:rFonts w:ascii="Times New Roman" w:eastAsia="Calibri" w:hAnsi="Times New Roman" w:cs="Times New Roman"/>
          <w:sz w:val="24"/>
          <w:szCs w:val="24"/>
        </w:rPr>
        <w:t xml:space="preserve">indicate that there is no significant negative relationship between board size and </w:t>
      </w:r>
      <w:r w:rsidR="009F396E" w:rsidRPr="00D15B6A">
        <w:rPr>
          <w:rFonts w:ascii="Times New Roman" w:eastAsia="Calibri" w:hAnsi="Times New Roman" w:cs="Times New Roman"/>
          <w:sz w:val="24"/>
          <w:szCs w:val="24"/>
        </w:rPr>
        <w:t>risk</w:t>
      </w:r>
      <w:r w:rsidR="00E83DE6">
        <w:rPr>
          <w:rFonts w:ascii="Times New Roman" w:eastAsia="Calibri" w:hAnsi="Times New Roman" w:cs="Times New Roman"/>
          <w:sz w:val="24"/>
          <w:szCs w:val="24"/>
        </w:rPr>
        <w:t>-</w:t>
      </w:r>
      <w:r w:rsidR="009F396E" w:rsidRPr="00D15B6A">
        <w:rPr>
          <w:rFonts w:ascii="Times New Roman" w:eastAsia="Calibri" w:hAnsi="Times New Roman" w:cs="Times New Roman"/>
          <w:sz w:val="24"/>
          <w:szCs w:val="24"/>
        </w:rPr>
        <w:t>taking</w:t>
      </w:r>
      <w:r>
        <w:rPr>
          <w:rFonts w:ascii="Times New Roman" w:eastAsia="Calibri" w:hAnsi="Times New Roman" w:cs="Times New Roman"/>
          <w:sz w:val="24"/>
          <w:szCs w:val="24"/>
        </w:rPr>
        <w:t xml:space="preserve">. </w:t>
      </w:r>
      <w:r w:rsidR="009F396E" w:rsidRPr="00D15B6A">
        <w:rPr>
          <w:rFonts w:ascii="Times New Roman" w:eastAsia="Calibri" w:hAnsi="Times New Roman" w:cs="Times New Roman"/>
          <w:sz w:val="24"/>
          <w:szCs w:val="24"/>
        </w:rPr>
        <w:t>Consequently,</w:t>
      </w:r>
      <w:r w:rsidR="00C829B4" w:rsidRPr="00D15B6A">
        <w:rPr>
          <w:rFonts w:ascii="Times New Roman" w:eastAsia="Calibri" w:hAnsi="Times New Roman" w:cs="Times New Roman"/>
          <w:sz w:val="24"/>
          <w:szCs w:val="24"/>
        </w:rPr>
        <w:t xml:space="preserve"> </w:t>
      </w:r>
      <w:r w:rsidR="009F396E" w:rsidRPr="00D15B6A">
        <w:rPr>
          <w:rFonts w:ascii="Times New Roman" w:eastAsia="Calibri" w:hAnsi="Times New Roman" w:cs="Times New Roman"/>
          <w:sz w:val="24"/>
          <w:szCs w:val="24"/>
        </w:rPr>
        <w:t>b</w:t>
      </w:r>
      <w:r w:rsidR="00C829B4" w:rsidRPr="00D15B6A">
        <w:rPr>
          <w:rFonts w:ascii="Times New Roman" w:eastAsia="Calibri" w:hAnsi="Times New Roman" w:cs="Times New Roman"/>
          <w:sz w:val="24"/>
          <w:szCs w:val="24"/>
        </w:rPr>
        <w:t>ased on the above discussion, the first hypothesis for this study is:</w:t>
      </w:r>
    </w:p>
    <w:p w14:paraId="6A080A1D" w14:textId="03251664" w:rsidR="00C829B4" w:rsidRPr="00D15B6A" w:rsidRDefault="00C829B4" w:rsidP="00C829B4">
      <w:pPr>
        <w:spacing w:line="360" w:lineRule="auto"/>
        <w:ind w:firstLine="576"/>
        <w:jc w:val="both"/>
        <w:rPr>
          <w:rFonts w:ascii="Times New Roman" w:eastAsia="Calibri" w:hAnsi="Times New Roman" w:cs="Times New Roman"/>
          <w:i/>
          <w:sz w:val="24"/>
          <w:szCs w:val="24"/>
        </w:rPr>
      </w:pPr>
      <w:r w:rsidRPr="00D15B6A">
        <w:rPr>
          <w:rFonts w:ascii="Times New Roman" w:eastAsia="Calibri" w:hAnsi="Times New Roman" w:cs="Times New Roman"/>
          <w:b/>
          <w:bCs/>
          <w:i/>
          <w:iCs/>
          <w:sz w:val="24"/>
          <w:szCs w:val="24"/>
        </w:rPr>
        <w:t>H</w:t>
      </w:r>
      <w:r w:rsidRPr="00D15B6A">
        <w:rPr>
          <w:rFonts w:ascii="Times New Roman" w:eastAsia="Calibri" w:hAnsi="Times New Roman" w:cs="Times New Roman"/>
          <w:b/>
          <w:bCs/>
          <w:i/>
          <w:iCs/>
          <w:sz w:val="24"/>
          <w:szCs w:val="24"/>
          <w:vertAlign w:val="subscript"/>
        </w:rPr>
        <w:t>1</w:t>
      </w:r>
      <w:r w:rsidRPr="00D15B6A">
        <w:rPr>
          <w:rFonts w:ascii="Times New Roman" w:eastAsia="Calibri" w:hAnsi="Times New Roman" w:cs="Times New Roman"/>
          <w:i/>
          <w:sz w:val="24"/>
          <w:szCs w:val="24"/>
        </w:rPr>
        <w:t xml:space="preserve">: There is a </w:t>
      </w:r>
      <w:r w:rsidR="009F396E" w:rsidRPr="00D15B6A">
        <w:rPr>
          <w:rFonts w:ascii="Times New Roman" w:eastAsia="Calibri" w:hAnsi="Times New Roman" w:cs="Times New Roman"/>
          <w:i/>
          <w:sz w:val="24"/>
          <w:szCs w:val="24"/>
        </w:rPr>
        <w:t>negative</w:t>
      </w:r>
      <w:r w:rsidRPr="00D15B6A">
        <w:rPr>
          <w:rFonts w:ascii="Times New Roman" w:eastAsia="Calibri" w:hAnsi="Times New Roman" w:cs="Times New Roman"/>
          <w:i/>
          <w:sz w:val="24"/>
          <w:szCs w:val="24"/>
        </w:rPr>
        <w:t xml:space="preserve"> relationship between board size and </w:t>
      </w:r>
      <w:r w:rsidR="009F396E" w:rsidRPr="00D15B6A">
        <w:rPr>
          <w:rFonts w:ascii="Times New Roman" w:eastAsia="Calibri" w:hAnsi="Times New Roman" w:cs="Times New Roman"/>
          <w:i/>
          <w:sz w:val="24"/>
          <w:szCs w:val="24"/>
        </w:rPr>
        <w:t>risk</w:t>
      </w:r>
      <w:r w:rsidR="005A2DC4">
        <w:rPr>
          <w:rFonts w:ascii="Times New Roman" w:eastAsia="Calibri" w:hAnsi="Times New Roman" w:cs="Times New Roman"/>
          <w:i/>
          <w:sz w:val="24"/>
          <w:szCs w:val="24"/>
        </w:rPr>
        <w:t>-</w:t>
      </w:r>
      <w:r w:rsidR="009F396E" w:rsidRPr="00D15B6A">
        <w:rPr>
          <w:rFonts w:ascii="Times New Roman" w:eastAsia="Calibri" w:hAnsi="Times New Roman" w:cs="Times New Roman"/>
          <w:i/>
          <w:sz w:val="24"/>
          <w:szCs w:val="24"/>
        </w:rPr>
        <w:t>taking</w:t>
      </w:r>
      <w:r w:rsidRPr="00D15B6A">
        <w:rPr>
          <w:rFonts w:ascii="Times New Roman" w:eastAsia="Calibri" w:hAnsi="Times New Roman" w:cs="Times New Roman"/>
          <w:i/>
          <w:sz w:val="24"/>
          <w:szCs w:val="24"/>
        </w:rPr>
        <w:t>.</w:t>
      </w:r>
    </w:p>
    <w:p w14:paraId="5178DB7E" w14:textId="602A634C" w:rsidR="00C829B4" w:rsidRPr="00424B88" w:rsidRDefault="00C829B4" w:rsidP="00C46E13">
      <w:pPr>
        <w:keepNext/>
        <w:keepLines/>
        <w:numPr>
          <w:ilvl w:val="1"/>
          <w:numId w:val="27"/>
        </w:numPr>
        <w:spacing w:before="160" w:after="120" w:line="240" w:lineRule="auto"/>
        <w:jc w:val="both"/>
        <w:outlineLvl w:val="2"/>
        <w:rPr>
          <w:rFonts w:ascii="Times New Roman" w:eastAsia="Times New Roman" w:hAnsi="Times New Roman" w:cs="Times New Roman"/>
          <w:b/>
          <w:i/>
          <w:sz w:val="24"/>
          <w:szCs w:val="24"/>
        </w:rPr>
      </w:pPr>
      <w:bookmarkStart w:id="4" w:name="_Toc459125846"/>
      <w:bookmarkStart w:id="5" w:name="_Toc459936859"/>
      <w:bookmarkStart w:id="6" w:name="_Toc459937734"/>
      <w:r w:rsidRPr="00424B88">
        <w:rPr>
          <w:rFonts w:ascii="Times New Roman" w:eastAsia="Times New Roman" w:hAnsi="Times New Roman" w:cs="Times New Roman"/>
          <w:b/>
          <w:i/>
          <w:sz w:val="24"/>
          <w:szCs w:val="24"/>
        </w:rPr>
        <w:t xml:space="preserve">Board </w:t>
      </w:r>
      <w:r w:rsidR="00E574C7" w:rsidRPr="00424B88">
        <w:rPr>
          <w:rFonts w:ascii="Times New Roman" w:eastAsia="Times New Roman" w:hAnsi="Times New Roman" w:cs="Times New Roman"/>
          <w:b/>
          <w:i/>
          <w:sz w:val="24"/>
          <w:szCs w:val="24"/>
        </w:rPr>
        <w:t xml:space="preserve">meetings and </w:t>
      </w:r>
      <w:bookmarkEnd w:id="4"/>
      <w:bookmarkEnd w:id="5"/>
      <w:bookmarkEnd w:id="6"/>
      <w:r w:rsidR="00E574C7" w:rsidRPr="00424B88">
        <w:rPr>
          <w:rFonts w:ascii="Times New Roman" w:eastAsia="Times New Roman" w:hAnsi="Times New Roman" w:cs="Times New Roman"/>
          <w:b/>
          <w:i/>
          <w:sz w:val="24"/>
          <w:szCs w:val="24"/>
        </w:rPr>
        <w:t>risk</w:t>
      </w:r>
      <w:r w:rsidR="00A76AC5">
        <w:rPr>
          <w:rFonts w:ascii="Times New Roman" w:eastAsia="Times New Roman" w:hAnsi="Times New Roman" w:cs="Times New Roman"/>
          <w:b/>
          <w:i/>
          <w:sz w:val="24"/>
          <w:szCs w:val="24"/>
        </w:rPr>
        <w:t>-</w:t>
      </w:r>
      <w:r w:rsidR="00E574C7" w:rsidRPr="00424B88">
        <w:rPr>
          <w:rFonts w:ascii="Times New Roman" w:eastAsia="Times New Roman" w:hAnsi="Times New Roman" w:cs="Times New Roman"/>
          <w:b/>
          <w:i/>
          <w:sz w:val="24"/>
          <w:szCs w:val="24"/>
        </w:rPr>
        <w:t>taking</w:t>
      </w:r>
    </w:p>
    <w:p w14:paraId="24894C43" w14:textId="78CFB527" w:rsidR="00C829B4" w:rsidRPr="00D15B6A" w:rsidRDefault="00C829B4" w:rsidP="00247A43">
      <w:pPr>
        <w:spacing w:line="360" w:lineRule="auto"/>
        <w:ind w:firstLine="576"/>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The number of board meetings can affect a board’s effectiveness (Vafeas, 1999), particularly when directors discuss the firms’ difficulties and improve procedures and plans for the forthcoming year during board meetings, in addition to making strategic decisions (Barros et al., 2013). Theoretically, the frequency of board meetings can signify the extent of a board’s accomplishments and the quality of its monitoring in detecting managers’ misbehaviour, for instance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(Vefeas, 1999; Conger et al., 1998). Thus, it may be expected that increasing the number of board meetings will give rise to greater managerial monitoring</w:t>
      </w:r>
      <w:r w:rsidR="00247A43">
        <w:rPr>
          <w:rFonts w:ascii="Times New Roman" w:eastAsia="Calibri" w:hAnsi="Times New Roman" w:cs="Times New Roman"/>
          <w:sz w:val="24"/>
          <w:szCs w:val="24"/>
        </w:rPr>
        <w:t xml:space="preserve"> by offering board members more opportunities to discuss corporate strategy and risks</w:t>
      </w:r>
      <w:r w:rsidRPr="00D15B6A">
        <w:rPr>
          <w:rFonts w:ascii="Times New Roman" w:eastAsia="Calibri" w:hAnsi="Times New Roman" w:cs="Times New Roman"/>
          <w:sz w:val="24"/>
          <w:szCs w:val="24"/>
        </w:rPr>
        <w:t xml:space="preserve">, which may </w:t>
      </w:r>
      <w:r w:rsidR="00247A43">
        <w:rPr>
          <w:rFonts w:ascii="Times New Roman" w:eastAsia="Calibri" w:hAnsi="Times New Roman" w:cs="Times New Roman"/>
          <w:sz w:val="24"/>
          <w:szCs w:val="24"/>
        </w:rPr>
        <w:t xml:space="preserve">ultimately </w:t>
      </w:r>
      <w:r w:rsidRPr="00D15B6A">
        <w:rPr>
          <w:rFonts w:ascii="Times New Roman" w:eastAsia="Calibri" w:hAnsi="Times New Roman" w:cs="Times New Roman"/>
          <w:sz w:val="24"/>
          <w:szCs w:val="24"/>
        </w:rPr>
        <w:t>influence a firm’s performance positively</w:t>
      </w:r>
      <w:r w:rsidR="007C76F0">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(Vafeas 1999). On the other hand, increased board meeting frequency </w:t>
      </w:r>
      <w:r w:rsidR="00247A43">
        <w:rPr>
          <w:rFonts w:ascii="Times New Roman" w:eastAsia="Calibri" w:hAnsi="Times New Roman" w:cs="Times New Roman"/>
          <w:sz w:val="24"/>
          <w:szCs w:val="24"/>
        </w:rPr>
        <w:t>may</w:t>
      </w:r>
      <w:r w:rsidRPr="00D15B6A">
        <w:rPr>
          <w:rFonts w:ascii="Times New Roman" w:eastAsia="Calibri" w:hAnsi="Times New Roman" w:cs="Times New Roman"/>
          <w:sz w:val="24"/>
          <w:szCs w:val="24"/>
        </w:rPr>
        <w:t xml:space="preserve"> not</w:t>
      </w:r>
      <w:r w:rsidR="00247A43">
        <w:rPr>
          <w:rFonts w:ascii="Times New Roman" w:eastAsia="Calibri" w:hAnsi="Times New Roman" w:cs="Times New Roman"/>
          <w:sz w:val="24"/>
          <w:szCs w:val="24"/>
        </w:rPr>
        <w:t xml:space="preserve"> be</w:t>
      </w:r>
      <w:r w:rsidRPr="00D15B6A">
        <w:rPr>
          <w:rFonts w:ascii="Times New Roman" w:eastAsia="Calibri" w:hAnsi="Times New Roman" w:cs="Times New Roman"/>
          <w:sz w:val="24"/>
          <w:szCs w:val="24"/>
        </w:rPr>
        <w:t xml:space="preserve"> necessarily useful to shareholders. Specifically, Vefeas (1999) argues that most board meetings are spent on routine tasks. For example, </w:t>
      </w:r>
      <w:r w:rsidR="00247A43">
        <w:rPr>
          <w:rFonts w:ascii="Times New Roman" w:eastAsia="Calibri" w:hAnsi="Times New Roman" w:cs="Times New Roman"/>
          <w:sz w:val="24"/>
          <w:szCs w:val="24"/>
        </w:rPr>
        <w:t xml:space="preserve">board meetings and </w:t>
      </w:r>
      <w:r w:rsidRPr="00D15B6A">
        <w:rPr>
          <w:rFonts w:ascii="Times New Roman" w:eastAsia="Calibri" w:hAnsi="Times New Roman" w:cs="Times New Roman"/>
          <w:sz w:val="24"/>
          <w:szCs w:val="24"/>
        </w:rPr>
        <w:t xml:space="preserve">management report presentations, which affect </w:t>
      </w:r>
      <w:r w:rsidR="00247A43">
        <w:rPr>
          <w:rFonts w:ascii="Times New Roman" w:eastAsia="Calibri" w:hAnsi="Times New Roman" w:cs="Times New Roman"/>
          <w:sz w:val="24"/>
          <w:szCs w:val="24"/>
        </w:rPr>
        <w:t xml:space="preserve">the extent and effectiveness of managerial monitoring </w:t>
      </w:r>
      <w:r w:rsidRPr="00D15B6A">
        <w:rPr>
          <w:rFonts w:ascii="Times New Roman" w:eastAsia="Calibri" w:hAnsi="Times New Roman" w:cs="Times New Roman"/>
          <w:sz w:val="24"/>
          <w:szCs w:val="24"/>
        </w:rPr>
        <w:t xml:space="preserve">are </w:t>
      </w:r>
      <w:r w:rsidR="00247A43">
        <w:rPr>
          <w:rFonts w:ascii="Times New Roman" w:eastAsia="Calibri" w:hAnsi="Times New Roman" w:cs="Times New Roman"/>
          <w:sz w:val="24"/>
          <w:szCs w:val="24"/>
        </w:rPr>
        <w:t>often costly to organise in terms of time, meetings fees, allowances and other expenses</w:t>
      </w:r>
      <w:r w:rsidRPr="00D15B6A">
        <w:rPr>
          <w:rFonts w:ascii="Times New Roman" w:eastAsia="Calibri" w:hAnsi="Times New Roman" w:cs="Times New Roman"/>
          <w:sz w:val="24"/>
          <w:szCs w:val="24"/>
        </w:rPr>
        <w:t>. Accordingly, Jensen (1993) recommends that the firm’s operating context should be considered when deter</w:t>
      </w:r>
      <w:r w:rsidR="00DF2F94">
        <w:rPr>
          <w:rFonts w:ascii="Times New Roman" w:eastAsia="Calibri" w:hAnsi="Times New Roman" w:cs="Times New Roman"/>
          <w:sz w:val="24"/>
          <w:szCs w:val="24"/>
        </w:rPr>
        <w:t>mining board meeting frequency.</w:t>
      </w:r>
      <w:r w:rsidR="00E41976">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From this discussion, the second hypothesis of the study is:</w:t>
      </w:r>
    </w:p>
    <w:p w14:paraId="423F77DD" w14:textId="64B69022" w:rsidR="00C829B4" w:rsidRPr="00D15B6A" w:rsidRDefault="00C829B4" w:rsidP="00C829B4">
      <w:pPr>
        <w:spacing w:line="360" w:lineRule="auto"/>
        <w:ind w:firstLine="576"/>
        <w:jc w:val="both"/>
        <w:rPr>
          <w:rFonts w:ascii="Times New Roman" w:eastAsia="Calibri" w:hAnsi="Times New Roman" w:cs="Times New Roman"/>
          <w:i/>
          <w:sz w:val="24"/>
          <w:szCs w:val="24"/>
        </w:rPr>
      </w:pPr>
      <w:r w:rsidRPr="00D15B6A">
        <w:rPr>
          <w:rFonts w:ascii="Times New Roman" w:eastAsia="Calibri" w:hAnsi="Times New Roman" w:cs="Times New Roman"/>
          <w:b/>
          <w:bCs/>
          <w:i/>
          <w:iCs/>
          <w:sz w:val="24"/>
          <w:szCs w:val="24"/>
        </w:rPr>
        <w:t>H</w:t>
      </w:r>
      <w:r w:rsidRPr="00D15B6A">
        <w:rPr>
          <w:rFonts w:ascii="Times New Roman" w:eastAsia="Calibri" w:hAnsi="Times New Roman" w:cs="Times New Roman"/>
          <w:b/>
          <w:bCs/>
          <w:i/>
          <w:iCs/>
          <w:sz w:val="24"/>
          <w:szCs w:val="24"/>
          <w:vertAlign w:val="subscript"/>
        </w:rPr>
        <w:t>2</w:t>
      </w:r>
      <w:r w:rsidRPr="00D15B6A">
        <w:rPr>
          <w:rFonts w:ascii="Times New Roman" w:eastAsia="Calibri" w:hAnsi="Times New Roman" w:cs="Times New Roman"/>
          <w:i/>
          <w:sz w:val="24"/>
          <w:szCs w:val="24"/>
        </w:rPr>
        <w:t xml:space="preserve">: There is a </w:t>
      </w:r>
      <w:r w:rsidR="00892D6A" w:rsidRPr="00D15B6A">
        <w:rPr>
          <w:rFonts w:ascii="Times New Roman" w:eastAsia="Calibri" w:hAnsi="Times New Roman" w:cs="Times New Roman"/>
          <w:i/>
          <w:sz w:val="24"/>
          <w:szCs w:val="24"/>
        </w:rPr>
        <w:t>negative</w:t>
      </w:r>
      <w:r w:rsidRPr="00D15B6A">
        <w:rPr>
          <w:rFonts w:ascii="Times New Roman" w:eastAsia="Calibri" w:hAnsi="Times New Roman" w:cs="Times New Roman"/>
          <w:i/>
          <w:sz w:val="24"/>
          <w:szCs w:val="24"/>
        </w:rPr>
        <w:t xml:space="preserve"> relationship between board meetings and </w:t>
      </w:r>
      <w:r w:rsidR="00892D6A" w:rsidRPr="00D15B6A">
        <w:rPr>
          <w:rFonts w:ascii="Times New Roman" w:eastAsia="Calibri" w:hAnsi="Times New Roman" w:cs="Times New Roman"/>
          <w:i/>
          <w:sz w:val="24"/>
          <w:szCs w:val="24"/>
        </w:rPr>
        <w:t>risk</w:t>
      </w:r>
      <w:r w:rsidR="005A2DC4">
        <w:rPr>
          <w:rFonts w:ascii="Times New Roman" w:eastAsia="Calibri" w:hAnsi="Times New Roman" w:cs="Times New Roman"/>
          <w:i/>
          <w:sz w:val="24"/>
          <w:szCs w:val="24"/>
        </w:rPr>
        <w:t>-</w:t>
      </w:r>
      <w:r w:rsidR="00892D6A" w:rsidRPr="00D15B6A">
        <w:rPr>
          <w:rFonts w:ascii="Times New Roman" w:eastAsia="Calibri" w:hAnsi="Times New Roman" w:cs="Times New Roman"/>
          <w:i/>
          <w:sz w:val="24"/>
          <w:szCs w:val="24"/>
        </w:rPr>
        <w:t>taking</w:t>
      </w:r>
      <w:r w:rsidRPr="00D15B6A">
        <w:rPr>
          <w:rFonts w:ascii="Times New Roman" w:eastAsia="Calibri" w:hAnsi="Times New Roman" w:cs="Times New Roman"/>
          <w:i/>
          <w:sz w:val="24"/>
          <w:szCs w:val="24"/>
        </w:rPr>
        <w:t>.</w:t>
      </w:r>
    </w:p>
    <w:p w14:paraId="17E624BE" w14:textId="57987DC4" w:rsidR="00C829B4" w:rsidRPr="00424B88" w:rsidRDefault="00C829B4" w:rsidP="00C46E13">
      <w:pPr>
        <w:keepNext/>
        <w:keepLines/>
        <w:numPr>
          <w:ilvl w:val="1"/>
          <w:numId w:val="27"/>
        </w:numPr>
        <w:spacing w:before="160" w:after="120" w:line="240" w:lineRule="auto"/>
        <w:jc w:val="both"/>
        <w:outlineLvl w:val="2"/>
        <w:rPr>
          <w:rFonts w:ascii="Times New Roman" w:eastAsia="Times New Roman" w:hAnsi="Times New Roman" w:cs="Times New Roman"/>
          <w:b/>
          <w:i/>
          <w:sz w:val="24"/>
          <w:szCs w:val="24"/>
        </w:rPr>
      </w:pPr>
      <w:bookmarkStart w:id="7" w:name="_Toc459125847"/>
      <w:bookmarkStart w:id="8" w:name="_Toc459936860"/>
      <w:bookmarkStart w:id="9" w:name="_Toc459937735"/>
      <w:r w:rsidRPr="00424B88">
        <w:rPr>
          <w:rFonts w:ascii="Times New Roman" w:eastAsia="Times New Roman" w:hAnsi="Times New Roman" w:cs="Times New Roman"/>
          <w:b/>
          <w:i/>
          <w:sz w:val="24"/>
          <w:szCs w:val="24"/>
        </w:rPr>
        <w:t xml:space="preserve">Board </w:t>
      </w:r>
      <w:r w:rsidR="00E574C7" w:rsidRPr="00424B88">
        <w:rPr>
          <w:rFonts w:ascii="Times New Roman" w:eastAsia="Times New Roman" w:hAnsi="Times New Roman" w:cs="Times New Roman"/>
          <w:b/>
          <w:i/>
          <w:sz w:val="24"/>
          <w:szCs w:val="24"/>
        </w:rPr>
        <w:t xml:space="preserve">independence and </w:t>
      </w:r>
      <w:bookmarkEnd w:id="7"/>
      <w:bookmarkEnd w:id="8"/>
      <w:bookmarkEnd w:id="9"/>
      <w:r w:rsidR="00E574C7" w:rsidRPr="00424B88">
        <w:rPr>
          <w:rFonts w:ascii="Times New Roman" w:eastAsia="Times New Roman" w:hAnsi="Times New Roman" w:cs="Times New Roman"/>
          <w:b/>
          <w:i/>
          <w:sz w:val="24"/>
          <w:szCs w:val="24"/>
        </w:rPr>
        <w:t>risk</w:t>
      </w:r>
      <w:r w:rsidR="00DB5E87">
        <w:rPr>
          <w:rFonts w:ascii="Times New Roman" w:eastAsia="Times New Roman" w:hAnsi="Times New Roman" w:cs="Times New Roman"/>
          <w:b/>
          <w:i/>
          <w:sz w:val="24"/>
          <w:szCs w:val="24"/>
        </w:rPr>
        <w:t>-</w:t>
      </w:r>
      <w:r w:rsidR="00E574C7" w:rsidRPr="00424B88">
        <w:rPr>
          <w:rFonts w:ascii="Times New Roman" w:eastAsia="Times New Roman" w:hAnsi="Times New Roman" w:cs="Times New Roman"/>
          <w:b/>
          <w:i/>
          <w:sz w:val="24"/>
          <w:szCs w:val="24"/>
        </w:rPr>
        <w:t>taking</w:t>
      </w:r>
    </w:p>
    <w:p w14:paraId="731C3D20" w14:textId="26F4C7C0" w:rsidR="00C829B4" w:rsidRPr="00D15B6A" w:rsidRDefault="00E41976" w:rsidP="009065D3">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C829B4" w:rsidRPr="00D15B6A">
        <w:rPr>
          <w:rFonts w:ascii="Times New Roman" w:eastAsia="Calibri" w:hAnsi="Times New Roman" w:cs="Times New Roman"/>
          <w:sz w:val="24"/>
          <w:szCs w:val="24"/>
        </w:rPr>
        <w:t xml:space="preserve">ndependent directors, with improved qualifications and competence, signals to stakeholders that </w:t>
      </w:r>
      <w:r>
        <w:rPr>
          <w:rFonts w:ascii="Times New Roman" w:eastAsia="Calibri" w:hAnsi="Times New Roman" w:cs="Times New Roman"/>
          <w:sz w:val="24"/>
          <w:szCs w:val="24"/>
        </w:rPr>
        <w:t>firm</w:t>
      </w:r>
      <w:r w:rsidR="00C829B4" w:rsidRPr="00D15B6A">
        <w:rPr>
          <w:rFonts w:ascii="Times New Roman" w:eastAsia="Calibri" w:hAnsi="Times New Roman" w:cs="Times New Roman"/>
          <w:sz w:val="24"/>
          <w:szCs w:val="24"/>
        </w:rPr>
        <w:t xml:space="preserve">’s </w:t>
      </w:r>
      <w:r w:rsidR="007C76F0">
        <w:rPr>
          <w:rFonts w:ascii="Times New Roman" w:eastAsia="Calibri" w:hAnsi="Times New Roman" w:cs="Times New Roman"/>
          <w:sz w:val="24"/>
          <w:szCs w:val="24"/>
        </w:rPr>
        <w:t xml:space="preserve">risk-taking </w:t>
      </w:r>
      <w:r w:rsidR="00C829B4" w:rsidRPr="00D15B6A">
        <w:rPr>
          <w:rFonts w:ascii="Times New Roman" w:eastAsia="Calibri" w:hAnsi="Times New Roman" w:cs="Times New Roman"/>
          <w:sz w:val="24"/>
          <w:szCs w:val="24"/>
        </w:rPr>
        <w:t>properly reflects management choices, and that this performance is a trustworthy source for making investment judgments (Clarke, 2007). In contrast, organisations which are weak in terms of independent directors are likely to raise investors’ doubts and result in more agency costs, and hence, reduce performance (Connelly et al., 2011; Core, 2000</w:t>
      </w:r>
      <w:r w:rsidR="00155637">
        <w:rPr>
          <w:rFonts w:ascii="Times New Roman" w:eastAsia="Calibri" w:hAnsi="Times New Roman" w:cs="Times New Roman"/>
          <w:sz w:val="24"/>
          <w:szCs w:val="24"/>
        </w:rPr>
        <w:t>;</w:t>
      </w:r>
      <w:r w:rsidR="00E56C41">
        <w:rPr>
          <w:rFonts w:ascii="Times New Roman" w:eastAsia="Calibri" w:hAnsi="Times New Roman" w:cs="Times New Roman"/>
          <w:sz w:val="24"/>
          <w:szCs w:val="24"/>
        </w:rPr>
        <w:t xml:space="preserve"> </w:t>
      </w:r>
      <w:r w:rsidR="007E72CE">
        <w:rPr>
          <w:rFonts w:ascii="Times New Roman" w:eastAsia="Calibri" w:hAnsi="Times New Roman" w:cs="Times New Roman"/>
          <w:sz w:val="24"/>
          <w:szCs w:val="24"/>
        </w:rPr>
        <w:t xml:space="preserve">Tanda, </w:t>
      </w:r>
      <w:r w:rsidR="007E72CE" w:rsidRPr="007E72CE">
        <w:rPr>
          <w:rFonts w:ascii="Times New Roman" w:eastAsia="Calibri" w:hAnsi="Times New Roman" w:cs="Times New Roman"/>
          <w:sz w:val="24"/>
          <w:szCs w:val="24"/>
        </w:rPr>
        <w:t>2015</w:t>
      </w:r>
      <w:r w:rsidR="00C829B4" w:rsidRPr="00D15B6A">
        <w:rPr>
          <w:rFonts w:ascii="Times New Roman" w:eastAsia="Calibri" w:hAnsi="Times New Roman" w:cs="Times New Roman"/>
          <w:sz w:val="24"/>
          <w:szCs w:val="24"/>
        </w:rPr>
        <w:t xml:space="preserve">). Hence, </w:t>
      </w:r>
      <w:r w:rsidR="000E460D" w:rsidRPr="00D15B6A">
        <w:rPr>
          <w:rFonts w:ascii="Times New Roman" w:eastAsia="Calibri" w:hAnsi="Times New Roman" w:cs="Times New Roman"/>
          <w:sz w:val="24"/>
          <w:szCs w:val="24"/>
        </w:rPr>
        <w:t>agency theory</w:t>
      </w:r>
      <w:r w:rsidR="00C829B4" w:rsidRPr="00D15B6A">
        <w:rPr>
          <w:rFonts w:ascii="Times New Roman" w:eastAsia="Calibri" w:hAnsi="Times New Roman" w:cs="Times New Roman"/>
          <w:sz w:val="24"/>
          <w:szCs w:val="24"/>
        </w:rPr>
        <w:t xml:space="preserve"> highlights the importance of independent</w:t>
      </w:r>
      <w:r w:rsidR="00DB5E87">
        <w:rPr>
          <w:rFonts w:ascii="Times New Roman" w:eastAsia="Calibri" w:hAnsi="Times New Roman" w:cs="Times New Roman"/>
          <w:sz w:val="24"/>
          <w:szCs w:val="24"/>
        </w:rPr>
        <w:t xml:space="preserve"> directors</w:t>
      </w:r>
      <w:r w:rsidR="00C829B4" w:rsidRPr="00D15B6A">
        <w:rPr>
          <w:rFonts w:ascii="Times New Roman" w:eastAsia="Calibri" w:hAnsi="Times New Roman" w:cs="Times New Roman"/>
          <w:sz w:val="24"/>
          <w:szCs w:val="24"/>
        </w:rPr>
        <w:t xml:space="preserve"> to mitigate the effects of various inconsistent interests </w:t>
      </w:r>
      <w:r w:rsidR="00C829B4"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Y051bT4xODwvUmVjTnVtPjxEaXNwbGF5VGV4dD4oQWRhbXMgJmFtcDsgSmlhbmcsIDIwMTY7IEhv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</w:fldData>
        </w:fldChar>
      </w:r>
      <w:r w:rsidR="00C829B4" w:rsidRPr="00D15B6A">
        <w:rPr>
          <w:rFonts w:ascii="Times New Roman" w:eastAsia="Calibri" w:hAnsi="Times New Roman" w:cs="Times New Roman"/>
          <w:sz w:val="24"/>
          <w:szCs w:val="24"/>
        </w:rPr>
        <w:instrText xml:space="preserve"> ADDIN EN.CITE </w:instrText>
      </w:r>
      <w:r w:rsidR="00C829B4"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Y051bT4xODwvUmVjTnVtPjxEaXNwbGF5VGV4dD4oQWRhbXMgJmFtcDsgSmlhbmcsIDIwMTY7IEhv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</w:fldData>
        </w:fldChar>
      </w:r>
      <w:r w:rsidR="00C829B4" w:rsidRPr="00D15B6A">
        <w:rPr>
          <w:rFonts w:ascii="Times New Roman" w:eastAsia="Calibri" w:hAnsi="Times New Roman" w:cs="Times New Roman"/>
          <w:sz w:val="24"/>
          <w:szCs w:val="24"/>
        </w:rPr>
        <w:instrText xml:space="preserve"> ADDIN EN.CITE.DATA </w:instrText>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r>
      <w:r w:rsidR="00C829B4" w:rsidRPr="00D15B6A">
        <w:rPr>
          <w:rFonts w:ascii="Times New Roman" w:eastAsia="Calibri" w:hAnsi="Times New Roman" w:cs="Times New Roman"/>
          <w:sz w:val="24"/>
          <w:szCs w:val="24"/>
        </w:rPr>
        <w:fldChar w:fldCharType="separate"/>
      </w:r>
      <w:r w:rsidR="00C829B4" w:rsidRPr="00D15B6A">
        <w:rPr>
          <w:rFonts w:ascii="Times New Roman" w:eastAsia="Calibri" w:hAnsi="Times New Roman" w:cs="Times New Roman"/>
          <w:noProof/>
          <w:sz w:val="24"/>
          <w:szCs w:val="24"/>
        </w:rPr>
        <w:t>(</w:t>
      </w:r>
      <w:hyperlink w:anchor="_ENREF_1" w:tooltip="Adams, 2016 #18" w:history="1">
        <w:r w:rsidR="00C829B4" w:rsidRPr="00D15B6A">
          <w:rPr>
            <w:rFonts w:ascii="Times New Roman" w:eastAsia="Calibri" w:hAnsi="Times New Roman" w:cs="Times New Roman"/>
            <w:noProof/>
            <w:sz w:val="24"/>
            <w:szCs w:val="24"/>
          </w:rPr>
          <w:t>Adams &amp; Jiang, 2016</w:t>
        </w:r>
      </w:hyperlink>
      <w:r w:rsidR="00C829B4" w:rsidRPr="00D15B6A">
        <w:rPr>
          <w:rFonts w:ascii="Times New Roman" w:eastAsia="Calibri" w:hAnsi="Times New Roman" w:cs="Times New Roman"/>
          <w:noProof/>
          <w:sz w:val="24"/>
          <w:szCs w:val="24"/>
        </w:rPr>
        <w:t xml:space="preserve">; </w:t>
      </w:r>
      <w:r w:rsidR="007E72CE">
        <w:rPr>
          <w:rFonts w:ascii="Times New Roman" w:eastAsia="Calibri" w:hAnsi="Times New Roman" w:cs="Times New Roman"/>
          <w:noProof/>
          <w:sz w:val="24"/>
          <w:szCs w:val="24"/>
        </w:rPr>
        <w:t xml:space="preserve">Li </w:t>
      </w:r>
      <w:r w:rsidR="007E72CE" w:rsidRPr="007E72CE">
        <w:rPr>
          <w:rFonts w:ascii="Times New Roman" w:eastAsia="Calibri" w:hAnsi="Times New Roman" w:cs="Times New Roman"/>
          <w:noProof/>
          <w:sz w:val="24"/>
          <w:szCs w:val="24"/>
        </w:rPr>
        <w:t>&amp; Wearing</w:t>
      </w:r>
      <w:r w:rsidR="007E72CE">
        <w:rPr>
          <w:rFonts w:ascii="Times New Roman" w:eastAsia="Calibri" w:hAnsi="Times New Roman" w:cs="Times New Roman"/>
          <w:noProof/>
          <w:sz w:val="24"/>
          <w:szCs w:val="24"/>
        </w:rPr>
        <w:t>, 2012;</w:t>
      </w:r>
      <w:r w:rsidR="007E72CE" w:rsidRPr="007E72CE">
        <w:rPr>
          <w:rFonts w:ascii="Times New Roman" w:eastAsia="Calibri" w:hAnsi="Times New Roman" w:cs="Times New Roman"/>
          <w:noProof/>
          <w:sz w:val="24"/>
          <w:szCs w:val="24"/>
        </w:rPr>
        <w:t xml:space="preserve"> </w:t>
      </w:r>
      <w:hyperlink w:anchor="_ENREF_61" w:tooltip="Solomon, 2010 #41" w:history="1">
        <w:r w:rsidR="00C829B4" w:rsidRPr="00D15B6A">
          <w:rPr>
            <w:rFonts w:ascii="Times New Roman" w:eastAsia="Calibri" w:hAnsi="Times New Roman" w:cs="Times New Roman"/>
            <w:noProof/>
            <w:sz w:val="24"/>
            <w:szCs w:val="24"/>
          </w:rPr>
          <w:t>Solomon, 2010</w:t>
        </w:r>
      </w:hyperlink>
      <w:r w:rsidR="00C829B4" w:rsidRPr="00D15B6A">
        <w:rPr>
          <w:rFonts w:ascii="Times New Roman" w:eastAsia="Calibri" w:hAnsi="Times New Roman" w:cs="Times New Roman"/>
          <w:noProof/>
          <w:sz w:val="24"/>
          <w:szCs w:val="24"/>
        </w:rPr>
        <w:t xml:space="preserve">; </w:t>
      </w:r>
      <w:hyperlink w:anchor="_ENREF_63" w:tooltip="Vafeas, 1998 #74" w:history="1">
        <w:r w:rsidR="00C829B4" w:rsidRPr="00D15B6A">
          <w:rPr>
            <w:rFonts w:ascii="Times New Roman" w:eastAsia="Calibri" w:hAnsi="Times New Roman" w:cs="Times New Roman"/>
            <w:noProof/>
            <w:sz w:val="24"/>
            <w:szCs w:val="24"/>
          </w:rPr>
          <w:t>Vafeas &amp; Theodorou, 1998</w:t>
        </w:r>
      </w:hyperlink>
      <w:r w:rsidR="00C829B4" w:rsidRPr="00D15B6A">
        <w:rPr>
          <w:rFonts w:ascii="Times New Roman" w:eastAsia="Calibri" w:hAnsi="Times New Roman" w:cs="Times New Roman"/>
          <w:noProof/>
          <w:sz w:val="24"/>
          <w:szCs w:val="24"/>
        </w:rPr>
        <w:t>)</w:t>
      </w:r>
      <w:r w:rsidR="00C829B4" w:rsidRPr="00D15B6A">
        <w:rPr>
          <w:rFonts w:ascii="Times New Roman" w:eastAsia="Calibri" w:hAnsi="Times New Roman" w:cs="Times New Roman"/>
          <w:sz w:val="24"/>
          <w:szCs w:val="24"/>
        </w:rPr>
        <w:fldChar w:fldCharType="end"/>
      </w:r>
      <w:r w:rsidR="00C829B4" w:rsidRPr="00D15B6A">
        <w:rPr>
          <w:rFonts w:ascii="Times New Roman" w:eastAsia="Calibri" w:hAnsi="Times New Roman" w:cs="Times New Roman"/>
          <w:sz w:val="24"/>
          <w:szCs w:val="24"/>
        </w:rPr>
        <w:t>. More specifi</w:t>
      </w:r>
      <w:r w:rsidR="008D5154">
        <w:rPr>
          <w:rFonts w:ascii="Times New Roman" w:eastAsia="Calibri" w:hAnsi="Times New Roman" w:cs="Times New Roman"/>
          <w:sz w:val="24"/>
          <w:szCs w:val="24"/>
        </w:rPr>
        <w:t xml:space="preserve">cally, </w:t>
      </w:r>
      <w:r w:rsidR="00DB5E87">
        <w:rPr>
          <w:rFonts w:ascii="Times New Roman" w:eastAsia="Calibri" w:hAnsi="Times New Roman" w:cs="Times New Roman"/>
          <w:sz w:val="24"/>
          <w:szCs w:val="24"/>
        </w:rPr>
        <w:t>independent directors</w:t>
      </w:r>
      <w:r w:rsidR="00DB5E87" w:rsidRPr="00D15B6A">
        <w:rPr>
          <w:rFonts w:ascii="Times New Roman" w:eastAsia="Calibri" w:hAnsi="Times New Roman" w:cs="Times New Roman"/>
          <w:sz w:val="24"/>
          <w:szCs w:val="24"/>
        </w:rPr>
        <w:t xml:space="preserve"> </w:t>
      </w:r>
      <w:r w:rsidR="00C829B4" w:rsidRPr="00D15B6A">
        <w:rPr>
          <w:rFonts w:ascii="Times New Roman" w:eastAsia="Calibri" w:hAnsi="Times New Roman" w:cs="Times New Roman"/>
          <w:sz w:val="24"/>
          <w:szCs w:val="24"/>
        </w:rPr>
        <w:t>safeguard the interests of shareholders by employing CG principl</w:t>
      </w:r>
      <w:r>
        <w:rPr>
          <w:rFonts w:ascii="Times New Roman" w:eastAsia="Calibri" w:hAnsi="Times New Roman" w:cs="Times New Roman"/>
          <w:sz w:val="24"/>
          <w:szCs w:val="24"/>
        </w:rPr>
        <w:t xml:space="preserve">es (Bhagat &amp; Jefferris, 2002). </w:t>
      </w:r>
      <w:r w:rsidR="00C829B4" w:rsidRPr="00D15B6A">
        <w:rPr>
          <w:rFonts w:ascii="Times New Roman" w:eastAsia="Calibri" w:hAnsi="Times New Roman" w:cs="Times New Roman"/>
          <w:sz w:val="24"/>
          <w:szCs w:val="24"/>
        </w:rPr>
        <w:t xml:space="preserve">However, some scholars argue that boards consisting of a majority of </w:t>
      </w:r>
      <w:r w:rsidR="002B0CBF">
        <w:rPr>
          <w:rFonts w:ascii="Times New Roman" w:eastAsia="Calibri" w:hAnsi="Times New Roman" w:cs="Times New Roman"/>
          <w:sz w:val="24"/>
          <w:szCs w:val="24"/>
        </w:rPr>
        <w:t>independent director</w:t>
      </w:r>
      <w:r w:rsidR="00C829B4" w:rsidRPr="00D15B6A">
        <w:rPr>
          <w:rFonts w:ascii="Times New Roman" w:eastAsia="Calibri" w:hAnsi="Times New Roman" w:cs="Times New Roman"/>
          <w:sz w:val="24"/>
          <w:szCs w:val="24"/>
        </w:rPr>
        <w:t xml:space="preserve">s may influence firms’ performance negatively (Baysinger &amp; Hookisson, 1990; Weir &amp; Laing, 2000). Weir and Laing (2000) argue that </w:t>
      </w:r>
      <w:r w:rsidR="002B0CBF">
        <w:rPr>
          <w:rFonts w:ascii="Times New Roman" w:eastAsia="Calibri" w:hAnsi="Times New Roman" w:cs="Times New Roman"/>
          <w:sz w:val="24"/>
          <w:szCs w:val="24"/>
        </w:rPr>
        <w:t>independent directors</w:t>
      </w:r>
      <w:r w:rsidR="00C829B4" w:rsidRPr="00D15B6A">
        <w:rPr>
          <w:rFonts w:ascii="Times New Roman" w:eastAsia="Calibri" w:hAnsi="Times New Roman" w:cs="Times New Roman"/>
          <w:sz w:val="24"/>
          <w:szCs w:val="24"/>
        </w:rPr>
        <w:t xml:space="preserve"> often have less knowledge about the company and have limited time to offer </w:t>
      </w:r>
      <w:r w:rsidR="002B0CBF">
        <w:rPr>
          <w:rFonts w:ascii="Times New Roman" w:eastAsia="Calibri" w:hAnsi="Times New Roman" w:cs="Times New Roman"/>
          <w:sz w:val="24"/>
          <w:szCs w:val="24"/>
        </w:rPr>
        <w:t>in terms of</w:t>
      </w:r>
      <w:r w:rsidR="00C829B4" w:rsidRPr="00D15B6A">
        <w:rPr>
          <w:rFonts w:ascii="Times New Roman" w:eastAsia="Calibri" w:hAnsi="Times New Roman" w:cs="Times New Roman"/>
          <w:sz w:val="24"/>
          <w:szCs w:val="24"/>
        </w:rPr>
        <w:t xml:space="preserve"> monitoring </w:t>
      </w:r>
      <w:r w:rsidR="005A2DC4">
        <w:rPr>
          <w:rFonts w:ascii="Times New Roman" w:eastAsia="Calibri" w:hAnsi="Times New Roman" w:cs="Times New Roman"/>
          <w:sz w:val="24"/>
          <w:szCs w:val="24"/>
        </w:rPr>
        <w:t>managers</w:t>
      </w:r>
      <w:r w:rsidR="00C829B4" w:rsidRPr="00D15B6A">
        <w:rPr>
          <w:rFonts w:ascii="Times New Roman" w:eastAsia="Calibri" w:hAnsi="Times New Roman" w:cs="Times New Roman"/>
          <w:sz w:val="24"/>
          <w:szCs w:val="24"/>
        </w:rPr>
        <w:t>, as well as difficulties in understanding the firm’s complexities. Based on the above, the third hypothesis of this study is:</w:t>
      </w:r>
    </w:p>
    <w:p w14:paraId="1D61E5FE" w14:textId="17519C8E" w:rsidR="00C829B4" w:rsidRPr="00D15B6A" w:rsidRDefault="00C829B4" w:rsidP="000E460D">
      <w:pPr>
        <w:spacing w:line="360" w:lineRule="auto"/>
        <w:ind w:firstLine="576"/>
        <w:jc w:val="both"/>
        <w:rPr>
          <w:rFonts w:ascii="Times New Roman" w:eastAsia="Calibri" w:hAnsi="Times New Roman" w:cs="Times New Roman"/>
          <w:i/>
          <w:sz w:val="24"/>
          <w:szCs w:val="24"/>
        </w:rPr>
      </w:pPr>
      <w:r w:rsidRPr="00D15B6A">
        <w:rPr>
          <w:rFonts w:ascii="Times New Roman" w:eastAsia="Calibri" w:hAnsi="Times New Roman" w:cs="Times New Roman"/>
          <w:b/>
          <w:bCs/>
          <w:i/>
          <w:iCs/>
          <w:sz w:val="24"/>
          <w:szCs w:val="24"/>
        </w:rPr>
        <w:t>H</w:t>
      </w:r>
      <w:r w:rsidRPr="00D15B6A">
        <w:rPr>
          <w:rFonts w:ascii="Times New Roman" w:eastAsia="Calibri" w:hAnsi="Times New Roman" w:cs="Times New Roman"/>
          <w:b/>
          <w:bCs/>
          <w:i/>
          <w:iCs/>
          <w:sz w:val="24"/>
          <w:szCs w:val="24"/>
          <w:vertAlign w:val="subscript"/>
        </w:rPr>
        <w:t>3</w:t>
      </w:r>
      <w:r w:rsidRPr="00D15B6A">
        <w:rPr>
          <w:rFonts w:ascii="Times New Roman" w:eastAsia="Calibri" w:hAnsi="Times New Roman" w:cs="Times New Roman"/>
          <w:i/>
          <w:sz w:val="24"/>
          <w:szCs w:val="24"/>
        </w:rPr>
        <w:t xml:space="preserve">: There is a positive relationship between board independence and </w:t>
      </w:r>
      <w:r w:rsidR="008D5154">
        <w:rPr>
          <w:rFonts w:ascii="Times New Roman" w:eastAsia="Calibri" w:hAnsi="Times New Roman" w:cs="Times New Roman"/>
          <w:i/>
          <w:sz w:val="24"/>
          <w:szCs w:val="24"/>
        </w:rPr>
        <w:t>risk</w:t>
      </w:r>
      <w:r w:rsidR="005A2DC4">
        <w:rPr>
          <w:rFonts w:ascii="Times New Roman" w:eastAsia="Calibri" w:hAnsi="Times New Roman" w:cs="Times New Roman"/>
          <w:i/>
          <w:sz w:val="24"/>
          <w:szCs w:val="24"/>
        </w:rPr>
        <w:t>-</w:t>
      </w:r>
      <w:r w:rsidR="008D5154">
        <w:rPr>
          <w:rFonts w:ascii="Times New Roman" w:eastAsia="Calibri" w:hAnsi="Times New Roman" w:cs="Times New Roman"/>
          <w:i/>
          <w:sz w:val="24"/>
          <w:szCs w:val="24"/>
        </w:rPr>
        <w:t>taking</w:t>
      </w:r>
      <w:r w:rsidR="000E460D" w:rsidRPr="00D15B6A">
        <w:rPr>
          <w:rFonts w:ascii="Times New Roman" w:eastAsia="Calibri" w:hAnsi="Times New Roman" w:cs="Times New Roman"/>
          <w:i/>
          <w:sz w:val="24"/>
          <w:szCs w:val="24"/>
        </w:rPr>
        <w:t>.</w:t>
      </w:r>
    </w:p>
    <w:p w14:paraId="4FC1145E" w14:textId="03063709" w:rsidR="00C829B4" w:rsidRPr="00424B88" w:rsidRDefault="00C829B4" w:rsidP="00C46E13">
      <w:pPr>
        <w:keepNext/>
        <w:keepLines/>
        <w:numPr>
          <w:ilvl w:val="1"/>
          <w:numId w:val="27"/>
        </w:numPr>
        <w:spacing w:before="160" w:after="120" w:line="240" w:lineRule="auto"/>
        <w:jc w:val="both"/>
        <w:outlineLvl w:val="2"/>
        <w:rPr>
          <w:rFonts w:ascii="Times New Roman" w:eastAsia="Times New Roman" w:hAnsi="Times New Roman" w:cs="Times New Roman"/>
          <w:b/>
          <w:i/>
          <w:sz w:val="24"/>
          <w:szCs w:val="24"/>
        </w:rPr>
      </w:pPr>
      <w:bookmarkStart w:id="10" w:name="_Toc459125848"/>
      <w:bookmarkStart w:id="11" w:name="_Toc459936861"/>
      <w:bookmarkStart w:id="12" w:name="_Toc459937736"/>
      <w:r w:rsidRPr="00424B88">
        <w:rPr>
          <w:rFonts w:ascii="Times New Roman" w:eastAsia="Times New Roman" w:hAnsi="Times New Roman" w:cs="Times New Roman"/>
          <w:b/>
          <w:i/>
          <w:sz w:val="24"/>
          <w:szCs w:val="24"/>
        </w:rPr>
        <w:t xml:space="preserve">Audit </w:t>
      </w:r>
      <w:r w:rsidR="00E574C7" w:rsidRPr="00424B88">
        <w:rPr>
          <w:rFonts w:ascii="Times New Roman" w:eastAsia="Times New Roman" w:hAnsi="Times New Roman" w:cs="Times New Roman"/>
          <w:b/>
          <w:i/>
          <w:sz w:val="24"/>
          <w:szCs w:val="24"/>
        </w:rPr>
        <w:t xml:space="preserve">committee size and </w:t>
      </w:r>
      <w:bookmarkEnd w:id="10"/>
      <w:bookmarkEnd w:id="11"/>
      <w:bookmarkEnd w:id="12"/>
      <w:r w:rsidR="00E574C7" w:rsidRPr="00424B88">
        <w:rPr>
          <w:rFonts w:ascii="Times New Roman" w:eastAsia="Times New Roman" w:hAnsi="Times New Roman" w:cs="Times New Roman"/>
          <w:b/>
          <w:i/>
          <w:sz w:val="24"/>
          <w:szCs w:val="24"/>
        </w:rPr>
        <w:t>risk</w:t>
      </w:r>
      <w:r w:rsidR="005A2DC4">
        <w:rPr>
          <w:rFonts w:ascii="Times New Roman" w:eastAsia="Times New Roman" w:hAnsi="Times New Roman" w:cs="Times New Roman"/>
          <w:b/>
          <w:i/>
          <w:sz w:val="24"/>
          <w:szCs w:val="24"/>
        </w:rPr>
        <w:t>-</w:t>
      </w:r>
      <w:r w:rsidR="00E574C7" w:rsidRPr="00424B88">
        <w:rPr>
          <w:rFonts w:ascii="Times New Roman" w:eastAsia="Times New Roman" w:hAnsi="Times New Roman" w:cs="Times New Roman"/>
          <w:b/>
          <w:i/>
          <w:sz w:val="24"/>
          <w:szCs w:val="24"/>
        </w:rPr>
        <w:t>taking</w:t>
      </w:r>
    </w:p>
    <w:p w14:paraId="3D3744D9" w14:textId="3A60485F" w:rsidR="00C829B4" w:rsidRPr="00D15B6A" w:rsidRDefault="00C829B4" w:rsidP="00DA6C52">
      <w:pPr>
        <w:spacing w:line="360" w:lineRule="auto"/>
        <w:ind w:firstLine="720"/>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Previous literature suggests that the establishment of an audit committee in a specific company is an indication of increased board effectiveness and efficiency </w:t>
      </w:r>
      <w:r w:rsidRPr="00D15B6A">
        <w:rPr>
          <w:rFonts w:ascii="Times New Roman" w:eastAsia="Calibri" w:hAnsi="Times New Roman" w:cs="Times New Roman"/>
          <w:sz w:val="24"/>
          <w:szCs w:val="24"/>
        </w:rPr>
        <w:fldChar w:fldCharType="begin"/>
      </w:r>
      <w:r w:rsidRPr="00D15B6A">
        <w:rPr>
          <w:rFonts w:ascii="Times New Roman" w:eastAsia="Calibri" w:hAnsi="Times New Roman" w:cs="Times New Roman"/>
          <w:sz w:val="24"/>
          <w:szCs w:val="24"/>
        </w:rPr>
        <w:instrText xml:space="preserve"> ADDIN EN.CITE &lt;EndNote&gt;&lt;Cite&gt;&lt;Author&gt;Adams&lt;/Author&gt;&lt;Year&gt;2016&lt;/Year&gt;&lt;RecNum&gt;18&lt;/RecNum&gt;&lt;DisplayText&gt;(Adams &amp;amp; Jiang, 2016)&lt;/DisplayText&gt;&lt;record&gt;&lt;rec-number&gt;18&lt;/rec-number&gt;&lt;foreign-keys&gt;&lt;key app="EN" db-id="t5v9xwx225adw1erxp8pdzxowddx2vd020f0"&gt;18&lt;/key&gt;&lt;/foreign-keys&gt;&lt;ref-type name="Journal Article"&gt;17&lt;/ref-type&gt;&lt;contributors&gt;&lt;authors&gt;&lt;author&gt;Adams, Mike&lt;/author&gt;&lt;author&gt;Jiang, Wei&lt;/author&gt;&lt;/authors&gt;&lt;/contributors&gt;&lt;titles&gt;&lt;title&gt;Do outside directors influence the financial performance of risk-trading firms? Evidence from the United Kingdom (UK) insurance industry&lt;/title&gt;&lt;secondary-title&gt;Journal of Banking &amp;amp; Finance&lt;/secondary-title&gt;&lt;/titles&gt;&lt;periodical&gt;&lt;full-title&gt;Journal of Banking &amp;amp; Finance&lt;/full-title&gt;&lt;/periodical&gt;&lt;pages&gt;36-51&lt;/pages&gt;&lt;volume&gt;64&lt;/volume&gt;&lt;dates&gt;&lt;year&gt;2016&lt;/year&gt;&lt;/dates&gt;&lt;isbn&gt;0378-4266&lt;/isbn&gt;&lt;urls&gt;&lt;/urls&gt;&lt;/record&gt;&lt;/Cite&gt;&lt;/EndNote&gt;</w:instrText>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sz w:val="24"/>
          <w:szCs w:val="24"/>
        </w:rPr>
        <w:t>(</w:t>
      </w:r>
      <w:hyperlink w:anchor="_ENREF_1" w:tooltip="Adams, 2016 #18" w:history="1">
        <w:r w:rsidRPr="00D15B6A">
          <w:rPr>
            <w:rFonts w:ascii="Times New Roman" w:eastAsia="Calibri" w:hAnsi="Times New Roman" w:cs="Times New Roman"/>
            <w:sz w:val="24"/>
            <w:szCs w:val="24"/>
          </w:rPr>
          <w:t>Adams &amp; Jiang, 2016</w:t>
        </w:r>
      </w:hyperlink>
      <w:r w:rsidRPr="00D15B6A">
        <w:rPr>
          <w:rFonts w:ascii="Times New Roman" w:eastAsia="Calibri" w:hAnsi="Times New Roman" w:cs="Times New Roman"/>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w:t>
      </w:r>
      <w:r w:rsidR="00E41976" w:rsidRPr="00D15B6A">
        <w:rPr>
          <w:rFonts w:ascii="Times New Roman" w:eastAsia="Calibri" w:hAnsi="Times New Roman" w:cs="Times New Roman"/>
          <w:sz w:val="24"/>
          <w:szCs w:val="24"/>
        </w:rPr>
        <w:t>A</w:t>
      </w:r>
      <w:r w:rsidRPr="00D15B6A">
        <w:rPr>
          <w:rFonts w:ascii="Times New Roman" w:eastAsia="Calibri" w:hAnsi="Times New Roman" w:cs="Times New Roman"/>
          <w:sz w:val="24"/>
          <w:szCs w:val="24"/>
        </w:rPr>
        <w:t>gency theory assumes that a strong audit committee with regular meetings of qualified and knowledgeable members can have a controlling role over directors’ behaviour (Jermias &amp; Gani, 2014)</w:t>
      </w:r>
      <w:r w:rsidR="005A2DC4">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 </w:t>
      </w:r>
      <w:r w:rsidR="005A2DC4">
        <w:rPr>
          <w:rFonts w:ascii="Times New Roman" w:eastAsia="Calibri" w:hAnsi="Times New Roman" w:cs="Times New Roman"/>
          <w:sz w:val="24"/>
          <w:szCs w:val="24"/>
        </w:rPr>
        <w:t xml:space="preserve">This </w:t>
      </w:r>
      <w:r w:rsidRPr="00D15B6A">
        <w:rPr>
          <w:rFonts w:ascii="Times New Roman" w:eastAsia="Calibri" w:hAnsi="Times New Roman" w:cs="Times New Roman"/>
          <w:sz w:val="24"/>
          <w:szCs w:val="24"/>
        </w:rPr>
        <w:t xml:space="preserve">can increase value to agents </w:t>
      </w:r>
      <w:r w:rsidR="005A2DC4">
        <w:rPr>
          <w:rFonts w:ascii="Times New Roman" w:eastAsia="Calibri" w:hAnsi="Times New Roman" w:cs="Times New Roman"/>
          <w:sz w:val="24"/>
          <w:szCs w:val="24"/>
        </w:rPr>
        <w:t>by</w:t>
      </w:r>
      <w:r w:rsidR="005A2DC4"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periodically </w:t>
      </w:r>
      <w:r w:rsidR="005A2DC4">
        <w:rPr>
          <w:rFonts w:ascii="Times New Roman" w:eastAsia="Calibri" w:hAnsi="Times New Roman" w:cs="Times New Roman"/>
          <w:sz w:val="24"/>
          <w:szCs w:val="24"/>
        </w:rPr>
        <w:t>evaluating</w:t>
      </w:r>
      <w:r w:rsidRPr="00D15B6A">
        <w:rPr>
          <w:rFonts w:ascii="Times New Roman" w:eastAsia="Calibri" w:hAnsi="Times New Roman" w:cs="Times New Roman"/>
          <w:sz w:val="24"/>
          <w:szCs w:val="24"/>
        </w:rPr>
        <w:t xml:space="preserve"> and appraising insurance companies’ management plans and strategies </w:t>
      </w:r>
      <w:r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Y051bT4xODwvUmVjTnVtPjxEaXNwbGF5VGV4dD4oQWRhbXMgJmFtcDsgSmlhbmcsIDIwMTY7IEpl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</w:fldData>
        </w:fldChar>
      </w:r>
      <w:r w:rsidRPr="00D15B6A">
        <w:rPr>
          <w:rFonts w:ascii="Times New Roman" w:eastAsia="Calibri" w:hAnsi="Times New Roman" w:cs="Times New Roman"/>
          <w:sz w:val="24"/>
          <w:szCs w:val="24"/>
        </w:rPr>
        <w:instrText xml:space="preserve"> ADDIN EN.CITE </w:instrText>
      </w:r>
      <w:r w:rsidRPr="00D15B6A">
        <w:rPr>
          <w:rFonts w:ascii="Times New Roman" w:eastAsia="Calibri" w:hAnsi="Times New Roman" w:cs="Times New Roman"/>
          <w:sz w:val="24"/>
          <w:szCs w:val="24"/>
        </w:rPr>
        <w:fldChar w:fldCharType="begin">
          <w:fldData xml:space="preserve">PEVuZE5vdGU+PENpdGU+PEF1dGhvcj5BZGFtczwvQXV0aG9yPjxZZWFyPjIwMTY8L1llYXI+PFJl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</w:fldData>
        </w:fldChar>
      </w:r>
      <w:r w:rsidRPr="00D15B6A">
        <w:rPr>
          <w:rFonts w:ascii="Times New Roman" w:eastAsia="Calibri" w:hAnsi="Times New Roman" w:cs="Times New Roman"/>
          <w:sz w:val="24"/>
          <w:szCs w:val="24"/>
        </w:rPr>
        <w:instrText xml:space="preserve"> ADDIN EN.CITE.DATA </w:instrText>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noProof/>
          <w:sz w:val="24"/>
          <w:szCs w:val="24"/>
        </w:rPr>
        <w:t>(</w:t>
      </w:r>
      <w:hyperlink w:anchor="_ENREF_1" w:tooltip="Adams, 2016 #18" w:history="1">
        <w:r w:rsidRPr="00D15B6A">
          <w:rPr>
            <w:rFonts w:ascii="Times New Roman" w:eastAsia="Calibri" w:hAnsi="Times New Roman" w:cs="Times New Roman"/>
            <w:noProof/>
            <w:sz w:val="24"/>
            <w:szCs w:val="24"/>
          </w:rPr>
          <w:t>Adams &amp; Jiang, 2016</w:t>
        </w:r>
      </w:hyperlink>
      <w:r w:rsidRPr="00D15B6A">
        <w:rPr>
          <w:rFonts w:ascii="Times New Roman" w:eastAsia="Calibri" w:hAnsi="Times New Roman" w:cs="Times New Roman"/>
          <w:noProof/>
          <w:sz w:val="24"/>
          <w:szCs w:val="24"/>
        </w:rPr>
        <w:t xml:space="preserve">; </w:t>
      </w:r>
      <w:hyperlink w:anchor="_ENREF_40" w:tooltip="Jensen, 1976 #50" w:history="1">
        <w:r w:rsidRPr="00D15B6A">
          <w:rPr>
            <w:rFonts w:ascii="Times New Roman" w:eastAsia="Calibri" w:hAnsi="Times New Roman" w:cs="Times New Roman"/>
            <w:noProof/>
            <w:sz w:val="24"/>
            <w:szCs w:val="24"/>
          </w:rPr>
          <w:t>Jensen &amp; Meckling, 1976</w:t>
        </w:r>
      </w:hyperlink>
      <w:r w:rsidRPr="00D15B6A">
        <w:rPr>
          <w:rFonts w:ascii="Times New Roman" w:eastAsia="Calibri" w:hAnsi="Times New Roman" w:cs="Times New Roman"/>
          <w:noProof/>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Furthermore, </w:t>
      </w:r>
      <w:r w:rsidR="000E460D" w:rsidRPr="00D15B6A">
        <w:rPr>
          <w:rFonts w:ascii="Times New Roman" w:eastAsia="Calibri" w:hAnsi="Times New Roman" w:cs="Times New Roman"/>
          <w:sz w:val="24"/>
          <w:szCs w:val="24"/>
        </w:rPr>
        <w:t>agency theory</w:t>
      </w:r>
      <w:r w:rsidRPr="00D15B6A">
        <w:rPr>
          <w:rFonts w:ascii="Times New Roman" w:eastAsia="Calibri" w:hAnsi="Times New Roman" w:cs="Times New Roman"/>
          <w:sz w:val="24"/>
          <w:szCs w:val="24"/>
        </w:rPr>
        <w:t xml:space="preserve"> </w:t>
      </w:r>
      <w:r w:rsidR="00DA6C52">
        <w:rPr>
          <w:rFonts w:ascii="Times New Roman" w:eastAsia="Calibri" w:hAnsi="Times New Roman" w:cs="Times New Roman"/>
          <w:sz w:val="24"/>
          <w:szCs w:val="24"/>
        </w:rPr>
        <w:t>suggests</w:t>
      </w:r>
      <w:r w:rsidR="00DA6C52"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that an improved and strong audit committee </w:t>
      </w:r>
      <w:r w:rsidR="00DA6C52">
        <w:rPr>
          <w:rFonts w:ascii="Times New Roman" w:eastAsia="Calibri" w:hAnsi="Times New Roman" w:cs="Times New Roman"/>
          <w:sz w:val="24"/>
          <w:szCs w:val="24"/>
        </w:rPr>
        <w:t>can</w:t>
      </w:r>
      <w:r w:rsidRPr="00D15B6A">
        <w:rPr>
          <w:rFonts w:ascii="Times New Roman" w:eastAsia="Calibri" w:hAnsi="Times New Roman" w:cs="Times New Roman"/>
          <w:sz w:val="24"/>
          <w:szCs w:val="24"/>
        </w:rPr>
        <w:t xml:space="preserve"> assist organisations to distinguish themselves from others through enhanced </w:t>
      </w:r>
      <w:r w:rsidR="007C76F0">
        <w:rPr>
          <w:rFonts w:ascii="Times New Roman" w:eastAsia="Calibri" w:hAnsi="Times New Roman" w:cs="Times New Roman"/>
          <w:sz w:val="24"/>
          <w:szCs w:val="24"/>
        </w:rPr>
        <w:t xml:space="preserve">risk-taking </w:t>
      </w:r>
      <w:r w:rsidR="008D5154">
        <w:rPr>
          <w:rFonts w:ascii="Times New Roman" w:eastAsia="Calibri" w:hAnsi="Times New Roman" w:cs="Times New Roman"/>
          <w:sz w:val="24"/>
          <w:szCs w:val="24"/>
        </w:rPr>
        <w:t>behaviour</w:t>
      </w:r>
      <w:r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fldChar w:fldCharType="begin"/>
      </w:r>
      <w:r w:rsidRPr="00D15B6A">
        <w:rPr>
          <w:rFonts w:ascii="Times New Roman" w:eastAsia="Calibri" w:hAnsi="Times New Roman" w:cs="Times New Roman"/>
          <w:sz w:val="24"/>
          <w:szCs w:val="24"/>
        </w:rPr>
        <w:instrText xml:space="preserve"> ADDIN EN.CITE &lt;EndNote&gt;&lt;Cite&gt;&lt;Author&gt;Connelly&lt;/Author&gt;&lt;Year&gt;2011&lt;/Year&gt;&lt;RecNum&gt;57&lt;/RecNum&gt;&lt;DisplayText&gt;(Chirkos, 2014; Connelly, Certo, Ireland, &amp;amp; Reutzel, 2011)&lt;/DisplayText&gt;&lt;record&gt;&lt;rec-number&gt;57&lt;/rec-number&gt;&lt;foreign-keys&gt;&lt;key app="EN" db-id="t5v9xwx225adw1erxp8pdzxowddx2vd020f0"&gt;57&lt;/key&gt;&lt;/foreign-keys&gt;&lt;ref-type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dates&gt;&lt;year&gt;2011&lt;/year&gt;&lt;/dates&gt;&lt;isbn&gt;0149-2063&lt;/isbn&gt;&lt;urls&gt;&lt;/urls&gt;&lt;/record&gt;&lt;/Cite&gt;&lt;Cite&gt;&lt;Author&gt;Chirkos&lt;/Author&gt;&lt;Year&gt;2014&lt;/Year&gt;&lt;RecNum&gt;19&lt;/RecNum&gt;&lt;record&gt;&lt;rec-number&gt;19&lt;/rec-number&gt;&lt;foreign-keys&gt;&lt;key app="EN" db-id="t5v9xwx225adw1erxp8pdzxowddx2vd020f0"&gt;19&lt;/key&gt;&lt;/foreign-keys&gt;&lt;ref-type name="Journal Article"&gt;17&lt;/ref-type&gt;&lt;contributors&gt;&lt;authors&gt;&lt;author&gt;Chirkos, Asmamaw Yigzaw&lt;/author&gt;&lt;/authors&gt;&lt;/contributors&gt;&lt;titles&gt;&lt;title&gt;The impact of corporate governance on firm&amp;apos;s performance: evidence from banking sector in Ethiopia&lt;/title&gt;&lt;secondary-title&gt;ZENITH International Journal of Business Economics &amp;amp; Management Research&lt;/secondary-title&gt;&lt;/titles&gt;&lt;periodical&gt;&lt;full-title&gt;ZENITH International Journal of Business Economics &amp;amp; Management Research&lt;/full-title&gt;&lt;/periodical&gt;&lt;pages&gt;158-170&lt;/pages&gt;&lt;volume&gt;4&lt;/volume&gt;&lt;number&gt;2&lt;/number&gt;&lt;dates&gt;&lt;year&gt;2014&lt;/year&gt;&lt;/dates&gt;&lt;urls&gt;&lt;/urls&gt;&lt;/record&gt;&lt;/Cite&gt;&lt;/EndNote&gt;</w:instrText>
      </w:r>
      <w:r w:rsidRPr="00D15B6A">
        <w:rPr>
          <w:rFonts w:ascii="Times New Roman" w:eastAsia="Calibri" w:hAnsi="Times New Roman" w:cs="Times New Roman"/>
          <w:sz w:val="24"/>
          <w:szCs w:val="24"/>
        </w:rPr>
        <w:fldChar w:fldCharType="separate"/>
      </w:r>
      <w:r w:rsidRPr="00D15B6A">
        <w:rPr>
          <w:rFonts w:ascii="Times New Roman" w:eastAsia="Calibri" w:hAnsi="Times New Roman" w:cs="Times New Roman"/>
          <w:noProof/>
          <w:sz w:val="24"/>
          <w:szCs w:val="24"/>
        </w:rPr>
        <w:t>(</w:t>
      </w:r>
      <w:hyperlink w:anchor="_ENREF_19" w:tooltip="Connelly, 2011 #57" w:history="1">
        <w:r w:rsidRPr="00D15B6A">
          <w:rPr>
            <w:rFonts w:ascii="Times New Roman" w:eastAsia="Calibri" w:hAnsi="Times New Roman" w:cs="Times New Roman"/>
            <w:noProof/>
            <w:sz w:val="24"/>
            <w:szCs w:val="24"/>
          </w:rPr>
          <w:t>Connelly et al., 2011</w:t>
        </w:r>
      </w:hyperlink>
      <w:r w:rsidRPr="00D15B6A">
        <w:rPr>
          <w:rFonts w:ascii="Times New Roman" w:eastAsia="Calibri" w:hAnsi="Times New Roman" w:cs="Times New Roman"/>
          <w:noProof/>
          <w:sz w:val="24"/>
          <w:szCs w:val="24"/>
        </w:rPr>
        <w:t>)</w:t>
      </w:r>
      <w:r w:rsidRPr="00D15B6A">
        <w:rPr>
          <w:rFonts w:ascii="Times New Roman" w:eastAsia="Calibri" w:hAnsi="Times New Roman" w:cs="Times New Roman"/>
          <w:sz w:val="24"/>
          <w:szCs w:val="24"/>
        </w:rPr>
        <w:fldChar w:fldCharType="end"/>
      </w:r>
      <w:r w:rsidRPr="00D15B6A">
        <w:rPr>
          <w:rFonts w:ascii="Times New Roman" w:eastAsia="Calibri" w:hAnsi="Times New Roman" w:cs="Times New Roman"/>
          <w:sz w:val="24"/>
          <w:szCs w:val="24"/>
        </w:rPr>
        <w:t xml:space="preserve">. </w:t>
      </w:r>
      <w:r w:rsidR="00E90DF7" w:rsidRPr="00D15B6A">
        <w:rPr>
          <w:rFonts w:ascii="Times New Roman" w:eastAsia="Calibri" w:hAnsi="Times New Roman" w:cs="Times New Roman"/>
          <w:sz w:val="24"/>
          <w:szCs w:val="24"/>
        </w:rPr>
        <w:t>P</w:t>
      </w:r>
      <w:r w:rsidRPr="00D15B6A">
        <w:rPr>
          <w:rFonts w:ascii="Times New Roman" w:eastAsia="Calibri" w:hAnsi="Times New Roman" w:cs="Times New Roman"/>
          <w:sz w:val="24"/>
          <w:szCs w:val="24"/>
        </w:rPr>
        <w:t>revious studies provide inconsistent results. For example, Jermias and Gani (2014)</w:t>
      </w:r>
      <w:r w:rsidR="00E90DF7">
        <w:rPr>
          <w:rFonts w:ascii="Times New Roman" w:eastAsia="Calibri" w:hAnsi="Times New Roman" w:cs="Times New Roman"/>
          <w:sz w:val="24"/>
          <w:szCs w:val="24"/>
        </w:rPr>
        <w:t xml:space="preserve"> find</w:t>
      </w:r>
      <w:r w:rsidRPr="00D15B6A">
        <w:rPr>
          <w:rFonts w:ascii="Times New Roman" w:eastAsia="Calibri" w:hAnsi="Times New Roman" w:cs="Times New Roman"/>
          <w:sz w:val="24"/>
          <w:szCs w:val="24"/>
        </w:rPr>
        <w:t xml:space="preserve"> a significant negative relationship between audit committee and </w:t>
      </w:r>
      <w:r w:rsidR="000E460D" w:rsidRPr="00D15B6A">
        <w:rPr>
          <w:rFonts w:ascii="Times New Roman" w:eastAsia="Calibri" w:hAnsi="Times New Roman" w:cs="Times New Roman"/>
          <w:sz w:val="24"/>
          <w:szCs w:val="24"/>
        </w:rPr>
        <w:t>risk</w:t>
      </w:r>
      <w:r w:rsidR="00F21BD6">
        <w:rPr>
          <w:rFonts w:ascii="Times New Roman" w:eastAsia="Calibri" w:hAnsi="Times New Roman" w:cs="Times New Roman"/>
          <w:sz w:val="24"/>
          <w:szCs w:val="24"/>
        </w:rPr>
        <w:t>-</w:t>
      </w:r>
      <w:r w:rsidR="000E460D" w:rsidRPr="00D15B6A">
        <w:rPr>
          <w:rFonts w:ascii="Times New Roman" w:eastAsia="Calibri" w:hAnsi="Times New Roman" w:cs="Times New Roman"/>
          <w:sz w:val="24"/>
          <w:szCs w:val="24"/>
        </w:rPr>
        <w:t>taking</w:t>
      </w:r>
      <w:r w:rsidRPr="00D15B6A">
        <w:rPr>
          <w:rFonts w:ascii="Times New Roman" w:eastAsia="Calibri" w:hAnsi="Times New Roman" w:cs="Times New Roman"/>
          <w:sz w:val="24"/>
          <w:szCs w:val="24"/>
        </w:rPr>
        <w:t xml:space="preserve">. </w:t>
      </w:r>
      <w:r w:rsidR="000E460D" w:rsidRPr="00D15B6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 xml:space="preserve">On the other hand, Adams and Jiang (2016) </w:t>
      </w:r>
      <w:r w:rsidR="00E90DF7">
        <w:rPr>
          <w:rFonts w:ascii="Times New Roman" w:eastAsia="Calibri" w:hAnsi="Times New Roman" w:cs="Times New Roman"/>
          <w:sz w:val="24"/>
          <w:szCs w:val="24"/>
        </w:rPr>
        <w:t>find</w:t>
      </w:r>
      <w:r w:rsidRPr="00D15B6A">
        <w:rPr>
          <w:rFonts w:ascii="Times New Roman" w:eastAsia="Calibri" w:hAnsi="Times New Roman" w:cs="Times New Roman"/>
          <w:sz w:val="24"/>
          <w:szCs w:val="24"/>
        </w:rPr>
        <w:t xml:space="preserve"> no significant relationship between audit committee and </w:t>
      </w:r>
      <w:r w:rsidR="000E460D" w:rsidRPr="00D15B6A">
        <w:rPr>
          <w:rFonts w:ascii="Times New Roman" w:eastAsia="Calibri" w:hAnsi="Times New Roman" w:cs="Times New Roman"/>
          <w:sz w:val="24"/>
          <w:szCs w:val="24"/>
        </w:rPr>
        <w:t>risk</w:t>
      </w:r>
      <w:r w:rsidR="00F21BD6">
        <w:rPr>
          <w:rFonts w:ascii="Times New Roman" w:eastAsia="Calibri" w:hAnsi="Times New Roman" w:cs="Times New Roman"/>
          <w:sz w:val="24"/>
          <w:szCs w:val="24"/>
        </w:rPr>
        <w:t>-</w:t>
      </w:r>
      <w:r w:rsidR="000E460D" w:rsidRPr="00D15B6A">
        <w:rPr>
          <w:rFonts w:ascii="Times New Roman" w:eastAsia="Calibri" w:hAnsi="Times New Roman" w:cs="Times New Roman"/>
          <w:sz w:val="24"/>
          <w:szCs w:val="24"/>
        </w:rPr>
        <w:t>taking</w:t>
      </w:r>
      <w:r w:rsidRPr="00D15B6A">
        <w:rPr>
          <w:rFonts w:ascii="Times New Roman" w:eastAsia="Calibri" w:hAnsi="Times New Roman" w:cs="Times New Roman"/>
          <w:sz w:val="24"/>
          <w:szCs w:val="24"/>
        </w:rPr>
        <w:t xml:space="preserve">. Hsu and Petchsakulwong (2010) </w:t>
      </w:r>
      <w:r w:rsidR="00E90DF7">
        <w:rPr>
          <w:rFonts w:ascii="Times New Roman" w:eastAsia="Calibri" w:hAnsi="Times New Roman" w:cs="Times New Roman"/>
          <w:sz w:val="24"/>
          <w:szCs w:val="24"/>
        </w:rPr>
        <w:t>show</w:t>
      </w:r>
      <w:r w:rsidRPr="00D15B6A">
        <w:rPr>
          <w:rFonts w:ascii="Times New Roman" w:eastAsia="Calibri" w:hAnsi="Times New Roman" w:cs="Times New Roman"/>
          <w:sz w:val="24"/>
          <w:szCs w:val="24"/>
        </w:rPr>
        <w:t xml:space="preserve"> a significant negative relationship between audit committee and </w:t>
      </w:r>
      <w:r w:rsidR="000E460D" w:rsidRPr="00D15B6A">
        <w:rPr>
          <w:rFonts w:ascii="Times New Roman" w:eastAsia="Calibri" w:hAnsi="Times New Roman" w:cs="Times New Roman"/>
          <w:sz w:val="24"/>
          <w:szCs w:val="24"/>
        </w:rPr>
        <w:t>risk</w:t>
      </w:r>
      <w:r w:rsidR="00F21BD6">
        <w:rPr>
          <w:rFonts w:ascii="Times New Roman" w:eastAsia="Calibri" w:hAnsi="Times New Roman" w:cs="Times New Roman"/>
          <w:sz w:val="24"/>
          <w:szCs w:val="24"/>
        </w:rPr>
        <w:t>-</w:t>
      </w:r>
      <w:r w:rsidR="000E460D" w:rsidRPr="00D15B6A">
        <w:rPr>
          <w:rFonts w:ascii="Times New Roman" w:eastAsia="Calibri" w:hAnsi="Times New Roman" w:cs="Times New Roman"/>
          <w:sz w:val="24"/>
          <w:szCs w:val="24"/>
        </w:rPr>
        <w:t>taking</w:t>
      </w:r>
      <w:r w:rsidRPr="00D15B6A">
        <w:rPr>
          <w:rFonts w:ascii="Times New Roman" w:eastAsia="Calibri" w:hAnsi="Times New Roman" w:cs="Times New Roman"/>
          <w:sz w:val="24"/>
          <w:szCs w:val="24"/>
        </w:rPr>
        <w:t>. Accordingly, the f</w:t>
      </w:r>
      <w:r w:rsidR="00F21BD6">
        <w:rPr>
          <w:rFonts w:ascii="Times New Roman" w:eastAsia="Calibri" w:hAnsi="Times New Roman" w:cs="Times New Roman"/>
          <w:sz w:val="24"/>
          <w:szCs w:val="24"/>
        </w:rPr>
        <w:t>inal</w:t>
      </w:r>
      <w:r w:rsidRPr="00D15B6A">
        <w:rPr>
          <w:rFonts w:ascii="Times New Roman" w:eastAsia="Calibri" w:hAnsi="Times New Roman" w:cs="Times New Roman"/>
          <w:sz w:val="24"/>
          <w:szCs w:val="24"/>
        </w:rPr>
        <w:t xml:space="preserve"> hypothesis is:</w:t>
      </w:r>
    </w:p>
    <w:p w14:paraId="0C59057D" w14:textId="5D1C1D63" w:rsidR="00C829B4" w:rsidRDefault="00C829B4" w:rsidP="00C829B4">
      <w:pPr>
        <w:jc w:val="both"/>
        <w:rPr>
          <w:rFonts w:ascii="Times New Roman" w:eastAsia="Calibri" w:hAnsi="Times New Roman" w:cs="Times New Roman"/>
          <w:i/>
          <w:sz w:val="24"/>
          <w:szCs w:val="24"/>
        </w:rPr>
      </w:pPr>
      <w:r w:rsidRPr="00D15B6A">
        <w:rPr>
          <w:rFonts w:ascii="Times New Roman" w:eastAsia="Calibri" w:hAnsi="Times New Roman" w:cs="Times New Roman"/>
          <w:b/>
          <w:bCs/>
          <w:i/>
          <w:iCs/>
          <w:sz w:val="24"/>
          <w:szCs w:val="24"/>
        </w:rPr>
        <w:t>H</w:t>
      </w:r>
      <w:r w:rsidRPr="00D15B6A">
        <w:rPr>
          <w:rFonts w:ascii="Times New Roman" w:eastAsia="Calibri" w:hAnsi="Times New Roman" w:cs="Times New Roman"/>
          <w:b/>
          <w:bCs/>
          <w:i/>
          <w:iCs/>
          <w:sz w:val="24"/>
          <w:szCs w:val="24"/>
          <w:vertAlign w:val="subscript"/>
        </w:rPr>
        <w:t>4</w:t>
      </w:r>
      <w:r w:rsidRPr="00D15B6A">
        <w:rPr>
          <w:rFonts w:ascii="Times New Roman" w:eastAsia="Calibri" w:hAnsi="Times New Roman" w:cs="Times New Roman"/>
          <w:i/>
          <w:sz w:val="24"/>
          <w:szCs w:val="24"/>
        </w:rPr>
        <w:t xml:space="preserve">: There is a positive relationship between audit committee size and </w:t>
      </w:r>
      <w:r w:rsidR="00AA005F" w:rsidRPr="00D15B6A">
        <w:rPr>
          <w:rFonts w:ascii="Times New Roman" w:eastAsia="Calibri" w:hAnsi="Times New Roman" w:cs="Times New Roman"/>
          <w:i/>
          <w:sz w:val="24"/>
          <w:szCs w:val="24"/>
        </w:rPr>
        <w:t>risk</w:t>
      </w:r>
      <w:r w:rsidR="005A2DC4">
        <w:rPr>
          <w:rFonts w:ascii="Times New Roman" w:eastAsia="Calibri" w:hAnsi="Times New Roman" w:cs="Times New Roman"/>
          <w:i/>
          <w:sz w:val="24"/>
          <w:szCs w:val="24"/>
        </w:rPr>
        <w:t>-</w:t>
      </w:r>
      <w:r w:rsidR="00AA005F" w:rsidRPr="00D15B6A">
        <w:rPr>
          <w:rFonts w:ascii="Times New Roman" w:eastAsia="Calibri" w:hAnsi="Times New Roman" w:cs="Times New Roman"/>
          <w:i/>
          <w:sz w:val="24"/>
          <w:szCs w:val="24"/>
        </w:rPr>
        <w:t>taking</w:t>
      </w:r>
      <w:r w:rsidRPr="00D15B6A">
        <w:rPr>
          <w:rFonts w:ascii="Times New Roman" w:eastAsia="Calibri" w:hAnsi="Times New Roman" w:cs="Times New Roman"/>
          <w:i/>
          <w:sz w:val="24"/>
          <w:szCs w:val="24"/>
        </w:rPr>
        <w:t>.</w:t>
      </w:r>
    </w:p>
    <w:p w14:paraId="4E3438EB" w14:textId="77777777" w:rsidR="00E574C7" w:rsidRPr="00D15B6A" w:rsidRDefault="00E574C7" w:rsidP="00C829B4">
      <w:pPr>
        <w:jc w:val="both"/>
        <w:rPr>
          <w:rFonts w:ascii="Times New Roman" w:eastAsia="Calibri" w:hAnsi="Times New Roman" w:cs="Times New Roman"/>
          <w:i/>
          <w:sz w:val="24"/>
          <w:szCs w:val="24"/>
        </w:rPr>
      </w:pPr>
    </w:p>
    <w:p w14:paraId="4478652A" w14:textId="77777777" w:rsidR="00FC2A87" w:rsidRPr="00D15B6A" w:rsidRDefault="00E574C7" w:rsidP="005578B9">
      <w:pPr>
        <w:pStyle w:val="Heading1"/>
        <w:rPr>
          <w:rFonts w:cs="Times New Roman"/>
          <w:szCs w:val="24"/>
        </w:rPr>
      </w:pPr>
      <w:r w:rsidRPr="00D15B6A">
        <w:rPr>
          <w:rFonts w:cs="Times New Roman"/>
          <w:szCs w:val="24"/>
        </w:rPr>
        <w:t>Research design</w:t>
      </w:r>
    </w:p>
    <w:p w14:paraId="59CDD545" w14:textId="00F4F44E" w:rsidR="00476369" w:rsidRPr="00D15B6A" w:rsidRDefault="00F21BD6" w:rsidP="00476369">
      <w:pPr>
        <w:pStyle w:val="Heading4"/>
        <w:numPr>
          <w:ilvl w:val="1"/>
          <w:numId w:val="27"/>
        </w:numPr>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S</w:t>
      </w:r>
      <w:r w:rsidR="00CD39E4" w:rsidRPr="00D15B6A">
        <w:rPr>
          <w:rFonts w:ascii="Times New Roman" w:hAnsi="Times New Roman" w:cs="Times New Roman"/>
          <w:color w:val="auto"/>
          <w:sz w:val="24"/>
          <w:szCs w:val="24"/>
        </w:rPr>
        <w:t>ample</w:t>
      </w:r>
      <w:r w:rsidR="00DF3643" w:rsidRPr="00D15B6A">
        <w:rPr>
          <w:rFonts w:ascii="Times New Roman" w:hAnsi="Times New Roman" w:cs="Times New Roman"/>
          <w:color w:val="auto"/>
          <w:sz w:val="24"/>
          <w:szCs w:val="24"/>
        </w:rPr>
        <w:t xml:space="preserve"> and </w:t>
      </w:r>
      <w:r w:rsidR="00F21779" w:rsidRPr="00D15B6A">
        <w:rPr>
          <w:rFonts w:ascii="Times New Roman" w:hAnsi="Times New Roman" w:cs="Times New Roman"/>
          <w:color w:val="auto"/>
          <w:sz w:val="24"/>
          <w:szCs w:val="24"/>
        </w:rPr>
        <w:t>d</w:t>
      </w:r>
      <w:r w:rsidR="00DF3643" w:rsidRPr="00D15B6A">
        <w:rPr>
          <w:rFonts w:ascii="Times New Roman" w:hAnsi="Times New Roman" w:cs="Times New Roman"/>
          <w:color w:val="auto"/>
          <w:sz w:val="24"/>
          <w:szCs w:val="24"/>
        </w:rPr>
        <w:t>ata considerations</w:t>
      </w:r>
    </w:p>
    <w:p w14:paraId="487BB02D" w14:textId="1EF2A670" w:rsidR="000C06C1" w:rsidRPr="00D15B6A" w:rsidRDefault="00935E5D" w:rsidP="00EF4744">
      <w:pPr>
        <w:spacing w:before="120" w:after="12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0C06C1" w:rsidRPr="00D15B6A">
        <w:rPr>
          <w:rFonts w:ascii="Times New Roman" w:eastAsia="Calibri" w:hAnsi="Times New Roman" w:cs="Times New Roman"/>
          <w:sz w:val="24"/>
          <w:szCs w:val="24"/>
        </w:rPr>
        <w:t xml:space="preserve"> sample is the FTSE 350 insurance firms registered on the </w:t>
      </w:r>
      <w:r w:rsidR="000C06C1" w:rsidRPr="00D15B6A">
        <w:rPr>
          <w:rFonts w:ascii="Times New Roman" w:eastAsia="Calibri" w:hAnsi="Times New Roman" w:cs="Times New Roman"/>
          <w:noProof/>
          <w:sz w:val="24"/>
          <w:szCs w:val="24"/>
        </w:rPr>
        <w:t>LSE</w:t>
      </w:r>
      <w:r w:rsidR="00F26DF2">
        <w:rPr>
          <w:rFonts w:ascii="Times New Roman" w:eastAsia="Calibri" w:hAnsi="Times New Roman" w:cs="Times New Roman"/>
          <w:noProof/>
          <w:sz w:val="24"/>
          <w:szCs w:val="24"/>
        </w:rPr>
        <w:t xml:space="preserve"> as at</w:t>
      </w:r>
      <w:r w:rsidR="000C06C1" w:rsidRPr="00D15B6A">
        <w:rPr>
          <w:rFonts w:ascii="Times New Roman" w:eastAsia="Calibri" w:hAnsi="Times New Roman" w:cs="Times New Roman"/>
          <w:noProof/>
          <w:sz w:val="24"/>
          <w:szCs w:val="24"/>
        </w:rPr>
        <w:t xml:space="preserve"> April 201</w:t>
      </w:r>
      <w:r w:rsidR="008A66D1">
        <w:rPr>
          <w:rFonts w:ascii="Times New Roman" w:eastAsia="Calibri" w:hAnsi="Times New Roman" w:cs="Times New Roman"/>
          <w:noProof/>
          <w:sz w:val="24"/>
          <w:szCs w:val="24"/>
        </w:rPr>
        <w:t>6</w:t>
      </w:r>
      <w:r w:rsidR="000C06C1" w:rsidRPr="00D15B6A">
        <w:rPr>
          <w:rFonts w:ascii="Times New Roman" w:eastAsia="Calibri" w:hAnsi="Times New Roman" w:cs="Times New Roman"/>
          <w:noProof/>
          <w:sz w:val="24"/>
          <w:szCs w:val="24"/>
        </w:rPr>
        <w:t>. The FTSE</w:t>
      </w:r>
      <w:r w:rsidR="000C06C1" w:rsidRPr="00D15B6A">
        <w:rPr>
          <w:rFonts w:ascii="Times New Roman" w:eastAsia="Calibri" w:hAnsi="Times New Roman" w:cs="Times New Roman"/>
          <w:sz w:val="24"/>
          <w:szCs w:val="24"/>
        </w:rPr>
        <w:t xml:space="preserve"> 350 registered insurance firms have been selected as a sampling population for a number of reasons. Firstly, the UK insurance sector is the third biggest insurance sector in the world and the biggest in the whole of Europe (PWC, 2010). </w:t>
      </w:r>
      <w:r>
        <w:rPr>
          <w:rFonts w:ascii="Times New Roman" w:eastAsia="Calibri" w:hAnsi="Times New Roman" w:cs="Times New Roman"/>
          <w:sz w:val="24"/>
          <w:szCs w:val="24"/>
        </w:rPr>
        <w:t>Secondly</w:t>
      </w:r>
      <w:r w:rsidR="000C06C1" w:rsidRPr="00D15B6A">
        <w:rPr>
          <w:rFonts w:ascii="Times New Roman" w:eastAsia="Calibri" w:hAnsi="Times New Roman" w:cs="Times New Roman"/>
          <w:sz w:val="24"/>
          <w:szCs w:val="24"/>
        </w:rPr>
        <w:t>, the Royal Bank of Scotland faced a huge scandal during the financial crisis, which impaired its insurance subsidiary unit as result of weaknesses in CG (Adams &amp; Jiang, 2016; Ho, Lai &amp; Lee, 2013</w:t>
      </w:r>
      <w:r w:rsidR="007E72CE">
        <w:rPr>
          <w:rFonts w:ascii="Times New Roman" w:eastAsia="Calibri" w:hAnsi="Times New Roman" w:cs="Times New Roman"/>
          <w:sz w:val="24"/>
          <w:szCs w:val="24"/>
        </w:rPr>
        <w:t xml:space="preserve">; Yeoh, </w:t>
      </w:r>
      <w:r w:rsidR="007E72CE" w:rsidRPr="007E72CE">
        <w:rPr>
          <w:rFonts w:ascii="Times New Roman" w:eastAsia="Calibri" w:hAnsi="Times New Roman" w:cs="Times New Roman"/>
          <w:sz w:val="24"/>
          <w:szCs w:val="24"/>
        </w:rPr>
        <w:t>2010</w:t>
      </w:r>
      <w:r w:rsidR="000C06C1" w:rsidRPr="00D15B6A">
        <w:rPr>
          <w:rFonts w:ascii="Times New Roman" w:eastAsia="Calibri" w:hAnsi="Times New Roman" w:cs="Times New Roman"/>
          <w:sz w:val="24"/>
          <w:szCs w:val="24"/>
        </w:rPr>
        <w:t>)</w:t>
      </w:r>
      <w:r w:rsidR="008A66D1">
        <w:rPr>
          <w:rFonts w:ascii="Times New Roman" w:eastAsia="Calibri" w:hAnsi="Times New Roman" w:cs="Times New Roman"/>
          <w:sz w:val="24"/>
          <w:szCs w:val="24"/>
        </w:rPr>
        <w:t xml:space="preserve">. Finally, </w:t>
      </w:r>
      <w:r w:rsidR="000C06C1" w:rsidRPr="00D15B6A">
        <w:rPr>
          <w:rFonts w:ascii="Times New Roman" w:eastAsia="Calibri" w:hAnsi="Times New Roman" w:cs="Times New Roman"/>
          <w:sz w:val="24"/>
          <w:szCs w:val="24"/>
        </w:rPr>
        <w:t xml:space="preserve">this study uses all </w:t>
      </w:r>
      <w:r w:rsidR="00EF4744" w:rsidRPr="00D15B6A">
        <w:rPr>
          <w:rFonts w:ascii="Times New Roman" w:eastAsia="Calibri" w:hAnsi="Times New Roman" w:cs="Times New Roman"/>
          <w:sz w:val="24"/>
          <w:szCs w:val="24"/>
        </w:rPr>
        <w:t xml:space="preserve">listed </w:t>
      </w:r>
      <w:r w:rsidR="000C06C1" w:rsidRPr="00D15B6A">
        <w:rPr>
          <w:rFonts w:ascii="Times New Roman" w:eastAsia="Calibri" w:hAnsi="Times New Roman" w:cs="Times New Roman"/>
          <w:sz w:val="24"/>
          <w:szCs w:val="24"/>
        </w:rPr>
        <w:t>insurance companies.</w:t>
      </w:r>
      <w:r w:rsidR="000C06C1" w:rsidRPr="00D15B6A">
        <w:rPr>
          <w:rFonts w:ascii="Times New Roman" w:hAnsi="Times New Roman" w:cs="Times New Roman"/>
          <w:sz w:val="24"/>
          <w:szCs w:val="24"/>
        </w:rPr>
        <w:t xml:space="preserve"> </w:t>
      </w:r>
      <w:r w:rsidR="000C06C1" w:rsidRPr="00D15B6A">
        <w:rPr>
          <w:rFonts w:ascii="Times New Roman" w:eastAsia="Calibri" w:hAnsi="Times New Roman" w:cs="Times New Roman"/>
          <w:sz w:val="24"/>
          <w:szCs w:val="24"/>
        </w:rPr>
        <w:t xml:space="preserve">Table 1 presents the steps followed </w:t>
      </w:r>
      <w:r w:rsidR="00A443C3">
        <w:rPr>
          <w:rFonts w:ascii="Times New Roman" w:eastAsia="Calibri" w:hAnsi="Times New Roman" w:cs="Times New Roman"/>
          <w:sz w:val="24"/>
          <w:szCs w:val="24"/>
        </w:rPr>
        <w:t>towards</w:t>
      </w:r>
      <w:r w:rsidR="000C06C1" w:rsidRPr="00D15B6A">
        <w:rPr>
          <w:rFonts w:ascii="Times New Roman" w:eastAsia="Calibri" w:hAnsi="Times New Roman" w:cs="Times New Roman"/>
          <w:sz w:val="24"/>
          <w:szCs w:val="24"/>
        </w:rPr>
        <w:t xml:space="preserve"> select</w:t>
      </w:r>
      <w:r w:rsidR="00A443C3">
        <w:rPr>
          <w:rFonts w:ascii="Times New Roman" w:eastAsia="Calibri" w:hAnsi="Times New Roman" w:cs="Times New Roman"/>
          <w:sz w:val="24"/>
          <w:szCs w:val="24"/>
        </w:rPr>
        <w:t>ing the final sample of</w:t>
      </w:r>
      <w:r w:rsidR="000C06C1" w:rsidRPr="00D15B6A">
        <w:rPr>
          <w:rFonts w:ascii="Times New Roman" w:eastAsia="Calibri" w:hAnsi="Times New Roman" w:cs="Times New Roman"/>
          <w:sz w:val="24"/>
          <w:szCs w:val="24"/>
        </w:rPr>
        <w:t xml:space="preserve"> </w:t>
      </w:r>
      <w:r w:rsidR="008A66D1">
        <w:rPr>
          <w:rFonts w:ascii="Times New Roman" w:eastAsia="Calibri" w:hAnsi="Times New Roman" w:cs="Times New Roman"/>
          <w:sz w:val="24"/>
          <w:szCs w:val="24"/>
        </w:rPr>
        <w:t xml:space="preserve">UK </w:t>
      </w:r>
      <w:r w:rsidR="000C06C1" w:rsidRPr="00D15B6A">
        <w:rPr>
          <w:rFonts w:ascii="Times New Roman" w:eastAsia="Calibri" w:hAnsi="Times New Roman" w:cs="Times New Roman"/>
          <w:sz w:val="24"/>
          <w:szCs w:val="24"/>
        </w:rPr>
        <w:t>insurance companies</w:t>
      </w:r>
      <w:r w:rsidR="008A66D1">
        <w:rPr>
          <w:rFonts w:ascii="Times New Roman" w:eastAsia="Calibri" w:hAnsi="Times New Roman" w:cs="Times New Roman"/>
          <w:sz w:val="24"/>
          <w:szCs w:val="24"/>
        </w:rPr>
        <w:t>.</w:t>
      </w:r>
      <w:r w:rsidR="000C06C1" w:rsidRPr="00D15B6A">
        <w:rPr>
          <w:rFonts w:ascii="Times New Roman" w:eastAsia="Calibri" w:hAnsi="Times New Roman" w:cs="Times New Roman"/>
          <w:sz w:val="24"/>
          <w:szCs w:val="24"/>
        </w:rPr>
        <w:t xml:space="preserve">  </w:t>
      </w:r>
    </w:p>
    <w:p w14:paraId="4C228EB4" w14:textId="77777777" w:rsidR="000C06C1" w:rsidRPr="00D15B6A" w:rsidRDefault="000C06C1" w:rsidP="000C06C1">
      <w:pPr>
        <w:spacing w:after="0" w:line="480" w:lineRule="auto"/>
        <w:ind w:firstLine="720"/>
        <w:jc w:val="center"/>
        <w:rPr>
          <w:rFonts w:ascii="Times New Roman" w:hAnsi="Times New Roman" w:cs="Times New Roman"/>
          <w:bCs/>
          <w:sz w:val="24"/>
          <w:szCs w:val="24"/>
        </w:rPr>
      </w:pPr>
      <w:r w:rsidRPr="00D15B6A">
        <w:rPr>
          <w:rFonts w:ascii="Times New Roman" w:hAnsi="Times New Roman" w:cs="Times New Roman"/>
          <w:bCs/>
          <w:sz w:val="24"/>
          <w:szCs w:val="24"/>
        </w:rPr>
        <w:t xml:space="preserve">INSERT </w:t>
      </w:r>
      <w:hyperlink w:anchor="Table2" w:history="1">
        <w:r w:rsidRPr="00D15B6A">
          <w:rPr>
            <w:rFonts w:ascii="Times New Roman" w:hAnsi="Times New Roman" w:cs="Times New Roman"/>
            <w:bCs/>
            <w:sz w:val="24"/>
            <w:szCs w:val="24"/>
          </w:rPr>
          <w:t>TABLE 1</w:t>
        </w:r>
      </w:hyperlink>
      <w:r w:rsidRPr="00D15B6A">
        <w:rPr>
          <w:rFonts w:ascii="Times New Roman" w:hAnsi="Times New Roman" w:cs="Times New Roman"/>
          <w:bCs/>
          <w:sz w:val="24"/>
          <w:szCs w:val="24"/>
        </w:rPr>
        <w:t xml:space="preserve"> ABOUT HERE</w:t>
      </w:r>
    </w:p>
    <w:p w14:paraId="64C97FDB" w14:textId="77777777" w:rsidR="00CD39E4" w:rsidRPr="00D15B6A" w:rsidRDefault="00CD39E4" w:rsidP="00A354F8">
      <w:pPr>
        <w:pStyle w:val="Heading4"/>
        <w:numPr>
          <w:ilvl w:val="1"/>
          <w:numId w:val="27"/>
        </w:numPr>
        <w:spacing w:before="0" w:line="480" w:lineRule="auto"/>
        <w:rPr>
          <w:rFonts w:ascii="Times New Roman" w:hAnsi="Times New Roman" w:cs="Times New Roman"/>
          <w:color w:val="auto"/>
          <w:sz w:val="24"/>
          <w:szCs w:val="24"/>
        </w:rPr>
      </w:pPr>
      <w:r w:rsidRPr="00D15B6A">
        <w:rPr>
          <w:rFonts w:ascii="Times New Roman" w:hAnsi="Times New Roman" w:cs="Times New Roman"/>
          <w:color w:val="auto"/>
          <w:sz w:val="24"/>
          <w:szCs w:val="24"/>
        </w:rPr>
        <w:t>Definition of variables and model specification</w:t>
      </w:r>
    </w:p>
    <w:p w14:paraId="213AE70D" w14:textId="08A65491" w:rsidR="009016BB" w:rsidRDefault="000C06C1" w:rsidP="00155637">
      <w:pPr>
        <w:spacing w:before="120" w:after="120" w:line="360" w:lineRule="auto"/>
        <w:ind w:firstLine="720"/>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This study examines the influence of internal corporate governance mechanisms (CG), including board size, board meetings, board independence and audit committee on insurance firms’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 xml:space="preserve">(IRT) within the UK context. To achieve this aim, this study has collected data from two main sources. Firstly, all financial ratios and details regarding firm size were collected from the FAME database. Secondly, the corporate governance variables were collected from the companies’ annual reports, </w:t>
      </w:r>
      <w:r w:rsidR="00F26DF2">
        <w:rPr>
          <w:rFonts w:ascii="Times New Roman" w:eastAsia="Calibri" w:hAnsi="Times New Roman" w:cs="Times New Roman"/>
          <w:sz w:val="24"/>
          <w:szCs w:val="24"/>
        </w:rPr>
        <w:t xml:space="preserve">which were </w:t>
      </w:r>
      <w:r w:rsidRPr="00D15B6A">
        <w:rPr>
          <w:rFonts w:ascii="Times New Roman" w:eastAsia="Calibri" w:hAnsi="Times New Roman" w:cs="Times New Roman"/>
          <w:sz w:val="24"/>
          <w:szCs w:val="24"/>
        </w:rPr>
        <w:t xml:space="preserve">obtained from the companies’ websites. This study measures insurance firms’ </w:t>
      </w:r>
      <w:r w:rsidR="007C76F0">
        <w:rPr>
          <w:rFonts w:ascii="Times New Roman" w:eastAsia="Calibri" w:hAnsi="Times New Roman" w:cs="Times New Roman"/>
          <w:sz w:val="24"/>
          <w:szCs w:val="24"/>
        </w:rPr>
        <w:t xml:space="preserve">risk-taking </w:t>
      </w:r>
      <w:r w:rsidRPr="00D15B6A">
        <w:rPr>
          <w:rFonts w:ascii="Times New Roman" w:eastAsia="Calibri" w:hAnsi="Times New Roman" w:cs="Times New Roman"/>
          <w:sz w:val="24"/>
          <w:szCs w:val="24"/>
        </w:rPr>
        <w:t xml:space="preserve">by </w:t>
      </w:r>
      <w:r w:rsidR="009016BB">
        <w:rPr>
          <w:rFonts w:ascii="Times New Roman" w:eastAsia="Calibri" w:hAnsi="Times New Roman" w:cs="Times New Roman"/>
          <w:sz w:val="24"/>
          <w:szCs w:val="24"/>
        </w:rPr>
        <w:t xml:space="preserve">calculating </w:t>
      </w:r>
      <w:r w:rsidR="009016BB" w:rsidRPr="009016BB">
        <w:rPr>
          <w:rFonts w:ascii="Times New Roman" w:eastAsia="Calibri" w:hAnsi="Times New Roman" w:cs="Times New Roman"/>
          <w:sz w:val="24"/>
          <w:szCs w:val="24"/>
        </w:rPr>
        <w:t xml:space="preserve">the </w:t>
      </w:r>
      <w:r w:rsidR="009016BB" w:rsidRPr="00534A3A">
        <w:rPr>
          <w:rFonts w:ascii="Times New Roman" w:eastAsia="Calibri" w:hAnsi="Times New Roman" w:cs="Times New Roman"/>
          <w:i/>
          <w:iCs/>
          <w:sz w:val="24"/>
          <w:szCs w:val="24"/>
        </w:rPr>
        <w:t>Z</w:t>
      </w:r>
      <w:r w:rsidR="009016BB" w:rsidRPr="009016BB">
        <w:rPr>
          <w:rFonts w:ascii="Times New Roman" w:eastAsia="Calibri" w:hAnsi="Times New Roman" w:cs="Times New Roman"/>
          <w:sz w:val="24"/>
          <w:szCs w:val="24"/>
        </w:rPr>
        <w:t>-score</w:t>
      </w:r>
      <w:r w:rsidR="00F26DF2">
        <w:rPr>
          <w:rFonts w:ascii="Times New Roman" w:eastAsia="Calibri" w:hAnsi="Times New Roman" w:cs="Times New Roman"/>
          <w:sz w:val="24"/>
          <w:szCs w:val="24"/>
        </w:rPr>
        <w:t>,</w:t>
      </w:r>
      <w:r w:rsidR="009016BB">
        <w:rPr>
          <w:rFonts w:ascii="Times New Roman" w:eastAsia="Calibri" w:hAnsi="Times New Roman" w:cs="Times New Roman"/>
          <w:sz w:val="24"/>
          <w:szCs w:val="24"/>
        </w:rPr>
        <w:t xml:space="preserve"> </w:t>
      </w:r>
      <w:r w:rsidR="009016BB" w:rsidRPr="009016BB">
        <w:rPr>
          <w:rFonts w:ascii="Times New Roman" w:eastAsia="Calibri" w:hAnsi="Times New Roman" w:cs="Times New Roman"/>
          <w:sz w:val="24"/>
          <w:szCs w:val="24"/>
        </w:rPr>
        <w:t xml:space="preserve">which is </w:t>
      </w:r>
      <w:r w:rsidR="009016BB">
        <w:rPr>
          <w:rFonts w:ascii="Times New Roman" w:eastAsia="Calibri" w:hAnsi="Times New Roman" w:cs="Times New Roman"/>
          <w:sz w:val="24"/>
          <w:szCs w:val="24"/>
        </w:rPr>
        <w:t>the</w:t>
      </w:r>
      <w:r w:rsidR="009016BB" w:rsidRPr="00D15B6A">
        <w:rPr>
          <w:rFonts w:ascii="Times New Roman" w:eastAsia="Calibri" w:hAnsi="Times New Roman" w:cs="Times New Roman"/>
          <w:sz w:val="24"/>
          <w:szCs w:val="24"/>
        </w:rPr>
        <w:t xml:space="preserve"> most frequently used </w:t>
      </w:r>
      <w:r w:rsidR="009016BB">
        <w:rPr>
          <w:rFonts w:ascii="Times New Roman" w:eastAsia="Calibri" w:hAnsi="Times New Roman" w:cs="Times New Roman"/>
          <w:sz w:val="24"/>
          <w:szCs w:val="24"/>
        </w:rPr>
        <w:t xml:space="preserve">ratio </w:t>
      </w:r>
      <w:r w:rsidR="009016BB" w:rsidRPr="00D15B6A">
        <w:rPr>
          <w:rFonts w:ascii="Times New Roman" w:eastAsia="Calibri" w:hAnsi="Times New Roman" w:cs="Times New Roman"/>
          <w:sz w:val="24"/>
          <w:szCs w:val="24"/>
        </w:rPr>
        <w:t>in prior studies</w:t>
      </w:r>
      <w:r w:rsidR="009016BB" w:rsidRPr="009016BB">
        <w:rPr>
          <w:rFonts w:ascii="Times New Roman" w:eastAsia="Calibri" w:hAnsi="Times New Roman" w:cs="Times New Roman"/>
          <w:sz w:val="24"/>
          <w:szCs w:val="24"/>
        </w:rPr>
        <w:t xml:space="preserve"> (</w:t>
      </w:r>
      <w:r w:rsidR="009016BB">
        <w:rPr>
          <w:rFonts w:ascii="Times New Roman" w:eastAsia="Calibri" w:hAnsi="Times New Roman" w:cs="Times New Roman"/>
          <w:sz w:val="24"/>
          <w:szCs w:val="24"/>
        </w:rPr>
        <w:t>e.g.</w:t>
      </w:r>
      <w:r w:rsidR="00F26DF2">
        <w:rPr>
          <w:rFonts w:ascii="Times New Roman" w:eastAsia="Calibri" w:hAnsi="Times New Roman" w:cs="Times New Roman"/>
          <w:sz w:val="24"/>
          <w:szCs w:val="24"/>
        </w:rPr>
        <w:t>,</w:t>
      </w:r>
      <w:r w:rsidR="009016BB" w:rsidRPr="009016BB">
        <w:rPr>
          <w:rFonts w:ascii="Times New Roman" w:eastAsia="Calibri" w:hAnsi="Times New Roman" w:cs="Times New Roman"/>
          <w:sz w:val="24"/>
          <w:szCs w:val="24"/>
        </w:rPr>
        <w:t xml:space="preserve"> Boyd and Runkle, 1993; </w:t>
      </w:r>
      <w:r w:rsidR="00DD329C">
        <w:rPr>
          <w:rFonts w:ascii="Times New Roman" w:eastAsia="Calibri" w:hAnsi="Times New Roman" w:cs="Times New Roman"/>
          <w:sz w:val="24"/>
          <w:szCs w:val="24"/>
        </w:rPr>
        <w:t xml:space="preserve">Fu et al., 2014; Gonzáleza et al., 2017; </w:t>
      </w:r>
      <w:r w:rsidR="009016BB" w:rsidRPr="009016BB">
        <w:rPr>
          <w:rFonts w:ascii="Times New Roman" w:eastAsia="Calibri" w:hAnsi="Times New Roman" w:cs="Times New Roman"/>
          <w:sz w:val="24"/>
          <w:szCs w:val="24"/>
        </w:rPr>
        <w:t>Laeven</w:t>
      </w:r>
      <w:r w:rsidR="009016BB">
        <w:rPr>
          <w:rFonts w:ascii="Times New Roman" w:eastAsia="Calibri" w:hAnsi="Times New Roman" w:cs="Times New Roman"/>
          <w:sz w:val="24"/>
          <w:szCs w:val="24"/>
        </w:rPr>
        <w:t xml:space="preserve"> </w:t>
      </w:r>
      <w:r w:rsidR="009016BB" w:rsidRPr="009016BB">
        <w:rPr>
          <w:rFonts w:ascii="Times New Roman" w:eastAsia="Calibri" w:hAnsi="Times New Roman" w:cs="Times New Roman"/>
          <w:sz w:val="24"/>
          <w:szCs w:val="24"/>
        </w:rPr>
        <w:t xml:space="preserve">and Levine, 2009). Using </w:t>
      </w:r>
      <w:r w:rsidR="004B73A5">
        <w:rPr>
          <w:rFonts w:ascii="Times New Roman" w:eastAsia="Calibri" w:hAnsi="Times New Roman" w:cs="Times New Roman"/>
          <w:sz w:val="24"/>
          <w:szCs w:val="24"/>
        </w:rPr>
        <w:t>return on</w:t>
      </w:r>
      <w:r w:rsidR="009016BB" w:rsidRPr="009016BB">
        <w:rPr>
          <w:rFonts w:ascii="Times New Roman" w:eastAsia="Calibri" w:hAnsi="Times New Roman" w:cs="Times New Roman"/>
          <w:sz w:val="24"/>
          <w:szCs w:val="24"/>
        </w:rPr>
        <w:t xml:space="preserve"> asset</w:t>
      </w:r>
      <w:r w:rsidR="004B73A5">
        <w:rPr>
          <w:rFonts w:ascii="Times New Roman" w:eastAsia="Calibri" w:hAnsi="Times New Roman" w:cs="Times New Roman"/>
          <w:sz w:val="24"/>
          <w:szCs w:val="24"/>
        </w:rPr>
        <w:t>s and return on equity</w:t>
      </w:r>
      <w:r w:rsidR="00B0360E">
        <w:rPr>
          <w:rFonts w:ascii="Times New Roman" w:eastAsia="Calibri" w:hAnsi="Times New Roman" w:cs="Times New Roman"/>
          <w:sz w:val="24"/>
          <w:szCs w:val="24"/>
        </w:rPr>
        <w:t>;</w:t>
      </w:r>
      <w:r w:rsidR="009016BB" w:rsidRPr="009016BB">
        <w:rPr>
          <w:rFonts w:ascii="Times New Roman" w:eastAsia="Calibri" w:hAnsi="Times New Roman" w:cs="Times New Roman"/>
          <w:sz w:val="24"/>
          <w:szCs w:val="24"/>
        </w:rPr>
        <w:t xml:space="preserve"> the </w:t>
      </w:r>
      <w:r w:rsidR="009016BB" w:rsidRPr="00534A3A">
        <w:rPr>
          <w:rFonts w:ascii="Times New Roman" w:eastAsia="Calibri" w:hAnsi="Times New Roman" w:cs="Times New Roman"/>
          <w:i/>
          <w:iCs/>
          <w:sz w:val="24"/>
          <w:szCs w:val="24"/>
        </w:rPr>
        <w:t>Z</w:t>
      </w:r>
      <w:r w:rsidR="009016BB" w:rsidRPr="009016BB">
        <w:rPr>
          <w:rFonts w:ascii="Times New Roman" w:eastAsia="Calibri" w:hAnsi="Times New Roman" w:cs="Times New Roman"/>
          <w:sz w:val="24"/>
          <w:szCs w:val="24"/>
        </w:rPr>
        <w:t xml:space="preserve">-score </w:t>
      </w:r>
      <w:r w:rsidR="00B0360E">
        <w:rPr>
          <w:rFonts w:ascii="Times New Roman" w:eastAsia="Calibri" w:hAnsi="Times New Roman" w:cs="Times New Roman"/>
          <w:sz w:val="24"/>
          <w:szCs w:val="24"/>
        </w:rPr>
        <w:t>(</w:t>
      </w:r>
      <w:r w:rsidR="00B0360E" w:rsidRPr="00534A3A">
        <w:rPr>
          <w:rFonts w:ascii="Times New Roman" w:eastAsia="Calibri" w:hAnsi="Times New Roman" w:cs="Times New Roman"/>
          <w:i/>
          <w:iCs/>
          <w:sz w:val="24"/>
          <w:szCs w:val="24"/>
        </w:rPr>
        <w:t>RT1</w:t>
      </w:r>
      <w:r w:rsidR="00B0360E">
        <w:rPr>
          <w:rFonts w:ascii="Times New Roman" w:eastAsia="Calibri" w:hAnsi="Times New Roman" w:cs="Times New Roman"/>
          <w:sz w:val="24"/>
          <w:szCs w:val="24"/>
        </w:rPr>
        <w:t xml:space="preserve">) </w:t>
      </w:r>
      <w:r w:rsidR="009016BB" w:rsidRPr="009016BB">
        <w:rPr>
          <w:rFonts w:ascii="Times New Roman" w:eastAsia="Calibri" w:hAnsi="Times New Roman" w:cs="Times New Roman"/>
          <w:sz w:val="24"/>
          <w:szCs w:val="24"/>
        </w:rPr>
        <w:t>is</w:t>
      </w:r>
      <w:r w:rsidR="009016BB">
        <w:rPr>
          <w:rFonts w:ascii="Times New Roman" w:eastAsia="Calibri" w:hAnsi="Times New Roman" w:cs="Times New Roman"/>
          <w:sz w:val="24"/>
          <w:szCs w:val="24"/>
        </w:rPr>
        <w:t xml:space="preserve"> </w:t>
      </w:r>
      <w:r w:rsidR="004B73A5">
        <w:rPr>
          <w:rFonts w:ascii="Times New Roman" w:eastAsia="Calibri" w:hAnsi="Times New Roman" w:cs="Times New Roman"/>
          <w:sz w:val="24"/>
          <w:szCs w:val="24"/>
        </w:rPr>
        <w:t>measured</w:t>
      </w:r>
      <w:r w:rsidR="009016BB" w:rsidRPr="009016BB">
        <w:rPr>
          <w:rFonts w:ascii="Times New Roman" w:eastAsia="Calibri" w:hAnsi="Times New Roman" w:cs="Times New Roman"/>
          <w:sz w:val="24"/>
          <w:szCs w:val="24"/>
        </w:rPr>
        <w:t xml:space="preserve"> as follows:</w:t>
      </w:r>
    </w:p>
    <w:p w14:paraId="6BBEA62D" w14:textId="6994D1B5" w:rsidR="004B73A5" w:rsidRDefault="00657D02" w:rsidP="00534A3A">
      <w:pPr>
        <w:spacing w:before="120" w:after="120" w:line="360" w:lineRule="auto"/>
        <w:ind w:firstLine="720"/>
        <w:jc w:val="cente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ROA</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EQ</m:t>
                      </m:r>
                    </m:e>
                    <m:sub>
                      <m:r>
                        <w:rPr>
                          <w:rFonts w:ascii="Cambria Math" w:eastAsia="Calibri" w:hAnsi="Cambria Math" w:cs="Times New Roman"/>
                          <w:sz w:val="24"/>
                          <w:szCs w:val="24"/>
                        </w:rPr>
                        <m:t>it</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ITA</m:t>
                      </m:r>
                    </m:e>
                    <m:sub>
                      <m:r>
                        <w:rPr>
                          <w:rFonts w:ascii="Cambria Math" w:eastAsia="Calibri" w:hAnsi="Cambria Math" w:cs="Times New Roman"/>
                          <w:sz w:val="24"/>
                          <w:szCs w:val="24"/>
                        </w:rPr>
                        <m:t>it</m:t>
                      </m:r>
                    </m:sub>
                  </m:sSub>
                </m:den>
              </m:f>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σROA</m:t>
                  </m:r>
                </m:e>
                <m:sub>
                  <m:r>
                    <w:rPr>
                      <w:rFonts w:ascii="Cambria Math" w:eastAsia="Calibri" w:hAnsi="Cambria Math" w:cs="Times New Roman"/>
                      <w:sz w:val="24"/>
                      <w:szCs w:val="24"/>
                    </w:rPr>
                    <m:t>it</m:t>
                  </m:r>
                </m:sub>
              </m:sSub>
            </m:den>
          </m:f>
          <m:r>
            <m:rPr>
              <m:sty m:val="p"/>
            </m:rPr>
            <w:rPr>
              <w:rFonts w:ascii="Times New Roman" w:eastAsia="Calibri" w:hAnsi="Times New Roman" w:cs="Times New Roman"/>
              <w:sz w:val="24"/>
              <w:szCs w:val="24"/>
            </w:rPr>
            <w:br/>
          </m:r>
        </m:oMath>
      </m:oMathPara>
      <w:r w:rsidR="00534A3A">
        <w:rPr>
          <w:rFonts w:ascii="Times New Roman" w:eastAsia="Calibri" w:hAnsi="Times New Roman" w:cs="Times New Roman"/>
          <w:sz w:val="24"/>
          <w:szCs w:val="24"/>
        </w:rPr>
        <w:t xml:space="preserve">                                                                                                                                           (1)</w:t>
      </w:r>
    </w:p>
    <w:p w14:paraId="0BF9FEFE" w14:textId="77777777" w:rsidR="00B0360E" w:rsidRDefault="00B0360E" w:rsidP="00B0360E">
      <w:pPr>
        <w:spacing w:before="120" w:after="12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While </w:t>
      </w:r>
      <w:r w:rsidRPr="009016BB">
        <w:rPr>
          <w:rFonts w:ascii="Times New Roman" w:eastAsia="Calibri" w:hAnsi="Times New Roman" w:cs="Times New Roman"/>
          <w:sz w:val="24"/>
          <w:szCs w:val="24"/>
        </w:rPr>
        <w:t xml:space="preserve">the </w:t>
      </w:r>
      <w:r w:rsidRPr="00534A3A">
        <w:rPr>
          <w:rFonts w:ascii="Times New Roman" w:eastAsia="Calibri" w:hAnsi="Times New Roman" w:cs="Times New Roman"/>
          <w:i/>
          <w:iCs/>
          <w:sz w:val="24"/>
          <w:szCs w:val="24"/>
        </w:rPr>
        <w:t>Z</w:t>
      </w:r>
      <w:r w:rsidRPr="009016BB">
        <w:rPr>
          <w:rFonts w:ascii="Times New Roman" w:eastAsia="Calibri" w:hAnsi="Times New Roman" w:cs="Times New Roman"/>
          <w:sz w:val="24"/>
          <w:szCs w:val="24"/>
        </w:rPr>
        <w:t xml:space="preserve">-score </w:t>
      </w:r>
      <w:r>
        <w:rPr>
          <w:rFonts w:ascii="Times New Roman" w:eastAsia="Calibri" w:hAnsi="Times New Roman" w:cs="Times New Roman"/>
          <w:sz w:val="24"/>
          <w:szCs w:val="24"/>
        </w:rPr>
        <w:t>(</w:t>
      </w:r>
      <w:r w:rsidRPr="00534A3A">
        <w:rPr>
          <w:rFonts w:ascii="Times New Roman" w:eastAsia="Calibri" w:hAnsi="Times New Roman" w:cs="Times New Roman"/>
          <w:i/>
          <w:iCs/>
          <w:sz w:val="24"/>
          <w:szCs w:val="24"/>
        </w:rPr>
        <w:t>RT2</w:t>
      </w:r>
      <w:r>
        <w:rPr>
          <w:rFonts w:ascii="Times New Roman" w:eastAsia="Calibri" w:hAnsi="Times New Roman" w:cs="Times New Roman"/>
          <w:sz w:val="24"/>
          <w:szCs w:val="24"/>
        </w:rPr>
        <w:t xml:space="preserve">) </w:t>
      </w:r>
      <w:r w:rsidRPr="009016BB">
        <w:rPr>
          <w:rFonts w:ascii="Times New Roman" w:eastAsia="Calibri" w:hAnsi="Times New Roman" w:cs="Times New Roman"/>
          <w:sz w:val="24"/>
          <w:szCs w:val="24"/>
        </w:rPr>
        <w:t>is</w:t>
      </w:r>
      <w:r>
        <w:rPr>
          <w:rFonts w:ascii="Times New Roman" w:eastAsia="Calibri" w:hAnsi="Times New Roman" w:cs="Times New Roman"/>
          <w:sz w:val="24"/>
          <w:szCs w:val="24"/>
        </w:rPr>
        <w:t xml:space="preserve"> measured</w:t>
      </w:r>
      <w:r w:rsidRPr="009016BB">
        <w:rPr>
          <w:rFonts w:ascii="Times New Roman" w:eastAsia="Calibri" w:hAnsi="Times New Roman" w:cs="Times New Roman"/>
          <w:sz w:val="24"/>
          <w:szCs w:val="24"/>
        </w:rPr>
        <w:t xml:space="preserve"> as follows:</w:t>
      </w:r>
    </w:p>
    <w:p w14:paraId="10B80675" w14:textId="1F5E8D1A" w:rsidR="00B0360E" w:rsidRDefault="00534A3A" w:rsidP="00534A3A">
      <w:pPr>
        <w:spacing w:before="120" w:after="120" w:line="36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ROE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EQ</m:t>
                      </m:r>
                    </m:e>
                    <m:sub>
                      <m:r>
                        <w:rPr>
                          <w:rFonts w:ascii="Cambria Math" w:eastAsia="Calibri" w:hAnsi="Cambria Math" w:cs="Times New Roman"/>
                          <w:sz w:val="24"/>
                          <w:szCs w:val="24"/>
                        </w:rPr>
                        <m:t>it</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ITA</m:t>
                      </m:r>
                    </m:e>
                    <m:sub>
                      <m:r>
                        <w:rPr>
                          <w:rFonts w:ascii="Cambria Math" w:eastAsia="Calibri" w:hAnsi="Cambria Math" w:cs="Times New Roman"/>
                          <w:sz w:val="24"/>
                          <w:szCs w:val="24"/>
                        </w:rPr>
                        <m:t>it</m:t>
                      </m:r>
                    </m:sub>
                  </m:sSub>
                </m:den>
              </m:f>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σROE</m:t>
                  </m:r>
                </m:e>
                <m:sub>
                  <m:r>
                    <w:rPr>
                      <w:rFonts w:ascii="Cambria Math" w:eastAsia="Calibri" w:hAnsi="Cambria Math" w:cs="Times New Roman"/>
                      <w:sz w:val="24"/>
                      <w:szCs w:val="24"/>
                    </w:rPr>
                    <m:t>it</m:t>
                  </m:r>
                </m:sub>
              </m:sSub>
            </m:den>
          </m:f>
          <m:r>
            <m:rPr>
              <m:sty m:val="p"/>
            </m:rPr>
            <w:rPr>
              <w:rFonts w:ascii="Times New Roman" w:eastAsia="Calibri" w:hAnsi="Times New Roman" w:cs="Times New Roman"/>
              <w:sz w:val="24"/>
              <w:szCs w:val="24"/>
            </w:rPr>
            <w:br/>
          </m:r>
        </m:oMath>
      </m:oMathPara>
      <w:r>
        <w:rPr>
          <w:rFonts w:ascii="Times New Roman" w:eastAsia="Calibri" w:hAnsi="Times New Roman" w:cs="Times New Roman"/>
          <w:sz w:val="24"/>
          <w:szCs w:val="24"/>
        </w:rPr>
        <w:t xml:space="preserve">                                                                                                                                                (2)</w:t>
      </w:r>
    </w:p>
    <w:p w14:paraId="7EDC621C" w14:textId="3A60CA7A" w:rsidR="009016BB" w:rsidRDefault="004B73A5" w:rsidP="00534A3A">
      <w:pPr>
        <w:spacing w:before="120" w:after="120" w:line="360" w:lineRule="auto"/>
        <w:ind w:firstLine="720"/>
        <w:jc w:val="both"/>
        <w:rPr>
          <w:rFonts w:ascii="Times New Roman" w:eastAsia="Calibri" w:hAnsi="Times New Roman" w:cs="Times New Roman"/>
          <w:sz w:val="24"/>
          <w:szCs w:val="24"/>
        </w:rPr>
      </w:pPr>
      <w:r w:rsidRPr="004B73A5">
        <w:rPr>
          <w:rFonts w:ascii="Times New Roman" w:eastAsia="Calibri" w:hAnsi="Times New Roman" w:cs="Times New Roman"/>
          <w:sz w:val="24"/>
          <w:szCs w:val="24"/>
        </w:rPr>
        <w:t xml:space="preserve">where </w:t>
      </w:r>
      <w:r w:rsidRPr="00534A3A">
        <w:rPr>
          <w:rFonts w:ascii="Times New Roman" w:eastAsia="Calibri" w:hAnsi="Times New Roman" w:cs="Times New Roman"/>
          <w:i/>
          <w:iCs/>
          <w:sz w:val="24"/>
          <w:szCs w:val="24"/>
        </w:rPr>
        <w:t>ROA</w:t>
      </w:r>
      <w:r w:rsidRPr="004B73A5">
        <w:rPr>
          <w:rFonts w:ascii="Times New Roman" w:eastAsia="Calibri" w:hAnsi="Times New Roman" w:cs="Times New Roman"/>
          <w:sz w:val="24"/>
          <w:szCs w:val="24"/>
        </w:rPr>
        <w:t xml:space="preserve"> is the </w:t>
      </w:r>
      <w:r w:rsidR="001806C0">
        <w:rPr>
          <w:rFonts w:ascii="Times New Roman" w:eastAsia="Calibri" w:hAnsi="Times New Roman" w:cs="Times New Roman"/>
          <w:sz w:val="24"/>
          <w:szCs w:val="24"/>
        </w:rPr>
        <w:t xml:space="preserve">insurance firm </w:t>
      </w:r>
      <w:r w:rsidRPr="004B73A5">
        <w:rPr>
          <w:rFonts w:ascii="Times New Roman" w:eastAsia="Calibri" w:hAnsi="Times New Roman" w:cs="Times New Roman"/>
          <w:sz w:val="24"/>
          <w:szCs w:val="24"/>
        </w:rPr>
        <w:t>return on assets,</w:t>
      </w:r>
      <w:r w:rsidR="00B0360E">
        <w:rPr>
          <w:rFonts w:ascii="Times New Roman" w:eastAsia="Calibri" w:hAnsi="Times New Roman" w:cs="Times New Roman"/>
          <w:sz w:val="24"/>
          <w:szCs w:val="24"/>
        </w:rPr>
        <w:t xml:space="preserve"> </w:t>
      </w:r>
      <w:r w:rsidR="00B0360E" w:rsidRPr="00534A3A">
        <w:rPr>
          <w:rFonts w:ascii="Times New Roman" w:eastAsia="Calibri" w:hAnsi="Times New Roman" w:cs="Times New Roman"/>
          <w:i/>
          <w:iCs/>
          <w:sz w:val="24"/>
          <w:szCs w:val="24"/>
        </w:rPr>
        <w:t>ROE</w:t>
      </w:r>
      <w:r w:rsidR="00B0360E" w:rsidRPr="004B73A5">
        <w:rPr>
          <w:rFonts w:ascii="Times New Roman" w:eastAsia="Calibri" w:hAnsi="Times New Roman" w:cs="Times New Roman"/>
          <w:sz w:val="24"/>
          <w:szCs w:val="24"/>
        </w:rPr>
        <w:t xml:space="preserve"> is the </w:t>
      </w:r>
      <w:r w:rsidR="00B0360E">
        <w:rPr>
          <w:rFonts w:ascii="Times New Roman" w:eastAsia="Calibri" w:hAnsi="Times New Roman" w:cs="Times New Roman"/>
          <w:sz w:val="24"/>
          <w:szCs w:val="24"/>
        </w:rPr>
        <w:t>insurance firm return On equity,</w:t>
      </w:r>
      <w:r w:rsidR="001806C0">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EQ</m:t>
                </m:r>
              </m:e>
              <m:sub>
                <m:r>
                  <w:rPr>
                    <w:rFonts w:ascii="Cambria Math" w:eastAsia="Calibri" w:hAnsi="Cambria Math" w:cs="Times New Roman"/>
                    <w:sz w:val="24"/>
                    <w:szCs w:val="24"/>
                  </w:rPr>
                  <m:t>it</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ITA</m:t>
                </m:r>
              </m:e>
              <m:sub>
                <m:r>
                  <w:rPr>
                    <w:rFonts w:ascii="Cambria Math" w:eastAsia="Calibri" w:hAnsi="Cambria Math" w:cs="Times New Roman"/>
                    <w:sz w:val="24"/>
                    <w:szCs w:val="24"/>
                  </w:rPr>
                  <m:t>it</m:t>
                </m:r>
              </m:sub>
            </m:sSub>
          </m:den>
        </m:f>
        <m:r>
          <w:rPr>
            <w:rFonts w:ascii="Cambria Math" w:eastAsia="Calibri" w:hAnsi="Cambria Math" w:cs="Times New Roman"/>
            <w:sz w:val="24"/>
            <w:szCs w:val="24"/>
          </w:rPr>
          <m:t xml:space="preserve"> </m:t>
        </m:r>
      </m:oMath>
      <w:r w:rsidRPr="004B73A5">
        <w:rPr>
          <w:rFonts w:ascii="Times New Roman" w:eastAsia="Calibri" w:hAnsi="Times New Roman" w:cs="Times New Roman"/>
          <w:sz w:val="24"/>
          <w:szCs w:val="24"/>
        </w:rPr>
        <w:t xml:space="preserve">is the </w:t>
      </w:r>
      <w:r w:rsidR="001806C0">
        <w:rPr>
          <w:rFonts w:ascii="Times New Roman" w:eastAsia="Calibri" w:hAnsi="Times New Roman" w:cs="Times New Roman"/>
          <w:sz w:val="24"/>
          <w:szCs w:val="24"/>
        </w:rPr>
        <w:t xml:space="preserve">ratio of total </w:t>
      </w:r>
      <w:r w:rsidRPr="004B73A5">
        <w:rPr>
          <w:rFonts w:ascii="Times New Roman" w:eastAsia="Calibri" w:hAnsi="Times New Roman" w:cs="Times New Roman"/>
          <w:sz w:val="24"/>
          <w:szCs w:val="24"/>
        </w:rPr>
        <w:t xml:space="preserve">equity to total assets,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σROA</m:t>
            </m:r>
          </m:e>
          <m:sub>
            <m:r>
              <w:rPr>
                <w:rFonts w:ascii="Cambria Math" w:eastAsia="Calibri" w:hAnsi="Cambria Math" w:cs="Times New Roman"/>
                <w:sz w:val="24"/>
                <w:szCs w:val="24"/>
              </w:rPr>
              <m:t>it</m:t>
            </m:r>
          </m:sub>
        </m:sSub>
      </m:oMath>
      <w:r w:rsidRPr="004B73A5">
        <w:rPr>
          <w:rFonts w:ascii="Times New Roman" w:eastAsia="Calibri" w:hAnsi="Times New Roman" w:cs="Times New Roman"/>
          <w:sz w:val="24"/>
          <w:szCs w:val="24"/>
        </w:rPr>
        <w:t xml:space="preserve"> is the </w:t>
      </w:r>
      <w:r w:rsidR="001806C0">
        <w:rPr>
          <w:rFonts w:ascii="Times New Roman" w:eastAsia="Calibri" w:hAnsi="Times New Roman" w:cs="Times New Roman"/>
          <w:sz w:val="24"/>
          <w:szCs w:val="24"/>
        </w:rPr>
        <w:t xml:space="preserve">insurance firm </w:t>
      </w:r>
      <w:r w:rsidR="001806C0" w:rsidRPr="004B73A5">
        <w:rPr>
          <w:rFonts w:ascii="Times New Roman" w:eastAsia="Calibri" w:hAnsi="Times New Roman" w:cs="Times New Roman"/>
          <w:sz w:val="24"/>
          <w:szCs w:val="24"/>
        </w:rPr>
        <w:t xml:space="preserve">return on assets </w:t>
      </w:r>
      <w:r w:rsidRPr="004B73A5">
        <w:rPr>
          <w:rFonts w:ascii="Times New Roman" w:eastAsia="Calibri" w:hAnsi="Times New Roman" w:cs="Times New Roman"/>
          <w:sz w:val="24"/>
          <w:szCs w:val="24"/>
        </w:rPr>
        <w:t>standard deviation.</w:t>
      </w:r>
      <w:r>
        <w:rPr>
          <w:rFonts w:ascii="Times New Roman" w:eastAsia="Calibri" w:hAnsi="Times New Roman" w:cs="Times New Roman"/>
          <w:sz w:val="24"/>
          <w:szCs w:val="24"/>
        </w:rPr>
        <w:t xml:space="preserve"> </w:t>
      </w:r>
      <w:r w:rsidRPr="004B73A5">
        <w:rPr>
          <w:rFonts w:ascii="Times New Roman" w:eastAsia="Calibri" w:hAnsi="Times New Roman" w:cs="Times New Roman"/>
          <w:sz w:val="24"/>
          <w:szCs w:val="24"/>
        </w:rPr>
        <w:t xml:space="preserve">The </w:t>
      </w:r>
      <w:r w:rsidRPr="00534A3A">
        <w:rPr>
          <w:rFonts w:ascii="Times New Roman" w:eastAsia="Calibri" w:hAnsi="Times New Roman" w:cs="Times New Roman"/>
          <w:i/>
          <w:iCs/>
          <w:sz w:val="24"/>
          <w:szCs w:val="24"/>
        </w:rPr>
        <w:t>Z</w:t>
      </w:r>
      <w:r w:rsidRPr="004B73A5">
        <w:rPr>
          <w:rFonts w:ascii="Times New Roman" w:eastAsia="Calibri" w:hAnsi="Times New Roman" w:cs="Times New Roman"/>
          <w:sz w:val="24"/>
          <w:szCs w:val="24"/>
        </w:rPr>
        <w:t xml:space="preserve">-score is </w:t>
      </w:r>
      <w:r w:rsidR="001806C0">
        <w:rPr>
          <w:rFonts w:ascii="Times New Roman" w:eastAsia="Calibri" w:hAnsi="Times New Roman" w:cs="Times New Roman"/>
          <w:sz w:val="24"/>
          <w:szCs w:val="24"/>
        </w:rPr>
        <w:t xml:space="preserve">positively related to insurance firm stability and </w:t>
      </w:r>
      <w:r w:rsidRPr="004B73A5">
        <w:rPr>
          <w:rFonts w:ascii="Times New Roman" w:eastAsia="Calibri" w:hAnsi="Times New Roman" w:cs="Times New Roman"/>
          <w:sz w:val="24"/>
          <w:szCs w:val="24"/>
        </w:rPr>
        <w:t>inversely related to</w:t>
      </w:r>
      <w:r w:rsidR="001806C0">
        <w:rPr>
          <w:rFonts w:ascii="Times New Roman" w:eastAsia="Calibri" w:hAnsi="Times New Roman" w:cs="Times New Roman"/>
          <w:sz w:val="24"/>
          <w:szCs w:val="24"/>
        </w:rPr>
        <w:t xml:space="preserve"> risk taking. </w:t>
      </w:r>
      <w:r w:rsidRPr="004B73A5">
        <w:rPr>
          <w:rFonts w:ascii="Times New Roman" w:eastAsia="Calibri" w:hAnsi="Times New Roman" w:cs="Times New Roman"/>
          <w:sz w:val="24"/>
          <w:szCs w:val="24"/>
        </w:rPr>
        <w:t>A</w:t>
      </w:r>
      <w:r w:rsidR="001806C0">
        <w:rPr>
          <w:rFonts w:ascii="Times New Roman" w:eastAsia="Calibri" w:hAnsi="Times New Roman" w:cs="Times New Roman"/>
          <w:sz w:val="24"/>
          <w:szCs w:val="24"/>
        </w:rPr>
        <w:t>n insurance firm</w:t>
      </w:r>
      <w:r w:rsidRPr="004B73A5">
        <w:rPr>
          <w:rFonts w:ascii="Times New Roman" w:eastAsia="Calibri" w:hAnsi="Times New Roman" w:cs="Times New Roman"/>
          <w:sz w:val="24"/>
          <w:szCs w:val="24"/>
        </w:rPr>
        <w:t xml:space="preserve"> becomes </w:t>
      </w:r>
      <w:r w:rsidR="001806C0">
        <w:rPr>
          <w:rFonts w:ascii="Times New Roman" w:eastAsia="Calibri" w:hAnsi="Times New Roman" w:cs="Times New Roman"/>
          <w:sz w:val="24"/>
          <w:szCs w:val="24"/>
        </w:rPr>
        <w:t>“</w:t>
      </w:r>
      <w:r w:rsidRPr="00534A3A">
        <w:rPr>
          <w:rFonts w:ascii="Times New Roman" w:eastAsia="Calibri" w:hAnsi="Times New Roman" w:cs="Times New Roman"/>
          <w:i/>
          <w:iCs/>
          <w:sz w:val="24"/>
          <w:szCs w:val="24"/>
        </w:rPr>
        <w:t xml:space="preserve">insolvent when its asset value drops below its debt and the Z-score shows the number of standard deviations that a </w:t>
      </w:r>
      <w:r w:rsidR="001806C0" w:rsidRPr="00534A3A">
        <w:rPr>
          <w:rFonts w:ascii="Times New Roman" w:eastAsia="Calibri" w:hAnsi="Times New Roman" w:cs="Times New Roman"/>
          <w:i/>
          <w:iCs/>
          <w:sz w:val="24"/>
          <w:szCs w:val="24"/>
        </w:rPr>
        <w:t>firm</w:t>
      </w:r>
      <w:r w:rsidRPr="00534A3A">
        <w:rPr>
          <w:rFonts w:ascii="Times New Roman" w:eastAsia="Calibri" w:hAnsi="Times New Roman" w:cs="Times New Roman"/>
          <w:i/>
          <w:iCs/>
          <w:sz w:val="24"/>
          <w:szCs w:val="24"/>
        </w:rPr>
        <w:t>’s return has to fall below its expected value t</w:t>
      </w:r>
      <w:r w:rsidR="00EF5F3E" w:rsidRPr="00534A3A">
        <w:rPr>
          <w:rFonts w:ascii="Times New Roman" w:eastAsia="Calibri" w:hAnsi="Times New Roman" w:cs="Times New Roman"/>
          <w:i/>
          <w:iCs/>
          <w:sz w:val="24"/>
          <w:szCs w:val="24"/>
        </w:rPr>
        <w:t>hat can</w:t>
      </w:r>
      <w:r w:rsidRPr="00534A3A">
        <w:rPr>
          <w:rFonts w:ascii="Times New Roman" w:eastAsia="Calibri" w:hAnsi="Times New Roman" w:cs="Times New Roman"/>
          <w:i/>
          <w:iCs/>
          <w:sz w:val="24"/>
          <w:szCs w:val="24"/>
        </w:rPr>
        <w:t xml:space="preserve"> deplete equity and make the bank insolvent</w:t>
      </w:r>
      <w:r w:rsidR="001806C0">
        <w:rPr>
          <w:rFonts w:ascii="Times New Roman" w:eastAsia="Calibri" w:hAnsi="Times New Roman" w:cs="Times New Roman"/>
          <w:sz w:val="24"/>
          <w:szCs w:val="24"/>
        </w:rPr>
        <w:t>” (Fu et al</w:t>
      </w:r>
      <w:r w:rsidR="00EF5F3E">
        <w:rPr>
          <w:rFonts w:ascii="Times New Roman" w:eastAsia="Calibri" w:hAnsi="Times New Roman" w:cs="Times New Roman"/>
          <w:sz w:val="24"/>
          <w:szCs w:val="24"/>
        </w:rPr>
        <w:t>.</w:t>
      </w:r>
      <w:r w:rsidR="001806C0">
        <w:rPr>
          <w:rFonts w:ascii="Times New Roman" w:eastAsia="Calibri" w:hAnsi="Times New Roman" w:cs="Times New Roman"/>
          <w:sz w:val="24"/>
          <w:szCs w:val="24"/>
        </w:rPr>
        <w:t>, 2014</w:t>
      </w:r>
      <w:r w:rsidR="00537D47">
        <w:rPr>
          <w:rFonts w:ascii="Times New Roman" w:eastAsia="Calibri" w:hAnsi="Times New Roman" w:cs="Times New Roman"/>
          <w:sz w:val="24"/>
          <w:szCs w:val="24"/>
        </w:rPr>
        <w:t xml:space="preserve">, </w:t>
      </w:r>
      <w:r w:rsidR="00534A3A" w:rsidRPr="000F0BFB">
        <w:rPr>
          <w:rFonts w:ascii="Times New Roman" w:eastAsia="Calibri" w:hAnsi="Times New Roman" w:cs="Times New Roman"/>
          <w:sz w:val="24"/>
          <w:szCs w:val="24"/>
        </w:rPr>
        <w:t>p68)</w:t>
      </w:r>
    </w:p>
    <w:p w14:paraId="67ACC16F" w14:textId="10EC2AC8" w:rsidR="00E84CFA" w:rsidRPr="00E84CFA" w:rsidRDefault="00A47533" w:rsidP="00225341">
      <w:pPr>
        <w:spacing w:before="120" w:after="120" w:line="360" w:lineRule="auto"/>
        <w:ind w:firstLine="720"/>
        <w:jc w:val="both"/>
        <w:rPr>
          <w:rFonts w:ascii="Times New Roman" w:eastAsia="Calibri" w:hAnsi="Times New Roman" w:cs="Times New Roman"/>
          <w:sz w:val="24"/>
          <w:szCs w:val="24"/>
        </w:rPr>
      </w:pPr>
      <w:r w:rsidRPr="00E84CFA">
        <w:rPr>
          <w:rFonts w:ascii="Times New Roman" w:eastAsia="Calibri" w:hAnsi="Times New Roman" w:cs="Times New Roman"/>
          <w:sz w:val="24"/>
          <w:szCs w:val="24"/>
        </w:rPr>
        <w:t xml:space="preserve">To examine </w:t>
      </w:r>
      <w:r w:rsidRPr="00D15B6A">
        <w:rPr>
          <w:rFonts w:ascii="Times New Roman" w:eastAsia="Calibri" w:hAnsi="Times New Roman" w:cs="Times New Roman"/>
          <w:sz w:val="24"/>
          <w:szCs w:val="24"/>
        </w:rPr>
        <w:t>the influence of internal corporate governance mechanisms (CGMs)</w:t>
      </w:r>
      <w:r w:rsidRPr="00E84CFA">
        <w:rPr>
          <w:rFonts w:ascii="Times New Roman" w:eastAsia="Calibri" w:hAnsi="Times New Roman" w:cs="Times New Roman"/>
          <w:sz w:val="24"/>
          <w:szCs w:val="24"/>
        </w:rPr>
        <w:t xml:space="preserve">, </w:t>
      </w:r>
      <w:r w:rsidRPr="00D15B6A">
        <w:rPr>
          <w:rFonts w:ascii="Times New Roman" w:eastAsia="Calibri" w:hAnsi="Times New Roman" w:cs="Times New Roman"/>
          <w:sz w:val="24"/>
          <w:szCs w:val="24"/>
        </w:rPr>
        <w:t>we gather data on risk</w:t>
      </w:r>
      <w:r w:rsidR="00EF5F3E">
        <w:rPr>
          <w:rFonts w:ascii="Times New Roman" w:eastAsia="Calibri" w:hAnsi="Times New Roman" w:cs="Times New Roman"/>
          <w:sz w:val="24"/>
          <w:szCs w:val="24"/>
        </w:rPr>
        <w:t>-</w:t>
      </w:r>
      <w:r w:rsidRPr="00D15B6A">
        <w:rPr>
          <w:rFonts w:ascii="Times New Roman" w:eastAsia="Calibri" w:hAnsi="Times New Roman" w:cs="Times New Roman"/>
          <w:sz w:val="24"/>
          <w:szCs w:val="24"/>
        </w:rPr>
        <w:t xml:space="preserve">taking. For instance, </w:t>
      </w:r>
      <w:r w:rsidR="007C76F0">
        <w:rPr>
          <w:rFonts w:ascii="Times New Roman" w:eastAsia="Calibri" w:hAnsi="Times New Roman" w:cs="Times New Roman"/>
          <w:sz w:val="24"/>
          <w:szCs w:val="24"/>
        </w:rPr>
        <w:t xml:space="preserve">risk-taking </w:t>
      </w:r>
      <w:r w:rsidR="00225341">
        <w:rPr>
          <w:rFonts w:ascii="Times New Roman" w:eastAsia="Calibri" w:hAnsi="Times New Roman" w:cs="Times New Roman"/>
          <w:sz w:val="24"/>
          <w:szCs w:val="24"/>
        </w:rPr>
        <w:t xml:space="preserve">using </w:t>
      </w:r>
      <w:r w:rsidR="00225341" w:rsidRPr="000F0BFB">
        <w:rPr>
          <w:rFonts w:ascii="Times New Roman" w:eastAsia="Calibri" w:hAnsi="Times New Roman" w:cs="Times New Roman"/>
          <w:i/>
          <w:iCs/>
          <w:sz w:val="24"/>
          <w:szCs w:val="24"/>
        </w:rPr>
        <w:t>ROA</w:t>
      </w:r>
      <w:r w:rsidRPr="00D15B6A">
        <w:rPr>
          <w:rFonts w:ascii="Times New Roman" w:eastAsia="Calibri" w:hAnsi="Times New Roman" w:cs="Times New Roman"/>
          <w:sz w:val="24"/>
          <w:szCs w:val="24"/>
        </w:rPr>
        <w:t xml:space="preserve"> (</w:t>
      </w:r>
      <w:r w:rsidR="00225341" w:rsidRPr="000F0BFB">
        <w:rPr>
          <w:rFonts w:ascii="Times New Roman" w:eastAsia="Calibri" w:hAnsi="Times New Roman" w:cs="Times New Roman"/>
          <w:i/>
          <w:iCs/>
          <w:sz w:val="24"/>
          <w:szCs w:val="24"/>
        </w:rPr>
        <w:t>RT1</w:t>
      </w:r>
      <w:r w:rsidRPr="00D15B6A">
        <w:rPr>
          <w:rFonts w:ascii="Times New Roman" w:eastAsia="Calibri" w:hAnsi="Times New Roman" w:cs="Times New Roman"/>
          <w:sz w:val="24"/>
          <w:szCs w:val="24"/>
        </w:rPr>
        <w:t xml:space="preserve">) and/or </w:t>
      </w:r>
      <w:r w:rsidR="007C76F0">
        <w:rPr>
          <w:rFonts w:ascii="Times New Roman" w:eastAsia="Calibri" w:hAnsi="Times New Roman" w:cs="Times New Roman"/>
          <w:sz w:val="24"/>
          <w:szCs w:val="24"/>
        </w:rPr>
        <w:t xml:space="preserve">risk-taking </w:t>
      </w:r>
      <w:r w:rsidR="00225341">
        <w:rPr>
          <w:rFonts w:ascii="Times New Roman" w:eastAsia="Calibri" w:hAnsi="Times New Roman" w:cs="Times New Roman"/>
          <w:sz w:val="24"/>
          <w:szCs w:val="24"/>
        </w:rPr>
        <w:t xml:space="preserve">using </w:t>
      </w:r>
      <w:r w:rsidRPr="00D15B6A">
        <w:rPr>
          <w:rFonts w:ascii="Times New Roman" w:eastAsia="Calibri" w:hAnsi="Times New Roman" w:cs="Times New Roman"/>
          <w:sz w:val="24"/>
          <w:szCs w:val="24"/>
        </w:rPr>
        <w:t>return on equity (</w:t>
      </w:r>
      <w:r w:rsidR="00225341" w:rsidRPr="000F0BFB">
        <w:rPr>
          <w:rFonts w:ascii="Times New Roman" w:eastAsia="Calibri" w:hAnsi="Times New Roman" w:cs="Times New Roman"/>
          <w:i/>
          <w:iCs/>
          <w:sz w:val="24"/>
          <w:szCs w:val="24"/>
        </w:rPr>
        <w:t>RT2</w:t>
      </w:r>
      <w:r w:rsidRPr="00D15B6A">
        <w:rPr>
          <w:rFonts w:ascii="Times New Roman" w:eastAsia="Calibri" w:hAnsi="Times New Roman" w:cs="Times New Roman"/>
          <w:sz w:val="24"/>
          <w:szCs w:val="24"/>
        </w:rPr>
        <w:t>)</w:t>
      </w:r>
      <w:r w:rsidRPr="00D15B6A">
        <w:rPr>
          <w:rFonts w:ascii="Times New Roman" w:hAnsi="Times New Roman" w:cs="Times New Roman"/>
          <w:sz w:val="24"/>
          <w:szCs w:val="24"/>
        </w:rPr>
        <w:t xml:space="preserve"> </w:t>
      </w:r>
      <w:r w:rsidRPr="00D15B6A">
        <w:rPr>
          <w:rFonts w:ascii="Times New Roman" w:eastAsia="Calibri" w:hAnsi="Times New Roman" w:cs="Times New Roman"/>
          <w:sz w:val="24"/>
          <w:szCs w:val="24"/>
        </w:rPr>
        <w:t>are u</w:t>
      </w:r>
      <w:r w:rsidR="00225341">
        <w:rPr>
          <w:rFonts w:ascii="Times New Roman" w:eastAsia="Calibri" w:hAnsi="Times New Roman" w:cs="Times New Roman"/>
          <w:sz w:val="24"/>
          <w:szCs w:val="24"/>
        </w:rPr>
        <w:t>sed as a proxy for risk taking</w:t>
      </w:r>
      <w:r w:rsidRPr="00D15B6A">
        <w:rPr>
          <w:rFonts w:ascii="Times New Roman" w:eastAsia="Calibri" w:hAnsi="Times New Roman" w:cs="Times New Roman"/>
          <w:sz w:val="24"/>
          <w:szCs w:val="24"/>
        </w:rPr>
        <w:t>. Internal corporate governance mechanisms (</w:t>
      </w:r>
      <w:r w:rsidRPr="000F0BFB">
        <w:rPr>
          <w:rFonts w:ascii="Times New Roman" w:eastAsia="Calibri" w:hAnsi="Times New Roman" w:cs="Times New Roman"/>
          <w:i/>
          <w:iCs/>
          <w:sz w:val="24"/>
          <w:szCs w:val="24"/>
        </w:rPr>
        <w:t>CGMs</w:t>
      </w:r>
      <w:r w:rsidRPr="00D15B6A">
        <w:rPr>
          <w:rFonts w:ascii="Times New Roman" w:eastAsia="Calibri" w:hAnsi="Times New Roman" w:cs="Times New Roman"/>
          <w:sz w:val="24"/>
          <w:szCs w:val="24"/>
        </w:rPr>
        <w:t xml:space="preserve">) variables include </w:t>
      </w:r>
      <w:r w:rsidR="00E84CFA" w:rsidRPr="00E84CFA">
        <w:rPr>
          <w:rFonts w:ascii="Times New Roman" w:eastAsia="Calibri" w:hAnsi="Times New Roman" w:cs="Times New Roman"/>
          <w:sz w:val="24"/>
          <w:szCs w:val="24"/>
        </w:rPr>
        <w:t xml:space="preserve">board size </w:t>
      </w:r>
      <w:r w:rsidR="008945C5" w:rsidRPr="00D15B6A">
        <w:rPr>
          <w:rFonts w:ascii="Times New Roman" w:eastAsia="Calibri" w:hAnsi="Times New Roman" w:cs="Times New Roman"/>
          <w:sz w:val="24"/>
          <w:szCs w:val="24"/>
        </w:rPr>
        <w:t>(</w:t>
      </w:r>
      <w:r w:rsidR="008945C5" w:rsidRPr="000F0BFB">
        <w:rPr>
          <w:rFonts w:ascii="Times New Roman" w:eastAsia="Calibri" w:hAnsi="Times New Roman" w:cs="Times New Roman"/>
          <w:i/>
          <w:iCs/>
          <w:sz w:val="24"/>
          <w:szCs w:val="24"/>
        </w:rPr>
        <w:t>ICBS</w:t>
      </w:r>
      <w:r w:rsidR="008945C5" w:rsidRPr="00D15B6A">
        <w:rPr>
          <w:rFonts w:ascii="Times New Roman" w:eastAsia="Calibri" w:hAnsi="Times New Roman" w:cs="Times New Roman"/>
          <w:sz w:val="24"/>
          <w:szCs w:val="24"/>
        </w:rPr>
        <w:t xml:space="preserve">), </w:t>
      </w:r>
      <w:r w:rsidR="00E84CFA" w:rsidRPr="00E84CFA">
        <w:rPr>
          <w:rFonts w:ascii="Times New Roman" w:eastAsia="Calibri" w:hAnsi="Times New Roman" w:cs="Times New Roman"/>
          <w:sz w:val="24"/>
          <w:szCs w:val="24"/>
        </w:rPr>
        <w:t xml:space="preserve">board of directors’ meetings </w:t>
      </w:r>
      <w:r w:rsidR="008945C5" w:rsidRPr="00D15B6A">
        <w:rPr>
          <w:rFonts w:ascii="Times New Roman" w:eastAsia="Calibri" w:hAnsi="Times New Roman" w:cs="Times New Roman"/>
          <w:sz w:val="24"/>
          <w:szCs w:val="24"/>
        </w:rPr>
        <w:t>(</w:t>
      </w:r>
      <w:r w:rsidR="008945C5" w:rsidRPr="000F0BFB">
        <w:rPr>
          <w:rFonts w:ascii="Times New Roman" w:eastAsia="Calibri" w:hAnsi="Times New Roman" w:cs="Times New Roman"/>
          <w:i/>
          <w:iCs/>
          <w:sz w:val="24"/>
          <w:szCs w:val="24"/>
        </w:rPr>
        <w:t>ICBM</w:t>
      </w:r>
      <w:r w:rsidR="008945C5" w:rsidRPr="00D15B6A">
        <w:rPr>
          <w:rFonts w:ascii="Times New Roman" w:eastAsia="Calibri" w:hAnsi="Times New Roman" w:cs="Times New Roman"/>
          <w:sz w:val="24"/>
          <w:szCs w:val="24"/>
        </w:rPr>
        <w:t xml:space="preserve">), </w:t>
      </w:r>
      <w:r w:rsidR="00E84CFA" w:rsidRPr="00E84CFA">
        <w:rPr>
          <w:rFonts w:ascii="Times New Roman" w:eastAsia="Calibri" w:hAnsi="Times New Roman" w:cs="Times New Roman"/>
          <w:sz w:val="24"/>
          <w:szCs w:val="24"/>
        </w:rPr>
        <w:t xml:space="preserve">board independence </w:t>
      </w:r>
      <w:r w:rsidR="008945C5" w:rsidRPr="00D15B6A">
        <w:rPr>
          <w:rFonts w:ascii="Times New Roman" w:eastAsia="Calibri" w:hAnsi="Times New Roman" w:cs="Times New Roman"/>
          <w:sz w:val="24"/>
          <w:szCs w:val="24"/>
        </w:rPr>
        <w:t>(</w:t>
      </w:r>
      <w:r w:rsidR="008945C5" w:rsidRPr="000F0BFB">
        <w:rPr>
          <w:rFonts w:ascii="Times New Roman" w:eastAsia="Calibri" w:hAnsi="Times New Roman" w:cs="Times New Roman"/>
          <w:i/>
          <w:iCs/>
          <w:sz w:val="24"/>
          <w:szCs w:val="24"/>
        </w:rPr>
        <w:t>ICNEDs</w:t>
      </w:r>
      <w:r w:rsidR="008945C5" w:rsidRPr="00D15B6A">
        <w:rPr>
          <w:rFonts w:ascii="Times New Roman" w:eastAsia="Calibri" w:hAnsi="Times New Roman" w:cs="Times New Roman"/>
          <w:sz w:val="24"/>
          <w:szCs w:val="24"/>
        </w:rPr>
        <w:t xml:space="preserve">), and </w:t>
      </w:r>
      <w:r w:rsidR="00E84CFA" w:rsidRPr="00E84CFA">
        <w:rPr>
          <w:rFonts w:ascii="Times New Roman" w:eastAsia="Calibri" w:hAnsi="Times New Roman" w:cs="Times New Roman"/>
          <w:sz w:val="24"/>
          <w:szCs w:val="24"/>
        </w:rPr>
        <w:t xml:space="preserve">audit committee size </w:t>
      </w:r>
      <w:r w:rsidR="008945C5" w:rsidRPr="00D15B6A">
        <w:rPr>
          <w:rFonts w:ascii="Times New Roman" w:eastAsia="Calibri" w:hAnsi="Times New Roman" w:cs="Times New Roman"/>
          <w:sz w:val="24"/>
          <w:szCs w:val="24"/>
        </w:rPr>
        <w:t>(</w:t>
      </w:r>
      <w:r w:rsidR="008945C5" w:rsidRPr="000F0BFB">
        <w:rPr>
          <w:rFonts w:ascii="Times New Roman" w:eastAsia="Calibri" w:hAnsi="Times New Roman" w:cs="Times New Roman"/>
          <w:i/>
          <w:iCs/>
          <w:sz w:val="24"/>
          <w:szCs w:val="24"/>
        </w:rPr>
        <w:t>ICACS</w:t>
      </w:r>
      <w:r w:rsidR="008945C5" w:rsidRPr="00D15B6A">
        <w:rPr>
          <w:rFonts w:ascii="Times New Roman" w:eastAsia="Calibri" w:hAnsi="Times New Roman" w:cs="Times New Roman"/>
          <w:sz w:val="24"/>
          <w:szCs w:val="24"/>
        </w:rPr>
        <w:t xml:space="preserve">). Control variables include </w:t>
      </w:r>
      <w:r w:rsidR="00E84CFA" w:rsidRPr="00E84CFA">
        <w:rPr>
          <w:rFonts w:ascii="Times New Roman" w:eastAsia="Calibri" w:hAnsi="Times New Roman" w:cs="Times New Roman"/>
          <w:sz w:val="24"/>
          <w:szCs w:val="24"/>
        </w:rPr>
        <w:t>insurance firm’s</w:t>
      </w:r>
      <w:r w:rsidR="008945C5" w:rsidRPr="00D15B6A">
        <w:rPr>
          <w:rFonts w:ascii="Times New Roman" w:eastAsia="Calibri" w:hAnsi="Times New Roman" w:cs="Times New Roman"/>
          <w:sz w:val="24"/>
          <w:szCs w:val="24"/>
        </w:rPr>
        <w:t xml:space="preserve"> size (</w:t>
      </w:r>
      <w:r w:rsidR="008945C5" w:rsidRPr="000F0BFB">
        <w:rPr>
          <w:rFonts w:ascii="Times New Roman" w:eastAsia="Calibri" w:hAnsi="Times New Roman" w:cs="Times New Roman"/>
          <w:i/>
          <w:iCs/>
          <w:sz w:val="24"/>
          <w:szCs w:val="24"/>
        </w:rPr>
        <w:t>ICTA</w:t>
      </w:r>
      <w:r w:rsidR="008945C5" w:rsidRPr="00D15B6A">
        <w:rPr>
          <w:rFonts w:ascii="Times New Roman" w:eastAsia="Calibri" w:hAnsi="Times New Roman" w:cs="Times New Roman"/>
          <w:sz w:val="24"/>
          <w:szCs w:val="24"/>
        </w:rPr>
        <w:t xml:space="preserve">), and </w:t>
      </w:r>
      <w:r w:rsidR="00E84CFA" w:rsidRPr="00E84CFA">
        <w:rPr>
          <w:rFonts w:ascii="Times New Roman" w:eastAsia="Calibri" w:hAnsi="Times New Roman" w:cs="Times New Roman"/>
          <w:sz w:val="24"/>
          <w:szCs w:val="24"/>
        </w:rPr>
        <w:t xml:space="preserve">liquidity </w:t>
      </w:r>
      <w:r w:rsidR="008945C5" w:rsidRPr="00D15B6A">
        <w:rPr>
          <w:rFonts w:ascii="Times New Roman" w:eastAsia="Calibri" w:hAnsi="Times New Roman" w:cs="Times New Roman"/>
          <w:sz w:val="24"/>
          <w:szCs w:val="24"/>
        </w:rPr>
        <w:t>(</w:t>
      </w:r>
      <w:r w:rsidR="008945C5" w:rsidRPr="000F0BFB">
        <w:rPr>
          <w:rFonts w:ascii="Times New Roman" w:eastAsia="Calibri" w:hAnsi="Times New Roman" w:cs="Times New Roman"/>
          <w:i/>
          <w:iCs/>
          <w:sz w:val="24"/>
          <w:szCs w:val="24"/>
        </w:rPr>
        <w:t>ICL</w:t>
      </w:r>
      <w:r w:rsidR="008945C5" w:rsidRPr="00D15B6A">
        <w:rPr>
          <w:rFonts w:ascii="Times New Roman" w:eastAsia="Calibri" w:hAnsi="Times New Roman" w:cs="Times New Roman"/>
          <w:sz w:val="24"/>
          <w:szCs w:val="24"/>
        </w:rPr>
        <w:t>).</w:t>
      </w:r>
      <w:r w:rsidR="008A66D1">
        <w:rPr>
          <w:rFonts w:ascii="Times New Roman" w:eastAsia="Calibri" w:hAnsi="Times New Roman" w:cs="Times New Roman"/>
          <w:sz w:val="24"/>
          <w:szCs w:val="24"/>
        </w:rPr>
        <w:t xml:space="preserve"> Thus, t</w:t>
      </w:r>
      <w:r w:rsidR="00E84CFA" w:rsidRPr="00E84CFA">
        <w:rPr>
          <w:rFonts w:ascii="Times New Roman" w:eastAsia="Calibri" w:hAnsi="Times New Roman" w:cs="Times New Roman"/>
          <w:sz w:val="24"/>
          <w:szCs w:val="24"/>
        </w:rPr>
        <w:t xml:space="preserve">o examine </w:t>
      </w:r>
      <w:r w:rsidR="00E84CFA" w:rsidRPr="00D15B6A">
        <w:rPr>
          <w:rFonts w:ascii="Times New Roman" w:eastAsia="Calibri" w:hAnsi="Times New Roman" w:cs="Times New Roman"/>
          <w:sz w:val="24"/>
          <w:szCs w:val="24"/>
        </w:rPr>
        <w:t>the influence of CG</w:t>
      </w:r>
      <w:r w:rsidR="008945C5" w:rsidRPr="00D15B6A">
        <w:rPr>
          <w:rFonts w:ascii="Times New Roman" w:eastAsia="Calibri" w:hAnsi="Times New Roman" w:cs="Times New Roman"/>
          <w:sz w:val="24"/>
          <w:szCs w:val="24"/>
        </w:rPr>
        <w:t xml:space="preserve"> on </w:t>
      </w:r>
      <w:r w:rsidR="008945C5" w:rsidRPr="000F0BFB">
        <w:rPr>
          <w:rFonts w:ascii="Times New Roman" w:eastAsia="Calibri" w:hAnsi="Times New Roman" w:cs="Times New Roman"/>
          <w:i/>
          <w:iCs/>
          <w:sz w:val="24"/>
          <w:szCs w:val="24"/>
        </w:rPr>
        <w:t>IRT</w:t>
      </w:r>
      <w:r w:rsidR="00E84CFA" w:rsidRPr="00E84CFA">
        <w:rPr>
          <w:rFonts w:ascii="Times New Roman" w:eastAsia="Calibri" w:hAnsi="Times New Roman" w:cs="Times New Roman"/>
          <w:sz w:val="24"/>
          <w:szCs w:val="24"/>
        </w:rPr>
        <w:t xml:space="preserve">, this study uses </w:t>
      </w:r>
      <w:r w:rsidR="008945C5" w:rsidRPr="00D15B6A">
        <w:rPr>
          <w:rFonts w:ascii="Times New Roman" w:eastAsia="Calibri" w:hAnsi="Times New Roman" w:cs="Times New Roman"/>
          <w:sz w:val="24"/>
          <w:szCs w:val="24"/>
        </w:rPr>
        <w:t>OLS</w:t>
      </w:r>
      <w:r w:rsidR="00E84CFA" w:rsidRPr="00E84CFA">
        <w:rPr>
          <w:rFonts w:ascii="Times New Roman" w:eastAsia="Calibri" w:hAnsi="Times New Roman" w:cs="Times New Roman"/>
          <w:sz w:val="24"/>
          <w:szCs w:val="24"/>
        </w:rPr>
        <w:t xml:space="preserve"> regression as follows:</w:t>
      </w:r>
    </w:p>
    <w:p w14:paraId="6985A380" w14:textId="77777777" w:rsidR="00E84CFA" w:rsidRPr="00E84CFA" w:rsidRDefault="00E84CFA" w:rsidP="00E84CFA">
      <w:pPr>
        <w:shd w:val="clear" w:color="auto" w:fill="FFFFFF"/>
        <w:autoSpaceDE w:val="0"/>
        <w:autoSpaceDN w:val="0"/>
        <w:adjustRightInd w:val="0"/>
        <w:spacing w:before="120" w:after="120" w:line="240" w:lineRule="auto"/>
        <w:jc w:val="both"/>
        <w:rPr>
          <w:rFonts w:ascii="Times New Roman" w:eastAsia="Calibri" w:hAnsi="Times New Roman" w:cs="Times New Roman"/>
          <w:sz w:val="24"/>
          <w:szCs w:val="24"/>
        </w:rPr>
      </w:pPr>
    </w:p>
    <w:p w14:paraId="46DE6015" w14:textId="3FFE9BBC" w:rsidR="00E84CFA" w:rsidRPr="00E84CFA" w:rsidRDefault="00225341" w:rsidP="00E84CFA">
      <w:pPr>
        <w:spacing w:before="120" w:after="120" w:line="360" w:lineRule="auto"/>
        <w:ind w:firstLine="360"/>
        <w:contextualSpacing/>
        <w:jc w:val="both"/>
        <w:rPr>
          <w:rFonts w:ascii="Times New Roman" w:eastAsia="Calibri" w:hAnsi="Times New Roman" w:cs="Times New Roman"/>
          <w:position w:val="-12"/>
          <w:sz w:val="24"/>
          <w:szCs w:val="24"/>
        </w:rPr>
      </w:pPr>
      <w:r w:rsidRPr="00D15B6A">
        <w:rPr>
          <w:rFonts w:ascii="Times New Roman" w:eastAsia="Calibri" w:hAnsi="Times New Roman" w:cs="Times New Roman"/>
          <w:position w:val="-12"/>
          <w:sz w:val="24"/>
          <w:szCs w:val="24"/>
        </w:rPr>
        <w:object w:dxaOrig="8800" w:dyaOrig="360" w14:anchorId="2F3C9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4.25pt" o:ole="">
            <v:imagedata r:id="rId14" o:title=""/>
          </v:shape>
          <o:OLEObject Type="Embed" ProgID="Equation.3" ShapeID="_x0000_i1025" DrawAspect="Content" ObjectID="_1606030273" r:id="rId15"/>
        </w:object>
      </w:r>
      <w:r w:rsidR="000F0BFB">
        <w:rPr>
          <w:rFonts w:ascii="Times New Roman" w:eastAsia="Calibri" w:hAnsi="Times New Roman" w:cs="Times New Roman"/>
          <w:sz w:val="24"/>
          <w:szCs w:val="24"/>
        </w:rPr>
        <w:t xml:space="preserve">    (3)</w:t>
      </w:r>
      <w:r w:rsidR="00E84CFA" w:rsidRPr="00E84CFA">
        <w:rPr>
          <w:rFonts w:ascii="Times New Roman" w:eastAsia="Calibri" w:hAnsi="Times New Roman" w:cs="Times New Roman"/>
          <w:position w:val="-12"/>
          <w:sz w:val="24"/>
          <w:szCs w:val="24"/>
        </w:rPr>
        <w:t xml:space="preserve">   </w:t>
      </w:r>
      <w:r w:rsidR="008A66D1">
        <w:rPr>
          <w:rFonts w:ascii="Times New Roman" w:eastAsia="Calibri" w:hAnsi="Times New Roman" w:cs="Times New Roman"/>
          <w:position w:val="-12"/>
          <w:sz w:val="24"/>
          <w:szCs w:val="24"/>
        </w:rPr>
        <w:t xml:space="preserve">            </w:t>
      </w:r>
      <w:r>
        <w:rPr>
          <w:rFonts w:ascii="Times New Roman" w:eastAsia="Calibri" w:hAnsi="Times New Roman" w:cs="Times New Roman"/>
          <w:position w:val="-12"/>
          <w:sz w:val="24"/>
          <w:szCs w:val="24"/>
        </w:rPr>
        <w:t xml:space="preserve">  </w:t>
      </w:r>
    </w:p>
    <w:p w14:paraId="5C18E5C3" w14:textId="77777777" w:rsidR="008A66D1" w:rsidRPr="008A66D1" w:rsidRDefault="008A66D1" w:rsidP="008A66D1">
      <w:pPr>
        <w:tabs>
          <w:tab w:val="left" w:pos="3410"/>
        </w:tabs>
        <w:spacing w:after="0" w:line="480" w:lineRule="auto"/>
        <w:ind w:firstLine="360"/>
        <w:jc w:val="both"/>
        <w:rPr>
          <w:rFonts w:ascii="Times New Roman" w:eastAsia="Calibri" w:hAnsi="Times New Roman" w:cs="Times New Roman"/>
          <w:sz w:val="10"/>
          <w:szCs w:val="24"/>
        </w:rPr>
      </w:pPr>
      <w:r>
        <w:rPr>
          <w:rFonts w:ascii="Times New Roman" w:eastAsia="Calibri" w:hAnsi="Times New Roman" w:cs="Times New Roman"/>
          <w:sz w:val="24"/>
          <w:szCs w:val="24"/>
        </w:rPr>
        <w:tab/>
      </w:r>
    </w:p>
    <w:p w14:paraId="42334567" w14:textId="190E1530" w:rsidR="00E84CFA" w:rsidRPr="00E84CFA" w:rsidRDefault="008945C5" w:rsidP="00225341">
      <w:pPr>
        <w:spacing w:after="0" w:line="480" w:lineRule="auto"/>
        <w:ind w:firstLine="360"/>
        <w:jc w:val="both"/>
        <w:rPr>
          <w:rFonts w:ascii="Times New Roman" w:eastAsia="Calibri" w:hAnsi="Times New Roman" w:cs="Times New Roman"/>
          <w:sz w:val="24"/>
          <w:szCs w:val="24"/>
        </w:rPr>
      </w:pPr>
      <w:r w:rsidRPr="00D15B6A">
        <w:rPr>
          <w:rFonts w:ascii="Times New Roman" w:eastAsia="Calibri" w:hAnsi="Times New Roman" w:cs="Times New Roman"/>
          <w:sz w:val="24"/>
          <w:szCs w:val="24"/>
        </w:rPr>
        <w:t xml:space="preserve">Where </w:t>
      </w:r>
      <w:r w:rsidR="00225341" w:rsidRPr="00225341">
        <w:rPr>
          <w:rFonts w:ascii="Times New Roman" w:eastAsia="Calibri" w:hAnsi="Times New Roman" w:cs="Times New Roman"/>
          <w:i/>
          <w:iCs/>
          <w:sz w:val="24"/>
          <w:szCs w:val="24"/>
        </w:rPr>
        <w:t>RT</w:t>
      </w:r>
      <w:r w:rsidR="00D93DA9" w:rsidRPr="00D15B6A">
        <w:rPr>
          <w:rFonts w:ascii="Times New Roman" w:hAnsi="Times New Roman" w:cs="Times New Roman"/>
          <w:sz w:val="24"/>
          <w:szCs w:val="24"/>
        </w:rPr>
        <w:t xml:space="preserve"> </w:t>
      </w:r>
      <w:r w:rsidR="00537D47">
        <w:rPr>
          <w:rFonts w:ascii="Times New Roman" w:eastAsia="Calibri" w:hAnsi="Times New Roman" w:cs="Times New Roman"/>
          <w:sz w:val="24"/>
          <w:szCs w:val="24"/>
        </w:rPr>
        <w:t>is</w:t>
      </w:r>
      <w:r w:rsidR="00D93DA9" w:rsidRPr="00D15B6A">
        <w:rPr>
          <w:rFonts w:ascii="Times New Roman" w:eastAsia="Calibri" w:hAnsi="Times New Roman" w:cs="Times New Roman"/>
          <w:sz w:val="24"/>
          <w:szCs w:val="24"/>
        </w:rPr>
        <w:t xml:space="preserve"> used as a proxy for risk</w:t>
      </w:r>
      <w:r w:rsidR="00EF5F3E">
        <w:rPr>
          <w:rFonts w:ascii="Times New Roman" w:eastAsia="Calibri" w:hAnsi="Times New Roman" w:cs="Times New Roman"/>
          <w:sz w:val="24"/>
          <w:szCs w:val="24"/>
        </w:rPr>
        <w:t>-</w:t>
      </w:r>
      <w:r w:rsidR="00D93DA9" w:rsidRPr="00D15B6A">
        <w:rPr>
          <w:rFonts w:ascii="Times New Roman" w:eastAsia="Calibri" w:hAnsi="Times New Roman" w:cs="Times New Roman"/>
          <w:sz w:val="24"/>
          <w:szCs w:val="24"/>
        </w:rPr>
        <w:t xml:space="preserve">taking. </w:t>
      </w:r>
      <w:r w:rsidR="00D93DA9" w:rsidRPr="008A66D1">
        <w:rPr>
          <w:rFonts w:ascii="Times New Roman" w:eastAsia="Calibri" w:hAnsi="Times New Roman" w:cs="Times New Roman"/>
          <w:i/>
          <w:sz w:val="24"/>
          <w:szCs w:val="24"/>
        </w:rPr>
        <w:t>ICBS</w:t>
      </w:r>
      <w:r w:rsidR="00D93DA9" w:rsidRPr="00D15B6A">
        <w:rPr>
          <w:rFonts w:ascii="Times New Roman" w:eastAsia="Calibri" w:hAnsi="Times New Roman" w:cs="Times New Roman"/>
          <w:sz w:val="24"/>
          <w:szCs w:val="24"/>
        </w:rPr>
        <w:t xml:space="preserve"> </w:t>
      </w:r>
      <w:r w:rsidR="008A66D1" w:rsidRPr="00D15B6A">
        <w:rPr>
          <w:rFonts w:ascii="Times New Roman" w:eastAsia="Calibri" w:hAnsi="Times New Roman" w:cs="Times New Roman"/>
          <w:sz w:val="24"/>
          <w:szCs w:val="24"/>
        </w:rPr>
        <w:t>refer</w:t>
      </w:r>
      <w:r w:rsidR="00537D47">
        <w:rPr>
          <w:rFonts w:ascii="Times New Roman" w:eastAsia="Calibri" w:hAnsi="Times New Roman" w:cs="Times New Roman"/>
          <w:sz w:val="24"/>
          <w:szCs w:val="24"/>
        </w:rPr>
        <w:t>s</w:t>
      </w:r>
      <w:r w:rsidR="008A66D1" w:rsidRPr="00D15B6A">
        <w:rPr>
          <w:rFonts w:ascii="Times New Roman" w:eastAsia="Calibri" w:hAnsi="Times New Roman" w:cs="Times New Roman"/>
          <w:sz w:val="24"/>
          <w:szCs w:val="24"/>
        </w:rPr>
        <w:t xml:space="preserve"> to </w:t>
      </w:r>
      <w:r w:rsidR="00D93DA9" w:rsidRPr="00E84CFA">
        <w:rPr>
          <w:rFonts w:ascii="Times New Roman" w:eastAsia="Calibri" w:hAnsi="Times New Roman" w:cs="Times New Roman"/>
          <w:sz w:val="24"/>
          <w:szCs w:val="24"/>
        </w:rPr>
        <w:t>board size</w:t>
      </w:r>
      <w:r w:rsidR="00D93DA9" w:rsidRPr="00D15B6A">
        <w:rPr>
          <w:rFonts w:ascii="Times New Roman" w:eastAsia="Calibri" w:hAnsi="Times New Roman" w:cs="Times New Roman"/>
          <w:sz w:val="24"/>
          <w:szCs w:val="24"/>
        </w:rPr>
        <w:t xml:space="preserve">, </w:t>
      </w:r>
      <w:r w:rsidR="00D93DA9" w:rsidRPr="008A66D1">
        <w:rPr>
          <w:rFonts w:ascii="Times New Roman" w:eastAsia="Calibri" w:hAnsi="Times New Roman" w:cs="Times New Roman"/>
          <w:i/>
          <w:sz w:val="24"/>
          <w:szCs w:val="24"/>
        </w:rPr>
        <w:t>ICBM</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board of directors’ meetings, </w:t>
      </w:r>
      <w:r w:rsidR="00D93DA9" w:rsidRPr="008A66D1">
        <w:rPr>
          <w:rFonts w:ascii="Times New Roman" w:eastAsia="Calibri" w:hAnsi="Times New Roman" w:cs="Times New Roman"/>
          <w:i/>
          <w:sz w:val="24"/>
          <w:szCs w:val="24"/>
        </w:rPr>
        <w:t>ICNEDs</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w:t>
      </w:r>
      <w:r w:rsidR="00D93DA9" w:rsidRPr="00E84CFA">
        <w:rPr>
          <w:rFonts w:ascii="Times New Roman" w:eastAsia="Calibri" w:hAnsi="Times New Roman" w:cs="Times New Roman"/>
          <w:sz w:val="24"/>
          <w:szCs w:val="24"/>
        </w:rPr>
        <w:t>board independence</w:t>
      </w:r>
      <w:r w:rsidR="00D93DA9" w:rsidRPr="00D15B6A">
        <w:rPr>
          <w:rFonts w:ascii="Times New Roman" w:eastAsia="Calibri" w:hAnsi="Times New Roman" w:cs="Times New Roman"/>
          <w:sz w:val="24"/>
          <w:szCs w:val="24"/>
        </w:rPr>
        <w:t xml:space="preserve">, </w:t>
      </w:r>
      <w:r w:rsidR="00D93DA9" w:rsidRPr="008A66D1">
        <w:rPr>
          <w:rFonts w:ascii="Times New Roman" w:eastAsia="Calibri" w:hAnsi="Times New Roman" w:cs="Times New Roman"/>
          <w:i/>
          <w:sz w:val="24"/>
          <w:szCs w:val="24"/>
        </w:rPr>
        <w:t>ICACS</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w:t>
      </w:r>
      <w:r w:rsidR="00D93DA9" w:rsidRPr="00E84CFA">
        <w:rPr>
          <w:rFonts w:ascii="Times New Roman" w:eastAsia="Calibri" w:hAnsi="Times New Roman" w:cs="Times New Roman"/>
          <w:sz w:val="24"/>
          <w:szCs w:val="24"/>
        </w:rPr>
        <w:t>audit committee size</w:t>
      </w:r>
      <w:r w:rsidR="00D93DA9" w:rsidRPr="00D15B6A">
        <w:rPr>
          <w:rFonts w:ascii="Times New Roman" w:eastAsia="Calibri" w:hAnsi="Times New Roman" w:cs="Times New Roman"/>
          <w:sz w:val="24"/>
          <w:szCs w:val="24"/>
        </w:rPr>
        <w:t xml:space="preserve">, </w:t>
      </w:r>
      <w:r w:rsidR="00D93DA9" w:rsidRPr="008A66D1">
        <w:rPr>
          <w:rFonts w:ascii="Times New Roman" w:eastAsia="Calibri" w:hAnsi="Times New Roman" w:cs="Times New Roman"/>
          <w:i/>
          <w:sz w:val="24"/>
          <w:szCs w:val="24"/>
        </w:rPr>
        <w:t>ICTA</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w:t>
      </w:r>
      <w:r w:rsidR="00D93DA9" w:rsidRPr="00E84CFA">
        <w:rPr>
          <w:rFonts w:ascii="Times New Roman" w:eastAsia="Calibri" w:hAnsi="Times New Roman" w:cs="Times New Roman"/>
          <w:sz w:val="24"/>
          <w:szCs w:val="24"/>
        </w:rPr>
        <w:t>insurance firm’s</w:t>
      </w:r>
      <w:r w:rsidR="00D93DA9" w:rsidRPr="00D15B6A">
        <w:rPr>
          <w:rFonts w:ascii="Times New Roman" w:eastAsia="Calibri" w:hAnsi="Times New Roman" w:cs="Times New Roman"/>
          <w:sz w:val="24"/>
          <w:szCs w:val="24"/>
        </w:rPr>
        <w:t xml:space="preserve"> size, </w:t>
      </w:r>
      <w:r w:rsidR="00D93DA9" w:rsidRPr="008A66D1">
        <w:rPr>
          <w:rFonts w:ascii="Times New Roman" w:eastAsia="Calibri" w:hAnsi="Times New Roman" w:cs="Times New Roman"/>
          <w:i/>
          <w:sz w:val="24"/>
          <w:szCs w:val="24"/>
        </w:rPr>
        <w:t>ICL</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w:t>
      </w:r>
      <w:r w:rsidR="00D93DA9" w:rsidRPr="00E84CFA">
        <w:rPr>
          <w:rFonts w:ascii="Times New Roman" w:eastAsia="Calibri" w:hAnsi="Times New Roman" w:cs="Times New Roman"/>
          <w:sz w:val="24"/>
          <w:szCs w:val="24"/>
        </w:rPr>
        <w:t>liquidity</w:t>
      </w:r>
      <w:r w:rsidR="00D93DA9" w:rsidRPr="00D15B6A">
        <w:rPr>
          <w:rFonts w:ascii="Times New Roman" w:eastAsia="Calibri" w:hAnsi="Times New Roman" w:cs="Times New Roman"/>
          <w:sz w:val="24"/>
          <w:szCs w:val="24"/>
        </w:rPr>
        <w:t xml:space="preserve">, </w:t>
      </w:r>
      <w:r w:rsidR="00D93DA9" w:rsidRPr="008A66D1">
        <w:rPr>
          <w:rFonts w:ascii="Times New Roman" w:eastAsia="Calibri" w:hAnsi="Times New Roman" w:cs="Times New Roman"/>
          <w:i/>
          <w:sz w:val="24"/>
          <w:szCs w:val="24"/>
        </w:rPr>
        <w:t>YEARS</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 dummies variables for each year from 2005 to 2014, and </w:t>
      </w:r>
      <w:r w:rsidR="00E84CFA" w:rsidRPr="000F0BFB">
        <w:rPr>
          <w:rFonts w:ascii="Times New Roman" w:eastAsia="Calibri" w:hAnsi="Times New Roman" w:cs="Times New Roman"/>
          <w:i/>
          <w:iCs/>
          <w:sz w:val="24"/>
          <w:szCs w:val="24"/>
        </w:rPr>
        <w:t>Ɛ</w:t>
      </w:r>
      <w:r w:rsidR="00D93DA9" w:rsidRPr="00D15B6A">
        <w:rPr>
          <w:rFonts w:ascii="Times New Roman" w:eastAsia="Calibri" w:hAnsi="Times New Roman" w:cs="Times New Roman"/>
          <w:sz w:val="24"/>
          <w:szCs w:val="24"/>
        </w:rPr>
        <w:t xml:space="preserve"> refer</w:t>
      </w:r>
      <w:r w:rsidR="00537D47">
        <w:rPr>
          <w:rFonts w:ascii="Times New Roman" w:eastAsia="Calibri" w:hAnsi="Times New Roman" w:cs="Times New Roman"/>
          <w:sz w:val="24"/>
          <w:szCs w:val="24"/>
        </w:rPr>
        <w:t>s</w:t>
      </w:r>
      <w:r w:rsidR="00D93DA9" w:rsidRPr="00D15B6A">
        <w:rPr>
          <w:rFonts w:ascii="Times New Roman" w:eastAsia="Calibri" w:hAnsi="Times New Roman" w:cs="Times New Roman"/>
          <w:sz w:val="24"/>
          <w:szCs w:val="24"/>
        </w:rPr>
        <w:t xml:space="preserve"> to</w:t>
      </w:r>
      <w:r w:rsidR="00E84CFA" w:rsidRPr="00E84CFA">
        <w:rPr>
          <w:rFonts w:ascii="Times New Roman" w:eastAsia="Calibri" w:hAnsi="Times New Roman" w:cs="Times New Roman"/>
          <w:sz w:val="24"/>
          <w:szCs w:val="24"/>
        </w:rPr>
        <w:t xml:space="preserve"> </w:t>
      </w:r>
      <w:r w:rsidR="00D93DA9" w:rsidRPr="00D15B6A">
        <w:rPr>
          <w:rFonts w:ascii="Times New Roman" w:eastAsia="Calibri" w:hAnsi="Times New Roman" w:cs="Times New Roman"/>
          <w:sz w:val="24"/>
          <w:szCs w:val="24"/>
        </w:rPr>
        <w:t xml:space="preserve">random error. </w:t>
      </w:r>
      <w:r w:rsidR="00D93DA9" w:rsidRPr="00D15B6A">
        <w:rPr>
          <w:rFonts w:ascii="Times New Roman" w:hAnsi="Times New Roman" w:cs="Times New Roman"/>
          <w:position w:val="-12"/>
          <w:sz w:val="24"/>
          <w:szCs w:val="24"/>
        </w:rPr>
        <w:object w:dxaOrig="300" w:dyaOrig="360" w14:anchorId="41BCD5FE">
          <v:shape id="_x0000_i1026" type="#_x0000_t75" style="width:14.25pt;height:14.25pt" o:ole="">
            <v:imagedata r:id="rId16" o:title=""/>
          </v:shape>
          <o:OLEObject Type="Embed" ProgID="Equation.3" ShapeID="_x0000_i1026" DrawAspect="Content" ObjectID="_1606030274" r:id="rId17"/>
        </w:object>
      </w:r>
      <w:r w:rsidR="00D93DA9" w:rsidRPr="00D15B6A">
        <w:rPr>
          <w:rFonts w:ascii="Times New Roman" w:eastAsia="Times New Roman" w:hAnsi="Times New Roman" w:cs="Times New Roman"/>
          <w:sz w:val="24"/>
          <w:szCs w:val="24"/>
          <w:lang w:eastAsia="en-GB"/>
        </w:rPr>
        <w:t>is the intercept, and</w:t>
      </w:r>
      <w:r w:rsidR="00D93DA9" w:rsidRPr="00D15B6A">
        <w:rPr>
          <w:rFonts w:ascii="Times New Roman" w:hAnsi="Times New Roman" w:cs="Times New Roman"/>
          <w:position w:val="-12"/>
          <w:sz w:val="24"/>
          <w:szCs w:val="24"/>
        </w:rPr>
        <w:object w:dxaOrig="260" w:dyaOrig="360" w14:anchorId="046A4B1E">
          <v:shape id="_x0000_i1027" type="#_x0000_t75" style="width:14.25pt;height:14.25pt" o:ole="">
            <v:imagedata r:id="rId18" o:title=""/>
          </v:shape>
          <o:OLEObject Type="Embed" ProgID="Equation.3" ShapeID="_x0000_i1027" DrawAspect="Content" ObjectID="_1606030275" r:id="rId19"/>
        </w:object>
      </w:r>
      <w:r w:rsidR="00D93DA9" w:rsidRPr="00D15B6A">
        <w:rPr>
          <w:rFonts w:ascii="Times New Roman" w:eastAsia="Times New Roman" w:hAnsi="Times New Roman" w:cs="Times New Roman"/>
          <w:sz w:val="24"/>
          <w:szCs w:val="24"/>
          <w:lang w:eastAsia="en-GB"/>
        </w:rPr>
        <w:t xml:space="preserve">are the vectors of coefficient estimates. </w:t>
      </w:r>
      <w:r w:rsidR="00D93DA9" w:rsidRPr="00D15B6A">
        <w:rPr>
          <w:rFonts w:ascii="Times New Roman" w:eastAsia="Calibri" w:hAnsi="Times New Roman" w:cs="Times New Roman"/>
          <w:sz w:val="24"/>
          <w:szCs w:val="24"/>
        </w:rPr>
        <w:t>Table 2</w:t>
      </w:r>
      <w:r w:rsidR="00E84CFA" w:rsidRPr="00E84CFA">
        <w:rPr>
          <w:rFonts w:ascii="Times New Roman" w:eastAsia="Calibri" w:hAnsi="Times New Roman" w:cs="Times New Roman"/>
          <w:sz w:val="24"/>
          <w:szCs w:val="24"/>
        </w:rPr>
        <w:t xml:space="preserve"> summarizes the definition of variables.</w:t>
      </w:r>
    </w:p>
    <w:p w14:paraId="43FA58E9" w14:textId="77777777" w:rsidR="000C06C1" w:rsidRPr="00D15B6A" w:rsidRDefault="00D93DA9" w:rsidP="00D93DA9">
      <w:pPr>
        <w:spacing w:after="0" w:line="480" w:lineRule="auto"/>
        <w:ind w:firstLine="720"/>
        <w:jc w:val="center"/>
        <w:rPr>
          <w:rFonts w:ascii="Times New Roman" w:hAnsi="Times New Roman" w:cs="Times New Roman"/>
          <w:bCs/>
          <w:sz w:val="24"/>
          <w:szCs w:val="24"/>
        </w:rPr>
      </w:pPr>
      <w:r w:rsidRPr="00D15B6A">
        <w:rPr>
          <w:rFonts w:ascii="Times New Roman" w:hAnsi="Times New Roman" w:cs="Times New Roman"/>
          <w:bCs/>
          <w:sz w:val="24"/>
          <w:szCs w:val="24"/>
        </w:rPr>
        <w:t xml:space="preserve">INSERT </w:t>
      </w:r>
      <w:hyperlink w:anchor="Table2" w:history="1">
        <w:r w:rsidRPr="00D15B6A">
          <w:rPr>
            <w:rFonts w:ascii="Times New Roman" w:hAnsi="Times New Roman" w:cs="Times New Roman"/>
            <w:bCs/>
            <w:sz w:val="24"/>
            <w:szCs w:val="24"/>
          </w:rPr>
          <w:t>TABLE 2</w:t>
        </w:r>
      </w:hyperlink>
      <w:r w:rsidRPr="00D15B6A">
        <w:rPr>
          <w:rFonts w:ascii="Times New Roman" w:hAnsi="Times New Roman" w:cs="Times New Roman"/>
          <w:bCs/>
          <w:sz w:val="24"/>
          <w:szCs w:val="24"/>
        </w:rPr>
        <w:t xml:space="preserve"> ABOUT HERE</w:t>
      </w:r>
    </w:p>
    <w:p w14:paraId="7631A9F9" w14:textId="77777777" w:rsidR="00FC2A87" w:rsidRPr="00D15B6A" w:rsidRDefault="00E574C7" w:rsidP="005578B9">
      <w:pPr>
        <w:pStyle w:val="Heading1"/>
        <w:rPr>
          <w:rFonts w:cs="Times New Roman"/>
          <w:szCs w:val="24"/>
        </w:rPr>
      </w:pPr>
      <w:r w:rsidRPr="00D15B6A">
        <w:rPr>
          <w:rFonts w:cs="Times New Roman"/>
          <w:szCs w:val="24"/>
        </w:rPr>
        <w:t>Findings and discussion</w:t>
      </w:r>
    </w:p>
    <w:p w14:paraId="6A52B2A9" w14:textId="77777777" w:rsidR="00CD39E4" w:rsidRPr="00D15B6A" w:rsidRDefault="00CD39E4" w:rsidP="00DE64A9">
      <w:pPr>
        <w:pStyle w:val="Heading4"/>
        <w:numPr>
          <w:ilvl w:val="1"/>
          <w:numId w:val="27"/>
        </w:numPr>
        <w:spacing w:before="0" w:line="480" w:lineRule="auto"/>
        <w:rPr>
          <w:rFonts w:ascii="Times New Roman" w:hAnsi="Times New Roman" w:cs="Times New Roman"/>
          <w:color w:val="auto"/>
          <w:sz w:val="24"/>
          <w:szCs w:val="24"/>
        </w:rPr>
      </w:pPr>
      <w:r w:rsidRPr="00D15B6A">
        <w:rPr>
          <w:rFonts w:ascii="Times New Roman" w:hAnsi="Times New Roman" w:cs="Times New Roman"/>
          <w:color w:val="auto"/>
          <w:sz w:val="24"/>
          <w:szCs w:val="24"/>
        </w:rPr>
        <w:t>Descriptive, univariate and bivariate analyses</w:t>
      </w:r>
    </w:p>
    <w:p w14:paraId="019CEB52" w14:textId="3D68103E" w:rsidR="009D5595" w:rsidRDefault="00CA7935" w:rsidP="009D5595">
      <w:pPr>
        <w:spacing w:before="120" w:after="120" w:line="360" w:lineRule="auto"/>
        <w:ind w:firstLine="576"/>
        <w:jc w:val="both"/>
        <w:rPr>
          <w:rFonts w:ascii="Times New Roman" w:eastAsia="Calibri" w:hAnsi="Times New Roman" w:cs="Times New Roman"/>
          <w:sz w:val="24"/>
          <w:szCs w:val="24"/>
        </w:rPr>
      </w:pPr>
      <w:r w:rsidRPr="00CA7935">
        <w:rPr>
          <w:rFonts w:ascii="Times New Roman" w:eastAsia="Calibri" w:hAnsi="Times New Roman" w:cs="Times New Roman"/>
          <w:sz w:val="24"/>
          <w:szCs w:val="24"/>
        </w:rPr>
        <w:t xml:space="preserve">Table </w:t>
      </w:r>
      <w:r w:rsidRPr="00D15B6A">
        <w:rPr>
          <w:rFonts w:ascii="Times New Roman" w:eastAsia="Calibri" w:hAnsi="Times New Roman" w:cs="Times New Roman"/>
          <w:sz w:val="24"/>
          <w:szCs w:val="24"/>
        </w:rPr>
        <w:t>3</w:t>
      </w:r>
      <w:r w:rsidRPr="00CA7935">
        <w:rPr>
          <w:rFonts w:ascii="Times New Roman" w:eastAsia="Calibri" w:hAnsi="Times New Roman" w:cs="Times New Roman"/>
          <w:sz w:val="24"/>
          <w:szCs w:val="24"/>
        </w:rPr>
        <w:t xml:space="preserve"> shows a summary of the descriptive statistics of the dependent and independent variables for each separate year over a ten year period from 2005 to 2014, with 117 firm-year observations. Table </w:t>
      </w:r>
      <w:r w:rsidRPr="00D15B6A">
        <w:rPr>
          <w:rFonts w:ascii="Times New Roman" w:eastAsia="Calibri" w:hAnsi="Times New Roman" w:cs="Times New Roman"/>
          <w:sz w:val="24"/>
          <w:szCs w:val="24"/>
        </w:rPr>
        <w:t>3</w:t>
      </w:r>
      <w:r w:rsidRPr="00CA7935">
        <w:rPr>
          <w:rFonts w:ascii="Times New Roman" w:eastAsia="Calibri" w:hAnsi="Times New Roman" w:cs="Times New Roman"/>
          <w:sz w:val="24"/>
          <w:szCs w:val="24"/>
        </w:rPr>
        <w:t xml:space="preserve"> shows that the average </w:t>
      </w:r>
      <w:r w:rsidR="009D5595" w:rsidRPr="000F0BFB">
        <w:rPr>
          <w:rFonts w:ascii="Times New Roman" w:eastAsia="Calibri" w:hAnsi="Times New Roman" w:cs="Times New Roman"/>
          <w:i/>
          <w:iCs/>
          <w:sz w:val="24"/>
          <w:szCs w:val="24"/>
        </w:rPr>
        <w:t>Z</w:t>
      </w:r>
      <w:r w:rsidR="00BE21B3">
        <w:rPr>
          <w:rFonts w:ascii="Times New Roman" w:eastAsia="Calibri" w:hAnsi="Times New Roman" w:cs="Times New Roman"/>
          <w:sz w:val="24"/>
          <w:szCs w:val="24"/>
        </w:rPr>
        <w:t>-</w:t>
      </w:r>
      <w:r w:rsidR="009D5595" w:rsidRPr="009D5595">
        <w:rPr>
          <w:rFonts w:ascii="Times New Roman" w:eastAsia="Calibri" w:hAnsi="Times New Roman" w:cs="Times New Roman"/>
          <w:sz w:val="24"/>
          <w:szCs w:val="24"/>
        </w:rPr>
        <w:t xml:space="preserve">score </w:t>
      </w:r>
      <w:r w:rsidRPr="00CA7935">
        <w:rPr>
          <w:rFonts w:ascii="Times New Roman" w:eastAsia="Calibri" w:hAnsi="Times New Roman" w:cs="Times New Roman"/>
          <w:sz w:val="24"/>
          <w:szCs w:val="24"/>
        </w:rPr>
        <w:t xml:space="preserve">of the UK insurance companies </w:t>
      </w:r>
      <w:r w:rsidR="009D5595">
        <w:rPr>
          <w:rFonts w:ascii="Times New Roman" w:eastAsia="Calibri" w:hAnsi="Times New Roman" w:cs="Times New Roman"/>
          <w:sz w:val="24"/>
          <w:szCs w:val="24"/>
        </w:rPr>
        <w:t>decreased</w:t>
      </w:r>
      <w:r w:rsidR="009D5595" w:rsidRPr="00CA7935">
        <w:rPr>
          <w:rFonts w:ascii="Times New Roman" w:eastAsia="Calibri" w:hAnsi="Times New Roman" w:cs="Times New Roman"/>
          <w:sz w:val="24"/>
          <w:szCs w:val="24"/>
        </w:rPr>
        <w:t xml:space="preserve"> </w:t>
      </w:r>
      <w:r w:rsidRPr="00CA7935">
        <w:rPr>
          <w:rFonts w:ascii="Times New Roman" w:eastAsia="Calibri" w:hAnsi="Times New Roman" w:cs="Times New Roman"/>
          <w:sz w:val="24"/>
          <w:szCs w:val="24"/>
        </w:rPr>
        <w:t xml:space="preserve">from 2008 onwards. For example, insurance company </w:t>
      </w:r>
      <w:r w:rsidR="009D5595" w:rsidRPr="000F0BFB">
        <w:rPr>
          <w:rFonts w:ascii="Times New Roman" w:eastAsia="Calibri" w:hAnsi="Times New Roman" w:cs="Times New Roman"/>
          <w:i/>
          <w:iCs/>
          <w:sz w:val="24"/>
          <w:szCs w:val="24"/>
        </w:rPr>
        <w:t>Z</w:t>
      </w:r>
      <w:r w:rsidR="00BE21B3">
        <w:rPr>
          <w:rFonts w:ascii="Times New Roman" w:eastAsia="Calibri" w:hAnsi="Times New Roman" w:cs="Times New Roman"/>
          <w:sz w:val="24"/>
          <w:szCs w:val="24"/>
        </w:rPr>
        <w:t>-</w:t>
      </w:r>
      <w:r w:rsidR="009D5595">
        <w:rPr>
          <w:rFonts w:ascii="Times New Roman" w:eastAsia="Calibri" w:hAnsi="Times New Roman" w:cs="Times New Roman"/>
          <w:sz w:val="24"/>
          <w:szCs w:val="24"/>
        </w:rPr>
        <w:t xml:space="preserve">score </w:t>
      </w:r>
      <w:r w:rsidRPr="00CA7935">
        <w:rPr>
          <w:rFonts w:ascii="Times New Roman" w:eastAsia="Calibri" w:hAnsi="Times New Roman" w:cs="Times New Roman"/>
          <w:sz w:val="24"/>
          <w:szCs w:val="24"/>
        </w:rPr>
        <w:t>measured by return on assets (</w:t>
      </w:r>
      <w:r w:rsidR="00225341" w:rsidRPr="000F0BFB">
        <w:rPr>
          <w:rFonts w:ascii="Times New Roman" w:eastAsia="Calibri" w:hAnsi="Times New Roman" w:cs="Times New Roman"/>
          <w:i/>
          <w:iCs/>
          <w:sz w:val="24"/>
          <w:szCs w:val="24"/>
        </w:rPr>
        <w:t>RT1</w:t>
      </w:r>
      <w:r w:rsidRPr="00CA7935">
        <w:rPr>
          <w:rFonts w:ascii="Times New Roman" w:eastAsia="Calibri" w:hAnsi="Times New Roman" w:cs="Times New Roman"/>
          <w:sz w:val="24"/>
          <w:szCs w:val="24"/>
        </w:rPr>
        <w:t xml:space="preserve">) </w:t>
      </w:r>
      <w:r w:rsidR="009D5595">
        <w:rPr>
          <w:rFonts w:ascii="Times New Roman" w:eastAsia="Calibri" w:hAnsi="Times New Roman" w:cs="Times New Roman"/>
          <w:sz w:val="24"/>
          <w:szCs w:val="24"/>
        </w:rPr>
        <w:t>decreased</w:t>
      </w:r>
      <w:r w:rsidR="009D5595" w:rsidRPr="00CA7935">
        <w:rPr>
          <w:rFonts w:ascii="Times New Roman" w:eastAsia="Calibri" w:hAnsi="Times New Roman" w:cs="Times New Roman"/>
          <w:sz w:val="24"/>
          <w:szCs w:val="24"/>
        </w:rPr>
        <w:t xml:space="preserve"> </w:t>
      </w:r>
      <w:r w:rsidRPr="00CA7935">
        <w:rPr>
          <w:rFonts w:ascii="Times New Roman" w:eastAsia="Calibri" w:hAnsi="Times New Roman" w:cs="Times New Roman"/>
          <w:sz w:val="24"/>
          <w:szCs w:val="24"/>
        </w:rPr>
        <w:t xml:space="preserve">from </w:t>
      </w:r>
      <w:r w:rsidR="00225341" w:rsidRPr="00225341">
        <w:rPr>
          <w:rFonts w:ascii="Times New Roman" w:eastAsia="Calibri" w:hAnsi="Times New Roman" w:cs="Times New Roman"/>
          <w:sz w:val="24"/>
          <w:szCs w:val="24"/>
        </w:rPr>
        <w:t>1.08</w:t>
      </w:r>
      <w:r w:rsidR="00225341">
        <w:rPr>
          <w:rFonts w:ascii="Times New Roman" w:eastAsia="Calibri" w:hAnsi="Times New Roman" w:cs="Times New Roman"/>
          <w:sz w:val="24"/>
          <w:szCs w:val="24"/>
        </w:rPr>
        <w:t xml:space="preserve"> </w:t>
      </w:r>
      <w:r w:rsidRPr="00CA7935">
        <w:rPr>
          <w:rFonts w:ascii="Times New Roman" w:eastAsia="Calibri" w:hAnsi="Times New Roman" w:cs="Times New Roman"/>
          <w:sz w:val="24"/>
          <w:szCs w:val="24"/>
        </w:rPr>
        <w:t xml:space="preserve">percent in 2007 to an average of </w:t>
      </w:r>
      <w:r w:rsidR="009D5595" w:rsidRPr="009D5595">
        <w:rPr>
          <w:rFonts w:ascii="Times New Roman" w:eastAsia="Calibri" w:hAnsi="Times New Roman" w:cs="Times New Roman"/>
          <w:sz w:val="24"/>
          <w:szCs w:val="24"/>
        </w:rPr>
        <w:t>0.82</w:t>
      </w:r>
      <w:r w:rsidRPr="00CA7935">
        <w:rPr>
          <w:rFonts w:ascii="Times New Roman" w:eastAsia="Calibri" w:hAnsi="Times New Roman" w:cs="Times New Roman"/>
          <w:sz w:val="24"/>
          <w:szCs w:val="24"/>
        </w:rPr>
        <w:t xml:space="preserve"> percent in 2008. </w:t>
      </w:r>
      <w:r w:rsidR="009D5595">
        <w:rPr>
          <w:rFonts w:ascii="Times New Roman" w:eastAsia="Calibri" w:hAnsi="Times New Roman" w:cs="Times New Roman"/>
          <w:sz w:val="24"/>
          <w:szCs w:val="24"/>
        </w:rPr>
        <w:t xml:space="preserve">This implies that financial stability decreased and </w:t>
      </w:r>
      <w:r w:rsidR="007C76F0">
        <w:rPr>
          <w:rFonts w:ascii="Times New Roman" w:eastAsia="Calibri" w:hAnsi="Times New Roman" w:cs="Times New Roman"/>
          <w:sz w:val="24"/>
          <w:szCs w:val="24"/>
        </w:rPr>
        <w:t xml:space="preserve">risk-taking </w:t>
      </w:r>
      <w:r w:rsidR="009D5595">
        <w:rPr>
          <w:rFonts w:ascii="Times New Roman" w:eastAsia="Calibri" w:hAnsi="Times New Roman" w:cs="Times New Roman"/>
          <w:sz w:val="24"/>
          <w:szCs w:val="24"/>
        </w:rPr>
        <w:t>increased during this period.</w:t>
      </w:r>
    </w:p>
    <w:p w14:paraId="7BFC47CE" w14:textId="77777777" w:rsidR="00CA7935" w:rsidRPr="00D15B6A" w:rsidRDefault="00CA7935" w:rsidP="00FF1DCD">
      <w:pPr>
        <w:spacing w:before="120" w:after="120" w:line="360" w:lineRule="auto"/>
        <w:ind w:firstLine="576"/>
        <w:jc w:val="both"/>
        <w:rPr>
          <w:rFonts w:ascii="Times New Roman" w:eastAsia="Calibri" w:hAnsi="Times New Roman" w:cs="Times New Roman"/>
          <w:sz w:val="24"/>
          <w:szCs w:val="24"/>
        </w:rPr>
      </w:pPr>
      <w:r w:rsidRPr="00CA7935">
        <w:rPr>
          <w:rFonts w:ascii="Times New Roman" w:eastAsia="Calibri" w:hAnsi="Times New Roman" w:cs="Times New Roman"/>
          <w:sz w:val="24"/>
          <w:szCs w:val="24"/>
        </w:rPr>
        <w:t xml:space="preserve">Table </w:t>
      </w:r>
      <w:r w:rsidRPr="00D15B6A">
        <w:rPr>
          <w:rFonts w:ascii="Times New Roman" w:eastAsia="Calibri" w:hAnsi="Times New Roman" w:cs="Times New Roman"/>
          <w:sz w:val="24"/>
          <w:szCs w:val="24"/>
        </w:rPr>
        <w:t>3</w:t>
      </w:r>
      <w:r w:rsidRPr="00CA7935">
        <w:rPr>
          <w:rFonts w:ascii="Times New Roman" w:eastAsia="Calibri" w:hAnsi="Times New Roman" w:cs="Times New Roman"/>
          <w:sz w:val="24"/>
          <w:szCs w:val="24"/>
        </w:rPr>
        <w:t xml:space="preserve"> also reports the same pattern regarding insurance company </w:t>
      </w:r>
      <w:r w:rsidR="007C76F0">
        <w:rPr>
          <w:rFonts w:ascii="Times New Roman" w:eastAsia="Calibri" w:hAnsi="Times New Roman" w:cs="Times New Roman"/>
          <w:sz w:val="24"/>
          <w:szCs w:val="24"/>
        </w:rPr>
        <w:t xml:space="preserve">risk-taking </w:t>
      </w:r>
      <w:r w:rsidRPr="00CA7935">
        <w:rPr>
          <w:rFonts w:ascii="Times New Roman" w:eastAsia="Calibri" w:hAnsi="Times New Roman" w:cs="Times New Roman"/>
          <w:sz w:val="24"/>
          <w:szCs w:val="24"/>
        </w:rPr>
        <w:t>measured by return on equity (</w:t>
      </w:r>
      <w:r w:rsidR="00FF1DCD" w:rsidRPr="000F0BFB">
        <w:rPr>
          <w:rFonts w:ascii="Times New Roman" w:eastAsia="Calibri" w:hAnsi="Times New Roman" w:cs="Times New Roman"/>
          <w:i/>
          <w:iCs/>
          <w:sz w:val="24"/>
          <w:szCs w:val="24"/>
        </w:rPr>
        <w:t>RT2</w:t>
      </w:r>
      <w:r w:rsidRPr="00CA7935">
        <w:rPr>
          <w:rFonts w:ascii="Times New Roman" w:eastAsia="Calibri" w:hAnsi="Times New Roman" w:cs="Times New Roman"/>
          <w:sz w:val="24"/>
          <w:szCs w:val="24"/>
        </w:rPr>
        <w:t>). This result implies that the financial crisis that happened in 2007 affected the UK insurance sector.</w:t>
      </w:r>
    </w:p>
    <w:p w14:paraId="185BB1AF" w14:textId="77777777" w:rsidR="00B65AED" w:rsidRPr="00D15B6A" w:rsidRDefault="00B65AED" w:rsidP="00B65AED">
      <w:pPr>
        <w:spacing w:after="0" w:line="480" w:lineRule="auto"/>
        <w:ind w:firstLine="720"/>
        <w:jc w:val="center"/>
        <w:rPr>
          <w:rFonts w:ascii="Times New Roman" w:hAnsi="Times New Roman" w:cs="Times New Roman"/>
          <w:bCs/>
          <w:sz w:val="24"/>
          <w:szCs w:val="24"/>
        </w:rPr>
      </w:pPr>
      <w:r w:rsidRPr="00D15B6A">
        <w:rPr>
          <w:rFonts w:ascii="Times New Roman" w:hAnsi="Times New Roman" w:cs="Times New Roman"/>
          <w:bCs/>
          <w:sz w:val="24"/>
          <w:szCs w:val="24"/>
        </w:rPr>
        <w:t xml:space="preserve">INSERT </w:t>
      </w:r>
      <w:hyperlink w:anchor="Table2" w:history="1">
        <w:r w:rsidRPr="00D15B6A">
          <w:rPr>
            <w:rFonts w:ascii="Times New Roman" w:hAnsi="Times New Roman" w:cs="Times New Roman"/>
            <w:bCs/>
            <w:sz w:val="24"/>
            <w:szCs w:val="24"/>
          </w:rPr>
          <w:t>TABLE 3</w:t>
        </w:r>
      </w:hyperlink>
      <w:r w:rsidRPr="00D15B6A">
        <w:rPr>
          <w:rFonts w:ascii="Times New Roman" w:hAnsi="Times New Roman" w:cs="Times New Roman"/>
          <w:bCs/>
          <w:sz w:val="24"/>
          <w:szCs w:val="24"/>
        </w:rPr>
        <w:t xml:space="preserve"> ABOUT HERE</w:t>
      </w:r>
    </w:p>
    <w:p w14:paraId="10BC51BB" w14:textId="77777777" w:rsidR="00CA7935" w:rsidRPr="00D15B6A" w:rsidRDefault="00CA7935" w:rsidP="00CA7935">
      <w:pPr>
        <w:spacing w:before="120" w:after="120" w:line="360" w:lineRule="auto"/>
        <w:ind w:firstLine="720"/>
        <w:jc w:val="both"/>
        <w:rPr>
          <w:rFonts w:ascii="Times New Roman" w:eastAsia="Calibri" w:hAnsi="Times New Roman" w:cs="Times New Roman"/>
          <w:sz w:val="24"/>
          <w:szCs w:val="24"/>
        </w:rPr>
      </w:pPr>
      <w:r w:rsidRPr="00CA7935">
        <w:rPr>
          <w:rFonts w:ascii="Times New Roman" w:eastAsia="Calibri" w:hAnsi="Times New Roman" w:cs="Times New Roman"/>
          <w:sz w:val="24"/>
          <w:szCs w:val="24"/>
        </w:rPr>
        <w:t xml:space="preserve">With regard to internal corporate governance mechanisms, Table </w:t>
      </w:r>
      <w:r w:rsidR="00840908" w:rsidRPr="00D15B6A">
        <w:rPr>
          <w:rFonts w:ascii="Times New Roman" w:eastAsia="Calibri" w:hAnsi="Times New Roman" w:cs="Times New Roman"/>
          <w:sz w:val="24"/>
          <w:szCs w:val="24"/>
        </w:rPr>
        <w:t>3</w:t>
      </w:r>
      <w:r w:rsidRPr="00CA7935">
        <w:rPr>
          <w:rFonts w:ascii="Times New Roman" w:eastAsia="Calibri" w:hAnsi="Times New Roman" w:cs="Times New Roman"/>
          <w:sz w:val="24"/>
          <w:szCs w:val="24"/>
        </w:rPr>
        <w:t xml:space="preserve"> reports that for the size of the insurance companies’ board of directors, on average, the mean board size ranged from 11.33 to 12.58 members, which indicates that it was not affected by the 2007 crisis, apart from a slight increase in 2009. In addition, it can be noted that other internal corporate governance mechanisms, such as insurance company board meetings, insurance company board independence, and insurance company audit committee size follow the same pattern. For instance, the mean number of board meetings ranged from 8.00 to 9.55. Generally, the average number of board meetings was 8.50 over the ten years, with a slight increase to 9.55 in 2007 due to the financial crisis. Similarly, </w:t>
      </w:r>
      <w:r w:rsidR="00B65AED" w:rsidRPr="00D15B6A">
        <w:rPr>
          <w:rFonts w:ascii="Times New Roman" w:eastAsia="Calibri" w:hAnsi="Times New Roman" w:cs="Times New Roman"/>
          <w:sz w:val="24"/>
          <w:szCs w:val="24"/>
        </w:rPr>
        <w:t>t</w:t>
      </w:r>
      <w:r w:rsidRPr="00CA7935">
        <w:rPr>
          <w:rFonts w:ascii="Times New Roman" w:eastAsia="Calibri" w:hAnsi="Times New Roman" w:cs="Times New Roman"/>
          <w:sz w:val="24"/>
          <w:szCs w:val="24"/>
        </w:rPr>
        <w:t xml:space="preserve">he mean size of audit committee ranged from 4.00 to 4.58 members; however, it can be noticed that the minimum mean during the ten years occurred in 2007. This could have been one of the reasons for the </w:t>
      </w:r>
      <w:r w:rsidR="00424B88">
        <w:rPr>
          <w:rFonts w:ascii="Times New Roman" w:eastAsia="Calibri" w:hAnsi="Times New Roman" w:cs="Times New Roman"/>
          <w:sz w:val="24"/>
          <w:szCs w:val="24"/>
        </w:rPr>
        <w:t>increase</w:t>
      </w:r>
      <w:r w:rsidRPr="00CA7935">
        <w:rPr>
          <w:rFonts w:ascii="Times New Roman" w:eastAsia="Calibri" w:hAnsi="Times New Roman" w:cs="Times New Roman"/>
          <w:sz w:val="24"/>
          <w:szCs w:val="24"/>
        </w:rPr>
        <w:t xml:space="preserve"> in </w:t>
      </w:r>
      <w:r w:rsidR="007C76F0">
        <w:rPr>
          <w:rFonts w:ascii="Times New Roman" w:eastAsia="Calibri" w:hAnsi="Times New Roman" w:cs="Times New Roman"/>
          <w:sz w:val="24"/>
          <w:szCs w:val="24"/>
        </w:rPr>
        <w:t xml:space="preserve">risk-taking </w:t>
      </w:r>
      <w:r w:rsidRPr="00CA7935">
        <w:rPr>
          <w:rFonts w:ascii="Times New Roman" w:eastAsia="Calibri" w:hAnsi="Times New Roman" w:cs="Times New Roman"/>
          <w:sz w:val="24"/>
          <w:szCs w:val="24"/>
        </w:rPr>
        <w:t>during that year; the observable decrease in audit committee size may reflect the monitoring level of those companies.</w:t>
      </w:r>
    </w:p>
    <w:p w14:paraId="23982D88" w14:textId="77777777" w:rsidR="00B65AED" w:rsidRPr="00D15B6A" w:rsidRDefault="00B65AED" w:rsidP="00B65AED">
      <w:pPr>
        <w:spacing w:after="0" w:line="480" w:lineRule="auto"/>
        <w:ind w:firstLine="720"/>
        <w:jc w:val="center"/>
        <w:rPr>
          <w:rFonts w:ascii="Times New Roman" w:hAnsi="Times New Roman" w:cs="Times New Roman"/>
          <w:bCs/>
          <w:sz w:val="24"/>
          <w:szCs w:val="24"/>
        </w:rPr>
      </w:pPr>
      <w:r w:rsidRPr="00D15B6A">
        <w:rPr>
          <w:rFonts w:ascii="Times New Roman" w:hAnsi="Times New Roman" w:cs="Times New Roman"/>
          <w:bCs/>
          <w:sz w:val="24"/>
          <w:szCs w:val="24"/>
        </w:rPr>
        <w:t xml:space="preserve">INSERT </w:t>
      </w:r>
      <w:hyperlink w:anchor="Table2" w:history="1">
        <w:r w:rsidRPr="00D15B6A">
          <w:rPr>
            <w:rFonts w:ascii="Times New Roman" w:hAnsi="Times New Roman" w:cs="Times New Roman"/>
            <w:bCs/>
            <w:sz w:val="24"/>
            <w:szCs w:val="24"/>
          </w:rPr>
          <w:t>TABLE 4</w:t>
        </w:r>
      </w:hyperlink>
      <w:r w:rsidRPr="00D15B6A">
        <w:rPr>
          <w:rFonts w:ascii="Times New Roman" w:hAnsi="Times New Roman" w:cs="Times New Roman"/>
          <w:bCs/>
          <w:sz w:val="24"/>
          <w:szCs w:val="24"/>
        </w:rPr>
        <w:t xml:space="preserve"> ABOUT HERE</w:t>
      </w:r>
    </w:p>
    <w:p w14:paraId="20176F88" w14:textId="77777777" w:rsidR="00CA7935" w:rsidRPr="00D15B6A" w:rsidRDefault="00CA7935" w:rsidP="00FF1DCD">
      <w:pPr>
        <w:spacing w:before="120" w:after="120" w:line="360" w:lineRule="auto"/>
        <w:ind w:firstLine="720"/>
        <w:jc w:val="both"/>
        <w:rPr>
          <w:rFonts w:ascii="Times New Roman" w:eastAsia="Times New Roman" w:hAnsi="Times New Roman" w:cs="Times New Roman"/>
          <w:sz w:val="24"/>
          <w:szCs w:val="24"/>
        </w:rPr>
      </w:pPr>
      <w:r w:rsidRPr="00CA7935">
        <w:rPr>
          <w:rFonts w:ascii="Times New Roman" w:eastAsia="Calibri" w:hAnsi="Times New Roman" w:cs="Times New Roman"/>
          <w:sz w:val="24"/>
          <w:szCs w:val="24"/>
        </w:rPr>
        <w:t xml:space="preserve">Table </w:t>
      </w:r>
      <w:r w:rsidR="00B65AED" w:rsidRPr="00D15B6A">
        <w:rPr>
          <w:rFonts w:ascii="Times New Roman" w:eastAsia="Calibri" w:hAnsi="Times New Roman" w:cs="Times New Roman"/>
          <w:sz w:val="24"/>
          <w:szCs w:val="24"/>
        </w:rPr>
        <w:t>4</w:t>
      </w:r>
      <w:r w:rsidRPr="00CA7935">
        <w:rPr>
          <w:rFonts w:ascii="Times New Roman" w:eastAsia="Calibri" w:hAnsi="Times New Roman" w:cs="Times New Roman"/>
          <w:sz w:val="24"/>
          <w:szCs w:val="24"/>
        </w:rPr>
        <w:t xml:space="preserve"> reports the descriptive statistics for all variables included in the analysis. The mean value of </w:t>
      </w:r>
      <w:r w:rsidR="00FF1DCD" w:rsidRPr="000F0BFB">
        <w:rPr>
          <w:rFonts w:ascii="Times New Roman" w:eastAsia="Calibri" w:hAnsi="Times New Roman" w:cs="Times New Roman"/>
          <w:i/>
          <w:iCs/>
          <w:sz w:val="24"/>
          <w:szCs w:val="24"/>
        </w:rPr>
        <w:t>RT1</w:t>
      </w:r>
      <w:r w:rsidRPr="00CA7935">
        <w:rPr>
          <w:rFonts w:ascii="Times New Roman" w:eastAsia="Calibri" w:hAnsi="Times New Roman" w:cs="Times New Roman"/>
          <w:sz w:val="24"/>
          <w:szCs w:val="24"/>
        </w:rPr>
        <w:t xml:space="preserve"> for the sample of UK insurers is </w:t>
      </w:r>
      <w:r w:rsidR="00FF1DCD" w:rsidRPr="00FF1DCD">
        <w:rPr>
          <w:rFonts w:ascii="Times New Roman" w:eastAsia="Calibri" w:hAnsi="Times New Roman" w:cs="Times New Roman"/>
          <w:sz w:val="24"/>
          <w:szCs w:val="24"/>
        </w:rPr>
        <w:t>0.71</w:t>
      </w:r>
      <w:r w:rsidRPr="00CA7935">
        <w:rPr>
          <w:rFonts w:ascii="Times New Roman" w:eastAsia="Calibri" w:hAnsi="Times New Roman" w:cs="Times New Roman"/>
          <w:sz w:val="24"/>
          <w:szCs w:val="24"/>
        </w:rPr>
        <w:t>.</w:t>
      </w:r>
      <w:r w:rsidR="00FD0900">
        <w:rPr>
          <w:rFonts w:ascii="Times New Roman" w:eastAsia="Calibri" w:hAnsi="Times New Roman" w:cs="Times New Roman"/>
          <w:sz w:val="24"/>
          <w:szCs w:val="24"/>
        </w:rPr>
        <w:t xml:space="preserve"> </w:t>
      </w:r>
      <w:r w:rsidRPr="00CA7935">
        <w:rPr>
          <w:rFonts w:ascii="Times New Roman" w:eastAsia="Calibri" w:hAnsi="Times New Roman" w:cs="Times New Roman"/>
          <w:sz w:val="24"/>
          <w:szCs w:val="24"/>
        </w:rPr>
        <w:t xml:space="preserve">With respect to board size, the average board size was about 12 members (mean = 11.80), </w:t>
      </w:r>
      <w:r w:rsidR="00FD0900">
        <w:rPr>
          <w:rFonts w:ascii="Times New Roman" w:eastAsia="Calibri" w:hAnsi="Times New Roman" w:cs="Times New Roman"/>
          <w:sz w:val="24"/>
          <w:szCs w:val="24"/>
        </w:rPr>
        <w:t>which is</w:t>
      </w:r>
      <w:r w:rsidRPr="00CA7935">
        <w:rPr>
          <w:rFonts w:ascii="Times New Roman" w:eastAsia="Calibri" w:hAnsi="Times New Roman" w:cs="Times New Roman"/>
          <w:sz w:val="24"/>
          <w:szCs w:val="24"/>
        </w:rPr>
        <w:t xml:space="preserve"> similar to a </w:t>
      </w:r>
      <w:r w:rsidRPr="00CA7935">
        <w:rPr>
          <w:rFonts w:ascii="Times New Roman" w:eastAsia="Times New Roman" w:hAnsi="Times New Roman" w:cs="Times New Roman"/>
          <w:sz w:val="24"/>
          <w:szCs w:val="24"/>
        </w:rPr>
        <w:t xml:space="preserve">study carried out by Jermias </w:t>
      </w:r>
      <w:r w:rsidR="00FD0900">
        <w:rPr>
          <w:rFonts w:ascii="Times New Roman" w:eastAsia="Times New Roman" w:hAnsi="Times New Roman" w:cs="Times New Roman"/>
          <w:sz w:val="24"/>
          <w:szCs w:val="24"/>
        </w:rPr>
        <w:t>and Gani (2014).</w:t>
      </w:r>
      <w:r w:rsidRPr="00CA7935">
        <w:rPr>
          <w:rFonts w:ascii="Times New Roman" w:eastAsia="Times New Roman" w:hAnsi="Times New Roman" w:cs="Times New Roman"/>
          <w:sz w:val="24"/>
          <w:szCs w:val="24"/>
        </w:rPr>
        <w:t>Regarding board independence (</w:t>
      </w:r>
      <w:r w:rsidRPr="000F0BFB">
        <w:rPr>
          <w:rFonts w:ascii="Times New Roman" w:eastAsia="Times New Roman" w:hAnsi="Times New Roman" w:cs="Times New Roman"/>
          <w:i/>
          <w:iCs/>
          <w:sz w:val="24"/>
          <w:szCs w:val="24"/>
        </w:rPr>
        <w:t>ICNEDs</w:t>
      </w:r>
      <w:r w:rsidRPr="00CA7935">
        <w:rPr>
          <w:rFonts w:ascii="Times New Roman" w:eastAsia="Times New Roman" w:hAnsi="Times New Roman" w:cs="Times New Roman"/>
          <w:sz w:val="24"/>
          <w:szCs w:val="24"/>
        </w:rPr>
        <w:t>), it can be seen that the mean value is 0.63 and ranges from 0.10 to 0.85 percent. These findings are consiste</w:t>
      </w:r>
      <w:r w:rsidR="00FD0900">
        <w:rPr>
          <w:rFonts w:ascii="Times New Roman" w:eastAsia="Times New Roman" w:hAnsi="Times New Roman" w:cs="Times New Roman"/>
          <w:sz w:val="24"/>
          <w:szCs w:val="24"/>
        </w:rPr>
        <w:t>nt with Adams and Jiang (2016).</w:t>
      </w:r>
    </w:p>
    <w:p w14:paraId="3E1E85EE" w14:textId="77777777" w:rsidR="00B65AED" w:rsidRPr="00D15B6A" w:rsidRDefault="00B65AED" w:rsidP="00B65AED">
      <w:pPr>
        <w:spacing w:after="0" w:line="480" w:lineRule="auto"/>
        <w:ind w:firstLine="720"/>
        <w:jc w:val="center"/>
        <w:rPr>
          <w:rFonts w:ascii="Times New Roman" w:hAnsi="Times New Roman" w:cs="Times New Roman"/>
          <w:bCs/>
          <w:sz w:val="24"/>
          <w:szCs w:val="24"/>
        </w:rPr>
      </w:pPr>
      <w:r w:rsidRPr="00D15B6A">
        <w:rPr>
          <w:rFonts w:ascii="Times New Roman" w:hAnsi="Times New Roman" w:cs="Times New Roman"/>
          <w:bCs/>
          <w:sz w:val="24"/>
          <w:szCs w:val="24"/>
        </w:rPr>
        <w:t xml:space="preserve">INSERT </w:t>
      </w:r>
      <w:hyperlink w:anchor="Table2" w:history="1">
        <w:r w:rsidRPr="00D15B6A">
          <w:rPr>
            <w:rFonts w:ascii="Times New Roman" w:hAnsi="Times New Roman" w:cs="Times New Roman"/>
            <w:bCs/>
            <w:sz w:val="24"/>
            <w:szCs w:val="24"/>
          </w:rPr>
          <w:t>TABLE 5</w:t>
        </w:r>
      </w:hyperlink>
      <w:r w:rsidRPr="00D15B6A">
        <w:rPr>
          <w:rFonts w:ascii="Times New Roman" w:hAnsi="Times New Roman" w:cs="Times New Roman"/>
          <w:bCs/>
          <w:sz w:val="24"/>
          <w:szCs w:val="24"/>
        </w:rPr>
        <w:t xml:space="preserve"> ABOUT HERE</w:t>
      </w:r>
    </w:p>
    <w:p w14:paraId="3404C6EA" w14:textId="77777777" w:rsidR="00B65AED" w:rsidRPr="00CA7935" w:rsidRDefault="00B65AED" w:rsidP="00B0360E">
      <w:pPr>
        <w:spacing w:line="360" w:lineRule="auto"/>
        <w:ind w:firstLine="576"/>
        <w:jc w:val="both"/>
        <w:rPr>
          <w:rFonts w:ascii="Times New Roman" w:eastAsia="Times New Roman" w:hAnsi="Times New Roman" w:cs="Times New Roman"/>
          <w:sz w:val="24"/>
          <w:szCs w:val="24"/>
        </w:rPr>
      </w:pPr>
      <w:r w:rsidRPr="00B65AED">
        <w:rPr>
          <w:rFonts w:ascii="Times New Roman" w:eastAsia="Times New Roman" w:hAnsi="Times New Roman" w:cs="Times New Roman"/>
          <w:sz w:val="24"/>
          <w:szCs w:val="24"/>
        </w:rPr>
        <w:t xml:space="preserve">The Pearson parametric correlation has been used to explore the trend and significance of relationships between each two variables. Table </w:t>
      </w:r>
      <w:r w:rsidRPr="00D15B6A">
        <w:rPr>
          <w:rFonts w:ascii="Times New Roman" w:eastAsia="Times New Roman" w:hAnsi="Times New Roman" w:cs="Times New Roman"/>
          <w:sz w:val="24"/>
          <w:szCs w:val="24"/>
        </w:rPr>
        <w:t>5</w:t>
      </w:r>
      <w:r w:rsidRPr="00B65AED">
        <w:rPr>
          <w:rFonts w:ascii="Times New Roman" w:eastAsia="Times New Roman" w:hAnsi="Times New Roman" w:cs="Times New Roman"/>
          <w:sz w:val="24"/>
          <w:szCs w:val="24"/>
        </w:rPr>
        <w:t xml:space="preserve"> shows the Pearson correlation matrix.</w:t>
      </w:r>
      <w:r w:rsidR="005041F3" w:rsidRPr="00D15B6A">
        <w:rPr>
          <w:rFonts w:ascii="Times New Roman" w:eastAsia="Times New Roman" w:hAnsi="Times New Roman" w:cs="Times New Roman"/>
          <w:sz w:val="24"/>
          <w:szCs w:val="24"/>
        </w:rPr>
        <w:t xml:space="preserve"> </w:t>
      </w:r>
      <w:r w:rsidRPr="00B65AED">
        <w:rPr>
          <w:rFonts w:ascii="Times New Roman" w:eastAsia="Times New Roman" w:hAnsi="Times New Roman" w:cs="Times New Roman"/>
          <w:sz w:val="24"/>
          <w:szCs w:val="24"/>
        </w:rPr>
        <w:t xml:space="preserve">Notably, all correlation coefficients are below 0.65. This indicates that no series multicollinearity </w:t>
      </w:r>
      <w:r w:rsidR="00424B88">
        <w:rPr>
          <w:rFonts w:ascii="Times New Roman" w:eastAsia="Times New Roman" w:hAnsi="Times New Roman" w:cs="Times New Roman"/>
          <w:sz w:val="24"/>
          <w:szCs w:val="24"/>
        </w:rPr>
        <w:t xml:space="preserve">are </w:t>
      </w:r>
      <w:r w:rsidRPr="00B65AED">
        <w:rPr>
          <w:rFonts w:ascii="Times New Roman" w:eastAsia="Times New Roman" w:hAnsi="Times New Roman" w:cs="Times New Roman"/>
          <w:sz w:val="24"/>
          <w:szCs w:val="24"/>
        </w:rPr>
        <w:t xml:space="preserve">exist (Gujarati &amp; Porter, 2009; Pallant, 2013). Table </w:t>
      </w:r>
      <w:r w:rsidRPr="00D15B6A">
        <w:rPr>
          <w:rFonts w:ascii="Times New Roman" w:eastAsia="Times New Roman" w:hAnsi="Times New Roman" w:cs="Times New Roman"/>
          <w:sz w:val="24"/>
          <w:szCs w:val="24"/>
        </w:rPr>
        <w:t>5</w:t>
      </w:r>
      <w:r w:rsidR="00FF1DCD">
        <w:rPr>
          <w:rFonts w:ascii="Times New Roman" w:eastAsia="Times New Roman" w:hAnsi="Times New Roman" w:cs="Times New Roman"/>
          <w:sz w:val="24"/>
          <w:szCs w:val="24"/>
        </w:rPr>
        <w:t xml:space="preserve"> shows that </w:t>
      </w:r>
      <w:r w:rsidR="00FF1DCD" w:rsidRPr="000F0BFB">
        <w:rPr>
          <w:rFonts w:ascii="Times New Roman" w:eastAsia="Times New Roman" w:hAnsi="Times New Roman" w:cs="Times New Roman"/>
          <w:i/>
          <w:iCs/>
          <w:sz w:val="24"/>
          <w:szCs w:val="24"/>
        </w:rPr>
        <w:t>RT1</w:t>
      </w:r>
      <w:r w:rsidRPr="00B65AED">
        <w:rPr>
          <w:rFonts w:ascii="Times New Roman" w:eastAsia="Times New Roman" w:hAnsi="Times New Roman" w:cs="Times New Roman"/>
          <w:sz w:val="24"/>
          <w:szCs w:val="24"/>
        </w:rPr>
        <w:t xml:space="preserve"> is correlated </w:t>
      </w:r>
      <w:r w:rsidR="00FF1DCD" w:rsidRPr="00B65AED">
        <w:rPr>
          <w:rFonts w:ascii="Times New Roman" w:eastAsia="Times New Roman" w:hAnsi="Times New Roman" w:cs="Times New Roman"/>
          <w:sz w:val="24"/>
          <w:szCs w:val="24"/>
        </w:rPr>
        <w:t>positively</w:t>
      </w:r>
      <w:r w:rsidRPr="00B65AED">
        <w:rPr>
          <w:rFonts w:ascii="Times New Roman" w:eastAsia="Times New Roman" w:hAnsi="Times New Roman" w:cs="Times New Roman"/>
          <w:sz w:val="24"/>
          <w:szCs w:val="24"/>
        </w:rPr>
        <w:t xml:space="preserve"> and significantly with </w:t>
      </w:r>
      <w:r w:rsidRPr="000F0BFB">
        <w:rPr>
          <w:rFonts w:ascii="Times New Roman" w:eastAsia="Times New Roman" w:hAnsi="Times New Roman" w:cs="Times New Roman"/>
          <w:i/>
          <w:iCs/>
          <w:sz w:val="24"/>
          <w:szCs w:val="24"/>
        </w:rPr>
        <w:t xml:space="preserve">ICBS </w:t>
      </w:r>
      <w:r w:rsidRPr="00B65AED">
        <w:rPr>
          <w:rFonts w:ascii="Times New Roman" w:eastAsia="Times New Roman" w:hAnsi="Times New Roman" w:cs="Times New Roman"/>
          <w:sz w:val="24"/>
          <w:szCs w:val="24"/>
        </w:rPr>
        <w:t xml:space="preserve">and </w:t>
      </w:r>
      <w:r w:rsidRPr="000F0BFB">
        <w:rPr>
          <w:rFonts w:ascii="Times New Roman" w:eastAsia="Times New Roman" w:hAnsi="Times New Roman" w:cs="Times New Roman"/>
          <w:i/>
          <w:iCs/>
          <w:sz w:val="24"/>
          <w:szCs w:val="24"/>
        </w:rPr>
        <w:t>ICBM</w:t>
      </w:r>
      <w:r w:rsidRPr="00B65AED">
        <w:rPr>
          <w:rFonts w:ascii="Times New Roman" w:eastAsia="Times New Roman" w:hAnsi="Times New Roman" w:cs="Times New Roman"/>
          <w:sz w:val="24"/>
          <w:szCs w:val="24"/>
        </w:rPr>
        <w:t xml:space="preserve">. </w:t>
      </w:r>
      <w:r w:rsidRPr="00D15B6A">
        <w:rPr>
          <w:rFonts w:ascii="Times New Roman" w:eastAsia="Times New Roman" w:hAnsi="Times New Roman" w:cs="Times New Roman"/>
          <w:sz w:val="24"/>
          <w:szCs w:val="24"/>
        </w:rPr>
        <w:t xml:space="preserve">It can also be noted from Table </w:t>
      </w:r>
      <w:r w:rsidR="005041F3" w:rsidRPr="00D15B6A">
        <w:rPr>
          <w:rFonts w:ascii="Times New Roman" w:eastAsia="Times New Roman" w:hAnsi="Times New Roman" w:cs="Times New Roman"/>
          <w:sz w:val="24"/>
          <w:szCs w:val="24"/>
        </w:rPr>
        <w:t>5</w:t>
      </w:r>
      <w:r w:rsidRPr="00D15B6A">
        <w:rPr>
          <w:rFonts w:ascii="Times New Roman" w:eastAsia="Times New Roman" w:hAnsi="Times New Roman" w:cs="Times New Roman"/>
          <w:sz w:val="24"/>
          <w:szCs w:val="24"/>
        </w:rPr>
        <w:t xml:space="preserve"> that there is a negative relationship between control variable ICL and </w:t>
      </w:r>
      <w:r w:rsidR="00B0360E">
        <w:rPr>
          <w:rFonts w:ascii="Times New Roman" w:eastAsia="Times New Roman" w:hAnsi="Times New Roman" w:cs="Times New Roman"/>
          <w:sz w:val="24"/>
          <w:szCs w:val="24"/>
        </w:rPr>
        <w:t>RT</w:t>
      </w:r>
      <w:r w:rsidRPr="00D15B6A">
        <w:rPr>
          <w:rFonts w:ascii="Times New Roman" w:eastAsia="Times New Roman" w:hAnsi="Times New Roman" w:cs="Times New Roman"/>
          <w:sz w:val="24"/>
          <w:szCs w:val="24"/>
        </w:rPr>
        <w:t xml:space="preserve">. Table </w:t>
      </w:r>
      <w:r w:rsidR="005041F3" w:rsidRPr="00D15B6A">
        <w:rPr>
          <w:rFonts w:ascii="Times New Roman" w:eastAsia="Times New Roman" w:hAnsi="Times New Roman" w:cs="Times New Roman"/>
          <w:sz w:val="24"/>
          <w:szCs w:val="24"/>
        </w:rPr>
        <w:t>5</w:t>
      </w:r>
      <w:r w:rsidRPr="00D15B6A">
        <w:rPr>
          <w:rFonts w:ascii="Times New Roman" w:eastAsia="Times New Roman" w:hAnsi="Times New Roman" w:cs="Times New Roman"/>
          <w:sz w:val="24"/>
          <w:szCs w:val="24"/>
        </w:rPr>
        <w:t xml:space="preserve"> also shows that the relationships between </w:t>
      </w:r>
      <w:r w:rsidR="00FF1DCD">
        <w:rPr>
          <w:rFonts w:ascii="Times New Roman" w:eastAsia="Times New Roman" w:hAnsi="Times New Roman" w:cs="Times New Roman"/>
          <w:sz w:val="24"/>
          <w:szCs w:val="24"/>
        </w:rPr>
        <w:t>RT2</w:t>
      </w:r>
      <w:r w:rsidRPr="00D15B6A">
        <w:rPr>
          <w:rFonts w:ascii="Times New Roman" w:eastAsia="Times New Roman" w:hAnsi="Times New Roman" w:cs="Times New Roman"/>
          <w:sz w:val="24"/>
          <w:szCs w:val="24"/>
        </w:rPr>
        <w:t xml:space="preserve"> and independent variables </w:t>
      </w:r>
      <w:r w:rsidRPr="000F0BFB">
        <w:rPr>
          <w:rFonts w:ascii="Times New Roman" w:eastAsia="Times New Roman" w:hAnsi="Times New Roman" w:cs="Times New Roman"/>
          <w:i/>
          <w:iCs/>
          <w:sz w:val="24"/>
          <w:szCs w:val="24"/>
        </w:rPr>
        <w:t>ICBS, ICFM, ICNEDs</w:t>
      </w:r>
      <w:r w:rsidRPr="00D15B6A">
        <w:rPr>
          <w:rFonts w:ascii="Times New Roman" w:eastAsia="Times New Roman" w:hAnsi="Times New Roman" w:cs="Times New Roman"/>
          <w:sz w:val="24"/>
          <w:szCs w:val="24"/>
        </w:rPr>
        <w:t xml:space="preserve"> and </w:t>
      </w:r>
      <w:r w:rsidRPr="000F0BFB">
        <w:rPr>
          <w:rFonts w:ascii="Times New Roman" w:eastAsia="Times New Roman" w:hAnsi="Times New Roman" w:cs="Times New Roman"/>
          <w:i/>
          <w:iCs/>
          <w:sz w:val="24"/>
          <w:szCs w:val="24"/>
        </w:rPr>
        <w:t>ICACS</w:t>
      </w:r>
      <w:r w:rsidRPr="00D15B6A">
        <w:rPr>
          <w:rFonts w:ascii="Times New Roman" w:eastAsia="Times New Roman" w:hAnsi="Times New Roman" w:cs="Times New Roman"/>
          <w:sz w:val="24"/>
          <w:szCs w:val="24"/>
        </w:rPr>
        <w:t xml:space="preserve"> are correlated </w:t>
      </w:r>
      <w:r w:rsidR="00FF1DCD" w:rsidRPr="00D15B6A">
        <w:rPr>
          <w:rFonts w:ascii="Times New Roman" w:eastAsia="Times New Roman" w:hAnsi="Times New Roman" w:cs="Times New Roman"/>
          <w:sz w:val="24"/>
          <w:szCs w:val="24"/>
        </w:rPr>
        <w:t>positively</w:t>
      </w:r>
      <w:r w:rsidRPr="00D15B6A">
        <w:rPr>
          <w:rFonts w:ascii="Times New Roman" w:eastAsia="Times New Roman" w:hAnsi="Times New Roman" w:cs="Times New Roman"/>
          <w:sz w:val="24"/>
          <w:szCs w:val="24"/>
        </w:rPr>
        <w:t>.</w:t>
      </w:r>
    </w:p>
    <w:p w14:paraId="364FD57A" w14:textId="77777777" w:rsidR="00CD39E4" w:rsidRPr="00D15B6A" w:rsidRDefault="00CD39E4" w:rsidP="005B0378">
      <w:pPr>
        <w:pStyle w:val="Heading4"/>
        <w:numPr>
          <w:ilvl w:val="1"/>
          <w:numId w:val="27"/>
        </w:numPr>
        <w:spacing w:before="0" w:line="480" w:lineRule="auto"/>
        <w:rPr>
          <w:rFonts w:ascii="Times New Roman" w:hAnsi="Times New Roman" w:cs="Times New Roman"/>
          <w:color w:val="auto"/>
          <w:sz w:val="24"/>
          <w:szCs w:val="24"/>
        </w:rPr>
      </w:pPr>
      <w:r w:rsidRPr="00D15B6A">
        <w:rPr>
          <w:rFonts w:ascii="Times New Roman" w:hAnsi="Times New Roman" w:cs="Times New Roman"/>
          <w:color w:val="auto"/>
          <w:sz w:val="24"/>
          <w:szCs w:val="24"/>
        </w:rPr>
        <w:t>Regression analyses</w:t>
      </w:r>
    </w:p>
    <w:p w14:paraId="2FBD7453" w14:textId="5D72E275" w:rsidR="005041F3" w:rsidRPr="005041F3" w:rsidRDefault="005041F3" w:rsidP="001838DB">
      <w:pPr>
        <w:spacing w:before="120" w:after="120" w:line="360" w:lineRule="auto"/>
        <w:ind w:firstLine="720"/>
        <w:jc w:val="both"/>
        <w:rPr>
          <w:rFonts w:ascii="Times New Roman" w:eastAsia="Times New Roman" w:hAnsi="Times New Roman" w:cs="Times New Roman"/>
          <w:sz w:val="24"/>
          <w:szCs w:val="24"/>
        </w:rPr>
      </w:pPr>
      <w:r w:rsidRPr="00D15B6A">
        <w:rPr>
          <w:rFonts w:ascii="Times New Roman" w:eastAsia="Times New Roman" w:hAnsi="Times New Roman" w:cs="Times New Roman"/>
          <w:sz w:val="24"/>
          <w:szCs w:val="24"/>
        </w:rPr>
        <w:t xml:space="preserve">OLS regression has been used to examine the impact of internal CG mechanisms including board size of directors, number of board meetings, board independence and audit committee size on </w:t>
      </w:r>
      <w:r w:rsidR="007C76F0">
        <w:rPr>
          <w:rFonts w:ascii="Times New Roman" w:eastAsia="Times New Roman" w:hAnsi="Times New Roman" w:cs="Times New Roman"/>
          <w:sz w:val="24"/>
          <w:szCs w:val="24"/>
        </w:rPr>
        <w:t xml:space="preserve">risk-taking </w:t>
      </w:r>
      <w:r w:rsidRPr="00D15B6A">
        <w:rPr>
          <w:rFonts w:ascii="Times New Roman" w:eastAsia="Times New Roman" w:hAnsi="Times New Roman" w:cs="Times New Roman"/>
          <w:sz w:val="24"/>
          <w:szCs w:val="24"/>
        </w:rPr>
        <w:t xml:space="preserve">calculated by </w:t>
      </w:r>
      <w:r w:rsidR="00FF1DCD" w:rsidRPr="000F0BFB">
        <w:rPr>
          <w:rFonts w:ascii="Times New Roman" w:eastAsia="Times New Roman" w:hAnsi="Times New Roman" w:cs="Times New Roman"/>
          <w:i/>
          <w:iCs/>
          <w:sz w:val="24"/>
          <w:szCs w:val="24"/>
        </w:rPr>
        <w:t>RT1</w:t>
      </w:r>
      <w:r w:rsidRPr="00D15B6A">
        <w:rPr>
          <w:rFonts w:ascii="Times New Roman" w:eastAsia="Times New Roman" w:hAnsi="Times New Roman" w:cs="Times New Roman"/>
          <w:sz w:val="24"/>
          <w:szCs w:val="24"/>
        </w:rPr>
        <w:t xml:space="preserve"> and </w:t>
      </w:r>
      <w:r w:rsidR="00FF1DCD" w:rsidRPr="000F0BFB">
        <w:rPr>
          <w:rFonts w:ascii="Times New Roman" w:eastAsia="Times New Roman" w:hAnsi="Times New Roman" w:cs="Times New Roman"/>
          <w:i/>
          <w:iCs/>
          <w:sz w:val="24"/>
          <w:szCs w:val="24"/>
        </w:rPr>
        <w:t>RT2</w:t>
      </w:r>
      <w:r w:rsidRPr="00D15B6A">
        <w:rPr>
          <w:rFonts w:ascii="Times New Roman" w:eastAsia="Times New Roman" w:hAnsi="Times New Roman" w:cs="Times New Roman"/>
          <w:sz w:val="24"/>
          <w:szCs w:val="24"/>
        </w:rPr>
        <w:t>.</w:t>
      </w:r>
      <w:r w:rsidR="00C1559C" w:rsidRPr="00D15B6A">
        <w:rPr>
          <w:rFonts w:ascii="Times New Roman" w:eastAsia="Times New Roman" w:hAnsi="Times New Roman" w:cs="Times New Roman"/>
          <w:sz w:val="24"/>
          <w:szCs w:val="24"/>
        </w:rPr>
        <w:t xml:space="preserve"> </w:t>
      </w:r>
      <w:r w:rsidRPr="005041F3">
        <w:rPr>
          <w:rFonts w:ascii="Times New Roman" w:eastAsia="Times New Roman" w:hAnsi="Times New Roman" w:cs="Times New Roman"/>
          <w:sz w:val="24"/>
          <w:szCs w:val="24"/>
        </w:rPr>
        <w:t xml:space="preserve">The first hypothesis examines the relationship between board size and insurance company </w:t>
      </w:r>
      <w:r w:rsidR="00C1559C" w:rsidRPr="00D15B6A">
        <w:rPr>
          <w:rFonts w:ascii="Times New Roman" w:eastAsia="Times New Roman" w:hAnsi="Times New Roman" w:cs="Times New Roman"/>
          <w:sz w:val="24"/>
          <w:szCs w:val="24"/>
        </w:rPr>
        <w:t>risk</w:t>
      </w:r>
      <w:r w:rsidR="001838DB">
        <w:rPr>
          <w:rFonts w:ascii="Times New Roman" w:eastAsia="Times New Roman" w:hAnsi="Times New Roman" w:cs="Times New Roman"/>
          <w:sz w:val="24"/>
          <w:szCs w:val="24"/>
        </w:rPr>
        <w:t>-</w:t>
      </w:r>
      <w:r w:rsidR="00C1559C" w:rsidRPr="00D15B6A">
        <w:rPr>
          <w:rFonts w:ascii="Times New Roman" w:eastAsia="Times New Roman" w:hAnsi="Times New Roman" w:cs="Times New Roman"/>
          <w:sz w:val="24"/>
          <w:szCs w:val="24"/>
        </w:rPr>
        <w:t>taking</w:t>
      </w:r>
      <w:r w:rsidRPr="005041F3">
        <w:rPr>
          <w:rFonts w:ascii="Times New Roman" w:eastAsia="Times New Roman" w:hAnsi="Times New Roman" w:cs="Times New Roman"/>
          <w:sz w:val="24"/>
          <w:szCs w:val="24"/>
        </w:rPr>
        <w:t xml:space="preserve">. Table </w:t>
      </w:r>
      <w:r w:rsidR="00C1559C"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w:t>
      </w:r>
      <w:r w:rsidR="001838DB">
        <w:rPr>
          <w:rFonts w:ascii="Times New Roman" w:eastAsia="Times New Roman" w:hAnsi="Times New Roman" w:cs="Times New Roman"/>
          <w:sz w:val="24"/>
          <w:szCs w:val="24"/>
        </w:rPr>
        <w:t xml:space="preserve">that </w:t>
      </w:r>
      <w:r w:rsidRPr="005041F3">
        <w:rPr>
          <w:rFonts w:ascii="Times New Roman" w:eastAsia="Times New Roman" w:hAnsi="Times New Roman" w:cs="Times New Roman"/>
          <w:sz w:val="24"/>
          <w:szCs w:val="24"/>
        </w:rPr>
        <w:t xml:space="preserve">there is a </w:t>
      </w:r>
      <w:r w:rsidR="00FF1DCD" w:rsidRPr="005041F3">
        <w:rPr>
          <w:rFonts w:ascii="Times New Roman" w:eastAsia="Times New Roman" w:hAnsi="Times New Roman" w:cs="Times New Roman"/>
          <w:sz w:val="24"/>
          <w:szCs w:val="24"/>
        </w:rPr>
        <w:t>positive</w:t>
      </w:r>
      <w:r w:rsidRPr="005041F3">
        <w:rPr>
          <w:rFonts w:ascii="Times New Roman" w:eastAsia="Times New Roman" w:hAnsi="Times New Roman" w:cs="Times New Roman"/>
          <w:sz w:val="24"/>
          <w:szCs w:val="24"/>
        </w:rPr>
        <w:t xml:space="preserve"> and statistically significant relationship between insurance company board size (</w:t>
      </w:r>
      <w:r w:rsidRPr="000F0BFB">
        <w:rPr>
          <w:rFonts w:ascii="Times New Roman" w:eastAsia="Times New Roman" w:hAnsi="Times New Roman" w:cs="Times New Roman"/>
          <w:i/>
          <w:iCs/>
          <w:sz w:val="24"/>
          <w:szCs w:val="24"/>
        </w:rPr>
        <w:t>ICBS</w:t>
      </w:r>
      <w:r w:rsidRPr="005041F3">
        <w:rPr>
          <w:rFonts w:ascii="Times New Roman" w:eastAsia="Times New Roman" w:hAnsi="Times New Roman" w:cs="Times New Roman"/>
          <w:sz w:val="24"/>
          <w:szCs w:val="24"/>
        </w:rPr>
        <w:t xml:space="preserve">) and </w:t>
      </w:r>
      <w:r w:rsidR="00C87C19" w:rsidRPr="000F0BFB">
        <w:rPr>
          <w:rFonts w:ascii="Times New Roman" w:eastAsia="Times New Roman" w:hAnsi="Times New Roman" w:cs="Times New Roman"/>
          <w:i/>
          <w:iCs/>
          <w:sz w:val="24"/>
          <w:szCs w:val="24"/>
        </w:rPr>
        <w:t>Z</w:t>
      </w:r>
      <w:r w:rsidR="001838DB">
        <w:rPr>
          <w:rFonts w:ascii="Times New Roman" w:eastAsia="Times New Roman" w:hAnsi="Times New Roman" w:cs="Times New Roman"/>
          <w:sz w:val="24"/>
          <w:szCs w:val="24"/>
        </w:rPr>
        <w:t>-</w:t>
      </w:r>
      <w:r w:rsidR="00C87C19">
        <w:rPr>
          <w:rFonts w:ascii="Times New Roman" w:eastAsia="Times New Roman" w:hAnsi="Times New Roman" w:cs="Times New Roman"/>
          <w:sz w:val="24"/>
          <w:szCs w:val="24"/>
        </w:rPr>
        <w:t>score</w:t>
      </w:r>
      <w:r w:rsidRPr="005041F3">
        <w:rPr>
          <w:rFonts w:ascii="Times New Roman" w:eastAsia="Times New Roman" w:hAnsi="Times New Roman" w:cs="Times New Roman"/>
          <w:sz w:val="24"/>
          <w:szCs w:val="24"/>
        </w:rPr>
        <w:t xml:space="preserve">. In other words, the results </w:t>
      </w:r>
      <w:r w:rsidR="001838DB">
        <w:rPr>
          <w:rFonts w:ascii="Times New Roman" w:eastAsia="Times New Roman" w:hAnsi="Times New Roman" w:cs="Times New Roman"/>
          <w:sz w:val="24"/>
          <w:szCs w:val="24"/>
        </w:rPr>
        <w:t>indicate</w:t>
      </w:r>
      <w:r w:rsidR="001838DB" w:rsidRPr="005041F3">
        <w:rPr>
          <w:rFonts w:ascii="Times New Roman" w:eastAsia="Times New Roman" w:hAnsi="Times New Roman" w:cs="Times New Roman"/>
          <w:sz w:val="24"/>
          <w:szCs w:val="24"/>
        </w:rPr>
        <w:t xml:space="preserve"> </w:t>
      </w:r>
      <w:r w:rsidRPr="005041F3">
        <w:rPr>
          <w:rFonts w:ascii="Times New Roman" w:eastAsia="Times New Roman" w:hAnsi="Times New Roman" w:cs="Times New Roman"/>
          <w:sz w:val="24"/>
          <w:szCs w:val="24"/>
        </w:rPr>
        <w:t xml:space="preserve">that there is a significant </w:t>
      </w:r>
      <w:r w:rsidR="00FF1DCD" w:rsidRPr="005041F3">
        <w:rPr>
          <w:rFonts w:ascii="Times New Roman" w:eastAsia="Times New Roman" w:hAnsi="Times New Roman" w:cs="Times New Roman"/>
          <w:sz w:val="24"/>
          <w:szCs w:val="24"/>
        </w:rPr>
        <w:t>positive</w:t>
      </w:r>
      <w:r w:rsidRPr="005041F3">
        <w:rPr>
          <w:rFonts w:ascii="Times New Roman" w:eastAsia="Times New Roman" w:hAnsi="Times New Roman" w:cs="Times New Roman"/>
          <w:sz w:val="24"/>
          <w:szCs w:val="24"/>
        </w:rPr>
        <w:t xml:space="preserve"> relationship between </w:t>
      </w:r>
      <w:r w:rsidRPr="000F0BFB">
        <w:rPr>
          <w:rFonts w:ascii="Times New Roman" w:eastAsia="Times New Roman" w:hAnsi="Times New Roman" w:cs="Times New Roman"/>
          <w:i/>
          <w:iCs/>
          <w:sz w:val="24"/>
          <w:szCs w:val="24"/>
        </w:rPr>
        <w:t>ICBS</w:t>
      </w:r>
      <w:r w:rsidRPr="005041F3">
        <w:rPr>
          <w:rFonts w:ascii="Times New Roman" w:eastAsia="Times New Roman" w:hAnsi="Times New Roman" w:cs="Times New Roman"/>
          <w:sz w:val="24"/>
          <w:szCs w:val="24"/>
        </w:rPr>
        <w:t xml:space="preserve"> and the </w:t>
      </w:r>
      <w:r w:rsidR="00FF1DCD" w:rsidRPr="000F0BFB">
        <w:rPr>
          <w:rFonts w:ascii="Times New Roman" w:eastAsia="Times New Roman" w:hAnsi="Times New Roman" w:cs="Times New Roman"/>
          <w:i/>
          <w:iCs/>
          <w:sz w:val="24"/>
          <w:szCs w:val="24"/>
        </w:rPr>
        <w:t>Z</w:t>
      </w:r>
      <w:r w:rsidR="001838DB">
        <w:rPr>
          <w:rFonts w:ascii="Times New Roman" w:eastAsia="Times New Roman" w:hAnsi="Times New Roman" w:cs="Times New Roman"/>
          <w:sz w:val="24"/>
          <w:szCs w:val="24"/>
        </w:rPr>
        <w:t>-</w:t>
      </w:r>
      <w:r w:rsidR="00FF1DCD">
        <w:rPr>
          <w:rFonts w:ascii="Times New Roman" w:eastAsia="Times New Roman" w:hAnsi="Times New Roman" w:cs="Times New Roman"/>
          <w:sz w:val="24"/>
          <w:szCs w:val="24"/>
        </w:rPr>
        <w:t>score</w:t>
      </w:r>
      <w:r w:rsidR="00C1559C" w:rsidRPr="00D15B6A">
        <w:rPr>
          <w:rFonts w:ascii="Times New Roman" w:eastAsia="Times New Roman" w:hAnsi="Times New Roman" w:cs="Times New Roman"/>
          <w:sz w:val="24"/>
          <w:szCs w:val="24"/>
        </w:rPr>
        <w:t xml:space="preserve"> </w:t>
      </w:r>
      <w:r w:rsidRPr="005041F3">
        <w:rPr>
          <w:rFonts w:ascii="Times New Roman" w:eastAsia="Times New Roman" w:hAnsi="Times New Roman" w:cs="Times New Roman"/>
          <w:sz w:val="24"/>
          <w:szCs w:val="24"/>
        </w:rPr>
        <w:t xml:space="preserve">of UK insurance companies. This relationship suggests that bigger boards are associated with lower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than smaller boards. This is consistent with prior literature (e.g., Jermias &amp; Gani, 2014; Brick &amp; Chidambaran, 2010). For instance, the findings of Jermias and Gani (2014) also found a negative relationship between board size and </w:t>
      </w:r>
      <w:r w:rsidR="00C1559C" w:rsidRPr="00D15B6A">
        <w:rPr>
          <w:rFonts w:ascii="Times New Roman" w:eastAsia="Times New Roman" w:hAnsi="Times New Roman" w:cs="Times New Roman"/>
          <w:sz w:val="24"/>
          <w:szCs w:val="24"/>
        </w:rPr>
        <w:t>risk</w:t>
      </w:r>
      <w:r w:rsidR="001838DB">
        <w:rPr>
          <w:rFonts w:ascii="Times New Roman" w:eastAsia="Times New Roman" w:hAnsi="Times New Roman" w:cs="Times New Roman"/>
          <w:sz w:val="24"/>
          <w:szCs w:val="24"/>
        </w:rPr>
        <w:t>-</w:t>
      </w:r>
      <w:r w:rsidR="00C1559C" w:rsidRPr="00D15B6A">
        <w:rPr>
          <w:rFonts w:ascii="Times New Roman" w:eastAsia="Times New Roman" w:hAnsi="Times New Roman" w:cs="Times New Roman"/>
          <w:sz w:val="24"/>
          <w:szCs w:val="24"/>
        </w:rPr>
        <w:t>taking</w:t>
      </w:r>
      <w:r w:rsidRPr="005041F3">
        <w:rPr>
          <w:rFonts w:ascii="Times New Roman" w:eastAsia="Times New Roman" w:hAnsi="Times New Roman" w:cs="Times New Roman"/>
          <w:sz w:val="24"/>
          <w:szCs w:val="24"/>
        </w:rPr>
        <w:t xml:space="preserve">. The relationship between board size and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is, moreover, consistent with the view </w:t>
      </w:r>
      <w:r w:rsidR="001838DB">
        <w:rPr>
          <w:rFonts w:ascii="Times New Roman" w:eastAsia="Times New Roman" w:hAnsi="Times New Roman" w:cs="Times New Roman"/>
          <w:sz w:val="24"/>
          <w:szCs w:val="24"/>
        </w:rPr>
        <w:t>that due to greater expertise,</w:t>
      </w:r>
      <w:r w:rsidRPr="005041F3">
        <w:rPr>
          <w:rFonts w:ascii="Times New Roman" w:eastAsia="Times New Roman" w:hAnsi="Times New Roman" w:cs="Times New Roman"/>
          <w:sz w:val="24"/>
          <w:szCs w:val="24"/>
        </w:rPr>
        <w:t xml:space="preserve"> a bigger board size </w:t>
      </w:r>
      <w:r w:rsidR="001838DB">
        <w:rPr>
          <w:rFonts w:ascii="Times New Roman" w:eastAsia="Times New Roman" w:hAnsi="Times New Roman" w:cs="Times New Roman"/>
          <w:sz w:val="24"/>
          <w:szCs w:val="24"/>
        </w:rPr>
        <w:t>offers</w:t>
      </w:r>
      <w:r w:rsidRPr="005041F3">
        <w:rPr>
          <w:rFonts w:ascii="Times New Roman" w:eastAsia="Times New Roman" w:hAnsi="Times New Roman" w:cs="Times New Roman"/>
          <w:sz w:val="24"/>
          <w:szCs w:val="24"/>
        </w:rPr>
        <w:t xml:space="preserve"> </w:t>
      </w:r>
      <w:r w:rsidR="001838DB">
        <w:rPr>
          <w:rFonts w:ascii="Times New Roman" w:eastAsia="Times New Roman" w:hAnsi="Times New Roman" w:cs="Times New Roman"/>
          <w:sz w:val="24"/>
          <w:szCs w:val="24"/>
        </w:rPr>
        <w:t xml:space="preserve">extra </w:t>
      </w:r>
      <w:r w:rsidR="000F0BFB">
        <w:rPr>
          <w:rFonts w:ascii="Times New Roman" w:eastAsia="Times New Roman" w:hAnsi="Times New Roman" w:cs="Times New Roman"/>
          <w:sz w:val="24"/>
          <w:szCs w:val="24"/>
        </w:rPr>
        <w:t>effort in</w:t>
      </w:r>
      <w:r w:rsidR="001838DB">
        <w:rPr>
          <w:rFonts w:ascii="Times New Roman" w:eastAsia="Times New Roman" w:hAnsi="Times New Roman" w:cs="Times New Roman"/>
          <w:sz w:val="24"/>
          <w:szCs w:val="24"/>
        </w:rPr>
        <w:t xml:space="preserve"> monitoring </w:t>
      </w:r>
      <w:r w:rsidR="00C1559C" w:rsidRPr="00D15B6A">
        <w:rPr>
          <w:rFonts w:ascii="Times New Roman" w:eastAsia="Times New Roman" w:hAnsi="Times New Roman" w:cs="Times New Roman"/>
          <w:sz w:val="24"/>
          <w:szCs w:val="24"/>
        </w:rPr>
        <w:t>management</w:t>
      </w:r>
      <w:r w:rsidRPr="005041F3">
        <w:rPr>
          <w:rFonts w:ascii="Times New Roman" w:eastAsia="Times New Roman" w:hAnsi="Times New Roman" w:cs="Times New Roman"/>
          <w:sz w:val="24"/>
          <w:szCs w:val="24"/>
        </w:rPr>
        <w:t xml:space="preserve"> (Cheng, 2008) compared with a smaller board size. Hence, based on this evidence, the first hypothesis is </w:t>
      </w:r>
      <w:r w:rsidR="00C1559C" w:rsidRPr="00D15B6A">
        <w:rPr>
          <w:rFonts w:ascii="Times New Roman" w:eastAsia="Times New Roman" w:hAnsi="Times New Roman" w:cs="Times New Roman"/>
          <w:sz w:val="24"/>
          <w:szCs w:val="24"/>
        </w:rPr>
        <w:t>accepted</w:t>
      </w:r>
      <w:r w:rsidRPr="005041F3">
        <w:rPr>
          <w:rFonts w:ascii="Times New Roman" w:eastAsia="Times New Roman" w:hAnsi="Times New Roman" w:cs="Times New Roman"/>
          <w:sz w:val="24"/>
          <w:szCs w:val="24"/>
        </w:rPr>
        <w:t xml:space="preserve">, which indicates that </w:t>
      </w:r>
      <w:r w:rsidR="00C1559C" w:rsidRPr="00D15B6A">
        <w:rPr>
          <w:rFonts w:ascii="Times New Roman" w:eastAsia="Times New Roman" w:hAnsi="Times New Roman" w:cs="Times New Roman"/>
          <w:sz w:val="24"/>
          <w:szCs w:val="24"/>
        </w:rPr>
        <w:t>larger</w:t>
      </w:r>
      <w:r w:rsidRPr="005041F3">
        <w:rPr>
          <w:rFonts w:ascii="Times New Roman" w:eastAsia="Times New Roman" w:hAnsi="Times New Roman" w:cs="Times New Roman"/>
          <w:sz w:val="24"/>
          <w:szCs w:val="24"/>
        </w:rPr>
        <w:t xml:space="preserve"> boards are more effective</w:t>
      </w:r>
      <w:r w:rsidR="00C1559C" w:rsidRPr="00D15B6A">
        <w:rPr>
          <w:rFonts w:ascii="Times New Roman" w:eastAsia="Times New Roman" w:hAnsi="Times New Roman" w:cs="Times New Roman"/>
          <w:sz w:val="24"/>
          <w:szCs w:val="24"/>
        </w:rPr>
        <w:t xml:space="preserve"> in constrain</w:t>
      </w:r>
      <w:r w:rsidR="00E34882">
        <w:rPr>
          <w:rFonts w:ascii="Times New Roman" w:eastAsia="Times New Roman" w:hAnsi="Times New Roman" w:cs="Times New Roman"/>
          <w:sz w:val="24"/>
          <w:szCs w:val="24"/>
        </w:rPr>
        <w:t>ing</w:t>
      </w:r>
      <w:r w:rsidR="00C1559C" w:rsidRPr="00D15B6A">
        <w:rPr>
          <w:rFonts w:ascii="Times New Roman" w:eastAsia="Times New Roman" w:hAnsi="Times New Roman" w:cs="Times New Roman"/>
          <w:sz w:val="24"/>
          <w:szCs w:val="24"/>
        </w:rPr>
        <w:t xml:space="preserve"> </w:t>
      </w:r>
      <w:r w:rsidR="00E34882">
        <w:rPr>
          <w:rFonts w:ascii="Times New Roman" w:eastAsia="Times New Roman" w:hAnsi="Times New Roman" w:cs="Times New Roman"/>
          <w:sz w:val="24"/>
          <w:szCs w:val="24"/>
        </w:rPr>
        <w:t xml:space="preserve">managerial </w:t>
      </w:r>
      <w:r w:rsidR="00C1559C" w:rsidRPr="00D15B6A">
        <w:rPr>
          <w:rFonts w:ascii="Times New Roman" w:eastAsia="Times New Roman" w:hAnsi="Times New Roman" w:cs="Times New Roman"/>
          <w:sz w:val="24"/>
          <w:szCs w:val="24"/>
        </w:rPr>
        <w:t>risk</w:t>
      </w:r>
      <w:r w:rsidR="00E34882">
        <w:rPr>
          <w:rFonts w:ascii="Times New Roman" w:eastAsia="Times New Roman" w:hAnsi="Times New Roman" w:cs="Times New Roman"/>
          <w:sz w:val="24"/>
          <w:szCs w:val="24"/>
        </w:rPr>
        <w:t>-</w:t>
      </w:r>
      <w:r w:rsidR="00C1559C" w:rsidRPr="00D15B6A">
        <w:rPr>
          <w:rFonts w:ascii="Times New Roman" w:eastAsia="Times New Roman" w:hAnsi="Times New Roman" w:cs="Times New Roman"/>
          <w:sz w:val="24"/>
          <w:szCs w:val="24"/>
        </w:rPr>
        <w:t>taking</w:t>
      </w:r>
      <w:r w:rsidRPr="005041F3">
        <w:rPr>
          <w:rFonts w:ascii="Times New Roman" w:eastAsia="Times New Roman" w:hAnsi="Times New Roman" w:cs="Times New Roman"/>
          <w:sz w:val="24"/>
          <w:szCs w:val="24"/>
        </w:rPr>
        <w:t>.</w:t>
      </w:r>
    </w:p>
    <w:p w14:paraId="1224672D" w14:textId="630B399B" w:rsidR="00C87C19" w:rsidRDefault="005041F3" w:rsidP="00C87C19">
      <w:pPr>
        <w:spacing w:line="360" w:lineRule="auto"/>
        <w:ind w:firstLine="720"/>
        <w:jc w:val="both"/>
        <w:rPr>
          <w:rFonts w:ascii="Times New Roman" w:eastAsia="Times New Roman" w:hAnsi="Times New Roman" w:cs="Times New Roman"/>
          <w:sz w:val="24"/>
          <w:szCs w:val="24"/>
        </w:rPr>
      </w:pPr>
      <w:r w:rsidRPr="005041F3">
        <w:rPr>
          <w:rFonts w:ascii="Times New Roman" w:eastAsia="Times New Roman" w:hAnsi="Times New Roman" w:cs="Times New Roman"/>
          <w:sz w:val="24"/>
          <w:szCs w:val="24"/>
        </w:rPr>
        <w:t xml:space="preserve">The second hypothesis examines the relationship between the frequency of directors’ board meetings and insurance company </w:t>
      </w:r>
      <w:r w:rsidR="00C1559C" w:rsidRPr="00D15B6A">
        <w:rPr>
          <w:rFonts w:ascii="Times New Roman" w:eastAsia="Times New Roman" w:hAnsi="Times New Roman" w:cs="Times New Roman"/>
          <w:sz w:val="24"/>
          <w:szCs w:val="24"/>
        </w:rPr>
        <w:t>risk</w:t>
      </w:r>
      <w:r w:rsidR="00E34882">
        <w:rPr>
          <w:rFonts w:ascii="Times New Roman" w:eastAsia="Times New Roman" w:hAnsi="Times New Roman" w:cs="Times New Roman"/>
          <w:sz w:val="24"/>
          <w:szCs w:val="24"/>
        </w:rPr>
        <w:t>-</w:t>
      </w:r>
      <w:r w:rsidR="00C1559C" w:rsidRPr="00D15B6A">
        <w:rPr>
          <w:rFonts w:ascii="Times New Roman" w:eastAsia="Times New Roman" w:hAnsi="Times New Roman" w:cs="Times New Roman"/>
          <w:sz w:val="24"/>
          <w:szCs w:val="24"/>
        </w:rPr>
        <w:t>taking</w:t>
      </w:r>
      <w:r w:rsidRPr="005041F3">
        <w:rPr>
          <w:rFonts w:ascii="Times New Roman" w:eastAsia="Times New Roman" w:hAnsi="Times New Roman" w:cs="Times New Roman"/>
          <w:sz w:val="24"/>
          <w:szCs w:val="24"/>
        </w:rPr>
        <w:t xml:space="preserve">. Table </w:t>
      </w:r>
      <w:r w:rsidR="00C1559C"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there is a </w:t>
      </w:r>
      <w:r w:rsidR="00C87C19" w:rsidRPr="005041F3">
        <w:rPr>
          <w:rFonts w:ascii="Times New Roman" w:eastAsia="Times New Roman" w:hAnsi="Times New Roman" w:cs="Times New Roman"/>
          <w:sz w:val="24"/>
          <w:szCs w:val="24"/>
        </w:rPr>
        <w:t>positive</w:t>
      </w:r>
      <w:r w:rsidRPr="005041F3">
        <w:rPr>
          <w:rFonts w:ascii="Times New Roman" w:eastAsia="Times New Roman" w:hAnsi="Times New Roman" w:cs="Times New Roman"/>
          <w:sz w:val="24"/>
          <w:szCs w:val="24"/>
        </w:rPr>
        <w:t xml:space="preserve"> and statistically significant relationship between insurance company board meetings (</w:t>
      </w:r>
      <w:r w:rsidRPr="000F0BFB">
        <w:rPr>
          <w:rFonts w:ascii="Times New Roman" w:eastAsia="Times New Roman" w:hAnsi="Times New Roman" w:cs="Times New Roman"/>
          <w:i/>
          <w:iCs/>
          <w:sz w:val="24"/>
          <w:szCs w:val="24"/>
        </w:rPr>
        <w:t>ICBM</w:t>
      </w:r>
      <w:r w:rsidRPr="005041F3">
        <w:rPr>
          <w:rFonts w:ascii="Times New Roman" w:eastAsia="Times New Roman" w:hAnsi="Times New Roman" w:cs="Times New Roman"/>
          <w:sz w:val="24"/>
          <w:szCs w:val="24"/>
        </w:rPr>
        <w:t xml:space="preserve">) and insurance company </w:t>
      </w:r>
      <w:r w:rsidR="00C87C19" w:rsidRPr="000F0BFB">
        <w:rPr>
          <w:rFonts w:ascii="Times New Roman" w:eastAsia="Times New Roman" w:hAnsi="Times New Roman" w:cs="Times New Roman"/>
          <w:i/>
          <w:iCs/>
          <w:sz w:val="24"/>
          <w:szCs w:val="24"/>
        </w:rPr>
        <w:t>Z</w:t>
      </w:r>
      <w:r w:rsidR="00E34882">
        <w:rPr>
          <w:rFonts w:ascii="Times New Roman" w:eastAsia="Times New Roman" w:hAnsi="Times New Roman" w:cs="Times New Roman"/>
          <w:sz w:val="24"/>
          <w:szCs w:val="24"/>
        </w:rPr>
        <w:t>-</w:t>
      </w:r>
      <w:r w:rsidR="00C87C19">
        <w:rPr>
          <w:rFonts w:ascii="Times New Roman" w:eastAsia="Times New Roman" w:hAnsi="Times New Roman" w:cs="Times New Roman"/>
          <w:sz w:val="24"/>
          <w:szCs w:val="24"/>
        </w:rPr>
        <w:t xml:space="preserve">score measured by </w:t>
      </w:r>
      <w:r w:rsidRPr="000F0BFB">
        <w:rPr>
          <w:rFonts w:ascii="Times New Roman" w:eastAsia="Times New Roman" w:hAnsi="Times New Roman" w:cs="Times New Roman"/>
          <w:i/>
          <w:iCs/>
          <w:sz w:val="24"/>
          <w:szCs w:val="24"/>
        </w:rPr>
        <w:t>ROA</w:t>
      </w:r>
      <w:r w:rsidR="00C87C19">
        <w:rPr>
          <w:rFonts w:ascii="Times New Roman" w:eastAsia="Times New Roman" w:hAnsi="Times New Roman" w:cs="Times New Roman"/>
          <w:sz w:val="24"/>
          <w:szCs w:val="24"/>
        </w:rPr>
        <w:t xml:space="preserve"> and </w:t>
      </w:r>
      <w:r w:rsidR="00C1559C" w:rsidRPr="000F0BFB">
        <w:rPr>
          <w:rFonts w:ascii="Times New Roman" w:eastAsia="Times New Roman" w:hAnsi="Times New Roman" w:cs="Times New Roman"/>
          <w:i/>
          <w:iCs/>
          <w:sz w:val="24"/>
          <w:szCs w:val="24"/>
        </w:rPr>
        <w:t>ROE</w:t>
      </w:r>
      <w:r w:rsidR="00C87C19">
        <w:rPr>
          <w:rFonts w:ascii="Times New Roman" w:eastAsia="Times New Roman" w:hAnsi="Times New Roman" w:cs="Times New Roman"/>
          <w:sz w:val="24"/>
          <w:szCs w:val="24"/>
        </w:rPr>
        <w:t xml:space="preserve"> (</w:t>
      </w:r>
      <w:r w:rsidR="00C87C19" w:rsidRPr="000F0BFB">
        <w:rPr>
          <w:rFonts w:ascii="Times New Roman" w:eastAsia="Times New Roman" w:hAnsi="Times New Roman" w:cs="Times New Roman"/>
          <w:i/>
          <w:iCs/>
          <w:sz w:val="24"/>
          <w:szCs w:val="24"/>
        </w:rPr>
        <w:t>t</w:t>
      </w:r>
      <w:r w:rsidR="00C87C19">
        <w:rPr>
          <w:rFonts w:ascii="Times New Roman" w:eastAsia="Times New Roman" w:hAnsi="Times New Roman" w:cs="Times New Roman"/>
          <w:sz w:val="24"/>
          <w:szCs w:val="24"/>
        </w:rPr>
        <w:t xml:space="preserve"> of </w:t>
      </w:r>
      <w:r w:rsidRPr="005041F3">
        <w:rPr>
          <w:rFonts w:ascii="Times New Roman" w:eastAsia="Times New Roman" w:hAnsi="Times New Roman" w:cs="Times New Roman"/>
          <w:sz w:val="24"/>
          <w:szCs w:val="24"/>
        </w:rPr>
        <w:t xml:space="preserve">6.561, </w:t>
      </w:r>
      <w:r w:rsidR="00C1559C" w:rsidRPr="000F0BFB">
        <w:rPr>
          <w:rFonts w:ascii="Times New Roman" w:eastAsia="Times New Roman" w:hAnsi="Times New Roman" w:cs="Times New Roman"/>
          <w:i/>
          <w:iCs/>
          <w:sz w:val="24"/>
          <w:szCs w:val="24"/>
        </w:rPr>
        <w:t>t</w:t>
      </w:r>
      <w:r w:rsidR="00C1559C" w:rsidRPr="005041F3">
        <w:rPr>
          <w:rFonts w:ascii="Times New Roman" w:eastAsia="Times New Roman" w:hAnsi="Times New Roman" w:cs="Times New Roman"/>
          <w:sz w:val="24"/>
          <w:szCs w:val="24"/>
        </w:rPr>
        <w:t xml:space="preserve"> </w:t>
      </w:r>
      <w:r w:rsidRPr="005041F3">
        <w:rPr>
          <w:rFonts w:ascii="Times New Roman" w:eastAsia="Times New Roman" w:hAnsi="Times New Roman" w:cs="Times New Roman"/>
          <w:sz w:val="24"/>
          <w:szCs w:val="24"/>
        </w:rPr>
        <w:t xml:space="preserve">of </w:t>
      </w:r>
      <w:r w:rsidR="00C1559C" w:rsidRPr="00D15B6A">
        <w:rPr>
          <w:rFonts w:ascii="Times New Roman" w:eastAsia="Times New Roman" w:hAnsi="Times New Roman" w:cs="Times New Roman"/>
          <w:sz w:val="24"/>
          <w:szCs w:val="24"/>
        </w:rPr>
        <w:t>4.876, respectively</w:t>
      </w:r>
      <w:r w:rsidRPr="005041F3">
        <w:rPr>
          <w:rFonts w:ascii="Times New Roman" w:eastAsia="Times New Roman" w:hAnsi="Times New Roman" w:cs="Times New Roman"/>
          <w:sz w:val="24"/>
          <w:szCs w:val="24"/>
        </w:rPr>
        <w:t>).</w:t>
      </w:r>
      <w:r w:rsidR="00C87C19">
        <w:rPr>
          <w:rFonts w:ascii="Times New Roman" w:eastAsia="Times New Roman" w:hAnsi="Times New Roman" w:cs="Times New Roman"/>
          <w:sz w:val="24"/>
          <w:szCs w:val="24"/>
        </w:rPr>
        <w:t xml:space="preserve"> This implies that board meetings are positively related to financial stability measured by </w:t>
      </w:r>
      <w:r w:rsidR="00C87C19" w:rsidRPr="000F0BFB">
        <w:rPr>
          <w:rFonts w:ascii="Times New Roman" w:eastAsia="Times New Roman" w:hAnsi="Times New Roman" w:cs="Times New Roman"/>
          <w:i/>
          <w:iCs/>
          <w:sz w:val="24"/>
          <w:szCs w:val="24"/>
        </w:rPr>
        <w:t>Z</w:t>
      </w:r>
      <w:r w:rsidR="00E34882">
        <w:rPr>
          <w:rFonts w:ascii="Times New Roman" w:eastAsia="Times New Roman" w:hAnsi="Times New Roman" w:cs="Times New Roman"/>
          <w:sz w:val="24"/>
          <w:szCs w:val="24"/>
        </w:rPr>
        <w:t>-</w:t>
      </w:r>
      <w:r w:rsidR="00C87C19">
        <w:rPr>
          <w:rFonts w:ascii="Times New Roman" w:eastAsia="Times New Roman" w:hAnsi="Times New Roman" w:cs="Times New Roman"/>
          <w:sz w:val="24"/>
          <w:szCs w:val="24"/>
        </w:rPr>
        <w:t>score.</w:t>
      </w:r>
      <w:r w:rsidRPr="005041F3">
        <w:rPr>
          <w:rFonts w:ascii="Times New Roman" w:eastAsia="Times New Roman" w:hAnsi="Times New Roman" w:cs="Times New Roman"/>
          <w:sz w:val="24"/>
          <w:szCs w:val="24"/>
        </w:rPr>
        <w:t xml:space="preserve"> In other words, the results show a significant negative relationship between </w:t>
      </w:r>
      <w:r w:rsidRPr="000F0BFB">
        <w:rPr>
          <w:rFonts w:ascii="Times New Roman" w:eastAsia="Times New Roman" w:hAnsi="Times New Roman" w:cs="Times New Roman"/>
          <w:i/>
          <w:iCs/>
          <w:sz w:val="24"/>
          <w:szCs w:val="24"/>
        </w:rPr>
        <w:t>ICBM</w:t>
      </w:r>
      <w:r w:rsidRPr="005041F3">
        <w:rPr>
          <w:rFonts w:ascii="Times New Roman" w:eastAsia="Times New Roman" w:hAnsi="Times New Roman" w:cs="Times New Roman"/>
          <w:sz w:val="24"/>
          <w:szCs w:val="24"/>
        </w:rPr>
        <w:t xml:space="preserve"> and the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of UK insurance companies. This negative relationship suggests that an increased number of board meetings is associated with lower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than for boards that meet less frequently. This result is consistent with the findings of Priya and Nimalathasan (2013), who also found a negative relationship between board meetings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By contrast, this result is inconsistent with the findings of Jermias and Gani (2014) and Hsu and Petchsakulwong (2010), who document a statistically significant and positive relationship between board meetings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w:t>
      </w:r>
      <w:r w:rsidR="00D15B6A" w:rsidRPr="00D15B6A">
        <w:rPr>
          <w:rFonts w:ascii="Times New Roman" w:eastAsia="Times New Roman" w:hAnsi="Times New Roman" w:cs="Times New Roman"/>
          <w:sz w:val="24"/>
          <w:szCs w:val="24"/>
        </w:rPr>
        <w:t>B</w:t>
      </w:r>
      <w:r w:rsidRPr="005041F3">
        <w:rPr>
          <w:rFonts w:ascii="Times New Roman" w:eastAsia="Times New Roman" w:hAnsi="Times New Roman" w:cs="Times New Roman"/>
          <w:sz w:val="24"/>
          <w:szCs w:val="24"/>
        </w:rPr>
        <w:t xml:space="preserve">ased on the evidence of this study, the second hypothesis is </w:t>
      </w:r>
      <w:r w:rsidR="00D15B6A" w:rsidRPr="00D15B6A">
        <w:rPr>
          <w:rFonts w:ascii="Times New Roman" w:eastAsia="Times New Roman" w:hAnsi="Times New Roman" w:cs="Times New Roman"/>
          <w:sz w:val="24"/>
          <w:szCs w:val="24"/>
        </w:rPr>
        <w:t>accepted, which indicates that</w:t>
      </w:r>
      <w:r w:rsidRPr="005041F3">
        <w:rPr>
          <w:rFonts w:ascii="Times New Roman" w:eastAsia="Times New Roman" w:hAnsi="Times New Roman" w:cs="Times New Roman"/>
          <w:sz w:val="24"/>
          <w:szCs w:val="24"/>
        </w:rPr>
        <w:t xml:space="preserve"> </w:t>
      </w:r>
      <w:r w:rsidR="00D15B6A" w:rsidRPr="00D15B6A">
        <w:rPr>
          <w:rFonts w:ascii="Times New Roman" w:eastAsia="Times New Roman" w:hAnsi="Times New Roman" w:cs="Times New Roman"/>
          <w:sz w:val="24"/>
          <w:szCs w:val="24"/>
        </w:rPr>
        <w:t xml:space="preserve">increased </w:t>
      </w:r>
      <w:r w:rsidRPr="005041F3">
        <w:rPr>
          <w:rFonts w:ascii="Times New Roman" w:eastAsia="Times New Roman" w:hAnsi="Times New Roman" w:cs="Times New Roman"/>
          <w:sz w:val="24"/>
          <w:szCs w:val="24"/>
        </w:rPr>
        <w:t>number of board meetings is more effective.</w:t>
      </w:r>
      <w:r w:rsidR="00424B88">
        <w:rPr>
          <w:rFonts w:ascii="Times New Roman" w:eastAsia="Times New Roman" w:hAnsi="Times New Roman" w:cs="Times New Roman"/>
          <w:sz w:val="24"/>
          <w:szCs w:val="24"/>
        </w:rPr>
        <w:t xml:space="preserve"> </w:t>
      </w:r>
    </w:p>
    <w:p w14:paraId="1996E6B7" w14:textId="0F23D39B" w:rsidR="005041F3" w:rsidRPr="005041F3" w:rsidRDefault="005041F3" w:rsidP="00C87C19">
      <w:pPr>
        <w:spacing w:line="360" w:lineRule="auto"/>
        <w:ind w:firstLine="720"/>
        <w:jc w:val="both"/>
        <w:rPr>
          <w:rFonts w:ascii="Times New Roman" w:eastAsia="Times New Roman" w:hAnsi="Times New Roman" w:cs="Times New Roman"/>
          <w:sz w:val="24"/>
          <w:szCs w:val="24"/>
        </w:rPr>
      </w:pPr>
      <w:r w:rsidRPr="005041F3">
        <w:rPr>
          <w:rFonts w:ascii="Times New Roman" w:eastAsia="Times New Roman" w:hAnsi="Times New Roman" w:cs="Times New Roman"/>
          <w:sz w:val="24"/>
          <w:szCs w:val="24"/>
        </w:rPr>
        <w:t xml:space="preserve">The third hypothesis examines the relationship between board independence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Table </w:t>
      </w:r>
      <w:r w:rsidR="00D15B6A"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there is a </w:t>
      </w:r>
      <w:r w:rsidR="00C87C19" w:rsidRPr="005041F3">
        <w:rPr>
          <w:rFonts w:ascii="Times New Roman" w:eastAsia="Times New Roman" w:hAnsi="Times New Roman" w:cs="Times New Roman"/>
          <w:sz w:val="24"/>
          <w:szCs w:val="24"/>
        </w:rPr>
        <w:t>positive</w:t>
      </w:r>
      <w:r w:rsidRPr="005041F3">
        <w:rPr>
          <w:rFonts w:ascii="Times New Roman" w:eastAsia="Times New Roman" w:hAnsi="Times New Roman" w:cs="Times New Roman"/>
          <w:sz w:val="24"/>
          <w:szCs w:val="24"/>
        </w:rPr>
        <w:t xml:space="preserve"> but statistically insignificant relationship between insurance company board independence (</w:t>
      </w:r>
      <w:r w:rsidRPr="000F0BFB">
        <w:rPr>
          <w:rFonts w:ascii="Times New Roman" w:eastAsia="Times New Roman" w:hAnsi="Times New Roman" w:cs="Times New Roman"/>
          <w:i/>
          <w:iCs/>
          <w:sz w:val="24"/>
          <w:szCs w:val="24"/>
        </w:rPr>
        <w:t>ICNED</w:t>
      </w:r>
      <w:r w:rsidRPr="005041F3">
        <w:rPr>
          <w:rFonts w:ascii="Times New Roman" w:eastAsia="Times New Roman" w:hAnsi="Times New Roman" w:cs="Times New Roman"/>
          <w:sz w:val="24"/>
          <w:szCs w:val="24"/>
        </w:rPr>
        <w:t xml:space="preserve">s) and </w:t>
      </w:r>
      <w:r w:rsidR="00C87C19">
        <w:rPr>
          <w:rFonts w:ascii="Times New Roman" w:eastAsia="Times New Roman" w:hAnsi="Times New Roman" w:cs="Times New Roman"/>
          <w:sz w:val="24"/>
          <w:szCs w:val="24"/>
        </w:rPr>
        <w:t>Z</w:t>
      </w:r>
      <w:r w:rsidR="002D2C73">
        <w:rPr>
          <w:rFonts w:ascii="Times New Roman" w:eastAsia="Times New Roman" w:hAnsi="Times New Roman" w:cs="Times New Roman"/>
          <w:sz w:val="24"/>
          <w:szCs w:val="24"/>
        </w:rPr>
        <w:t>-</w:t>
      </w:r>
      <w:r w:rsidR="00C87C19">
        <w:rPr>
          <w:rFonts w:ascii="Times New Roman" w:eastAsia="Times New Roman" w:hAnsi="Times New Roman" w:cs="Times New Roman"/>
          <w:sz w:val="24"/>
          <w:szCs w:val="24"/>
        </w:rPr>
        <w:t>score</w:t>
      </w:r>
      <w:r w:rsidRPr="005041F3">
        <w:rPr>
          <w:rFonts w:ascii="Times New Roman" w:eastAsia="Times New Roman" w:hAnsi="Times New Roman" w:cs="Times New Roman"/>
          <w:sz w:val="24"/>
          <w:szCs w:val="24"/>
        </w:rPr>
        <w:t xml:space="preserve">. Hence, based on this evidence, the third hypothesis is </w:t>
      </w:r>
      <w:r w:rsidR="00D15B6A" w:rsidRPr="00D15B6A">
        <w:rPr>
          <w:rFonts w:ascii="Times New Roman" w:eastAsia="Times New Roman" w:hAnsi="Times New Roman" w:cs="Times New Roman"/>
          <w:sz w:val="24"/>
          <w:szCs w:val="24"/>
        </w:rPr>
        <w:t>not supported</w:t>
      </w:r>
      <w:r w:rsidRPr="005041F3">
        <w:rPr>
          <w:rFonts w:ascii="Times New Roman" w:eastAsia="Times New Roman" w:hAnsi="Times New Roman" w:cs="Times New Roman"/>
          <w:sz w:val="24"/>
          <w:szCs w:val="24"/>
        </w:rPr>
        <w:t xml:space="preserve">. These results are consistent with previous literature from Vafeas and Theodorou (1998), Tornyeva and Wereko (2012), and Boyer and Stern (2012). For example, Vafeas and Theodorou (1998) explored the association between board structure and the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of UK firms. Based on 250 firms in 1994, they found a positive but insignificant relationship between </w:t>
      </w:r>
      <w:r w:rsidRPr="000F0BFB">
        <w:rPr>
          <w:rFonts w:ascii="Times New Roman" w:eastAsia="Times New Roman" w:hAnsi="Times New Roman" w:cs="Times New Roman"/>
          <w:i/>
          <w:iCs/>
          <w:sz w:val="24"/>
          <w:szCs w:val="24"/>
        </w:rPr>
        <w:t>ICNED</w:t>
      </w:r>
      <w:r w:rsidRPr="005041F3">
        <w:rPr>
          <w:rFonts w:ascii="Times New Roman" w:eastAsia="Times New Roman" w:hAnsi="Times New Roman" w:cs="Times New Roman"/>
          <w:sz w:val="24"/>
          <w:szCs w:val="24"/>
        </w:rPr>
        <w:t xml:space="preserve">s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w:t>
      </w:r>
    </w:p>
    <w:p w14:paraId="4D1DCB41" w14:textId="3D783300" w:rsidR="005041F3" w:rsidRPr="005041F3" w:rsidRDefault="005041F3" w:rsidP="00237EBE">
      <w:pPr>
        <w:spacing w:line="360" w:lineRule="auto"/>
        <w:ind w:firstLine="720"/>
        <w:jc w:val="both"/>
        <w:rPr>
          <w:rFonts w:ascii="Times New Roman" w:eastAsia="Times New Roman" w:hAnsi="Times New Roman" w:cs="Times New Roman"/>
          <w:sz w:val="24"/>
          <w:szCs w:val="24"/>
        </w:rPr>
      </w:pPr>
      <w:r w:rsidRPr="005041F3">
        <w:rPr>
          <w:rFonts w:ascii="Times New Roman" w:eastAsia="Times New Roman" w:hAnsi="Times New Roman" w:cs="Times New Roman"/>
          <w:sz w:val="24"/>
          <w:szCs w:val="24"/>
        </w:rPr>
        <w:t>The fourth hypothesis examines the relationship between audit committee size (</w:t>
      </w:r>
      <w:r w:rsidRPr="000F0BFB">
        <w:rPr>
          <w:rFonts w:ascii="Times New Roman" w:eastAsia="Times New Roman" w:hAnsi="Times New Roman" w:cs="Times New Roman"/>
          <w:i/>
          <w:iCs/>
          <w:sz w:val="24"/>
          <w:szCs w:val="24"/>
        </w:rPr>
        <w:t>ICACS</w:t>
      </w:r>
      <w:r w:rsidRPr="005041F3">
        <w:rPr>
          <w:rFonts w:ascii="Times New Roman" w:eastAsia="Times New Roman" w:hAnsi="Times New Roman" w:cs="Times New Roman"/>
          <w:sz w:val="24"/>
          <w:szCs w:val="24"/>
        </w:rPr>
        <w:t xml:space="preserve">)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Table </w:t>
      </w:r>
      <w:r w:rsidR="00D15B6A"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there is a negative relationship between the size of insurance companies’ audit committees (</w:t>
      </w:r>
      <w:r w:rsidRPr="000F0BFB">
        <w:rPr>
          <w:rFonts w:ascii="Times New Roman" w:eastAsia="Times New Roman" w:hAnsi="Times New Roman" w:cs="Times New Roman"/>
          <w:i/>
          <w:iCs/>
          <w:sz w:val="24"/>
          <w:szCs w:val="24"/>
        </w:rPr>
        <w:t>ICACS</w:t>
      </w:r>
      <w:r w:rsidRPr="005041F3">
        <w:rPr>
          <w:rFonts w:ascii="Times New Roman" w:eastAsia="Times New Roman" w:hAnsi="Times New Roman" w:cs="Times New Roman"/>
          <w:sz w:val="24"/>
          <w:szCs w:val="24"/>
        </w:rPr>
        <w:t xml:space="preserve">) and </w:t>
      </w:r>
      <w:r w:rsidR="00D15B6A" w:rsidRPr="00D15B6A">
        <w:rPr>
          <w:rFonts w:ascii="Times New Roman" w:eastAsia="Times New Roman" w:hAnsi="Times New Roman" w:cs="Times New Roman"/>
          <w:sz w:val="24"/>
          <w:szCs w:val="24"/>
        </w:rPr>
        <w:t>risk taking</w:t>
      </w:r>
      <w:r w:rsidR="00237EBE">
        <w:rPr>
          <w:rFonts w:ascii="Times New Roman" w:eastAsia="Times New Roman" w:hAnsi="Times New Roman" w:cs="Times New Roman"/>
          <w:sz w:val="24"/>
          <w:szCs w:val="24"/>
        </w:rPr>
        <w:t>, however such relationship is not significant</w:t>
      </w:r>
      <w:r w:rsidRPr="005041F3">
        <w:rPr>
          <w:rFonts w:ascii="Times New Roman" w:eastAsia="Times New Roman" w:hAnsi="Times New Roman" w:cs="Times New Roman"/>
          <w:sz w:val="24"/>
          <w:szCs w:val="24"/>
        </w:rPr>
        <w:t xml:space="preserve">. Hence, based on this evidence, the fourth hypothesis is </w:t>
      </w:r>
      <w:r w:rsidR="00237EBE">
        <w:rPr>
          <w:rFonts w:ascii="Times New Roman" w:eastAsia="Times New Roman" w:hAnsi="Times New Roman" w:cs="Times New Roman"/>
          <w:sz w:val="24"/>
          <w:szCs w:val="24"/>
        </w:rPr>
        <w:t xml:space="preserve">not </w:t>
      </w:r>
      <w:r w:rsidR="00D15B6A" w:rsidRPr="00D15B6A">
        <w:rPr>
          <w:rFonts w:ascii="Times New Roman" w:eastAsia="Times New Roman" w:hAnsi="Times New Roman" w:cs="Times New Roman"/>
          <w:sz w:val="24"/>
          <w:szCs w:val="24"/>
        </w:rPr>
        <w:t>accepted</w:t>
      </w:r>
      <w:r w:rsidRPr="005041F3">
        <w:rPr>
          <w:rFonts w:ascii="Times New Roman" w:eastAsia="Times New Roman" w:hAnsi="Times New Roman" w:cs="Times New Roman"/>
          <w:sz w:val="24"/>
          <w:szCs w:val="24"/>
        </w:rPr>
        <w:t>, which indicates that insurance company audit committee size (</w:t>
      </w:r>
      <w:r w:rsidRPr="000F0BFB">
        <w:rPr>
          <w:rFonts w:ascii="Times New Roman" w:eastAsia="Times New Roman" w:hAnsi="Times New Roman" w:cs="Times New Roman"/>
          <w:i/>
          <w:iCs/>
          <w:sz w:val="24"/>
          <w:szCs w:val="24"/>
        </w:rPr>
        <w:t>ICACS</w:t>
      </w:r>
      <w:r w:rsidRPr="005041F3">
        <w:rPr>
          <w:rFonts w:ascii="Times New Roman" w:eastAsia="Times New Roman" w:hAnsi="Times New Roman" w:cs="Times New Roman"/>
          <w:sz w:val="24"/>
          <w:szCs w:val="24"/>
        </w:rPr>
        <w:t xml:space="preserve">) </w:t>
      </w:r>
      <w:r w:rsidR="00237EBE">
        <w:rPr>
          <w:rFonts w:ascii="Times New Roman" w:eastAsia="Times New Roman" w:hAnsi="Times New Roman" w:cs="Times New Roman"/>
          <w:sz w:val="24"/>
          <w:szCs w:val="24"/>
        </w:rPr>
        <w:t xml:space="preserve">not </w:t>
      </w:r>
      <w:r w:rsidRPr="005041F3">
        <w:rPr>
          <w:rFonts w:ascii="Times New Roman" w:eastAsia="Times New Roman" w:hAnsi="Times New Roman" w:cs="Times New Roman"/>
          <w:sz w:val="24"/>
          <w:szCs w:val="24"/>
        </w:rPr>
        <w:t xml:space="preserve">affect </w:t>
      </w:r>
      <w:r w:rsidR="00D15B6A" w:rsidRPr="00D15B6A">
        <w:rPr>
          <w:rFonts w:ascii="Times New Roman" w:eastAsia="Times New Roman" w:hAnsi="Times New Roman" w:cs="Times New Roman"/>
          <w:sz w:val="24"/>
          <w:szCs w:val="24"/>
        </w:rPr>
        <w:t>risk</w:t>
      </w:r>
      <w:r w:rsidR="002D2C73">
        <w:rPr>
          <w:rFonts w:ascii="Times New Roman" w:eastAsia="Times New Roman" w:hAnsi="Times New Roman" w:cs="Times New Roman"/>
          <w:sz w:val="24"/>
          <w:szCs w:val="24"/>
        </w:rPr>
        <w:t>-</w:t>
      </w:r>
      <w:r w:rsidR="00D15B6A" w:rsidRPr="00D15B6A">
        <w:rPr>
          <w:rFonts w:ascii="Times New Roman" w:eastAsia="Times New Roman" w:hAnsi="Times New Roman" w:cs="Times New Roman"/>
          <w:sz w:val="24"/>
          <w:szCs w:val="24"/>
        </w:rPr>
        <w:t>taking</w:t>
      </w:r>
      <w:r w:rsidR="00237EBE">
        <w:rPr>
          <w:rFonts w:ascii="Times New Roman" w:eastAsia="Times New Roman" w:hAnsi="Times New Roman" w:cs="Times New Roman"/>
          <w:sz w:val="24"/>
          <w:szCs w:val="24"/>
        </w:rPr>
        <w:t xml:space="preserve">. This result is also </w:t>
      </w:r>
      <w:r w:rsidRPr="005041F3">
        <w:rPr>
          <w:rFonts w:ascii="Times New Roman" w:eastAsia="Times New Roman" w:hAnsi="Times New Roman" w:cs="Times New Roman"/>
          <w:sz w:val="24"/>
          <w:szCs w:val="24"/>
        </w:rPr>
        <w:t xml:space="preserve">consistent with previous literature from Adams and Jiang (2016), Hardwick et al. (2011), Tornyeva and Wereko (2012), and Vefeas and Theodorou (1998). For example, Hardwick et al. (2011) explored the impact of CG on insurance companies’ efficiency performance in 744 UK insurance companies from 1994 to 2004 and found a positive though insignificant relationship between audit committee size and </w:t>
      </w:r>
      <w:r w:rsidR="00424B88">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Similarly, Adams and Jiang (2016) explored the impact of board structure on insurance companies’ performance in 1168 UK companies over 13 years from 1999–2012 and also found a positive but insignificant relationship between audit committee and </w:t>
      </w:r>
      <w:r w:rsidR="00424B88">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w:t>
      </w:r>
      <w:r w:rsidR="00424B88">
        <w:rPr>
          <w:rFonts w:ascii="Times New Roman" w:eastAsia="Times New Roman" w:hAnsi="Times New Roman" w:cs="Times New Roman"/>
          <w:sz w:val="24"/>
          <w:szCs w:val="24"/>
        </w:rPr>
        <w:t xml:space="preserve"> </w:t>
      </w:r>
      <w:r w:rsidRPr="005041F3">
        <w:rPr>
          <w:rFonts w:ascii="Times New Roman" w:eastAsia="Times New Roman" w:hAnsi="Times New Roman" w:cs="Times New Roman"/>
          <w:sz w:val="24"/>
          <w:szCs w:val="24"/>
        </w:rPr>
        <w:t xml:space="preserve">Finally, regarding the control variables, Table </w:t>
      </w:r>
      <w:r w:rsidR="00D15B6A"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there is a positive and statistically significant relationship between insurance company size (</w:t>
      </w:r>
      <w:r w:rsidRPr="000F0BFB">
        <w:rPr>
          <w:rFonts w:ascii="Times New Roman" w:eastAsia="Times New Roman" w:hAnsi="Times New Roman" w:cs="Times New Roman"/>
          <w:i/>
          <w:iCs/>
          <w:sz w:val="24"/>
          <w:szCs w:val="24"/>
        </w:rPr>
        <w:t>ICTA</w:t>
      </w:r>
      <w:r w:rsidRPr="005041F3">
        <w:rPr>
          <w:rFonts w:ascii="Times New Roman" w:eastAsia="Times New Roman" w:hAnsi="Times New Roman" w:cs="Times New Roman"/>
          <w:sz w:val="24"/>
          <w:szCs w:val="24"/>
        </w:rPr>
        <w:t xml:space="preserve">) and </w:t>
      </w:r>
      <w:r w:rsidR="00237EBE" w:rsidRPr="000F0BFB">
        <w:rPr>
          <w:rFonts w:ascii="Times New Roman" w:eastAsia="Times New Roman" w:hAnsi="Times New Roman" w:cs="Times New Roman"/>
          <w:i/>
          <w:iCs/>
          <w:sz w:val="24"/>
          <w:szCs w:val="24"/>
        </w:rPr>
        <w:t>Z</w:t>
      </w:r>
      <w:r w:rsidR="002D2C73">
        <w:rPr>
          <w:rFonts w:ascii="Times New Roman" w:eastAsia="Times New Roman" w:hAnsi="Times New Roman" w:cs="Times New Roman"/>
          <w:sz w:val="24"/>
          <w:szCs w:val="24"/>
        </w:rPr>
        <w:t>-</w:t>
      </w:r>
      <w:r w:rsidR="00237EBE">
        <w:rPr>
          <w:rFonts w:ascii="Times New Roman" w:eastAsia="Times New Roman" w:hAnsi="Times New Roman" w:cs="Times New Roman"/>
          <w:sz w:val="24"/>
          <w:szCs w:val="24"/>
        </w:rPr>
        <w:t>score</w:t>
      </w:r>
      <w:r w:rsidRPr="005041F3">
        <w:rPr>
          <w:rFonts w:ascii="Times New Roman" w:eastAsia="Times New Roman" w:hAnsi="Times New Roman" w:cs="Times New Roman"/>
          <w:sz w:val="24"/>
          <w:szCs w:val="24"/>
        </w:rPr>
        <w:t xml:space="preserve">. This result is </w:t>
      </w:r>
      <w:r w:rsidR="00237EBE">
        <w:rPr>
          <w:rFonts w:ascii="Times New Roman" w:eastAsia="Times New Roman" w:hAnsi="Times New Roman" w:cs="Times New Roman"/>
          <w:sz w:val="24"/>
          <w:szCs w:val="24"/>
        </w:rPr>
        <w:t>in</w:t>
      </w:r>
      <w:r w:rsidRPr="005041F3">
        <w:rPr>
          <w:rFonts w:ascii="Times New Roman" w:eastAsia="Times New Roman" w:hAnsi="Times New Roman" w:cs="Times New Roman"/>
          <w:sz w:val="24"/>
          <w:szCs w:val="24"/>
        </w:rPr>
        <w:t xml:space="preserve">consistent with prior research. For example, Jermias and Gani (2014) examined the impact of firm size on insurance companies’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by collecting data from 1332 USA insurance companies over seven years from 1997 to 2004. They found a negative relationship between firm size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Table </w:t>
      </w:r>
      <w:r w:rsidR="00D15B6A" w:rsidRPr="00D15B6A">
        <w:rPr>
          <w:rFonts w:ascii="Times New Roman" w:eastAsia="Times New Roman" w:hAnsi="Times New Roman" w:cs="Times New Roman"/>
          <w:sz w:val="24"/>
          <w:szCs w:val="24"/>
        </w:rPr>
        <w:t>6</w:t>
      </w:r>
      <w:r w:rsidRPr="005041F3">
        <w:rPr>
          <w:rFonts w:ascii="Times New Roman" w:eastAsia="Times New Roman" w:hAnsi="Times New Roman" w:cs="Times New Roman"/>
          <w:sz w:val="24"/>
          <w:szCs w:val="24"/>
        </w:rPr>
        <w:t xml:space="preserve"> shows a negative and statistically significant relationship between insurance company liquidity (ICL) and </w:t>
      </w:r>
      <w:r w:rsidR="00D15B6A" w:rsidRPr="00D15B6A">
        <w:rPr>
          <w:rFonts w:ascii="Times New Roman" w:eastAsia="Times New Roman" w:hAnsi="Times New Roman" w:cs="Times New Roman"/>
          <w:sz w:val="24"/>
          <w:szCs w:val="24"/>
        </w:rPr>
        <w:t>risk taking</w:t>
      </w:r>
      <w:r w:rsidRPr="005041F3">
        <w:rPr>
          <w:rFonts w:ascii="Times New Roman" w:eastAsia="Times New Roman" w:hAnsi="Times New Roman" w:cs="Times New Roman"/>
          <w:sz w:val="24"/>
          <w:szCs w:val="24"/>
        </w:rPr>
        <w:t xml:space="preserve">. Thus, this indicates that an increase of liquidity value leads to </w:t>
      </w:r>
      <w:r w:rsidR="00D15B6A" w:rsidRPr="00D15B6A">
        <w:rPr>
          <w:rFonts w:ascii="Times New Roman" w:eastAsia="Times New Roman" w:hAnsi="Times New Roman" w:cs="Times New Roman"/>
          <w:sz w:val="24"/>
          <w:szCs w:val="24"/>
        </w:rPr>
        <w:t>a</w:t>
      </w:r>
      <w:r w:rsidRPr="005041F3">
        <w:rPr>
          <w:rFonts w:ascii="Times New Roman" w:eastAsia="Times New Roman" w:hAnsi="Times New Roman" w:cs="Times New Roman"/>
          <w:sz w:val="24"/>
          <w:szCs w:val="24"/>
        </w:rPr>
        <w:t xml:space="preserve"> </w:t>
      </w:r>
      <w:r w:rsidR="00D15B6A" w:rsidRPr="00D15B6A">
        <w:rPr>
          <w:rFonts w:ascii="Times New Roman" w:eastAsia="Times New Roman" w:hAnsi="Times New Roman" w:cs="Times New Roman"/>
          <w:sz w:val="24"/>
          <w:szCs w:val="24"/>
        </w:rPr>
        <w:t>decrease</w:t>
      </w:r>
      <w:r w:rsidRPr="005041F3">
        <w:rPr>
          <w:rFonts w:ascii="Times New Roman" w:eastAsia="Times New Roman" w:hAnsi="Times New Roman" w:cs="Times New Roman"/>
          <w:sz w:val="24"/>
          <w:szCs w:val="24"/>
        </w:rPr>
        <w:t xml:space="preserve"> of </w:t>
      </w:r>
      <w:r w:rsidR="007C76F0">
        <w:rPr>
          <w:rFonts w:ascii="Times New Roman" w:eastAsia="Times New Roman" w:hAnsi="Times New Roman" w:cs="Times New Roman"/>
          <w:sz w:val="24"/>
          <w:szCs w:val="24"/>
        </w:rPr>
        <w:t xml:space="preserve">risk-taking </w:t>
      </w:r>
      <w:r w:rsidRPr="005041F3">
        <w:rPr>
          <w:rFonts w:ascii="Times New Roman" w:eastAsia="Times New Roman" w:hAnsi="Times New Roman" w:cs="Times New Roman"/>
          <w:sz w:val="24"/>
          <w:szCs w:val="24"/>
        </w:rPr>
        <w:t xml:space="preserve">for insurance companies. </w:t>
      </w:r>
    </w:p>
    <w:p w14:paraId="0B0B4F1D" w14:textId="77777777" w:rsidR="002D2044" w:rsidRPr="00D15B6A" w:rsidRDefault="00CD39E4" w:rsidP="00A354F8">
      <w:pPr>
        <w:pStyle w:val="Heading4"/>
        <w:numPr>
          <w:ilvl w:val="1"/>
          <w:numId w:val="27"/>
        </w:numPr>
        <w:spacing w:line="480" w:lineRule="auto"/>
        <w:rPr>
          <w:rFonts w:ascii="Times New Roman" w:hAnsi="Times New Roman" w:cs="Times New Roman"/>
          <w:color w:val="auto"/>
          <w:sz w:val="24"/>
          <w:szCs w:val="24"/>
        </w:rPr>
      </w:pPr>
      <w:r w:rsidRPr="00D15B6A">
        <w:rPr>
          <w:rFonts w:ascii="Times New Roman" w:hAnsi="Times New Roman" w:cs="Times New Roman"/>
          <w:color w:val="auto"/>
          <w:sz w:val="24"/>
          <w:szCs w:val="24"/>
        </w:rPr>
        <w:t>Additional analyses</w:t>
      </w:r>
    </w:p>
    <w:p w14:paraId="4BE6BE7C" w14:textId="4F919E51" w:rsidR="00B9288D" w:rsidRPr="00424B88" w:rsidRDefault="00D15B6A" w:rsidP="007C76F0">
      <w:pPr>
        <w:spacing w:line="480" w:lineRule="auto"/>
        <w:ind w:firstLine="360"/>
        <w:jc w:val="both"/>
        <w:rPr>
          <w:rFonts w:ascii="Times New Roman" w:eastAsia="Times New Roman" w:hAnsi="Times New Roman" w:cs="Times New Roman"/>
          <w:sz w:val="24"/>
          <w:szCs w:val="24"/>
          <w:lang w:eastAsia="en-GB"/>
        </w:rPr>
      </w:pPr>
      <w:r w:rsidRPr="00424B88">
        <w:rPr>
          <w:rFonts w:ascii="Times New Roman" w:eastAsia="Times New Roman" w:hAnsi="Times New Roman" w:cs="Times New Roman"/>
          <w:sz w:val="24"/>
          <w:szCs w:val="24"/>
          <w:lang w:eastAsia="en-GB"/>
        </w:rPr>
        <w:t xml:space="preserve">We </w:t>
      </w:r>
      <w:r w:rsidR="00B9288D" w:rsidRPr="00424B88">
        <w:rPr>
          <w:rFonts w:ascii="Times New Roman" w:eastAsia="Times New Roman" w:hAnsi="Times New Roman" w:cs="Times New Roman"/>
          <w:sz w:val="24"/>
          <w:szCs w:val="24"/>
          <w:lang w:eastAsia="en-GB"/>
        </w:rPr>
        <w:t>carried out</w:t>
      </w:r>
      <w:r w:rsidRPr="00424B88">
        <w:rPr>
          <w:rFonts w:ascii="Times New Roman" w:eastAsia="Times New Roman" w:hAnsi="Times New Roman" w:cs="Times New Roman"/>
          <w:sz w:val="24"/>
          <w:szCs w:val="24"/>
          <w:lang w:eastAsia="en-GB"/>
        </w:rPr>
        <w:t xml:space="preserve"> a number of </w:t>
      </w:r>
      <w:r w:rsidR="00B9288D" w:rsidRPr="00424B88">
        <w:rPr>
          <w:rFonts w:ascii="Times New Roman" w:eastAsia="Times New Roman" w:hAnsi="Times New Roman" w:cs="Times New Roman"/>
          <w:sz w:val="24"/>
          <w:szCs w:val="24"/>
          <w:lang w:eastAsia="en-GB"/>
        </w:rPr>
        <w:t>further analyses</w:t>
      </w:r>
      <w:r w:rsidRPr="00424B88">
        <w:rPr>
          <w:rFonts w:ascii="Times New Roman" w:eastAsia="Times New Roman" w:hAnsi="Times New Roman" w:cs="Times New Roman"/>
          <w:sz w:val="24"/>
          <w:szCs w:val="24"/>
          <w:lang w:eastAsia="en-GB"/>
        </w:rPr>
        <w:t xml:space="preserve"> to </w:t>
      </w:r>
      <w:r w:rsidR="007C76F0">
        <w:rPr>
          <w:rFonts w:ascii="Times New Roman" w:eastAsia="Times New Roman" w:hAnsi="Times New Roman" w:cs="Times New Roman"/>
          <w:sz w:val="24"/>
          <w:szCs w:val="24"/>
          <w:lang w:eastAsia="en-GB"/>
        </w:rPr>
        <w:t>confi</w:t>
      </w:r>
      <w:r w:rsidR="00B9288D" w:rsidRPr="00424B88">
        <w:rPr>
          <w:rFonts w:ascii="Times New Roman" w:eastAsia="Times New Roman" w:hAnsi="Times New Roman" w:cs="Times New Roman"/>
          <w:sz w:val="24"/>
          <w:szCs w:val="24"/>
          <w:lang w:eastAsia="en-GB"/>
        </w:rPr>
        <w:t>rm</w:t>
      </w:r>
      <w:r w:rsidRPr="00424B88">
        <w:rPr>
          <w:rFonts w:ascii="Times New Roman" w:eastAsia="Times New Roman" w:hAnsi="Times New Roman" w:cs="Times New Roman"/>
          <w:sz w:val="24"/>
          <w:szCs w:val="24"/>
          <w:lang w:eastAsia="en-GB"/>
        </w:rPr>
        <w:t xml:space="preserve"> the robustness of our </w:t>
      </w:r>
      <w:r w:rsidR="00B9288D" w:rsidRPr="00424B88">
        <w:rPr>
          <w:rFonts w:ascii="Times New Roman" w:eastAsia="Times New Roman" w:hAnsi="Times New Roman" w:cs="Times New Roman"/>
          <w:sz w:val="24"/>
          <w:szCs w:val="24"/>
          <w:lang w:eastAsia="en-GB"/>
        </w:rPr>
        <w:t>findings</w:t>
      </w:r>
      <w:r w:rsidRPr="00424B88">
        <w:rPr>
          <w:rFonts w:ascii="Times New Roman" w:eastAsia="Times New Roman" w:hAnsi="Times New Roman" w:cs="Times New Roman"/>
          <w:sz w:val="24"/>
          <w:szCs w:val="24"/>
          <w:lang w:eastAsia="en-GB"/>
        </w:rPr>
        <w:t xml:space="preserve">. First, </w:t>
      </w:r>
      <w:r w:rsidR="00B9288D" w:rsidRPr="00424B88">
        <w:rPr>
          <w:rFonts w:ascii="Times New Roman" w:eastAsia="Times New Roman" w:hAnsi="Times New Roman" w:cs="Times New Roman"/>
          <w:sz w:val="24"/>
          <w:szCs w:val="24"/>
          <w:lang w:eastAsia="en-GB"/>
        </w:rPr>
        <w:t xml:space="preserve">to test for </w:t>
      </w:r>
      <w:r w:rsidR="007C76F0">
        <w:rPr>
          <w:rFonts w:ascii="Times New Roman" w:eastAsia="Times New Roman" w:hAnsi="Times New Roman" w:cs="Times New Roman"/>
          <w:sz w:val="24"/>
          <w:szCs w:val="24"/>
          <w:lang w:eastAsia="en-GB"/>
        </w:rPr>
        <w:t xml:space="preserve">the </w:t>
      </w:r>
      <w:r w:rsidR="00B9288D" w:rsidRPr="00424B88">
        <w:rPr>
          <w:rFonts w:ascii="Times New Roman" w:eastAsia="Times New Roman" w:hAnsi="Times New Roman" w:cs="Times New Roman"/>
          <w:sz w:val="24"/>
          <w:szCs w:val="24"/>
          <w:lang w:eastAsia="en-GB"/>
        </w:rPr>
        <w:t>existence of any possible endogeneity, which ha</w:t>
      </w:r>
      <w:r w:rsidR="007C76F0">
        <w:rPr>
          <w:rFonts w:ascii="Times New Roman" w:eastAsia="Times New Roman" w:hAnsi="Times New Roman" w:cs="Times New Roman"/>
          <w:sz w:val="24"/>
          <w:szCs w:val="24"/>
          <w:lang w:eastAsia="en-GB"/>
        </w:rPr>
        <w:t>s</w:t>
      </w:r>
      <w:r w:rsidR="00B9288D" w:rsidRPr="00424B88">
        <w:rPr>
          <w:rFonts w:ascii="Times New Roman" w:eastAsia="Times New Roman" w:hAnsi="Times New Roman" w:cs="Times New Roman"/>
          <w:sz w:val="24"/>
          <w:szCs w:val="24"/>
          <w:lang w:eastAsia="en-GB"/>
        </w:rPr>
        <w:t xml:space="preserve"> been argued to be a widespread problem in CG studies </w:t>
      </w:r>
      <w:r w:rsidR="00B9288D" w:rsidRPr="00424B88">
        <w:rPr>
          <w:rFonts w:ascii="Times New Roman" w:eastAsia="Times New Roman" w:hAnsi="Times New Roman" w:cs="Times New Roman"/>
          <w:sz w:val="24"/>
          <w:szCs w:val="24"/>
          <w:lang w:eastAsia="en-GB"/>
        </w:rPr>
        <w:fldChar w:fldCharType="begin">
          <w:fldData xml:space="preserve">PEVuZE5vdGU+PENpdGU+PEF1dGhvcj5OdGltPC9BdXRob3I+PFllYXI+MjAxMzwvWWVhcj48UmVj
TnVtPjI4ODwvUmVjTnVtPjxEaXNwbGF5VGV4dD4oRWxzaGFuZGlkeSAmYW1wOyBOZXJpLCAyMDE1
OyBMYXJja2VyICZhbXA7IFJ1c3RpY3VzLCAyMDEwOyBNb2xsYWhhICZhbXA7IFphbWFuYiwgMjAx
NTsgTnRpbSBldCBhbC4sIDIwMTM7IE50aW0gJmFtcDsgU29vYmFyb3llbiwgMjAxMyk8L0Rpc3Bs
YXlUZXh0PjxyZWNvcmQ+PHJlYy1udW1iZXI+Mjg4PC9yZWMtbnVtYmVyPjxmb3JlaWduLWtleXM+
PGtleSBhcHA9IkVOIiBkYi1pZD0iMmR4ZmZhYWV2cHBmcDFlNTB3Z3BmeHM4cHdkYTI5MHowYXow
IiB0aW1lc3RhbXA9IjE0NDExODYwMzEiPjI4ODwva2V5PjwvZm9yZWlnbi1rZXlzPjxyZWYtdHlw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ZHk8L0F1dGhvcj48WWVhcj4yMDE1PC9ZZWFyPjxSZWNOdW0+NzM4PC9SZWNOdW0+PHJlY29yZD48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</w:fldData>
        </w:fldChar>
      </w:r>
      <w:r w:rsidR="00B9288D" w:rsidRPr="00424B88">
        <w:rPr>
          <w:rFonts w:ascii="Times New Roman" w:eastAsia="Times New Roman" w:hAnsi="Times New Roman" w:cs="Times New Roman"/>
          <w:sz w:val="24"/>
          <w:szCs w:val="24"/>
          <w:lang w:eastAsia="en-GB"/>
        </w:rPr>
        <w:instrText xml:space="preserve"> ADDIN EN.CITE </w:instrText>
      </w:r>
      <w:r w:rsidR="00B9288D" w:rsidRPr="00424B88">
        <w:rPr>
          <w:rFonts w:ascii="Times New Roman" w:eastAsia="Times New Roman" w:hAnsi="Times New Roman" w:cs="Times New Roman"/>
          <w:sz w:val="24"/>
          <w:szCs w:val="24"/>
          <w:lang w:eastAsia="en-GB"/>
        </w:rPr>
        <w:fldChar w:fldCharType="begin">
          <w:fldData xml:space="preserve">PEVuZE5vdGU+PENpdGU+PEF1dGhvcj5OdGltPC9BdXRob3I+PFllYXI+MjAxMzwvWWVhcj48UmVj
TnVtPjI4ODwvUmVjTnVtPjxEaXNwbGF5VGV4dD4oRWxzaGFuZGlkeSAmYW1wOyBOZXJpLCAyMDE1
OyBMYXJja2VyICZhbXA7IFJ1c3RpY3VzLCAyMDEwOyBNb2xsYWhhICZhbXA7IFphbWFuYiwgMjAx
NTsgTnRpbSBldCBhbC4sIDIwMTM7IE50aW0gJmFtcDsgU29vYmFyb3llbiwgMjAxMyk8L0Rpc3Bs
YXlUZXh0PjxyZWNvcmQ+PHJlYy1udW1iZXI+Mjg4PC9yZWMtbnVtYmVyPjxmb3JlaWduLWtleXM+
PGtleSBhcHA9IkVOIiBkYi1pZD0iMmR4ZmZhYWV2cHBmcDFlNTB3Z3BmeHM4cHdkYTI5MHowYXow
IiB0aW1lc3RhbXA9IjE0NDExODYwMzEiPjI4ODwva2V5PjwvZm9yZWlnbi1rZXlzPjxyZWYtdHlw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ZHk8L0F1dGhvcj48WWVhcj4yMDE1PC9ZZWFyPjxSZWNOdW0+NzM4PC9SZWNOdW0+PHJlY29yZD48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</w:fldData>
        </w:fldChar>
      </w:r>
      <w:r w:rsidR="00B9288D" w:rsidRPr="00424B88">
        <w:rPr>
          <w:rFonts w:ascii="Times New Roman" w:eastAsia="Times New Roman" w:hAnsi="Times New Roman" w:cs="Times New Roman"/>
          <w:sz w:val="24"/>
          <w:szCs w:val="24"/>
          <w:lang w:eastAsia="en-GB"/>
        </w:rPr>
        <w:instrText xml:space="preserve"> ADDIN EN.CITE.DATA </w:instrText>
      </w:r>
      <w:r w:rsidR="00B9288D" w:rsidRPr="00424B88">
        <w:rPr>
          <w:rFonts w:ascii="Times New Roman" w:eastAsia="Times New Roman" w:hAnsi="Times New Roman" w:cs="Times New Roman"/>
          <w:sz w:val="24"/>
          <w:szCs w:val="24"/>
          <w:lang w:eastAsia="en-GB"/>
        </w:rPr>
      </w:r>
      <w:r w:rsidR="00B9288D" w:rsidRPr="00424B88">
        <w:rPr>
          <w:rFonts w:ascii="Times New Roman" w:eastAsia="Times New Roman" w:hAnsi="Times New Roman" w:cs="Times New Roman"/>
          <w:sz w:val="24"/>
          <w:szCs w:val="24"/>
          <w:lang w:eastAsia="en-GB"/>
        </w:rPr>
        <w:fldChar w:fldCharType="end"/>
      </w:r>
      <w:r w:rsidR="00B9288D" w:rsidRPr="00424B88">
        <w:rPr>
          <w:rFonts w:ascii="Times New Roman" w:eastAsia="Times New Roman" w:hAnsi="Times New Roman" w:cs="Times New Roman"/>
          <w:sz w:val="24"/>
          <w:szCs w:val="24"/>
          <w:lang w:eastAsia="en-GB"/>
        </w:rPr>
      </w:r>
      <w:r w:rsidR="00B9288D" w:rsidRPr="00424B88">
        <w:rPr>
          <w:rFonts w:ascii="Times New Roman" w:eastAsia="Times New Roman" w:hAnsi="Times New Roman" w:cs="Times New Roman"/>
          <w:sz w:val="24"/>
          <w:szCs w:val="24"/>
          <w:lang w:eastAsia="en-GB"/>
        </w:rPr>
        <w:fldChar w:fldCharType="separate"/>
      </w:r>
      <w:r w:rsidR="00155637">
        <w:rPr>
          <w:rFonts w:ascii="Times New Roman" w:eastAsia="Times New Roman" w:hAnsi="Times New Roman" w:cs="Times New Roman"/>
          <w:sz w:val="24"/>
          <w:szCs w:val="24"/>
          <w:lang w:eastAsia="en-GB"/>
        </w:rPr>
        <w:t>(</w:t>
      </w:r>
      <w:r w:rsidR="00B9288D" w:rsidRPr="00424B88">
        <w:rPr>
          <w:rFonts w:ascii="Times New Roman" w:eastAsia="Times New Roman" w:hAnsi="Times New Roman" w:cs="Times New Roman"/>
          <w:sz w:val="24"/>
          <w:szCs w:val="24"/>
          <w:lang w:eastAsia="en-GB"/>
        </w:rPr>
        <w:t>Larcker &amp; Rusticus, 2010</w:t>
      </w:r>
      <w:r w:rsidR="00B9288D" w:rsidRPr="00424B88">
        <w:rPr>
          <w:rFonts w:ascii="Times New Roman" w:eastAsia="Times New Roman" w:hAnsi="Times New Roman" w:cs="Times New Roman"/>
          <w:sz w:val="24"/>
          <w:szCs w:val="24"/>
          <w:lang w:eastAsia="en-GB"/>
        </w:rPr>
        <w:fldChar w:fldCharType="end"/>
      </w:r>
      <w:r w:rsidR="000D02BD" w:rsidRPr="00424B88">
        <w:rPr>
          <w:rFonts w:ascii="Times New Roman" w:eastAsia="Times New Roman" w:hAnsi="Times New Roman" w:cs="Times New Roman"/>
          <w:sz w:val="24"/>
          <w:szCs w:val="24"/>
          <w:lang w:eastAsia="en-GB"/>
        </w:rPr>
        <w:t>)</w:t>
      </w:r>
      <w:r w:rsidR="00B9288D" w:rsidRPr="00424B88">
        <w:rPr>
          <w:rFonts w:ascii="Times New Roman" w:eastAsia="Times New Roman" w:hAnsi="Times New Roman" w:cs="Times New Roman"/>
          <w:sz w:val="24"/>
          <w:szCs w:val="24"/>
          <w:lang w:eastAsia="en-GB"/>
        </w:rPr>
        <w:t xml:space="preserve">, this study uses fixed effect regression model. Therefore, the model to be assessed is identified as:                  </w:t>
      </w:r>
    </w:p>
    <w:p w14:paraId="6E2688AA" w14:textId="3995EC93" w:rsidR="00B9288D" w:rsidRPr="00424B88" w:rsidRDefault="00237EBE" w:rsidP="00B9288D">
      <w:pPr>
        <w:spacing w:before="120" w:after="120" w:line="360" w:lineRule="auto"/>
        <w:ind w:firstLine="360"/>
        <w:contextualSpacing/>
        <w:jc w:val="both"/>
        <w:rPr>
          <w:rFonts w:ascii="Times New Roman" w:eastAsia="Calibri" w:hAnsi="Times New Roman" w:cs="Times New Roman"/>
          <w:position w:val="-12"/>
          <w:sz w:val="24"/>
          <w:szCs w:val="24"/>
        </w:rPr>
      </w:pPr>
      <w:r w:rsidRPr="00424B88">
        <w:rPr>
          <w:rFonts w:ascii="Times New Roman" w:eastAsia="Calibri" w:hAnsi="Times New Roman" w:cs="Times New Roman"/>
          <w:position w:val="-12"/>
          <w:sz w:val="24"/>
          <w:szCs w:val="24"/>
        </w:rPr>
        <w:object w:dxaOrig="8419" w:dyaOrig="360" w14:anchorId="7CD06934">
          <v:shape id="_x0000_i1028" type="#_x0000_t75" style="width:374.25pt;height:14.25pt" o:ole="">
            <v:imagedata r:id="rId20" o:title=""/>
          </v:shape>
          <o:OLEObject Type="Embed" ProgID="Equation.3" ShapeID="_x0000_i1028" DrawAspect="Content" ObjectID="_1606030276" r:id="rId21"/>
        </w:object>
      </w:r>
      <w:r w:rsidR="00B9288D" w:rsidRPr="00424B88">
        <w:rPr>
          <w:rFonts w:ascii="Times New Roman" w:eastAsia="Calibri" w:hAnsi="Times New Roman" w:cs="Times New Roman"/>
          <w:position w:val="-12"/>
          <w:sz w:val="24"/>
          <w:szCs w:val="24"/>
        </w:rPr>
        <w:t xml:space="preserve"> </w:t>
      </w:r>
      <w:r w:rsidR="00424B88">
        <w:rPr>
          <w:rFonts w:ascii="Times New Roman" w:eastAsia="Calibri" w:hAnsi="Times New Roman" w:cs="Times New Roman"/>
          <w:position w:val="-12"/>
          <w:sz w:val="24"/>
          <w:szCs w:val="24"/>
        </w:rPr>
        <w:t xml:space="preserve">       </w:t>
      </w:r>
      <w:r w:rsidR="000F0BFB">
        <w:rPr>
          <w:rFonts w:ascii="Times New Roman" w:eastAsia="Calibri" w:hAnsi="Times New Roman" w:cs="Times New Roman"/>
          <w:position w:val="-12"/>
          <w:sz w:val="24"/>
          <w:szCs w:val="24"/>
        </w:rPr>
        <w:t xml:space="preserve">    (4)</w:t>
      </w:r>
      <w:r w:rsidR="00424B88">
        <w:rPr>
          <w:rFonts w:ascii="Times New Roman" w:eastAsia="Calibri" w:hAnsi="Times New Roman" w:cs="Times New Roman"/>
          <w:position w:val="-12"/>
          <w:sz w:val="24"/>
          <w:szCs w:val="24"/>
        </w:rPr>
        <w:t xml:space="preserve">           </w:t>
      </w:r>
      <w:r w:rsidR="00B9288D" w:rsidRPr="00424B88">
        <w:rPr>
          <w:rFonts w:ascii="Times New Roman" w:eastAsia="Calibri" w:hAnsi="Times New Roman" w:cs="Times New Roman"/>
          <w:position w:val="-12"/>
          <w:sz w:val="24"/>
          <w:szCs w:val="24"/>
        </w:rPr>
        <w:t xml:space="preserve">    </w:t>
      </w:r>
    </w:p>
    <w:p w14:paraId="5755D7FE" w14:textId="77777777" w:rsidR="00D20AB4" w:rsidRPr="00424B88" w:rsidRDefault="00424B88" w:rsidP="00D20AB4">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e</w:t>
      </w:r>
      <w:r w:rsidR="00B9288D" w:rsidRPr="00424B88">
        <w:rPr>
          <w:rFonts w:ascii="Times New Roman" w:eastAsia="Times New Roman" w:hAnsi="Times New Roman" w:cs="Times New Roman"/>
          <w:sz w:val="24"/>
          <w:szCs w:val="24"/>
          <w:lang w:eastAsia="en-GB"/>
        </w:rPr>
        <w:t>verything remains unaffected as identified in equation</w:t>
      </w:r>
      <w:r>
        <w:rPr>
          <w:rFonts w:ascii="Times New Roman" w:eastAsia="Times New Roman" w:hAnsi="Times New Roman" w:cs="Times New Roman"/>
          <w:sz w:val="24"/>
          <w:szCs w:val="24"/>
          <w:lang w:eastAsia="en-GB"/>
        </w:rPr>
        <w:t>s</w:t>
      </w:r>
      <w:r w:rsidR="00B9288D" w:rsidRPr="00424B88">
        <w:rPr>
          <w:rFonts w:ascii="Times New Roman" w:eastAsia="Times New Roman" w:hAnsi="Times New Roman" w:cs="Times New Roman"/>
          <w:sz w:val="24"/>
          <w:szCs w:val="24"/>
          <w:lang w:eastAsia="en-GB"/>
        </w:rPr>
        <w:t xml:space="preserve"> (1</w:t>
      </w:r>
      <w:r>
        <w:rPr>
          <w:rFonts w:ascii="Times New Roman" w:eastAsia="Times New Roman" w:hAnsi="Times New Roman" w:cs="Times New Roman"/>
          <w:sz w:val="24"/>
          <w:szCs w:val="24"/>
          <w:lang w:eastAsia="en-GB"/>
        </w:rPr>
        <w:t>&amp; 2</w:t>
      </w:r>
      <w:r w:rsidR="00B9288D" w:rsidRPr="00424B88">
        <w:rPr>
          <w:rFonts w:ascii="Times New Roman" w:eastAsia="Times New Roman" w:hAnsi="Times New Roman" w:cs="Times New Roman"/>
          <w:sz w:val="24"/>
          <w:szCs w:val="24"/>
          <w:lang w:eastAsia="en-GB"/>
        </w:rPr>
        <w:t xml:space="preserve">) except that, we use </w:t>
      </w:r>
      <w:r w:rsidR="00B9288D" w:rsidRPr="00424B88">
        <w:rPr>
          <w:rFonts w:ascii="Times New Roman" w:hAnsi="Times New Roman" w:cs="Times New Roman"/>
          <w:position w:val="-14"/>
          <w:sz w:val="24"/>
          <w:szCs w:val="24"/>
        </w:rPr>
        <w:object w:dxaOrig="260" w:dyaOrig="380" w14:anchorId="6260EFA4">
          <v:shape id="_x0000_i1029" type="#_x0000_t75" style="width:14.25pt;height:21.75pt" o:ole="">
            <v:imagedata r:id="rId22" o:title=""/>
          </v:shape>
          <o:OLEObject Type="Embed" ProgID="Equation.3" ShapeID="_x0000_i1029" DrawAspect="Content" ObjectID="_1606030277" r:id="rId23"/>
        </w:object>
      </w:r>
      <w:r w:rsidR="00B9288D" w:rsidRPr="00424B88">
        <w:rPr>
          <w:rFonts w:ascii="Times New Roman" w:hAnsi="Times New Roman" w:cs="Times New Roman"/>
          <w:sz w:val="24"/>
          <w:szCs w:val="24"/>
        </w:rPr>
        <w:t xml:space="preserve">to </w:t>
      </w:r>
      <w:r w:rsidR="00B9288D" w:rsidRPr="00424B88">
        <w:rPr>
          <w:rFonts w:ascii="Times New Roman" w:eastAsia="Times New Roman" w:hAnsi="Times New Roman" w:cs="Times New Roman"/>
          <w:sz w:val="24"/>
          <w:szCs w:val="24"/>
          <w:lang w:eastAsia="en-GB"/>
        </w:rPr>
        <w:t>refer to fixed effect. The results for Models 1 and 2 are reported in Table 7. These results are mostly similar to those reported in Table 6, suggesting that our findings are robust to possible endogeneity problems that may arise from omitted factors.</w:t>
      </w:r>
    </w:p>
    <w:p w14:paraId="134C1D64" w14:textId="77777777" w:rsidR="00D20AB4" w:rsidRPr="00424B88" w:rsidRDefault="00D20AB4" w:rsidP="00D20AB4">
      <w:pPr>
        <w:spacing w:line="480" w:lineRule="auto"/>
        <w:ind w:firstLine="360"/>
        <w:jc w:val="center"/>
        <w:rPr>
          <w:rFonts w:ascii="Times New Roman" w:eastAsia="Times New Roman" w:hAnsi="Times New Roman" w:cs="Times New Roman"/>
          <w:sz w:val="24"/>
          <w:szCs w:val="24"/>
          <w:lang w:eastAsia="en-GB"/>
        </w:rPr>
      </w:pPr>
      <w:r w:rsidRPr="00424B88">
        <w:rPr>
          <w:rFonts w:ascii="Times New Roman" w:hAnsi="Times New Roman" w:cs="Times New Roman"/>
          <w:bCs/>
          <w:sz w:val="24"/>
          <w:szCs w:val="24"/>
        </w:rPr>
        <w:t>INSERT TABLE 7 ABOUT HERE</w:t>
      </w:r>
    </w:p>
    <w:p w14:paraId="6A10514E" w14:textId="31F70F9B" w:rsidR="00B9288D" w:rsidRPr="00D20AB4" w:rsidRDefault="00D20AB4" w:rsidP="009065D3">
      <w:pPr>
        <w:spacing w:line="360" w:lineRule="auto"/>
        <w:ind w:firstLine="720"/>
        <w:jc w:val="both"/>
        <w:rPr>
          <w:rFonts w:ascii="Times New Roman" w:eastAsia="Times New Roman" w:hAnsi="Times New Roman" w:cs="Times New Roman"/>
          <w:sz w:val="24"/>
          <w:szCs w:val="24"/>
        </w:rPr>
      </w:pPr>
      <w:r w:rsidRPr="00D20AB4">
        <w:rPr>
          <w:rFonts w:ascii="Times New Roman" w:eastAsia="Times New Roman" w:hAnsi="Times New Roman" w:cs="Times New Roman"/>
          <w:sz w:val="24"/>
          <w:szCs w:val="24"/>
        </w:rPr>
        <w:t>T</w:t>
      </w:r>
      <w:r w:rsidR="00B9288D" w:rsidRPr="00D15B6A">
        <w:rPr>
          <w:rFonts w:ascii="Times New Roman" w:eastAsia="Times New Roman" w:hAnsi="Times New Roman" w:cs="Times New Roman"/>
          <w:sz w:val="24"/>
          <w:szCs w:val="24"/>
        </w:rPr>
        <w:t>his study</w:t>
      </w:r>
      <w:r w:rsidR="002D2C73">
        <w:rPr>
          <w:rFonts w:ascii="Times New Roman" w:eastAsia="Times New Roman" w:hAnsi="Times New Roman" w:cs="Times New Roman"/>
          <w:sz w:val="24"/>
          <w:szCs w:val="24"/>
        </w:rPr>
        <w:t xml:space="preserve"> further</w:t>
      </w:r>
      <w:r w:rsidRPr="00D20AB4">
        <w:rPr>
          <w:rFonts w:ascii="Times New Roman" w:eastAsia="Times New Roman" w:hAnsi="Times New Roman" w:cs="Times New Roman"/>
          <w:sz w:val="24"/>
          <w:szCs w:val="24"/>
        </w:rPr>
        <w:t xml:space="preserve"> </w:t>
      </w:r>
      <w:r w:rsidR="00B9288D" w:rsidRPr="00D15B6A">
        <w:rPr>
          <w:rFonts w:ascii="Times New Roman" w:eastAsia="Times New Roman" w:hAnsi="Times New Roman" w:cs="Times New Roman"/>
          <w:sz w:val="24"/>
          <w:szCs w:val="24"/>
        </w:rPr>
        <w:t>implement</w:t>
      </w:r>
      <w:r w:rsidR="002D2C73">
        <w:rPr>
          <w:rFonts w:ascii="Times New Roman" w:eastAsia="Times New Roman" w:hAnsi="Times New Roman" w:cs="Times New Roman"/>
          <w:sz w:val="24"/>
          <w:szCs w:val="24"/>
        </w:rPr>
        <w:t>ed</w:t>
      </w:r>
      <w:r w:rsidR="00B9288D" w:rsidRPr="00D15B6A">
        <w:rPr>
          <w:rFonts w:ascii="Times New Roman" w:eastAsia="Times New Roman" w:hAnsi="Times New Roman" w:cs="Times New Roman"/>
          <w:sz w:val="24"/>
          <w:szCs w:val="24"/>
        </w:rPr>
        <w:t xml:space="preserve"> </w:t>
      </w:r>
      <w:r w:rsidR="002D2C73">
        <w:rPr>
          <w:rFonts w:ascii="Times New Roman" w:eastAsia="Times New Roman" w:hAnsi="Times New Roman" w:cs="Times New Roman"/>
          <w:sz w:val="24"/>
          <w:szCs w:val="24"/>
        </w:rPr>
        <w:t xml:space="preserve">the </w:t>
      </w:r>
      <w:r w:rsidR="00B9288D" w:rsidRPr="000F0BFB">
        <w:rPr>
          <w:rFonts w:ascii="Times New Roman" w:eastAsia="Times New Roman" w:hAnsi="Times New Roman" w:cs="Times New Roman"/>
          <w:i/>
          <w:iCs/>
          <w:sz w:val="24"/>
          <w:szCs w:val="24"/>
        </w:rPr>
        <w:t>2SLS</w:t>
      </w:r>
      <w:r w:rsidR="00B9288D" w:rsidRPr="00D15B6A">
        <w:rPr>
          <w:rFonts w:ascii="Times New Roman" w:eastAsia="Times New Roman" w:hAnsi="Times New Roman" w:cs="Times New Roman"/>
          <w:sz w:val="24"/>
          <w:szCs w:val="24"/>
        </w:rPr>
        <w:t xml:space="preserve"> (two-stage-least-squares </w:t>
      </w:r>
      <w:r w:rsidR="00B9288D" w:rsidRPr="00D20AB4">
        <w:rPr>
          <w:rFonts w:ascii="Times New Roman" w:eastAsia="Times New Roman" w:hAnsi="Times New Roman" w:cs="Times New Roman"/>
          <w:sz w:val="24"/>
          <w:szCs w:val="24"/>
        </w:rPr>
        <w:t>random</w:t>
      </w:r>
      <w:r w:rsidR="00B9288D" w:rsidRPr="00D15B6A">
        <w:rPr>
          <w:rFonts w:ascii="Times New Roman" w:eastAsia="Times New Roman" w:hAnsi="Times New Roman" w:cs="Times New Roman"/>
          <w:sz w:val="24"/>
          <w:szCs w:val="24"/>
        </w:rPr>
        <w:t xml:space="preserve">-effects within estimator) to fitting panel data model </w:t>
      </w:r>
      <w:r w:rsidR="00B9288D" w:rsidRPr="00D15B6A">
        <w:rPr>
          <w:rFonts w:ascii="Times New Roman" w:eastAsia="Times New Roman" w:hAnsi="Times New Roman" w:cs="Times New Roman"/>
          <w:sz w:val="24"/>
          <w:szCs w:val="24"/>
        </w:rPr>
        <w:fldChar w:fldCharType="begin"/>
      </w:r>
      <w:r w:rsidR="00B9288D" w:rsidRPr="00D15B6A">
        <w:rPr>
          <w:rFonts w:ascii="Times New Roman" w:eastAsia="Times New Roman" w:hAnsi="Times New Roman" w:cs="Times New Roman"/>
          <w:sz w:val="24"/>
          <w:szCs w:val="24"/>
        </w:rPr>
        <w:instrText xml:space="preserve"> ADDIN EN.CITE &lt;EndNote&gt;&lt;Cite&gt;&lt;Author&gt;Baltagi&lt;/Author&gt;&lt;Year&gt;2015&lt;/Year&gt;&lt;RecNum&gt;810&lt;/RecNum&gt;&lt;DisplayText&gt;(Balestra &amp;amp; Varadharajan-Krishnakumar, 1987; Baltagi &amp;amp; Deng, 2015)&lt;/DisplayText&gt;&lt;record&gt;&lt;rec-number&gt;810&lt;/rec-number&gt;&lt;foreign-keys&gt;&lt;key app="EN" db-id="2dxffaaevppfp1e50wgpfxs8pwda290z0az0" timestamp="1444406621"&gt;810&lt;/key&gt;&lt;/foreign-keys&gt;&lt;ref-type name="Journal Article"&gt;17&lt;/ref-type&gt;&lt;contributors&gt;&lt;authors&gt;&lt;author&gt;Baltagi, Badi H&lt;/author&gt;&lt;author&gt;Deng, Ying&lt;/author&gt;&lt;/authors&gt;&lt;/contributors&gt;&lt;titles&gt;&lt;title&gt;EC3SLS estimator for a simultaneous system of spatial autoregressive equations with random effects&lt;/title&gt;&lt;secondary-title&gt;Econometric Reviews&lt;/secondary-title&gt;&lt;/titles&gt;&lt;periodical&gt;&lt;full-title&gt;Econometric Reviews&lt;/full-title&gt;&lt;/periodical&gt;&lt;pages&gt;659-694&lt;/pages&gt;&lt;volume&gt;34&lt;/volume&gt;&lt;number&gt;6-10&lt;/number&gt;&lt;dates&gt;&lt;year&gt;2015&lt;/year&gt;&lt;/dates&gt;&lt;isbn&gt;0747-4938&lt;/isbn&gt;&lt;urls&gt;&lt;/urls&gt;&lt;/record&gt;&lt;/Cite&gt;&lt;Cite&gt;&lt;Author&gt;Balestra&lt;/Author&gt;&lt;Year&gt;1987&lt;/Year&gt;&lt;RecNum&gt;811&lt;/RecNum&gt;&lt;record&gt;&lt;rec-number&gt;811&lt;/rec-number&gt;&lt;foreign-keys&gt;&lt;key app="EN" db-id="2dxffaaevppfp1e50wgpfxs8pwda290z0az0" timestamp="1444406639"&gt;811&lt;/key&gt;&lt;/foreign-keys&gt;&lt;ref-type name="Journal Article"&gt;17&lt;/ref-type&gt;&lt;contributors&gt;&lt;authors&gt;&lt;author&gt;Balestra, Pietro&lt;/author&gt;&lt;author&gt;Varadharajan-Krishnakumar, Jayalakshmi&lt;/author&gt;&lt;/authors&gt;&lt;/contributors&gt;&lt;titles&gt;&lt;title&gt;Full information estimations of a system of simultaneous equations with error component structure&lt;/title&gt;&lt;secondary-title&gt;Econometric Theory&lt;/secondary-title&gt;&lt;/titles&gt;&lt;periodical&gt;&lt;full-title&gt;Econometric Theory&lt;/full-title&gt;&lt;/periodical&gt;&lt;pages&gt;223-246&lt;/pages&gt;&lt;volume&gt;3&lt;/volume&gt;&lt;number&gt;02&lt;/number&gt;&lt;dates&gt;&lt;year&gt;1987&lt;/year&gt;&lt;/dates&gt;&lt;isbn&gt;1469-4360&lt;/isbn&gt;&lt;urls&gt;&lt;/urls&gt;&lt;/record&gt;&lt;/Cite&gt;&lt;/EndNote&gt;</w:instrText>
      </w:r>
      <w:r w:rsidR="00B9288D" w:rsidRPr="00D15B6A">
        <w:rPr>
          <w:rFonts w:ascii="Times New Roman" w:eastAsia="Times New Roman" w:hAnsi="Times New Roman" w:cs="Times New Roman"/>
          <w:sz w:val="24"/>
          <w:szCs w:val="24"/>
        </w:rPr>
        <w:fldChar w:fldCharType="separate"/>
      </w:r>
      <w:r w:rsidR="009065D3">
        <w:rPr>
          <w:rFonts w:ascii="Times New Roman" w:eastAsia="Times New Roman" w:hAnsi="Times New Roman" w:cs="Times New Roman"/>
          <w:sz w:val="24"/>
          <w:szCs w:val="24"/>
        </w:rPr>
        <w:t>(</w:t>
      </w:r>
      <w:r w:rsidR="00B9288D" w:rsidRPr="00D15B6A">
        <w:rPr>
          <w:rFonts w:ascii="Times New Roman" w:eastAsia="Times New Roman" w:hAnsi="Times New Roman" w:cs="Times New Roman"/>
          <w:sz w:val="24"/>
          <w:szCs w:val="24"/>
        </w:rPr>
        <w:t>Baltagi &amp; Deng, 2015)</w:t>
      </w:r>
      <w:r w:rsidR="00B9288D" w:rsidRPr="00D15B6A">
        <w:rPr>
          <w:rFonts w:ascii="Times New Roman" w:eastAsia="Times New Roman" w:hAnsi="Times New Roman" w:cs="Times New Roman"/>
          <w:sz w:val="24"/>
          <w:szCs w:val="24"/>
        </w:rPr>
        <w:fldChar w:fldCharType="end"/>
      </w:r>
      <w:r w:rsidR="00B9288D" w:rsidRPr="00D15B6A">
        <w:rPr>
          <w:rFonts w:ascii="Times New Roman" w:eastAsia="Times New Roman" w:hAnsi="Times New Roman" w:cs="Times New Roman"/>
          <w:sz w:val="24"/>
          <w:szCs w:val="24"/>
        </w:rPr>
        <w:t xml:space="preserve">. The results for </w:t>
      </w:r>
      <w:r w:rsidRPr="00D20AB4">
        <w:rPr>
          <w:rFonts w:ascii="Times New Roman" w:eastAsia="Times New Roman" w:hAnsi="Times New Roman" w:cs="Times New Roman"/>
          <w:sz w:val="24"/>
          <w:szCs w:val="24"/>
        </w:rPr>
        <w:t>Models</w:t>
      </w:r>
      <w:r w:rsidR="00B9288D" w:rsidRPr="00D15B6A">
        <w:rPr>
          <w:rFonts w:ascii="Times New Roman" w:eastAsia="Times New Roman" w:hAnsi="Times New Roman" w:cs="Times New Roman"/>
          <w:sz w:val="24"/>
          <w:szCs w:val="24"/>
        </w:rPr>
        <w:t xml:space="preserve"> </w:t>
      </w:r>
      <w:r w:rsidRPr="00D20AB4">
        <w:rPr>
          <w:rFonts w:ascii="Times New Roman" w:eastAsia="Times New Roman" w:hAnsi="Times New Roman" w:cs="Times New Roman"/>
          <w:sz w:val="24"/>
          <w:szCs w:val="24"/>
        </w:rPr>
        <w:t>3</w:t>
      </w:r>
      <w:r w:rsidR="00B9288D" w:rsidRPr="00D15B6A">
        <w:rPr>
          <w:rFonts w:ascii="Times New Roman" w:eastAsia="Times New Roman" w:hAnsi="Times New Roman" w:cs="Times New Roman"/>
          <w:sz w:val="24"/>
          <w:szCs w:val="24"/>
        </w:rPr>
        <w:t xml:space="preserve"> </w:t>
      </w:r>
      <w:r w:rsidRPr="00D20AB4">
        <w:rPr>
          <w:rFonts w:ascii="Times New Roman" w:eastAsia="Times New Roman" w:hAnsi="Times New Roman" w:cs="Times New Roman"/>
          <w:sz w:val="24"/>
          <w:szCs w:val="24"/>
        </w:rPr>
        <w:t xml:space="preserve">and 4 </w:t>
      </w:r>
      <w:r w:rsidR="00B9288D" w:rsidRPr="00D15B6A">
        <w:rPr>
          <w:rFonts w:ascii="Times New Roman" w:eastAsia="Times New Roman" w:hAnsi="Times New Roman" w:cs="Times New Roman"/>
          <w:sz w:val="24"/>
          <w:szCs w:val="24"/>
        </w:rPr>
        <w:t xml:space="preserve">are reported in Table </w:t>
      </w:r>
      <w:r w:rsidRPr="00D20AB4">
        <w:rPr>
          <w:rFonts w:ascii="Times New Roman" w:eastAsia="Times New Roman" w:hAnsi="Times New Roman" w:cs="Times New Roman"/>
          <w:sz w:val="24"/>
          <w:szCs w:val="24"/>
        </w:rPr>
        <w:t>7</w:t>
      </w:r>
      <w:r w:rsidR="00B9288D" w:rsidRPr="00D15B6A">
        <w:rPr>
          <w:rFonts w:ascii="Times New Roman" w:eastAsia="Times New Roman" w:hAnsi="Times New Roman" w:cs="Times New Roman"/>
          <w:sz w:val="24"/>
          <w:szCs w:val="24"/>
        </w:rPr>
        <w:t xml:space="preserve"> are mostly similar to those reported in Table 6, suggesting that our results are robust to possible endogeneity problems.</w:t>
      </w:r>
      <w:r w:rsidRPr="00D20AB4">
        <w:rPr>
          <w:rFonts w:ascii="Times New Roman" w:eastAsia="Times New Roman" w:hAnsi="Times New Roman" w:cs="Times New Roman"/>
          <w:sz w:val="24"/>
          <w:szCs w:val="24"/>
        </w:rPr>
        <w:t xml:space="preserve"> </w:t>
      </w:r>
      <w:r w:rsidR="00B9288D" w:rsidRPr="00D15B6A">
        <w:rPr>
          <w:rFonts w:ascii="Times New Roman" w:eastAsia="Times New Roman" w:hAnsi="Times New Roman" w:cs="Times New Roman"/>
          <w:sz w:val="24"/>
          <w:szCs w:val="24"/>
        </w:rPr>
        <w:t>The minor</w:t>
      </w:r>
      <w:r w:rsidR="00B9288D" w:rsidRPr="00D20AB4">
        <w:rPr>
          <w:rFonts w:ascii="Times New Roman" w:eastAsia="Times New Roman" w:hAnsi="Times New Roman" w:cs="Times New Roman"/>
          <w:sz w:val="24"/>
          <w:szCs w:val="24"/>
        </w:rPr>
        <w:t xml:space="preserve"> increase in some</w:t>
      </w:r>
      <w:r w:rsidR="00B9288D" w:rsidRPr="00D15B6A">
        <w:rPr>
          <w:rFonts w:ascii="Times New Roman" w:eastAsia="Times New Roman" w:hAnsi="Times New Roman" w:cs="Times New Roman"/>
          <w:sz w:val="24"/>
          <w:szCs w:val="24"/>
        </w:rPr>
        <w:t xml:space="preserve"> coefficients’ value of </w:t>
      </w:r>
      <w:r w:rsidR="00B9288D" w:rsidRPr="00D20AB4">
        <w:rPr>
          <w:rFonts w:ascii="Times New Roman" w:eastAsia="Times New Roman" w:hAnsi="Times New Roman" w:cs="Times New Roman"/>
          <w:sz w:val="24"/>
          <w:szCs w:val="24"/>
        </w:rPr>
        <w:t>CG</w:t>
      </w:r>
      <w:r w:rsidR="00B9288D" w:rsidRPr="00D15B6A">
        <w:rPr>
          <w:rFonts w:ascii="Times New Roman" w:eastAsia="Times New Roman" w:hAnsi="Times New Roman" w:cs="Times New Roman"/>
          <w:sz w:val="24"/>
          <w:szCs w:val="24"/>
        </w:rPr>
        <w:t xml:space="preserve"> variables in </w:t>
      </w:r>
      <w:r w:rsidR="00B9288D" w:rsidRPr="00D20AB4">
        <w:rPr>
          <w:rFonts w:ascii="Times New Roman" w:eastAsia="Times New Roman" w:hAnsi="Times New Roman" w:cs="Times New Roman"/>
          <w:sz w:val="24"/>
          <w:szCs w:val="24"/>
        </w:rPr>
        <w:t xml:space="preserve">Models </w:t>
      </w:r>
      <w:r w:rsidR="00424B88">
        <w:rPr>
          <w:rFonts w:ascii="Times New Roman" w:eastAsia="Times New Roman" w:hAnsi="Times New Roman" w:cs="Times New Roman"/>
          <w:sz w:val="24"/>
          <w:szCs w:val="24"/>
        </w:rPr>
        <w:t>3</w:t>
      </w:r>
      <w:r w:rsidR="00B9288D" w:rsidRPr="00D20AB4">
        <w:rPr>
          <w:rFonts w:ascii="Times New Roman" w:eastAsia="Times New Roman" w:hAnsi="Times New Roman" w:cs="Times New Roman"/>
          <w:sz w:val="24"/>
          <w:szCs w:val="24"/>
        </w:rPr>
        <w:t xml:space="preserve"> and </w:t>
      </w:r>
      <w:r w:rsidR="00424B88">
        <w:rPr>
          <w:rFonts w:ascii="Times New Roman" w:eastAsia="Times New Roman" w:hAnsi="Times New Roman" w:cs="Times New Roman"/>
          <w:sz w:val="24"/>
          <w:szCs w:val="24"/>
        </w:rPr>
        <w:t>4</w:t>
      </w:r>
      <w:r w:rsidR="00B9288D" w:rsidRPr="00D15B6A">
        <w:rPr>
          <w:rFonts w:ascii="Times New Roman" w:eastAsia="Times New Roman" w:hAnsi="Times New Roman" w:cs="Times New Roman"/>
          <w:sz w:val="24"/>
          <w:szCs w:val="24"/>
        </w:rPr>
        <w:t xml:space="preserve"> of Table </w:t>
      </w:r>
      <w:r w:rsidR="00B9288D" w:rsidRPr="00D20AB4">
        <w:rPr>
          <w:rFonts w:ascii="Times New Roman" w:eastAsia="Times New Roman" w:hAnsi="Times New Roman" w:cs="Times New Roman"/>
          <w:sz w:val="24"/>
          <w:szCs w:val="24"/>
        </w:rPr>
        <w:t>7</w:t>
      </w:r>
      <w:r w:rsidR="00B9288D" w:rsidRPr="00D15B6A">
        <w:rPr>
          <w:rFonts w:ascii="Times New Roman" w:eastAsia="Times New Roman" w:hAnsi="Times New Roman" w:cs="Times New Roman"/>
          <w:sz w:val="24"/>
          <w:szCs w:val="24"/>
        </w:rPr>
        <w:t xml:space="preserve"> compared with those of Tables 6 are in line with previous studies which indicate that instrumented variables of </w:t>
      </w:r>
      <w:r w:rsidR="00B9288D" w:rsidRPr="00D20AB4">
        <w:rPr>
          <w:rFonts w:ascii="Times New Roman" w:eastAsia="Times New Roman" w:hAnsi="Times New Roman" w:cs="Times New Roman"/>
          <w:sz w:val="24"/>
          <w:szCs w:val="24"/>
        </w:rPr>
        <w:t>CG</w:t>
      </w:r>
      <w:r w:rsidR="00B9288D" w:rsidRPr="00D15B6A">
        <w:rPr>
          <w:rFonts w:ascii="Times New Roman" w:eastAsia="Times New Roman" w:hAnsi="Times New Roman" w:cs="Times New Roman"/>
          <w:sz w:val="24"/>
          <w:szCs w:val="24"/>
        </w:rPr>
        <w:t xml:space="preserve"> variables are likely to predict </w:t>
      </w:r>
      <w:r w:rsidR="007C76F0">
        <w:rPr>
          <w:rFonts w:ascii="Times New Roman" w:eastAsia="Times New Roman" w:hAnsi="Times New Roman" w:cs="Times New Roman"/>
          <w:sz w:val="24"/>
          <w:szCs w:val="24"/>
        </w:rPr>
        <w:t xml:space="preserve">risk-taking </w:t>
      </w:r>
      <w:r w:rsidR="00B9288D" w:rsidRPr="00D15B6A">
        <w:rPr>
          <w:rFonts w:ascii="Times New Roman" w:eastAsia="Times New Roman" w:hAnsi="Times New Roman" w:cs="Times New Roman"/>
          <w:sz w:val="24"/>
          <w:szCs w:val="24"/>
        </w:rPr>
        <w:t xml:space="preserve">more powerfully than their un-instrumented variables </w:t>
      </w:r>
      <w:r w:rsidR="00B9288D" w:rsidRPr="00D15B6A">
        <w:rPr>
          <w:rFonts w:ascii="Times New Roman" w:eastAsia="Times New Roman" w:hAnsi="Times New Roman" w:cs="Times New Roman"/>
          <w:sz w:val="24"/>
          <w:szCs w:val="24"/>
        </w:rPr>
        <w:fldChar w:fldCharType="begin"/>
      </w:r>
      <w:r w:rsidR="00B9288D" w:rsidRPr="00D15B6A">
        <w:rPr>
          <w:rFonts w:ascii="Times New Roman" w:eastAsia="Times New Roman" w:hAnsi="Times New Roman" w:cs="Times New Roman"/>
          <w:sz w:val="24"/>
          <w:szCs w:val="24"/>
        </w:rPr>
        <w:instrText xml:space="preserve"> ADDIN EN.CITE &lt;EndNote&gt;&lt;Cite&gt;&lt;Author&gt;Larcker&lt;/Author&gt;&lt;Year&gt;2010&lt;/Year&gt;&lt;RecNum&gt;812&lt;/RecNum&gt;&lt;DisplayText&gt;(Larcker &amp;amp; Rusticus, 2010)&lt;/DisplayText&gt;&lt;record&gt;&lt;rec-number&gt;812&lt;/rec-number&gt;&lt;foreign-keys&gt;&lt;key app="EN" db-id="2dxffaaevppfp1e50wgpfxs8pwda290z0az0" timestamp="1444406806"&gt;812&lt;/key&gt;&lt;/foreign-keys&gt;&lt;ref-type name="Journal Article"&gt;17&lt;/ref-type&gt;&lt;contributors&gt;&lt;authors&gt;&lt;author&gt;Larcker, David F&lt;/author&gt;&lt;author&gt;Rusticus, Tjomme O&lt;/author&gt;&lt;/authors&gt;&lt;/contributors&gt;&lt;titles&gt;&lt;title&gt;On the use of instrumental variables in accounting research&lt;/title&gt;&lt;secondary-title&gt;Journal of Accounting and Economics&lt;/secondary-title&gt;&lt;/titles&gt;&lt;periodical&gt;&lt;full-title&gt;Journal of Accounting and Economics&lt;/full-title&gt;&lt;/periodical&gt;&lt;pages&gt;186-205&lt;/pages&gt;&lt;volume&gt;49&lt;/volume&gt;&lt;number&gt;3&lt;/number&gt;&lt;dates&gt;&lt;year&gt;2010&lt;/year&gt;&lt;/dates&gt;&lt;isbn&gt;0165-4101&lt;/isbn&gt;&lt;urls&gt;&lt;/urls&gt;&lt;/record&gt;&lt;/Cite&gt;&lt;/EndNote&gt;</w:instrText>
      </w:r>
      <w:r w:rsidR="00B9288D" w:rsidRPr="00D15B6A">
        <w:rPr>
          <w:rFonts w:ascii="Times New Roman" w:eastAsia="Times New Roman" w:hAnsi="Times New Roman" w:cs="Times New Roman"/>
          <w:sz w:val="24"/>
          <w:szCs w:val="24"/>
        </w:rPr>
        <w:fldChar w:fldCharType="separate"/>
      </w:r>
      <w:r w:rsidR="00B9288D" w:rsidRPr="00D15B6A">
        <w:rPr>
          <w:rFonts w:ascii="Times New Roman" w:eastAsia="Times New Roman" w:hAnsi="Times New Roman" w:cs="Times New Roman"/>
          <w:sz w:val="24"/>
          <w:szCs w:val="24"/>
        </w:rPr>
        <w:t>(Larcker &amp; Rusticus, 2010)</w:t>
      </w:r>
      <w:r w:rsidR="00B9288D" w:rsidRPr="00D15B6A">
        <w:rPr>
          <w:rFonts w:ascii="Times New Roman" w:eastAsia="Times New Roman" w:hAnsi="Times New Roman" w:cs="Times New Roman"/>
          <w:sz w:val="24"/>
          <w:szCs w:val="24"/>
        </w:rPr>
        <w:fldChar w:fldCharType="end"/>
      </w:r>
      <w:r w:rsidR="00B9288D" w:rsidRPr="00D15B6A">
        <w:rPr>
          <w:rFonts w:ascii="Times New Roman" w:eastAsia="Times New Roman" w:hAnsi="Times New Roman" w:cs="Times New Roman"/>
          <w:sz w:val="24"/>
          <w:szCs w:val="24"/>
        </w:rPr>
        <w:t>.</w:t>
      </w:r>
      <w:r w:rsidR="00C335B1">
        <w:rPr>
          <w:rFonts w:ascii="Times New Roman" w:eastAsia="Times New Roman" w:hAnsi="Times New Roman" w:cs="Times New Roman"/>
          <w:sz w:val="24"/>
          <w:szCs w:val="24"/>
        </w:rPr>
        <w:t xml:space="preserve"> </w:t>
      </w:r>
      <w:r w:rsidR="00C335B1" w:rsidRPr="00C335B1">
        <w:rPr>
          <w:rFonts w:ascii="Times New Roman" w:eastAsia="Times New Roman" w:hAnsi="Times New Roman" w:cs="Times New Roman"/>
          <w:sz w:val="24"/>
          <w:szCs w:val="24"/>
        </w:rPr>
        <w:t>This examination reinforces the need for CG reforms for financial firms, espec</w:t>
      </w:r>
      <w:r w:rsidR="00C335B1">
        <w:rPr>
          <w:rFonts w:ascii="Times New Roman" w:eastAsia="Times New Roman" w:hAnsi="Times New Roman" w:cs="Times New Roman"/>
          <w:sz w:val="24"/>
          <w:szCs w:val="24"/>
        </w:rPr>
        <w:t>ially in the insurance industry</w:t>
      </w:r>
      <w:r w:rsidR="00C335B1" w:rsidRPr="00C335B1">
        <w:rPr>
          <w:rFonts w:ascii="Times New Roman" w:eastAsia="Times New Roman" w:hAnsi="Times New Roman" w:cs="Times New Roman"/>
          <w:sz w:val="24"/>
          <w:szCs w:val="24"/>
        </w:rPr>
        <w:t>.</w:t>
      </w:r>
    </w:p>
    <w:p w14:paraId="0F0BFE39" w14:textId="77777777" w:rsidR="00FC2A87" w:rsidRPr="00D15B6A" w:rsidRDefault="00E574C7" w:rsidP="005578B9">
      <w:pPr>
        <w:pStyle w:val="Heading1"/>
        <w:rPr>
          <w:rFonts w:cs="Times New Roman"/>
          <w:szCs w:val="24"/>
        </w:rPr>
      </w:pPr>
      <w:r w:rsidRPr="00D15B6A">
        <w:rPr>
          <w:rFonts w:cs="Times New Roman"/>
          <w:szCs w:val="24"/>
        </w:rPr>
        <w:t xml:space="preserve">Conclusion </w:t>
      </w:r>
    </w:p>
    <w:p w14:paraId="5A247EDD" w14:textId="18A76785" w:rsidR="00C335B1" w:rsidRPr="005945B5" w:rsidRDefault="00C335B1" w:rsidP="00B72325">
      <w:pPr>
        <w:spacing w:line="360" w:lineRule="auto"/>
        <w:ind w:firstLine="720"/>
        <w:jc w:val="both"/>
        <w:rPr>
          <w:rFonts w:ascii="Times New Roman" w:eastAsia="Calibri" w:hAnsi="Times New Roman" w:cs="Times New Roman"/>
          <w:sz w:val="24"/>
          <w:szCs w:val="24"/>
        </w:rPr>
      </w:pPr>
      <w:r w:rsidRPr="005945B5">
        <w:rPr>
          <w:rFonts w:ascii="Times New Roman" w:eastAsia="Calibri" w:hAnsi="Times New Roman" w:cs="Times New Roman"/>
          <w:sz w:val="24"/>
          <w:szCs w:val="24"/>
        </w:rPr>
        <w:t xml:space="preserve">This study examines the impact of internal corporate governance mechanisms on insurance companies’ </w:t>
      </w:r>
      <w:r w:rsidR="007C76F0">
        <w:rPr>
          <w:rFonts w:ascii="Times New Roman" w:eastAsia="Calibri" w:hAnsi="Times New Roman" w:cs="Times New Roman"/>
          <w:sz w:val="24"/>
          <w:szCs w:val="24"/>
        </w:rPr>
        <w:t xml:space="preserve">risk-taking </w:t>
      </w:r>
      <w:r w:rsidRPr="005945B5">
        <w:rPr>
          <w:rFonts w:ascii="Times New Roman" w:eastAsia="Calibri" w:hAnsi="Times New Roman" w:cs="Times New Roman"/>
          <w:sz w:val="24"/>
          <w:szCs w:val="24"/>
        </w:rPr>
        <w:t xml:space="preserve">during the period 2005 to 2014 in the UK. The results show a negative and statistically significant relationship </w:t>
      </w:r>
      <w:r w:rsidR="00237EBE">
        <w:rPr>
          <w:rFonts w:ascii="Times New Roman" w:eastAsia="Calibri" w:hAnsi="Times New Roman" w:cs="Times New Roman"/>
          <w:sz w:val="24"/>
          <w:szCs w:val="24"/>
        </w:rPr>
        <w:t>among</w:t>
      </w:r>
      <w:r w:rsidR="00237EBE" w:rsidRPr="005945B5">
        <w:rPr>
          <w:rFonts w:ascii="Times New Roman" w:eastAsia="Calibri" w:hAnsi="Times New Roman" w:cs="Times New Roman"/>
          <w:sz w:val="24"/>
          <w:szCs w:val="24"/>
        </w:rPr>
        <w:t xml:space="preserve"> </w:t>
      </w:r>
      <w:r w:rsidRPr="005945B5">
        <w:rPr>
          <w:rFonts w:ascii="Times New Roman" w:eastAsia="Calibri" w:hAnsi="Times New Roman" w:cs="Times New Roman"/>
          <w:sz w:val="24"/>
          <w:szCs w:val="24"/>
        </w:rPr>
        <w:t>insurance company board size</w:t>
      </w:r>
      <w:r w:rsidR="00237EBE">
        <w:rPr>
          <w:rFonts w:ascii="Times New Roman" w:eastAsia="Calibri" w:hAnsi="Times New Roman" w:cs="Times New Roman"/>
          <w:sz w:val="24"/>
          <w:szCs w:val="24"/>
        </w:rPr>
        <w:t xml:space="preserve">, frequency of board meetings </w:t>
      </w:r>
      <w:r w:rsidRPr="005945B5">
        <w:rPr>
          <w:rFonts w:ascii="Times New Roman" w:eastAsia="Calibri" w:hAnsi="Times New Roman" w:cs="Times New Roman"/>
          <w:sz w:val="24"/>
          <w:szCs w:val="24"/>
        </w:rPr>
        <w:t xml:space="preserve">and insurance company risk taking. The result is consistent with </w:t>
      </w:r>
      <w:r w:rsidR="006E0618">
        <w:rPr>
          <w:rFonts w:ascii="Times New Roman" w:eastAsia="Calibri" w:hAnsi="Times New Roman" w:cs="Times New Roman"/>
          <w:sz w:val="24"/>
          <w:szCs w:val="24"/>
        </w:rPr>
        <w:t xml:space="preserve">those of </w:t>
      </w:r>
      <w:r w:rsidRPr="005945B5">
        <w:rPr>
          <w:rFonts w:ascii="Times New Roman" w:eastAsia="Calibri" w:hAnsi="Times New Roman" w:cs="Times New Roman"/>
          <w:sz w:val="24"/>
          <w:szCs w:val="24"/>
        </w:rPr>
        <w:t>prior literature (e.g.</w:t>
      </w:r>
      <w:r w:rsidR="006E0618">
        <w:rPr>
          <w:rFonts w:ascii="Times New Roman" w:eastAsia="Calibri" w:hAnsi="Times New Roman" w:cs="Times New Roman"/>
          <w:sz w:val="24"/>
          <w:szCs w:val="24"/>
        </w:rPr>
        <w:t>,</w:t>
      </w:r>
      <w:r w:rsidRPr="005945B5">
        <w:rPr>
          <w:rFonts w:ascii="Times New Roman" w:eastAsia="Calibri" w:hAnsi="Times New Roman" w:cs="Times New Roman"/>
          <w:sz w:val="24"/>
          <w:szCs w:val="24"/>
        </w:rPr>
        <w:t xml:space="preserve"> Jermias &amp; Gani, 20</w:t>
      </w:r>
      <w:r w:rsidR="00D2243F" w:rsidRPr="005945B5">
        <w:rPr>
          <w:rFonts w:ascii="Times New Roman" w:eastAsia="Calibri" w:hAnsi="Times New Roman" w:cs="Times New Roman"/>
          <w:sz w:val="24"/>
          <w:szCs w:val="24"/>
        </w:rPr>
        <w:t xml:space="preserve">14; Brick &amp; Chidambaran, 2010; </w:t>
      </w:r>
      <w:r w:rsidRPr="005945B5">
        <w:rPr>
          <w:rFonts w:ascii="Times New Roman" w:eastAsia="Calibri" w:hAnsi="Times New Roman" w:cs="Times New Roman"/>
          <w:sz w:val="24"/>
          <w:szCs w:val="24"/>
        </w:rPr>
        <w:t xml:space="preserve">Boyer </w:t>
      </w:r>
      <w:r w:rsidR="00D2243F" w:rsidRPr="005945B5">
        <w:rPr>
          <w:rFonts w:ascii="Times New Roman" w:eastAsia="Calibri" w:hAnsi="Times New Roman" w:cs="Times New Roman"/>
          <w:sz w:val="24"/>
          <w:szCs w:val="24"/>
        </w:rPr>
        <w:t xml:space="preserve">&amp; Stern, </w:t>
      </w:r>
      <w:r w:rsidRPr="005945B5">
        <w:rPr>
          <w:rFonts w:ascii="Times New Roman" w:eastAsia="Calibri" w:hAnsi="Times New Roman" w:cs="Times New Roman"/>
          <w:sz w:val="24"/>
          <w:szCs w:val="24"/>
        </w:rPr>
        <w:t xml:space="preserve">2012). This study has contributed to existing research by investigating the relationship between corporate governance mechanisms and insurance companies’ </w:t>
      </w:r>
      <w:r w:rsidR="00D2243F" w:rsidRPr="005945B5">
        <w:rPr>
          <w:rFonts w:ascii="Times New Roman" w:eastAsia="Calibri" w:hAnsi="Times New Roman" w:cs="Times New Roman"/>
          <w:sz w:val="24"/>
          <w:szCs w:val="24"/>
        </w:rPr>
        <w:t>risk</w:t>
      </w:r>
      <w:r w:rsidR="006E0618">
        <w:rPr>
          <w:rFonts w:ascii="Times New Roman" w:eastAsia="Calibri" w:hAnsi="Times New Roman" w:cs="Times New Roman"/>
          <w:sz w:val="24"/>
          <w:szCs w:val="24"/>
        </w:rPr>
        <w:t>-</w:t>
      </w:r>
      <w:r w:rsidR="00D2243F" w:rsidRPr="005945B5">
        <w:rPr>
          <w:rFonts w:ascii="Times New Roman" w:eastAsia="Calibri" w:hAnsi="Times New Roman" w:cs="Times New Roman"/>
          <w:sz w:val="24"/>
          <w:szCs w:val="24"/>
        </w:rPr>
        <w:t>taking</w:t>
      </w:r>
      <w:r w:rsidRPr="005945B5">
        <w:rPr>
          <w:rFonts w:ascii="Times New Roman" w:eastAsia="Calibri" w:hAnsi="Times New Roman" w:cs="Times New Roman"/>
          <w:sz w:val="24"/>
          <w:szCs w:val="24"/>
        </w:rPr>
        <w:t xml:space="preserve">, which has rarely been addressed by previous studies. In addition, the research has been undertaken in the UK setting, </w:t>
      </w:r>
      <w:r w:rsidR="006E0618">
        <w:rPr>
          <w:rFonts w:ascii="Times New Roman" w:eastAsia="Calibri" w:hAnsi="Times New Roman" w:cs="Times New Roman"/>
          <w:sz w:val="24"/>
          <w:szCs w:val="24"/>
        </w:rPr>
        <w:t>where despite having one of the largest insurance markets in the world, but</w:t>
      </w:r>
      <w:r w:rsidRPr="005945B5">
        <w:rPr>
          <w:rFonts w:ascii="Times New Roman" w:eastAsia="Calibri" w:hAnsi="Times New Roman" w:cs="Times New Roman"/>
          <w:sz w:val="24"/>
          <w:szCs w:val="24"/>
        </w:rPr>
        <w:t xml:space="preserve"> has</w:t>
      </w:r>
      <w:r w:rsidR="006E0618">
        <w:rPr>
          <w:rFonts w:ascii="Times New Roman" w:eastAsia="Calibri" w:hAnsi="Times New Roman" w:cs="Times New Roman"/>
          <w:sz w:val="24"/>
          <w:szCs w:val="24"/>
        </w:rPr>
        <w:t xml:space="preserve"> rarely been examined</w:t>
      </w:r>
      <w:r w:rsidRPr="005945B5">
        <w:rPr>
          <w:rFonts w:ascii="Times New Roman" w:eastAsia="Calibri" w:hAnsi="Times New Roman" w:cs="Times New Roman"/>
          <w:sz w:val="24"/>
          <w:szCs w:val="24"/>
        </w:rPr>
        <w:t xml:space="preserve"> by </w:t>
      </w:r>
      <w:r w:rsidR="006E0618">
        <w:rPr>
          <w:rFonts w:ascii="Times New Roman" w:eastAsia="Calibri" w:hAnsi="Times New Roman" w:cs="Times New Roman"/>
          <w:sz w:val="24"/>
          <w:szCs w:val="24"/>
        </w:rPr>
        <w:t xml:space="preserve">past </w:t>
      </w:r>
      <w:r w:rsidRPr="005945B5">
        <w:rPr>
          <w:rFonts w:ascii="Times New Roman" w:eastAsia="Calibri" w:hAnsi="Times New Roman" w:cs="Times New Roman"/>
          <w:sz w:val="24"/>
          <w:szCs w:val="24"/>
        </w:rPr>
        <w:t xml:space="preserve">researchers. Despite the contributions presented above, this research has potential limitations that should be taken into consideration. The first possible limitation is associated with the sample. This research depends only on insurance companies listed in the 350 FTSE index. </w:t>
      </w:r>
    </w:p>
    <w:p w14:paraId="4523B9EE" w14:textId="4FDB4735" w:rsidR="00C335B1" w:rsidRPr="005945B5" w:rsidRDefault="006E0618" w:rsidP="006E061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Similarly, t</w:t>
      </w:r>
      <w:r w:rsidR="00C335B1" w:rsidRPr="005945B5">
        <w:rPr>
          <w:rFonts w:ascii="Times New Roman" w:eastAsia="Calibri" w:hAnsi="Times New Roman" w:cs="Times New Roman"/>
          <w:sz w:val="24"/>
          <w:szCs w:val="24"/>
        </w:rPr>
        <w:t xml:space="preserve">he results </w:t>
      </w:r>
      <w:r>
        <w:rPr>
          <w:rFonts w:ascii="Times New Roman" w:eastAsia="Calibri" w:hAnsi="Times New Roman" w:cs="Times New Roman"/>
          <w:sz w:val="24"/>
          <w:szCs w:val="24"/>
        </w:rPr>
        <w:t xml:space="preserve">suggest </w:t>
      </w:r>
      <w:r w:rsidR="00C335B1" w:rsidRPr="005945B5">
        <w:rPr>
          <w:rFonts w:ascii="Times New Roman" w:eastAsia="Calibri" w:hAnsi="Times New Roman" w:cs="Times New Roman"/>
          <w:sz w:val="24"/>
          <w:szCs w:val="24"/>
        </w:rPr>
        <w:t xml:space="preserve">that there is a negative relationship between corporate governance mechanisms (i.e., insurance company board size, insurance company board meetings, insurance company board independence and audit committee size) and </w:t>
      </w:r>
      <w:r w:rsidR="00711D66">
        <w:rPr>
          <w:rFonts w:ascii="Times New Roman" w:eastAsia="Calibri" w:hAnsi="Times New Roman" w:cs="Times New Roman"/>
          <w:sz w:val="24"/>
          <w:szCs w:val="24"/>
        </w:rPr>
        <w:t>risk</w:t>
      </w:r>
      <w:r>
        <w:rPr>
          <w:rFonts w:ascii="Times New Roman" w:eastAsia="Calibri" w:hAnsi="Times New Roman" w:cs="Times New Roman"/>
          <w:sz w:val="24"/>
          <w:szCs w:val="24"/>
        </w:rPr>
        <w:t>-</w:t>
      </w:r>
      <w:r w:rsidR="00711D66">
        <w:rPr>
          <w:rFonts w:ascii="Times New Roman" w:eastAsia="Calibri" w:hAnsi="Times New Roman" w:cs="Times New Roman"/>
          <w:sz w:val="24"/>
          <w:szCs w:val="24"/>
        </w:rPr>
        <w:t xml:space="preserve">taking. </w:t>
      </w:r>
      <w:r w:rsidR="00C335B1" w:rsidRPr="005945B5">
        <w:rPr>
          <w:rFonts w:ascii="Times New Roman" w:eastAsia="Calibri" w:hAnsi="Times New Roman" w:cs="Times New Roman"/>
          <w:sz w:val="24"/>
          <w:szCs w:val="24"/>
        </w:rPr>
        <w:t xml:space="preserve">Thus, this study suggests that corporate governance mechanisms reduce risk-taking by reducing </w:t>
      </w:r>
      <w:r w:rsidR="00711D66" w:rsidRPr="000F0BFB">
        <w:rPr>
          <w:rFonts w:ascii="Times New Roman" w:eastAsia="Times New Roman" w:hAnsi="Times New Roman" w:cs="Times New Roman"/>
          <w:i/>
          <w:iCs/>
          <w:sz w:val="24"/>
          <w:szCs w:val="24"/>
        </w:rPr>
        <w:t>Z</w:t>
      </w:r>
      <w:r>
        <w:rPr>
          <w:rFonts w:ascii="Times New Roman" w:eastAsia="Times New Roman" w:hAnsi="Times New Roman" w:cs="Times New Roman"/>
          <w:sz w:val="24"/>
          <w:szCs w:val="24"/>
        </w:rPr>
        <w:t>-</w:t>
      </w:r>
      <w:r w:rsidR="00711D66">
        <w:rPr>
          <w:rFonts w:ascii="Times New Roman" w:eastAsia="Times New Roman" w:hAnsi="Times New Roman" w:cs="Times New Roman"/>
          <w:sz w:val="24"/>
          <w:szCs w:val="24"/>
        </w:rPr>
        <w:t>score</w:t>
      </w:r>
      <w:r w:rsidR="00711D66" w:rsidRPr="005945B5">
        <w:rPr>
          <w:rFonts w:ascii="Times New Roman" w:eastAsia="Calibri" w:hAnsi="Times New Roman" w:cs="Times New Roman"/>
          <w:sz w:val="24"/>
          <w:szCs w:val="24"/>
        </w:rPr>
        <w:t xml:space="preserve"> </w:t>
      </w:r>
      <w:r w:rsidR="00711D66">
        <w:rPr>
          <w:rFonts w:ascii="Times New Roman" w:eastAsia="Calibri" w:hAnsi="Times New Roman" w:cs="Times New Roman"/>
          <w:sz w:val="24"/>
          <w:szCs w:val="24"/>
        </w:rPr>
        <w:t xml:space="preserve">measured by ROA and </w:t>
      </w:r>
      <w:r w:rsidR="00C335B1" w:rsidRPr="005945B5">
        <w:rPr>
          <w:rFonts w:ascii="Times New Roman" w:eastAsia="Calibri" w:hAnsi="Times New Roman" w:cs="Times New Roman"/>
          <w:sz w:val="24"/>
          <w:szCs w:val="24"/>
        </w:rPr>
        <w:t xml:space="preserve">ROE. This study offers new possibilities for future research in a number of ways. First, future research may study or compare insurance companies’ </w:t>
      </w:r>
      <w:r w:rsidR="007C76F0">
        <w:rPr>
          <w:rFonts w:ascii="Times New Roman" w:eastAsia="Calibri" w:hAnsi="Times New Roman" w:cs="Times New Roman"/>
          <w:sz w:val="24"/>
          <w:szCs w:val="24"/>
        </w:rPr>
        <w:t xml:space="preserve">risk-taking </w:t>
      </w:r>
      <w:r w:rsidR="00C335B1" w:rsidRPr="005945B5">
        <w:rPr>
          <w:rFonts w:ascii="Times New Roman" w:eastAsia="Calibri" w:hAnsi="Times New Roman" w:cs="Times New Roman"/>
          <w:sz w:val="24"/>
          <w:szCs w:val="24"/>
        </w:rPr>
        <w:t xml:space="preserve">in UK listed firms with those of other markets like the USA, Germany and China. In addition, it could be beneficial if future research were to take a sample from the European Union in order to determine what the factors that affect </w:t>
      </w:r>
      <w:r w:rsidR="00D2243F" w:rsidRPr="005945B5">
        <w:rPr>
          <w:rFonts w:ascii="Times New Roman" w:eastAsia="Calibri" w:hAnsi="Times New Roman" w:cs="Times New Roman"/>
          <w:sz w:val="24"/>
          <w:szCs w:val="24"/>
        </w:rPr>
        <w:t>risk</w:t>
      </w:r>
      <w:r w:rsidR="009B14E2">
        <w:rPr>
          <w:rFonts w:ascii="Times New Roman" w:eastAsia="Calibri" w:hAnsi="Times New Roman" w:cs="Times New Roman"/>
          <w:sz w:val="24"/>
          <w:szCs w:val="24"/>
        </w:rPr>
        <w:t>-</w:t>
      </w:r>
      <w:r w:rsidR="00D2243F" w:rsidRPr="005945B5">
        <w:rPr>
          <w:rFonts w:ascii="Times New Roman" w:eastAsia="Calibri" w:hAnsi="Times New Roman" w:cs="Times New Roman"/>
          <w:sz w:val="24"/>
          <w:szCs w:val="24"/>
        </w:rPr>
        <w:t xml:space="preserve">taking </w:t>
      </w:r>
      <w:r w:rsidR="00C335B1" w:rsidRPr="005945B5">
        <w:rPr>
          <w:rFonts w:ascii="Times New Roman" w:eastAsia="Calibri" w:hAnsi="Times New Roman" w:cs="Times New Roman"/>
          <w:sz w:val="24"/>
          <w:szCs w:val="24"/>
        </w:rPr>
        <w:t xml:space="preserve">are. Another avenue for future research would be to use other and broader measures for </w:t>
      </w:r>
      <w:r w:rsidR="00D2243F" w:rsidRPr="005945B5">
        <w:rPr>
          <w:rFonts w:ascii="Times New Roman" w:eastAsia="Calibri" w:hAnsi="Times New Roman" w:cs="Times New Roman"/>
          <w:sz w:val="24"/>
          <w:szCs w:val="24"/>
        </w:rPr>
        <w:t>risk</w:t>
      </w:r>
      <w:r w:rsidR="009B14E2">
        <w:rPr>
          <w:rFonts w:ascii="Times New Roman" w:eastAsia="Calibri" w:hAnsi="Times New Roman" w:cs="Times New Roman"/>
          <w:sz w:val="24"/>
          <w:szCs w:val="24"/>
        </w:rPr>
        <w:t>-</w:t>
      </w:r>
      <w:r w:rsidR="00D2243F" w:rsidRPr="005945B5">
        <w:rPr>
          <w:rFonts w:ascii="Times New Roman" w:eastAsia="Calibri" w:hAnsi="Times New Roman" w:cs="Times New Roman"/>
          <w:sz w:val="24"/>
          <w:szCs w:val="24"/>
        </w:rPr>
        <w:t>taking</w:t>
      </w:r>
      <w:r w:rsidR="00C335B1" w:rsidRPr="005945B5">
        <w:rPr>
          <w:rFonts w:ascii="Times New Roman" w:eastAsia="Calibri" w:hAnsi="Times New Roman" w:cs="Times New Roman"/>
          <w:sz w:val="24"/>
          <w:szCs w:val="24"/>
        </w:rPr>
        <w:t>. Also, examination of other corporate governance mechanisms is recommended (e.g., remuneration committee, risk committee and ownership concentration). Finally, despite the importance of secondary data, the utilisation of primary data</w:t>
      </w:r>
      <w:r w:rsidR="009B14E2">
        <w:rPr>
          <w:rFonts w:ascii="Times New Roman" w:eastAsia="Calibri" w:hAnsi="Times New Roman" w:cs="Times New Roman"/>
          <w:sz w:val="24"/>
          <w:szCs w:val="24"/>
        </w:rPr>
        <w:t>,</w:t>
      </w:r>
      <w:r w:rsidR="00C335B1" w:rsidRPr="005945B5">
        <w:rPr>
          <w:rFonts w:ascii="Times New Roman" w:eastAsia="Calibri" w:hAnsi="Times New Roman" w:cs="Times New Roman"/>
          <w:sz w:val="24"/>
          <w:szCs w:val="24"/>
        </w:rPr>
        <w:t xml:space="preserve"> such as interviews may enrich future research.</w:t>
      </w:r>
    </w:p>
    <w:p w14:paraId="06A0AA8B" w14:textId="77777777" w:rsidR="00407A34" w:rsidRPr="00D15B6A" w:rsidRDefault="00867CC1" w:rsidP="00476369">
      <w:pPr>
        <w:rPr>
          <w:rFonts w:ascii="Times New Roman" w:eastAsia="Times New Roman" w:hAnsi="Times New Roman" w:cs="Times New Roman"/>
          <w:sz w:val="24"/>
          <w:szCs w:val="24"/>
          <w:lang w:eastAsia="en-GB"/>
        </w:rPr>
      </w:pPr>
      <w:r w:rsidRPr="00D15B6A">
        <w:rPr>
          <w:rFonts w:ascii="Times New Roman" w:eastAsia="Times New Roman" w:hAnsi="Times New Roman" w:cs="Times New Roman"/>
          <w:sz w:val="24"/>
          <w:szCs w:val="24"/>
          <w:lang w:eastAsia="en-GB"/>
        </w:rPr>
        <w:br w:type="page"/>
      </w:r>
    </w:p>
    <w:p w14:paraId="5CBB4A1F" w14:textId="77777777" w:rsidR="00473138" w:rsidRPr="00C32C59" w:rsidRDefault="00E574C7" w:rsidP="00C32C59">
      <w:pPr>
        <w:keepNext/>
        <w:keepLines/>
        <w:spacing w:after="0" w:line="480" w:lineRule="auto"/>
        <w:ind w:left="284"/>
        <w:jc w:val="both"/>
        <w:outlineLvl w:val="0"/>
        <w:rPr>
          <w:rFonts w:ascii="Times New Roman" w:eastAsia="Calibri" w:hAnsi="Times New Roman" w:cs="Times New Roman"/>
          <w:b/>
          <w:sz w:val="24"/>
          <w:szCs w:val="24"/>
        </w:rPr>
      </w:pPr>
      <w:r w:rsidRPr="00D15B6A">
        <w:rPr>
          <w:rFonts w:ascii="Times New Roman" w:eastAsia="Calibri" w:hAnsi="Times New Roman" w:cs="Times New Roman"/>
          <w:b/>
          <w:sz w:val="24"/>
          <w:szCs w:val="24"/>
        </w:rPr>
        <w:t>References</w:t>
      </w:r>
    </w:p>
    <w:p w14:paraId="181766DF"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Adams, M., &amp; Jiang, W. (2016). Do outside directors influence the financial performance of risk-trading firms? Evidence from the United Kingdom (UK) insurance industry. </w:t>
      </w:r>
      <w:r w:rsidRPr="00957375">
        <w:rPr>
          <w:rFonts w:ascii="Times New Roman" w:eastAsia="Calibri" w:hAnsi="Times New Roman" w:cs="Times New Roman"/>
          <w:i/>
          <w:noProof/>
          <w:sz w:val="24"/>
          <w:szCs w:val="24"/>
        </w:rPr>
        <w:t>Journal of Banking &amp; Finance</w:t>
      </w:r>
      <w:r w:rsidRPr="00957375">
        <w:rPr>
          <w:rFonts w:ascii="Times New Roman" w:eastAsia="Calibri" w:hAnsi="Times New Roman" w:cs="Times New Roman"/>
          <w:noProof/>
          <w:sz w:val="24"/>
          <w:szCs w:val="24"/>
        </w:rPr>
        <w:t xml:space="preserve">, </w:t>
      </w:r>
      <w:r w:rsidRPr="00957375">
        <w:rPr>
          <w:rFonts w:ascii="Times New Roman" w:eastAsia="Calibri" w:hAnsi="Times New Roman" w:cs="Times New Roman"/>
          <w:i/>
          <w:noProof/>
          <w:sz w:val="24"/>
          <w:szCs w:val="24"/>
        </w:rPr>
        <w:t>64</w:t>
      </w:r>
      <w:r w:rsidRPr="00957375">
        <w:rPr>
          <w:rFonts w:ascii="Times New Roman" w:eastAsia="Calibri" w:hAnsi="Times New Roman" w:cs="Times New Roman"/>
          <w:noProof/>
          <w:sz w:val="24"/>
          <w:szCs w:val="24"/>
        </w:rPr>
        <w:t xml:space="preserve">, 36-51. </w:t>
      </w:r>
    </w:p>
    <w:p w14:paraId="54D24A28" w14:textId="77777777" w:rsidR="00525B27"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F55EE0">
        <w:rPr>
          <w:rFonts w:ascii="Times New Roman" w:eastAsia="Calibri" w:hAnsi="Times New Roman" w:cs="Times New Roman"/>
          <w:noProof/>
          <w:sz w:val="24"/>
          <w:szCs w:val="24"/>
          <w:lang w:val="it-IT"/>
        </w:rPr>
        <w:t>Afrifa</w:t>
      </w:r>
      <w:r w:rsidRPr="00F55EE0">
        <w:rPr>
          <w:rFonts w:ascii="Times New Roman" w:eastAsia="Calibri" w:hAnsi="Times New Roman" w:cs="Times New Roman"/>
          <w:noProof/>
          <w:sz w:val="24"/>
          <w:szCs w:val="24"/>
          <w:shd w:val="clear" w:color="auto" w:fill="FFFFFF"/>
          <w:lang w:val="it-IT"/>
        </w:rPr>
        <w:t xml:space="preserve">, G. A., &amp; Tauringana, V. (2015). </w:t>
      </w:r>
      <w:r w:rsidRPr="00957375">
        <w:rPr>
          <w:rFonts w:ascii="Times New Roman" w:eastAsia="Calibri" w:hAnsi="Times New Roman" w:cs="Times New Roman"/>
          <w:noProof/>
          <w:sz w:val="24"/>
          <w:szCs w:val="24"/>
          <w:shd w:val="clear" w:color="auto" w:fill="FFFFFF"/>
        </w:rPr>
        <w:t>Corporate governance and performance of UK listed small and medium enterprises. </w:t>
      </w:r>
      <w:r w:rsidRPr="00957375">
        <w:rPr>
          <w:rFonts w:ascii="Times New Roman" w:eastAsia="Calibri" w:hAnsi="Times New Roman" w:cs="Times New Roman"/>
          <w:i/>
          <w:iCs/>
          <w:noProof/>
          <w:sz w:val="24"/>
          <w:szCs w:val="24"/>
          <w:shd w:val="clear" w:color="auto" w:fill="FFFFFF"/>
        </w:rPr>
        <w:t>Corporate Governance: The international journal of business in society</w:t>
      </w:r>
      <w:r w:rsidRPr="00957375">
        <w:rPr>
          <w:rFonts w:ascii="Times New Roman" w:eastAsia="Calibri" w:hAnsi="Times New Roman" w:cs="Times New Roman"/>
          <w:noProof/>
          <w:sz w:val="24"/>
          <w:szCs w:val="24"/>
          <w:shd w:val="clear" w:color="auto" w:fill="FFFFFF"/>
        </w:rPr>
        <w:t>,</w:t>
      </w:r>
      <w:r w:rsidRPr="00957375">
        <w:rPr>
          <w:rFonts w:ascii="Times New Roman" w:eastAsia="Calibri" w:hAnsi="Times New Roman" w:cs="Times New Roman"/>
          <w:i/>
          <w:iCs/>
          <w:noProof/>
          <w:sz w:val="24"/>
          <w:szCs w:val="24"/>
          <w:shd w:val="clear" w:color="auto" w:fill="FFFFFF"/>
        </w:rPr>
        <w:t xml:space="preserve"> 15</w:t>
      </w:r>
      <w:r w:rsidRPr="00957375">
        <w:rPr>
          <w:rFonts w:ascii="Times New Roman" w:eastAsia="Calibri" w:hAnsi="Times New Roman" w:cs="Times New Roman"/>
          <w:noProof/>
          <w:sz w:val="24"/>
          <w:szCs w:val="24"/>
          <w:shd w:val="clear" w:color="auto" w:fill="FFFFFF"/>
        </w:rPr>
        <w:t>(5), 719-733.</w:t>
      </w:r>
    </w:p>
    <w:p w14:paraId="55892D9E"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Baltagi, B. H., &amp; Deng, Y. (2015). EC3SLS estimator for a simultaneous system of spatial autoregressive equations with random effects. </w:t>
      </w:r>
      <w:r w:rsidRPr="00957375">
        <w:rPr>
          <w:rFonts w:ascii="Times New Roman" w:eastAsia="Calibri" w:hAnsi="Times New Roman" w:cs="Times New Roman"/>
          <w:i/>
          <w:noProof/>
          <w:sz w:val="24"/>
          <w:szCs w:val="24"/>
        </w:rPr>
        <w:t>Econometric Reviews</w:t>
      </w:r>
      <w:r w:rsidRPr="00957375">
        <w:rPr>
          <w:rFonts w:ascii="Times New Roman" w:eastAsia="Calibri" w:hAnsi="Times New Roman" w:cs="Times New Roman"/>
          <w:noProof/>
          <w:sz w:val="24"/>
          <w:szCs w:val="24"/>
        </w:rPr>
        <w:t>, 34(6-10), 659-694.</w:t>
      </w:r>
    </w:p>
    <w:p w14:paraId="774791F8"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Barros, C. P., Boubaker, S., &amp; Hamrouni, A. (2013). Corporate governance and voluntary disclosure in France. </w:t>
      </w:r>
      <w:r w:rsidRPr="00957375">
        <w:rPr>
          <w:rFonts w:ascii="Times New Roman" w:eastAsia="Calibri" w:hAnsi="Times New Roman" w:cs="Times New Roman"/>
          <w:i/>
          <w:noProof/>
          <w:sz w:val="24"/>
          <w:szCs w:val="24"/>
        </w:rPr>
        <w:t>Journal of Applied Business Research, 29</w:t>
      </w:r>
      <w:r w:rsidRPr="00957375">
        <w:rPr>
          <w:rFonts w:ascii="Times New Roman" w:eastAsia="Calibri" w:hAnsi="Times New Roman" w:cs="Times New Roman"/>
          <w:noProof/>
          <w:sz w:val="24"/>
          <w:szCs w:val="24"/>
        </w:rPr>
        <w:t>(2), 561-578.</w:t>
      </w:r>
    </w:p>
    <w:p w14:paraId="0FB7DF8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Baysinger, B., &amp; Hoskisson, R. E. (1990). The composition of boards of directors and strategic control: Effects on corporate strategy. </w:t>
      </w:r>
      <w:r w:rsidRPr="00957375">
        <w:rPr>
          <w:rFonts w:ascii="Times New Roman" w:eastAsia="Calibri" w:hAnsi="Times New Roman" w:cs="Times New Roman"/>
          <w:i/>
          <w:noProof/>
          <w:sz w:val="24"/>
          <w:szCs w:val="24"/>
        </w:rPr>
        <w:t>Academy of Management Review, 15</w:t>
      </w:r>
      <w:r w:rsidRPr="00957375">
        <w:rPr>
          <w:rFonts w:ascii="Times New Roman" w:eastAsia="Calibri" w:hAnsi="Times New Roman" w:cs="Times New Roman"/>
          <w:noProof/>
          <w:sz w:val="24"/>
          <w:szCs w:val="24"/>
        </w:rPr>
        <w:t>(1), 72-87.</w:t>
      </w:r>
    </w:p>
    <w:p w14:paraId="1C078222"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Bhagat, S., &amp; Black, B. (2002). The non-correlation between board independence and long-term firm performance. </w:t>
      </w:r>
      <w:r w:rsidRPr="00957375">
        <w:rPr>
          <w:rFonts w:ascii="Times New Roman" w:eastAsia="Calibri" w:hAnsi="Times New Roman" w:cs="Times New Roman"/>
          <w:i/>
          <w:noProof/>
          <w:sz w:val="24"/>
          <w:szCs w:val="24"/>
        </w:rPr>
        <w:t>Journal of Corporation Law, 27</w:t>
      </w:r>
      <w:r w:rsidRPr="00957375">
        <w:rPr>
          <w:rFonts w:ascii="Times New Roman" w:eastAsia="Calibri" w:hAnsi="Times New Roman" w:cs="Times New Roman"/>
          <w:noProof/>
          <w:sz w:val="24"/>
          <w:szCs w:val="24"/>
        </w:rPr>
        <w:t>(2), 231.</w:t>
      </w:r>
    </w:p>
    <w:p w14:paraId="67181363"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Bhimani, A. (2009). Risk management, corporate governance and management accounting: Emerging interdependencies. </w:t>
      </w:r>
      <w:r w:rsidRPr="00957375">
        <w:rPr>
          <w:rFonts w:ascii="Times New Roman" w:eastAsia="Calibri" w:hAnsi="Times New Roman" w:cs="Times New Roman"/>
          <w:i/>
          <w:noProof/>
          <w:sz w:val="24"/>
          <w:szCs w:val="24"/>
        </w:rPr>
        <w:t>Management Accounting Research, 20</w:t>
      </w:r>
      <w:r w:rsidRPr="00957375">
        <w:rPr>
          <w:rFonts w:ascii="Times New Roman" w:eastAsia="Calibri" w:hAnsi="Times New Roman" w:cs="Times New Roman"/>
          <w:noProof/>
          <w:sz w:val="24"/>
          <w:szCs w:val="24"/>
        </w:rPr>
        <w:t xml:space="preserve">(1), 2-5. </w:t>
      </w:r>
    </w:p>
    <w:p w14:paraId="21ACB048"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Boubakri, N. (2011). Corporate governance and issues from the insurance industry. </w:t>
      </w:r>
      <w:r w:rsidRPr="00957375">
        <w:rPr>
          <w:rFonts w:ascii="Times New Roman" w:eastAsia="Calibri" w:hAnsi="Times New Roman" w:cs="Times New Roman"/>
          <w:i/>
          <w:noProof/>
          <w:sz w:val="24"/>
          <w:szCs w:val="24"/>
        </w:rPr>
        <w:t>Journal of Risk and Insurance, 78</w:t>
      </w:r>
      <w:r w:rsidRPr="00957375">
        <w:rPr>
          <w:rFonts w:ascii="Times New Roman" w:eastAsia="Calibri" w:hAnsi="Times New Roman" w:cs="Times New Roman"/>
          <w:noProof/>
          <w:sz w:val="24"/>
          <w:szCs w:val="24"/>
        </w:rPr>
        <w:t xml:space="preserve">(3), 501-518. </w:t>
      </w:r>
    </w:p>
    <w:p w14:paraId="78F38289"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Boubakri</w:t>
      </w:r>
      <w:r w:rsidRPr="00957375">
        <w:rPr>
          <w:rFonts w:ascii="Times New Roman" w:eastAsia="Calibri" w:hAnsi="Times New Roman" w:cs="Times New Roman"/>
          <w:noProof/>
          <w:sz w:val="24"/>
          <w:szCs w:val="24"/>
          <w:shd w:val="clear" w:color="auto" w:fill="FFFFFF"/>
        </w:rPr>
        <w:t>, N., Cosset, J. C., &amp; Saffar, W. (2013). The role of state and foreign owners in corporate risk-taking: Evidence from privatization. </w:t>
      </w:r>
      <w:r w:rsidRPr="00957375">
        <w:rPr>
          <w:rFonts w:ascii="Times New Roman" w:eastAsia="Calibri" w:hAnsi="Times New Roman" w:cs="Times New Roman"/>
          <w:i/>
          <w:iCs/>
          <w:noProof/>
          <w:sz w:val="24"/>
          <w:szCs w:val="24"/>
          <w:shd w:val="clear" w:color="auto" w:fill="FFFFFF"/>
        </w:rPr>
        <w:t>Journal of Financial Economics</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108</w:t>
      </w:r>
      <w:r w:rsidRPr="00957375">
        <w:rPr>
          <w:rFonts w:ascii="Times New Roman" w:eastAsia="Calibri" w:hAnsi="Times New Roman" w:cs="Times New Roman"/>
          <w:noProof/>
          <w:sz w:val="24"/>
          <w:szCs w:val="24"/>
          <w:shd w:val="clear" w:color="auto" w:fill="FFFFFF"/>
        </w:rPr>
        <w:t>(3), 641-658.</w:t>
      </w:r>
    </w:p>
    <w:p w14:paraId="30E3AD71"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bookmarkStart w:id="13" w:name="_ENREF_8"/>
      <w:r w:rsidRPr="00957375">
        <w:rPr>
          <w:rFonts w:ascii="Times New Roman" w:eastAsia="Calibri" w:hAnsi="Times New Roman" w:cs="Times New Roman"/>
          <w:noProof/>
          <w:sz w:val="24"/>
          <w:szCs w:val="24"/>
        </w:rPr>
        <w:t xml:space="preserve">Boubakri, N., Dionne, G., &amp; Triki, T. (2008). Consolidation and value creation in the insurance industry: The role of governance. </w:t>
      </w:r>
      <w:r w:rsidRPr="00957375">
        <w:rPr>
          <w:rFonts w:ascii="Times New Roman" w:eastAsia="Calibri" w:hAnsi="Times New Roman" w:cs="Times New Roman"/>
          <w:i/>
          <w:noProof/>
          <w:sz w:val="24"/>
          <w:szCs w:val="24"/>
        </w:rPr>
        <w:t>Journal of Banking &amp; Finance, 32</w:t>
      </w:r>
      <w:r w:rsidRPr="00957375">
        <w:rPr>
          <w:rFonts w:ascii="Times New Roman" w:eastAsia="Calibri" w:hAnsi="Times New Roman" w:cs="Times New Roman"/>
          <w:noProof/>
          <w:sz w:val="24"/>
          <w:szCs w:val="24"/>
        </w:rPr>
        <w:t xml:space="preserve">(1), 56-68. </w:t>
      </w:r>
      <w:bookmarkEnd w:id="13"/>
    </w:p>
    <w:p w14:paraId="2981A2A4" w14:textId="77777777" w:rsidR="00525B27" w:rsidRPr="00473138" w:rsidRDefault="00525B27" w:rsidP="00473138">
      <w:pPr>
        <w:spacing w:after="0" w:line="240" w:lineRule="auto"/>
        <w:ind w:left="720" w:hanging="720"/>
        <w:jc w:val="both"/>
        <w:rPr>
          <w:rFonts w:ascii="Times New Roman" w:eastAsia="Calibri" w:hAnsi="Times New Roman" w:cs="Times New Roman"/>
          <w:noProof/>
          <w:sz w:val="24"/>
          <w:szCs w:val="24"/>
          <w:shd w:val="clear" w:color="auto" w:fill="FFFFFF"/>
        </w:rPr>
      </w:pPr>
      <w:r w:rsidRPr="00473138">
        <w:rPr>
          <w:rFonts w:ascii="Times New Roman" w:eastAsia="Calibri" w:hAnsi="Times New Roman" w:cs="Times New Roman"/>
          <w:noProof/>
          <w:sz w:val="24"/>
          <w:szCs w:val="24"/>
          <w:shd w:val="clear" w:color="auto" w:fill="FFFFFF"/>
        </w:rPr>
        <w:t>Boyd, J. H., &amp; Runkle, D. E. (1993). Size and performance of banking firms: Testing the predictions of theory. </w:t>
      </w:r>
      <w:r w:rsidRPr="00473138">
        <w:rPr>
          <w:rFonts w:ascii="Times New Roman" w:eastAsia="Calibri" w:hAnsi="Times New Roman" w:cs="Times New Roman"/>
          <w:i/>
          <w:iCs/>
          <w:noProof/>
          <w:sz w:val="24"/>
          <w:szCs w:val="24"/>
          <w:shd w:val="clear" w:color="auto" w:fill="FFFFFF"/>
        </w:rPr>
        <w:t>Journal of monetary economics</w:t>
      </w:r>
      <w:r w:rsidRPr="00473138">
        <w:rPr>
          <w:rFonts w:ascii="Times New Roman" w:eastAsia="Calibri" w:hAnsi="Times New Roman" w:cs="Times New Roman"/>
          <w:noProof/>
          <w:sz w:val="24"/>
          <w:szCs w:val="24"/>
          <w:shd w:val="clear" w:color="auto" w:fill="FFFFFF"/>
        </w:rPr>
        <w:t>, </w:t>
      </w:r>
      <w:r w:rsidRPr="00473138">
        <w:rPr>
          <w:rFonts w:ascii="Times New Roman" w:eastAsia="Calibri" w:hAnsi="Times New Roman" w:cs="Times New Roman"/>
          <w:i/>
          <w:iCs/>
          <w:noProof/>
          <w:sz w:val="24"/>
          <w:szCs w:val="24"/>
          <w:shd w:val="clear" w:color="auto" w:fill="FFFFFF"/>
        </w:rPr>
        <w:t>31</w:t>
      </w:r>
      <w:r w:rsidRPr="00473138">
        <w:rPr>
          <w:rFonts w:ascii="Times New Roman" w:eastAsia="Calibri" w:hAnsi="Times New Roman" w:cs="Times New Roman"/>
          <w:noProof/>
          <w:sz w:val="24"/>
          <w:szCs w:val="24"/>
          <w:shd w:val="clear" w:color="auto" w:fill="FFFFFF"/>
        </w:rPr>
        <w:t>(1), 47-67.</w:t>
      </w:r>
    </w:p>
    <w:p w14:paraId="6D493834"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Boyer, M. M., &amp; Stern, L. H. (2012). Is corporate governance risk valued? Evidence from directors’ and officers’ insurance. </w:t>
      </w:r>
      <w:r w:rsidRPr="00957375">
        <w:rPr>
          <w:rFonts w:ascii="Times New Roman" w:eastAsia="Calibri" w:hAnsi="Times New Roman" w:cs="Times New Roman"/>
          <w:i/>
          <w:noProof/>
          <w:sz w:val="24"/>
          <w:szCs w:val="24"/>
        </w:rPr>
        <w:t>Journal of Corporate Finance, 18</w:t>
      </w:r>
      <w:r w:rsidRPr="00957375">
        <w:rPr>
          <w:rFonts w:ascii="Times New Roman" w:eastAsia="Calibri" w:hAnsi="Times New Roman" w:cs="Times New Roman"/>
          <w:noProof/>
          <w:sz w:val="24"/>
          <w:szCs w:val="24"/>
        </w:rPr>
        <w:t xml:space="preserve">(2), 349-372. </w:t>
      </w:r>
    </w:p>
    <w:p w14:paraId="7C177F65" w14:textId="77777777" w:rsidR="00525B27" w:rsidRPr="00957375" w:rsidRDefault="00525B27" w:rsidP="000B6091">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 xml:space="preserve">Bozec, R., &amp; Dia, M. </w:t>
      </w:r>
      <w:r w:rsidRPr="000B6091">
        <w:rPr>
          <w:rFonts w:ascii="Times New Roman" w:eastAsia="Calibri" w:hAnsi="Times New Roman" w:cs="Times New Roman"/>
          <w:noProof/>
          <w:sz w:val="24"/>
          <w:szCs w:val="24"/>
          <w:shd w:val="clear" w:color="auto" w:fill="FFFFFF"/>
        </w:rPr>
        <w:t>(2017)</w:t>
      </w:r>
      <w:r>
        <w:rPr>
          <w:rFonts w:ascii="Times New Roman" w:eastAsia="Calibri" w:hAnsi="Times New Roman" w:cs="Times New Roman"/>
          <w:noProof/>
          <w:sz w:val="24"/>
          <w:szCs w:val="24"/>
          <w:shd w:val="clear" w:color="auto" w:fill="FFFFFF"/>
        </w:rPr>
        <w:t>.</w:t>
      </w:r>
      <w:r w:rsidRPr="000B6091">
        <w:rPr>
          <w:rFonts w:ascii="Times New Roman" w:eastAsia="Calibri" w:hAnsi="Times New Roman" w:cs="Times New Roman"/>
          <w:noProof/>
          <w:sz w:val="24"/>
          <w:szCs w:val="24"/>
          <w:shd w:val="clear" w:color="auto" w:fill="FFFFFF"/>
        </w:rPr>
        <w:t xml:space="preserve"> Monitoring function of the board and audit fees: contingent upon ownership concentration</w:t>
      </w:r>
      <w:r>
        <w:rPr>
          <w:rFonts w:ascii="Times New Roman" w:eastAsia="Calibri" w:hAnsi="Times New Roman" w:cs="Times New Roman"/>
          <w:noProof/>
          <w:sz w:val="24"/>
          <w:szCs w:val="24"/>
          <w:shd w:val="clear" w:color="auto" w:fill="FFFFFF"/>
        </w:rPr>
        <w:t>.</w:t>
      </w:r>
      <w:r w:rsidRPr="000B6091">
        <w:rPr>
          <w:rFonts w:ascii="Times New Roman" w:eastAsia="Calibri" w:hAnsi="Times New Roman" w:cs="Times New Roman"/>
          <w:noProof/>
          <w:sz w:val="24"/>
          <w:szCs w:val="24"/>
          <w:shd w:val="clear" w:color="auto" w:fill="FFFFFF"/>
        </w:rPr>
        <w:t xml:space="preserve"> </w:t>
      </w:r>
      <w:r w:rsidRPr="000B6091">
        <w:rPr>
          <w:rFonts w:ascii="Times New Roman" w:eastAsia="Calibri" w:hAnsi="Times New Roman" w:cs="Times New Roman"/>
          <w:i/>
          <w:iCs/>
          <w:noProof/>
          <w:sz w:val="24"/>
          <w:szCs w:val="24"/>
          <w:shd w:val="clear" w:color="auto" w:fill="FFFFFF"/>
        </w:rPr>
        <w:t>International Journal of Accounting &amp; Information Management</w:t>
      </w:r>
      <w:r w:rsidRPr="000B6091">
        <w:rPr>
          <w:rFonts w:ascii="Times New Roman" w:eastAsia="Calibri" w:hAnsi="Times New Roman" w:cs="Times New Roman"/>
          <w:noProof/>
          <w:sz w:val="24"/>
          <w:szCs w:val="24"/>
          <w:shd w:val="clear" w:color="auto" w:fill="FFFFFF"/>
        </w:rPr>
        <w:t xml:space="preserve">, </w:t>
      </w:r>
      <w:r w:rsidRPr="000B6091">
        <w:rPr>
          <w:rFonts w:ascii="Times New Roman" w:eastAsia="Calibri" w:hAnsi="Times New Roman" w:cs="Times New Roman"/>
          <w:i/>
          <w:iCs/>
          <w:noProof/>
          <w:sz w:val="24"/>
          <w:szCs w:val="24"/>
          <w:shd w:val="clear" w:color="auto" w:fill="FFFFFF"/>
        </w:rPr>
        <w:t>25</w:t>
      </w:r>
      <w:r w:rsidRPr="000B6091">
        <w:rPr>
          <w:rFonts w:ascii="Times New Roman" w:eastAsia="Calibri" w:hAnsi="Times New Roman" w:cs="Times New Roman"/>
          <w:noProof/>
          <w:sz w:val="24"/>
          <w:szCs w:val="24"/>
          <w:shd w:val="clear" w:color="auto" w:fill="FFFFFF"/>
        </w:rPr>
        <w:t xml:space="preserve"> </w:t>
      </w:r>
      <w:r>
        <w:rPr>
          <w:rFonts w:ascii="Times New Roman" w:eastAsia="Calibri" w:hAnsi="Times New Roman" w:cs="Times New Roman"/>
          <w:noProof/>
          <w:sz w:val="24"/>
          <w:szCs w:val="24"/>
          <w:shd w:val="clear" w:color="auto" w:fill="FFFFFF"/>
        </w:rPr>
        <w:t>(</w:t>
      </w:r>
      <w:r w:rsidRPr="000B6091">
        <w:rPr>
          <w:rFonts w:ascii="Times New Roman" w:eastAsia="Calibri" w:hAnsi="Times New Roman" w:cs="Times New Roman"/>
          <w:noProof/>
          <w:sz w:val="24"/>
          <w:szCs w:val="24"/>
          <w:shd w:val="clear" w:color="auto" w:fill="FFFFFF"/>
        </w:rPr>
        <w:t>1</w:t>
      </w:r>
      <w:r>
        <w:rPr>
          <w:rFonts w:ascii="Times New Roman" w:eastAsia="Calibri" w:hAnsi="Times New Roman" w:cs="Times New Roman"/>
          <w:noProof/>
          <w:sz w:val="24"/>
          <w:szCs w:val="24"/>
          <w:shd w:val="clear" w:color="auto" w:fill="FFFFFF"/>
        </w:rPr>
        <w:t>)</w:t>
      </w:r>
      <w:r w:rsidRPr="000B6091">
        <w:rPr>
          <w:rFonts w:ascii="Times New Roman" w:eastAsia="Calibri" w:hAnsi="Times New Roman" w:cs="Times New Roman"/>
          <w:noProof/>
          <w:sz w:val="24"/>
          <w:szCs w:val="24"/>
          <w:shd w:val="clear" w:color="auto" w:fill="FFFFFF"/>
        </w:rPr>
        <w:t>, 70-90</w:t>
      </w:r>
    </w:p>
    <w:p w14:paraId="2A94E956"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Brick, I. E., &amp; Chidambaran, N. (2010). Board meetings, committee structure, and firm value. </w:t>
      </w:r>
      <w:r w:rsidRPr="00957375">
        <w:rPr>
          <w:rFonts w:ascii="Times New Roman" w:eastAsia="Calibri" w:hAnsi="Times New Roman" w:cs="Times New Roman"/>
          <w:i/>
          <w:noProof/>
          <w:sz w:val="24"/>
          <w:szCs w:val="24"/>
        </w:rPr>
        <w:t>Journal of Corporate Finance, 16</w:t>
      </w:r>
      <w:r w:rsidRPr="00957375">
        <w:rPr>
          <w:rFonts w:ascii="Times New Roman" w:eastAsia="Calibri" w:hAnsi="Times New Roman" w:cs="Times New Roman"/>
          <w:noProof/>
          <w:sz w:val="24"/>
          <w:szCs w:val="24"/>
        </w:rPr>
        <w:t xml:space="preserve">(4), 533-553. </w:t>
      </w:r>
    </w:p>
    <w:p w14:paraId="491C6BB1"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Cadbury, A., Sir. (2002). </w:t>
      </w:r>
      <w:r w:rsidRPr="00957375">
        <w:rPr>
          <w:rFonts w:ascii="Times New Roman" w:eastAsia="Calibri" w:hAnsi="Times New Roman" w:cs="Times New Roman"/>
          <w:i/>
          <w:noProof/>
          <w:sz w:val="24"/>
          <w:szCs w:val="24"/>
        </w:rPr>
        <w:t>Corporate governance and chairmanship: A personal view</w:t>
      </w:r>
      <w:r w:rsidRPr="00957375">
        <w:rPr>
          <w:rFonts w:ascii="Times New Roman" w:eastAsia="Calibri" w:hAnsi="Times New Roman" w:cs="Times New Roman"/>
          <w:noProof/>
          <w:sz w:val="24"/>
          <w:szCs w:val="24"/>
        </w:rPr>
        <w:t>. Oxford: Oxford University Press.</w:t>
      </w:r>
    </w:p>
    <w:p w14:paraId="625C443C"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Calomiris</w:t>
      </w:r>
      <w:r w:rsidRPr="00957375">
        <w:rPr>
          <w:rFonts w:ascii="Times New Roman" w:eastAsia="Calibri" w:hAnsi="Times New Roman" w:cs="Times New Roman"/>
          <w:noProof/>
          <w:sz w:val="24"/>
          <w:szCs w:val="24"/>
          <w:shd w:val="clear" w:color="auto" w:fill="FFFFFF"/>
        </w:rPr>
        <w:t>, C. W., &amp; Carlson, M. (2016). Corporate governance and risk management at unprotected banks: National banks in the 1890s. </w:t>
      </w:r>
      <w:r w:rsidRPr="00957375">
        <w:rPr>
          <w:rFonts w:ascii="Times New Roman" w:eastAsia="Calibri" w:hAnsi="Times New Roman" w:cs="Times New Roman"/>
          <w:i/>
          <w:iCs/>
          <w:noProof/>
          <w:sz w:val="24"/>
          <w:szCs w:val="24"/>
          <w:shd w:val="clear" w:color="auto" w:fill="FFFFFF"/>
        </w:rPr>
        <w:t>Journal of Financial Economics</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119</w:t>
      </w:r>
      <w:r w:rsidRPr="00957375">
        <w:rPr>
          <w:rFonts w:ascii="Times New Roman" w:eastAsia="Calibri" w:hAnsi="Times New Roman" w:cs="Times New Roman"/>
          <w:noProof/>
          <w:sz w:val="24"/>
          <w:szCs w:val="24"/>
          <w:shd w:val="clear" w:color="auto" w:fill="FFFFFF"/>
        </w:rPr>
        <w:t>(3), 512-532.</w:t>
      </w:r>
    </w:p>
    <w:p w14:paraId="456FD4B4"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bookmarkStart w:id="14" w:name="_ENREF_15"/>
      <w:r w:rsidRPr="00F55EE0">
        <w:rPr>
          <w:rFonts w:ascii="Times New Roman" w:eastAsia="Calibri" w:hAnsi="Times New Roman" w:cs="Times New Roman"/>
          <w:noProof/>
          <w:sz w:val="24"/>
          <w:szCs w:val="24"/>
          <w:lang w:val="it-IT"/>
        </w:rPr>
        <w:t xml:space="preserve">Cheng, J., Elyasiani, E., &amp; Jia, J. J. (2011). </w:t>
      </w:r>
      <w:r w:rsidRPr="00957375">
        <w:rPr>
          <w:rFonts w:ascii="Times New Roman" w:eastAsia="Calibri" w:hAnsi="Times New Roman" w:cs="Times New Roman"/>
          <w:noProof/>
          <w:sz w:val="24"/>
          <w:szCs w:val="24"/>
        </w:rPr>
        <w:t xml:space="preserve">Institutional ownership stability and risk taking: Evidence from the life–health insurance industry. </w:t>
      </w:r>
      <w:r w:rsidRPr="00957375">
        <w:rPr>
          <w:rFonts w:ascii="Times New Roman" w:eastAsia="Calibri" w:hAnsi="Times New Roman" w:cs="Times New Roman"/>
          <w:i/>
          <w:noProof/>
          <w:sz w:val="24"/>
          <w:szCs w:val="24"/>
        </w:rPr>
        <w:t>Journal of Risk and Insurance, 78</w:t>
      </w:r>
      <w:r w:rsidRPr="00957375">
        <w:rPr>
          <w:rFonts w:ascii="Times New Roman" w:eastAsia="Calibri" w:hAnsi="Times New Roman" w:cs="Times New Roman"/>
          <w:noProof/>
          <w:sz w:val="24"/>
          <w:szCs w:val="24"/>
        </w:rPr>
        <w:t xml:space="preserve">(3), 609-641. </w:t>
      </w:r>
      <w:bookmarkEnd w:id="14"/>
    </w:p>
    <w:p w14:paraId="6E3FE517"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bookmarkStart w:id="15" w:name="_ENREF_16"/>
      <w:r w:rsidRPr="00957375">
        <w:rPr>
          <w:rFonts w:ascii="Times New Roman" w:eastAsia="Calibri" w:hAnsi="Times New Roman" w:cs="Times New Roman"/>
          <w:noProof/>
          <w:sz w:val="24"/>
          <w:szCs w:val="24"/>
        </w:rPr>
        <w:t xml:space="preserve">Cheng, S. (2008). Board size and the variability of corporate performance. </w:t>
      </w:r>
      <w:r w:rsidRPr="00957375">
        <w:rPr>
          <w:rFonts w:ascii="Times New Roman" w:eastAsia="Calibri" w:hAnsi="Times New Roman" w:cs="Times New Roman"/>
          <w:i/>
          <w:noProof/>
          <w:sz w:val="24"/>
          <w:szCs w:val="24"/>
        </w:rPr>
        <w:t>Journal of Financial Economics, 87</w:t>
      </w:r>
      <w:r w:rsidRPr="00957375">
        <w:rPr>
          <w:rFonts w:ascii="Times New Roman" w:eastAsia="Calibri" w:hAnsi="Times New Roman" w:cs="Times New Roman"/>
          <w:noProof/>
          <w:sz w:val="24"/>
          <w:szCs w:val="24"/>
        </w:rPr>
        <w:t xml:space="preserve">(1), 157-176. </w:t>
      </w:r>
      <w:bookmarkEnd w:id="15"/>
    </w:p>
    <w:p w14:paraId="74C29F0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Clarke, T. (2007). </w:t>
      </w:r>
      <w:r w:rsidRPr="00957375">
        <w:rPr>
          <w:rFonts w:ascii="Times New Roman" w:eastAsia="Calibri" w:hAnsi="Times New Roman" w:cs="Times New Roman"/>
          <w:i/>
          <w:noProof/>
          <w:sz w:val="24"/>
          <w:szCs w:val="24"/>
        </w:rPr>
        <w:t>International corporate governance: A comparative approach</w:t>
      </w:r>
      <w:r w:rsidRPr="00957375">
        <w:rPr>
          <w:rFonts w:ascii="Times New Roman" w:eastAsia="Calibri" w:hAnsi="Times New Roman" w:cs="Times New Roman"/>
          <w:noProof/>
          <w:sz w:val="24"/>
          <w:szCs w:val="24"/>
        </w:rPr>
        <w:t>. Abingdon: Routledge.</w:t>
      </w:r>
    </w:p>
    <w:p w14:paraId="176DD02C"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Conger, J. A., Finegold, D., &amp; Lawler, E. E. (1998). Appraising boardroom performance. </w:t>
      </w:r>
      <w:r w:rsidRPr="00957375">
        <w:rPr>
          <w:rFonts w:ascii="Times New Roman" w:eastAsia="Calibri" w:hAnsi="Times New Roman" w:cs="Times New Roman"/>
          <w:i/>
          <w:noProof/>
          <w:sz w:val="24"/>
          <w:szCs w:val="24"/>
        </w:rPr>
        <w:t>Harvard Business Review, 76</w:t>
      </w:r>
      <w:r w:rsidRPr="00957375">
        <w:rPr>
          <w:rFonts w:ascii="Times New Roman" w:eastAsia="Calibri" w:hAnsi="Times New Roman" w:cs="Times New Roman"/>
          <w:noProof/>
          <w:sz w:val="24"/>
          <w:szCs w:val="24"/>
        </w:rPr>
        <w:t>, 136-164.</w:t>
      </w:r>
    </w:p>
    <w:p w14:paraId="6AD7F442"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Connelly, B. L., Certo, S. T., Ireland, R. D., &amp; Reutzel, C. R. (2011). Signaling theory: A review and assessment. </w:t>
      </w:r>
      <w:r w:rsidRPr="00957375">
        <w:rPr>
          <w:rFonts w:ascii="Times New Roman" w:eastAsia="Calibri" w:hAnsi="Times New Roman" w:cs="Times New Roman"/>
          <w:i/>
          <w:noProof/>
          <w:sz w:val="24"/>
          <w:szCs w:val="24"/>
        </w:rPr>
        <w:t>Journal of Management, 37</w:t>
      </w:r>
      <w:r w:rsidRPr="00957375">
        <w:rPr>
          <w:rFonts w:ascii="Times New Roman" w:eastAsia="Calibri" w:hAnsi="Times New Roman" w:cs="Times New Roman"/>
          <w:noProof/>
          <w:sz w:val="24"/>
          <w:szCs w:val="24"/>
        </w:rPr>
        <w:t xml:space="preserve">(1), 39-67. </w:t>
      </w:r>
    </w:p>
    <w:p w14:paraId="79C284B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Core, J. E. (2000). The directors' and officers' insurance premium: An outside assessment of the quality of corporate governance. </w:t>
      </w:r>
      <w:r w:rsidRPr="00957375">
        <w:rPr>
          <w:rFonts w:ascii="Times New Roman" w:eastAsia="Calibri" w:hAnsi="Times New Roman" w:cs="Times New Roman"/>
          <w:i/>
          <w:noProof/>
          <w:sz w:val="24"/>
          <w:szCs w:val="24"/>
        </w:rPr>
        <w:t>Journal of Law, Economics, and Organization, 16</w:t>
      </w:r>
      <w:r w:rsidRPr="00957375">
        <w:rPr>
          <w:rFonts w:ascii="Times New Roman" w:eastAsia="Calibri" w:hAnsi="Times New Roman" w:cs="Times New Roman"/>
          <w:noProof/>
          <w:sz w:val="24"/>
          <w:szCs w:val="24"/>
        </w:rPr>
        <w:t xml:space="preserve">(2), 449-477. </w:t>
      </w:r>
    </w:p>
    <w:p w14:paraId="3DC947F7"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Eisenhardt, K. M. (1989). Agency theory: An assessment and review. </w:t>
      </w:r>
      <w:r w:rsidRPr="00957375">
        <w:rPr>
          <w:rFonts w:ascii="Times New Roman" w:eastAsia="Calibri" w:hAnsi="Times New Roman" w:cs="Times New Roman"/>
          <w:i/>
          <w:noProof/>
          <w:sz w:val="24"/>
          <w:szCs w:val="24"/>
        </w:rPr>
        <w:t>Academy of Management Review, 14</w:t>
      </w:r>
      <w:r w:rsidRPr="00957375">
        <w:rPr>
          <w:rFonts w:ascii="Times New Roman" w:eastAsia="Calibri" w:hAnsi="Times New Roman" w:cs="Times New Roman"/>
          <w:noProof/>
          <w:sz w:val="24"/>
          <w:szCs w:val="24"/>
        </w:rPr>
        <w:t>(1), 57-74.</w:t>
      </w:r>
    </w:p>
    <w:p w14:paraId="6DDAB4EE"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Eling, M., &amp; Marek, S. D. (2014). Corporate governance and risk taking: Evidence from the UK and German insurance markets. </w:t>
      </w:r>
      <w:r w:rsidRPr="00957375">
        <w:rPr>
          <w:rFonts w:ascii="Times New Roman" w:eastAsia="Calibri" w:hAnsi="Times New Roman" w:cs="Times New Roman"/>
          <w:i/>
          <w:noProof/>
          <w:sz w:val="24"/>
          <w:szCs w:val="24"/>
        </w:rPr>
        <w:t>Journal of Risk and Insurance, 81</w:t>
      </w:r>
      <w:r w:rsidRPr="00957375">
        <w:rPr>
          <w:rFonts w:ascii="Times New Roman" w:eastAsia="Calibri" w:hAnsi="Times New Roman" w:cs="Times New Roman"/>
          <w:noProof/>
          <w:sz w:val="24"/>
          <w:szCs w:val="24"/>
        </w:rPr>
        <w:t>(3), 653-682.</w:t>
      </w:r>
    </w:p>
    <w:p w14:paraId="7A5C055E" w14:textId="77777777" w:rsidR="00525B27"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Elmagrhi, M. H., Ntim, C. G., &amp; Wang, Y. (2016). Antecedents of voluntary corporate governance disclosure: a post-2007/08 financial crisis evidence from the influential UK Combined Code. </w:t>
      </w:r>
      <w:r w:rsidRPr="00957375">
        <w:rPr>
          <w:rFonts w:ascii="Times New Roman" w:eastAsia="Calibri" w:hAnsi="Times New Roman" w:cs="Times New Roman"/>
          <w:i/>
          <w:iCs/>
          <w:noProof/>
          <w:sz w:val="24"/>
          <w:szCs w:val="24"/>
          <w:shd w:val="clear" w:color="auto" w:fill="FFFFFF"/>
        </w:rPr>
        <w:t>Corporate Governance: The international journal of business in society</w:t>
      </w:r>
      <w:r w:rsidRPr="00957375">
        <w:rPr>
          <w:rFonts w:ascii="Times New Roman" w:eastAsia="Calibri" w:hAnsi="Times New Roman" w:cs="Times New Roman"/>
          <w:noProof/>
          <w:sz w:val="24"/>
          <w:szCs w:val="24"/>
          <w:shd w:val="clear" w:color="auto" w:fill="FFFFFF"/>
        </w:rPr>
        <w:t xml:space="preserve">, </w:t>
      </w:r>
      <w:r w:rsidRPr="00957375">
        <w:rPr>
          <w:rFonts w:ascii="Times New Roman" w:eastAsia="Calibri" w:hAnsi="Times New Roman" w:cs="Times New Roman"/>
          <w:i/>
          <w:iCs/>
          <w:noProof/>
          <w:sz w:val="24"/>
          <w:szCs w:val="24"/>
          <w:shd w:val="clear" w:color="auto" w:fill="FFFFFF"/>
        </w:rPr>
        <w:t>16</w:t>
      </w:r>
      <w:r w:rsidRPr="00957375">
        <w:rPr>
          <w:rFonts w:ascii="Times New Roman" w:eastAsia="Calibri" w:hAnsi="Times New Roman" w:cs="Times New Roman"/>
          <w:noProof/>
          <w:sz w:val="24"/>
          <w:szCs w:val="24"/>
          <w:shd w:val="clear" w:color="auto" w:fill="FFFFFF"/>
        </w:rPr>
        <w:t>(3), 507-538.</w:t>
      </w:r>
    </w:p>
    <w:p w14:paraId="3746F18B" w14:textId="77777777" w:rsidR="00525B27" w:rsidRPr="00957375" w:rsidRDefault="00525B27" w:rsidP="00A34354">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 xml:space="preserve">Elmagrhi, M. H., Ntim, C. G., </w:t>
      </w:r>
      <w:r w:rsidRPr="00A34354">
        <w:rPr>
          <w:rFonts w:ascii="Times New Roman" w:eastAsia="Calibri" w:hAnsi="Times New Roman" w:cs="Times New Roman"/>
          <w:noProof/>
          <w:sz w:val="24"/>
          <w:szCs w:val="24"/>
          <w:shd w:val="clear" w:color="auto" w:fill="FFFFFF"/>
        </w:rPr>
        <w:t>Crossley</w:t>
      </w:r>
      <w:r>
        <w:rPr>
          <w:rFonts w:ascii="Times New Roman" w:eastAsia="Calibri" w:hAnsi="Times New Roman" w:cs="Times New Roman"/>
          <w:noProof/>
          <w:sz w:val="24"/>
          <w:szCs w:val="24"/>
          <w:shd w:val="clear" w:color="auto" w:fill="FFFFFF"/>
        </w:rPr>
        <w:t xml:space="preserve">, R., </w:t>
      </w:r>
      <w:r w:rsidRPr="00A34354">
        <w:rPr>
          <w:rFonts w:ascii="Times New Roman" w:eastAsia="Calibri" w:hAnsi="Times New Roman" w:cs="Times New Roman"/>
          <w:noProof/>
          <w:sz w:val="24"/>
          <w:szCs w:val="24"/>
          <w:shd w:val="clear" w:color="auto" w:fill="FFFFFF"/>
        </w:rPr>
        <w:t>Malagila</w:t>
      </w:r>
      <w:r>
        <w:rPr>
          <w:rFonts w:ascii="Times New Roman" w:eastAsia="Calibri" w:hAnsi="Times New Roman" w:cs="Times New Roman"/>
          <w:noProof/>
          <w:sz w:val="24"/>
          <w:szCs w:val="24"/>
          <w:shd w:val="clear" w:color="auto" w:fill="FFFFFF"/>
        </w:rPr>
        <w:t xml:space="preserve">, J., Fosu, S., </w:t>
      </w:r>
      <w:r w:rsidRPr="00957375">
        <w:rPr>
          <w:rFonts w:ascii="Times New Roman" w:eastAsia="Calibri" w:hAnsi="Times New Roman" w:cs="Times New Roman"/>
          <w:noProof/>
          <w:sz w:val="24"/>
          <w:szCs w:val="24"/>
          <w:shd w:val="clear" w:color="auto" w:fill="FFFFFF"/>
        </w:rPr>
        <w:t xml:space="preserve">&amp; </w:t>
      </w:r>
      <w:r>
        <w:rPr>
          <w:rFonts w:ascii="Times New Roman" w:eastAsia="Calibri" w:hAnsi="Times New Roman" w:cs="Times New Roman"/>
          <w:noProof/>
          <w:sz w:val="24"/>
          <w:szCs w:val="24"/>
          <w:shd w:val="clear" w:color="auto" w:fill="FFFFFF"/>
        </w:rPr>
        <w:t>Vu</w:t>
      </w:r>
      <w:r w:rsidRPr="00957375">
        <w:rPr>
          <w:rFonts w:ascii="Times New Roman" w:eastAsia="Calibri" w:hAnsi="Times New Roman" w:cs="Times New Roman"/>
          <w:noProof/>
          <w:sz w:val="24"/>
          <w:szCs w:val="24"/>
          <w:shd w:val="clear" w:color="auto" w:fill="FFFFFF"/>
        </w:rPr>
        <w:t xml:space="preserve">, </w:t>
      </w:r>
      <w:r>
        <w:rPr>
          <w:rFonts w:ascii="Times New Roman" w:eastAsia="Calibri" w:hAnsi="Times New Roman" w:cs="Times New Roman"/>
          <w:noProof/>
          <w:sz w:val="24"/>
          <w:szCs w:val="24"/>
          <w:shd w:val="clear" w:color="auto" w:fill="FFFFFF"/>
        </w:rPr>
        <w:t>T</w:t>
      </w:r>
      <w:r w:rsidRPr="00957375">
        <w:rPr>
          <w:rFonts w:ascii="Times New Roman" w:eastAsia="Calibri" w:hAnsi="Times New Roman" w:cs="Times New Roman"/>
          <w:noProof/>
          <w:sz w:val="24"/>
          <w:szCs w:val="24"/>
          <w:shd w:val="clear" w:color="auto" w:fill="FFFFFF"/>
        </w:rPr>
        <w:t>. (201</w:t>
      </w:r>
      <w:r>
        <w:rPr>
          <w:rFonts w:ascii="Times New Roman" w:eastAsia="Calibri" w:hAnsi="Times New Roman" w:cs="Times New Roman"/>
          <w:noProof/>
          <w:sz w:val="24"/>
          <w:szCs w:val="24"/>
          <w:shd w:val="clear" w:color="auto" w:fill="FFFFFF"/>
        </w:rPr>
        <w:t>7</w:t>
      </w:r>
      <w:r w:rsidRPr="00957375">
        <w:rPr>
          <w:rFonts w:ascii="Times New Roman" w:eastAsia="Calibri" w:hAnsi="Times New Roman" w:cs="Times New Roman"/>
          <w:noProof/>
          <w:sz w:val="24"/>
          <w:szCs w:val="24"/>
          <w:shd w:val="clear" w:color="auto" w:fill="FFFFFF"/>
        </w:rPr>
        <w:t xml:space="preserve">). </w:t>
      </w:r>
      <w:r w:rsidRPr="00A34354">
        <w:rPr>
          <w:rFonts w:ascii="Times New Roman" w:eastAsia="Calibri" w:hAnsi="Times New Roman" w:cs="Times New Roman"/>
          <w:noProof/>
          <w:sz w:val="24"/>
          <w:szCs w:val="24"/>
          <w:shd w:val="clear" w:color="auto" w:fill="FFFFFF"/>
        </w:rPr>
        <w:t>Corporate governance and dividend pay-out policy in UK listed SMEs: The effects of corporate board characteristics</w:t>
      </w:r>
      <w:r w:rsidRPr="00957375">
        <w:rPr>
          <w:rFonts w:ascii="Times New Roman" w:eastAsia="Calibri" w:hAnsi="Times New Roman" w:cs="Times New Roman"/>
          <w:noProof/>
          <w:sz w:val="24"/>
          <w:szCs w:val="24"/>
          <w:shd w:val="clear" w:color="auto" w:fill="FFFFFF"/>
        </w:rPr>
        <w:t>. </w:t>
      </w:r>
      <w:r w:rsidRPr="00A34354">
        <w:rPr>
          <w:rFonts w:ascii="Times New Roman" w:eastAsia="Calibri" w:hAnsi="Times New Roman" w:cs="Times New Roman"/>
          <w:i/>
          <w:iCs/>
          <w:noProof/>
          <w:sz w:val="24"/>
          <w:szCs w:val="24"/>
          <w:shd w:val="clear" w:color="auto" w:fill="FFFFFF"/>
        </w:rPr>
        <w:t>International Journal of Accounting and Information Management In Press</w:t>
      </w:r>
      <w:r w:rsidRPr="00957375">
        <w:rPr>
          <w:rFonts w:ascii="Times New Roman" w:eastAsia="Calibri" w:hAnsi="Times New Roman" w:cs="Times New Roman"/>
          <w:noProof/>
          <w:sz w:val="24"/>
          <w:szCs w:val="24"/>
          <w:shd w:val="clear" w:color="auto" w:fill="FFFFFF"/>
        </w:rPr>
        <w:t>.</w:t>
      </w:r>
    </w:p>
    <w:p w14:paraId="594B1F8F"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Fama, E. F., &amp; Jensen, M. C. (1983). Separation of ownership and control. </w:t>
      </w:r>
      <w:r w:rsidRPr="00957375">
        <w:rPr>
          <w:rFonts w:ascii="Times New Roman" w:eastAsia="Calibri" w:hAnsi="Times New Roman" w:cs="Times New Roman"/>
          <w:i/>
          <w:noProof/>
          <w:sz w:val="24"/>
          <w:szCs w:val="24"/>
        </w:rPr>
        <w:t>The Journal of Law &amp; Economics, 26</w:t>
      </w:r>
      <w:r w:rsidRPr="00957375">
        <w:rPr>
          <w:rFonts w:ascii="Times New Roman" w:eastAsia="Calibri" w:hAnsi="Times New Roman" w:cs="Times New Roman"/>
          <w:noProof/>
          <w:sz w:val="24"/>
          <w:szCs w:val="24"/>
        </w:rPr>
        <w:t xml:space="preserve">(2), 301-325. </w:t>
      </w:r>
    </w:p>
    <w:p w14:paraId="32069DF9"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Fama, E. F., &amp; Jensen, M. C. (1985). Organizational forms and investment decisions. </w:t>
      </w:r>
      <w:r w:rsidRPr="00957375">
        <w:rPr>
          <w:rFonts w:ascii="Times New Roman" w:eastAsia="Calibri" w:hAnsi="Times New Roman" w:cs="Times New Roman"/>
          <w:i/>
          <w:noProof/>
          <w:sz w:val="24"/>
          <w:szCs w:val="24"/>
        </w:rPr>
        <w:t>Journal of Financial Economics, 14</w:t>
      </w:r>
      <w:r w:rsidRPr="00957375">
        <w:rPr>
          <w:rFonts w:ascii="Times New Roman" w:eastAsia="Calibri" w:hAnsi="Times New Roman" w:cs="Times New Roman"/>
          <w:noProof/>
          <w:sz w:val="24"/>
          <w:szCs w:val="24"/>
        </w:rPr>
        <w:t xml:space="preserve">(1), 101-119. </w:t>
      </w:r>
    </w:p>
    <w:p w14:paraId="42E717F3"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FRC. (2012). </w:t>
      </w:r>
      <w:r w:rsidRPr="00957375">
        <w:rPr>
          <w:rFonts w:ascii="Times New Roman" w:eastAsia="Calibri" w:hAnsi="Times New Roman" w:cs="Times New Roman"/>
          <w:i/>
          <w:noProof/>
          <w:sz w:val="24"/>
          <w:szCs w:val="24"/>
        </w:rPr>
        <w:t>UK Corporate Governance Code 2012</w:t>
      </w:r>
      <w:r w:rsidRPr="00957375">
        <w:rPr>
          <w:rFonts w:ascii="Times New Roman" w:eastAsia="Calibri" w:hAnsi="Times New Roman" w:cs="Times New Roman"/>
          <w:noProof/>
          <w:sz w:val="24"/>
          <w:szCs w:val="24"/>
        </w:rPr>
        <w:t xml:space="preserve">. Retrieved from </w:t>
      </w:r>
      <w:hyperlink r:id="rId24" w:history="1">
        <w:r w:rsidRPr="00957375">
          <w:rPr>
            <w:rFonts w:ascii="Times New Roman" w:eastAsia="Calibri" w:hAnsi="Times New Roman" w:cs="Times New Roman"/>
            <w:noProof/>
            <w:sz w:val="24"/>
            <w:szCs w:val="24"/>
            <w:u w:val="single"/>
          </w:rPr>
          <w:t>www.frc.org.uk/</w:t>
        </w:r>
      </w:hyperlink>
      <w:r w:rsidRPr="00957375">
        <w:rPr>
          <w:rFonts w:ascii="Times New Roman" w:eastAsia="Calibri" w:hAnsi="Times New Roman" w:cs="Times New Roman"/>
          <w:noProof/>
          <w:sz w:val="24"/>
          <w:szCs w:val="24"/>
        </w:rPr>
        <w:t xml:space="preserve"> /Corporate-Governance/UK-Corporate-Governance.</w:t>
      </w:r>
    </w:p>
    <w:p w14:paraId="368E8B7C"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FRC. (2014). The UK Corporate Governance Code. Retrieved from https://www. frc. org. uk/Our-Work/Publications/Corporate-Governance. UK-Corporate-Governance-Code-September-2012. pdf</w:t>
      </w:r>
    </w:p>
    <w:p w14:paraId="1589F575" w14:textId="3B60969D" w:rsidR="00525B27" w:rsidRPr="00957375" w:rsidRDefault="00525B27" w:rsidP="00155637">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French, A., Vital, M., &amp; Minot, D. (2015). Insurance and financial stability. Bank of England. </w:t>
      </w:r>
      <w:r w:rsidRPr="00957375">
        <w:rPr>
          <w:rFonts w:ascii="Times New Roman" w:eastAsia="Calibri" w:hAnsi="Times New Roman" w:cs="Times New Roman"/>
          <w:i/>
          <w:noProof/>
          <w:sz w:val="24"/>
          <w:szCs w:val="24"/>
        </w:rPr>
        <w:t>Quarterly Bulletin, 55</w:t>
      </w:r>
      <w:r w:rsidR="00155637">
        <w:rPr>
          <w:rFonts w:ascii="Times New Roman" w:eastAsia="Calibri" w:hAnsi="Times New Roman" w:cs="Times New Roman"/>
          <w:noProof/>
          <w:sz w:val="24"/>
          <w:szCs w:val="24"/>
        </w:rPr>
        <w:t>(3).</w:t>
      </w:r>
    </w:p>
    <w:p w14:paraId="00E5B211" w14:textId="77777777" w:rsidR="00525B27" w:rsidRPr="00473138" w:rsidRDefault="00525B27" w:rsidP="00473138">
      <w:pPr>
        <w:spacing w:after="0" w:line="240" w:lineRule="auto"/>
        <w:ind w:left="720" w:hanging="720"/>
        <w:jc w:val="both"/>
        <w:rPr>
          <w:rFonts w:ascii="Times New Roman" w:eastAsia="Calibri" w:hAnsi="Times New Roman" w:cs="Times New Roman"/>
          <w:noProof/>
          <w:sz w:val="24"/>
          <w:szCs w:val="24"/>
          <w:shd w:val="clear" w:color="auto" w:fill="FFFFFF"/>
        </w:rPr>
      </w:pPr>
      <w:r w:rsidRPr="00473138">
        <w:rPr>
          <w:rFonts w:ascii="Times New Roman" w:eastAsia="Calibri" w:hAnsi="Times New Roman" w:cs="Times New Roman"/>
          <w:noProof/>
          <w:sz w:val="24"/>
          <w:szCs w:val="24"/>
          <w:shd w:val="clear" w:color="auto" w:fill="FFFFFF"/>
        </w:rPr>
        <w:t>Fu, X. M., Lin, Y. R., &amp; Molyneux, P. (2014). Bank competition and financial stability in Asia Pacific. </w:t>
      </w:r>
      <w:r w:rsidRPr="00473138">
        <w:rPr>
          <w:rFonts w:ascii="Times New Roman" w:eastAsia="Calibri" w:hAnsi="Times New Roman" w:cs="Times New Roman"/>
          <w:i/>
          <w:iCs/>
          <w:noProof/>
          <w:sz w:val="24"/>
          <w:szCs w:val="24"/>
          <w:shd w:val="clear" w:color="auto" w:fill="FFFFFF"/>
        </w:rPr>
        <w:t>Journal of Banking &amp; Finance</w:t>
      </w:r>
      <w:r w:rsidRPr="00473138">
        <w:rPr>
          <w:rFonts w:ascii="Times New Roman" w:eastAsia="Calibri" w:hAnsi="Times New Roman" w:cs="Times New Roman"/>
          <w:noProof/>
          <w:sz w:val="24"/>
          <w:szCs w:val="24"/>
          <w:shd w:val="clear" w:color="auto" w:fill="FFFFFF"/>
        </w:rPr>
        <w:t>, </w:t>
      </w:r>
      <w:r w:rsidRPr="00473138">
        <w:rPr>
          <w:rFonts w:ascii="Times New Roman" w:eastAsia="Calibri" w:hAnsi="Times New Roman" w:cs="Times New Roman"/>
          <w:i/>
          <w:iCs/>
          <w:noProof/>
          <w:sz w:val="24"/>
          <w:szCs w:val="24"/>
          <w:shd w:val="clear" w:color="auto" w:fill="FFFFFF"/>
        </w:rPr>
        <w:t>38</w:t>
      </w:r>
      <w:r w:rsidRPr="00473138">
        <w:rPr>
          <w:rFonts w:ascii="Times New Roman" w:eastAsia="Calibri" w:hAnsi="Times New Roman" w:cs="Times New Roman"/>
          <w:noProof/>
          <w:sz w:val="24"/>
          <w:szCs w:val="24"/>
          <w:shd w:val="clear" w:color="auto" w:fill="FFFFFF"/>
        </w:rPr>
        <w:t>, 64-77.</w:t>
      </w:r>
    </w:p>
    <w:p w14:paraId="47FAD24B" w14:textId="77777777" w:rsidR="00525B27" w:rsidRPr="00957375" w:rsidRDefault="00525B27" w:rsidP="00473138">
      <w:pPr>
        <w:spacing w:after="0" w:line="240" w:lineRule="auto"/>
        <w:ind w:left="720" w:hanging="720"/>
        <w:jc w:val="both"/>
        <w:rPr>
          <w:rFonts w:ascii="Times New Roman" w:eastAsia="Calibri" w:hAnsi="Times New Roman" w:cs="Times New Roman"/>
          <w:noProof/>
          <w:sz w:val="24"/>
          <w:szCs w:val="24"/>
          <w:shd w:val="clear" w:color="auto" w:fill="FFFFFF"/>
        </w:rPr>
      </w:pPr>
      <w:r w:rsidRPr="00B802BF">
        <w:rPr>
          <w:rFonts w:ascii="Times New Roman" w:eastAsia="Calibri" w:hAnsi="Times New Roman" w:cs="Times New Roman"/>
          <w:noProof/>
          <w:sz w:val="24"/>
          <w:szCs w:val="24"/>
          <w:shd w:val="clear" w:color="auto" w:fill="FFFFFF"/>
          <w:lang w:val="es-ES"/>
        </w:rPr>
        <w:t xml:space="preserve">González, L. O., Razia, A., Búa, M. V., &amp; Sestayo, R. L. (2017). </w:t>
      </w:r>
      <w:r w:rsidRPr="00473138">
        <w:rPr>
          <w:rFonts w:ascii="Times New Roman" w:eastAsia="Calibri" w:hAnsi="Times New Roman" w:cs="Times New Roman"/>
          <w:noProof/>
          <w:sz w:val="24"/>
          <w:szCs w:val="24"/>
          <w:shd w:val="clear" w:color="auto" w:fill="FFFFFF"/>
        </w:rPr>
        <w:t>Competition, concentration and risk taking in Banking sector of MENA countries. </w:t>
      </w:r>
      <w:r w:rsidRPr="00473138">
        <w:rPr>
          <w:rFonts w:ascii="Times New Roman" w:eastAsia="Calibri" w:hAnsi="Times New Roman" w:cs="Times New Roman"/>
          <w:i/>
          <w:iCs/>
          <w:noProof/>
          <w:sz w:val="24"/>
          <w:szCs w:val="24"/>
          <w:shd w:val="clear" w:color="auto" w:fill="FFFFFF"/>
        </w:rPr>
        <w:t>Research in International Business and Finance</w:t>
      </w:r>
      <w:r w:rsidRPr="00473138">
        <w:rPr>
          <w:rFonts w:ascii="Times New Roman" w:eastAsia="Calibri" w:hAnsi="Times New Roman" w:cs="Times New Roman"/>
          <w:noProof/>
          <w:sz w:val="24"/>
          <w:szCs w:val="24"/>
          <w:shd w:val="clear" w:color="auto" w:fill="FFFFFF"/>
        </w:rPr>
        <w:t>, </w:t>
      </w:r>
      <w:r w:rsidRPr="00473138">
        <w:rPr>
          <w:rFonts w:ascii="Times New Roman" w:eastAsia="Calibri" w:hAnsi="Times New Roman" w:cs="Times New Roman"/>
          <w:i/>
          <w:iCs/>
          <w:noProof/>
          <w:sz w:val="24"/>
          <w:szCs w:val="24"/>
          <w:shd w:val="clear" w:color="auto" w:fill="FFFFFF"/>
        </w:rPr>
        <w:t>42</w:t>
      </w:r>
      <w:r w:rsidRPr="00473138">
        <w:rPr>
          <w:rFonts w:ascii="Times New Roman" w:eastAsia="Calibri" w:hAnsi="Times New Roman" w:cs="Times New Roman"/>
          <w:noProof/>
          <w:sz w:val="24"/>
          <w:szCs w:val="24"/>
          <w:shd w:val="clear" w:color="auto" w:fill="FFFFFF"/>
        </w:rPr>
        <w:t>, 591-604.</w:t>
      </w:r>
    </w:p>
    <w:p w14:paraId="636BBF33"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B802BF">
        <w:rPr>
          <w:rFonts w:ascii="Times New Roman" w:eastAsia="Calibri" w:hAnsi="Times New Roman" w:cs="Times New Roman"/>
          <w:noProof/>
          <w:sz w:val="24"/>
          <w:szCs w:val="24"/>
          <w:lang w:val="it-IT"/>
        </w:rPr>
        <w:t xml:space="preserve">Gujarati, D. N., &amp; Porter, D. C. (2009). </w:t>
      </w:r>
      <w:r w:rsidRPr="00957375">
        <w:rPr>
          <w:rFonts w:ascii="Times New Roman" w:eastAsia="Calibri" w:hAnsi="Times New Roman" w:cs="Times New Roman"/>
          <w:i/>
          <w:noProof/>
          <w:sz w:val="24"/>
          <w:szCs w:val="24"/>
        </w:rPr>
        <w:t>Basic econometrics</w:t>
      </w:r>
      <w:r w:rsidRPr="00957375">
        <w:rPr>
          <w:rFonts w:ascii="Times New Roman" w:eastAsia="Calibri" w:hAnsi="Times New Roman" w:cs="Times New Roman"/>
          <w:noProof/>
          <w:sz w:val="24"/>
          <w:szCs w:val="24"/>
        </w:rPr>
        <w:t xml:space="preserve"> (5th ed.). London: McGraw-Hill.</w:t>
      </w:r>
    </w:p>
    <w:p w14:paraId="03130F8F"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Haniffa, R., &amp; Hudaib, M. (2006). Corporate governance structure and performance of Malaysian listed companies. </w:t>
      </w:r>
      <w:r w:rsidRPr="00957375">
        <w:rPr>
          <w:rFonts w:ascii="Times New Roman" w:eastAsia="Calibri" w:hAnsi="Times New Roman" w:cs="Times New Roman"/>
          <w:i/>
          <w:noProof/>
          <w:sz w:val="24"/>
          <w:szCs w:val="24"/>
        </w:rPr>
        <w:t>Journal of Business Finance &amp; Accounting, 33</w:t>
      </w:r>
      <w:r w:rsidRPr="00957375">
        <w:rPr>
          <w:rFonts w:ascii="Times New Roman" w:eastAsia="Calibri" w:hAnsi="Times New Roman" w:cs="Times New Roman"/>
          <w:noProof/>
          <w:sz w:val="24"/>
          <w:szCs w:val="24"/>
        </w:rPr>
        <w:t>(7</w:t>
      </w:r>
      <w:r w:rsidRPr="00957375">
        <w:rPr>
          <w:rFonts w:ascii="Cambria Math" w:eastAsia="Calibri" w:hAnsi="Cambria Math" w:cs="Cambria Math"/>
          <w:noProof/>
          <w:sz w:val="24"/>
          <w:szCs w:val="24"/>
        </w:rPr>
        <w:t>‐</w:t>
      </w:r>
      <w:r w:rsidRPr="00957375">
        <w:rPr>
          <w:rFonts w:ascii="Times New Roman" w:eastAsia="Calibri" w:hAnsi="Times New Roman" w:cs="Times New Roman"/>
          <w:noProof/>
          <w:sz w:val="24"/>
          <w:szCs w:val="24"/>
        </w:rPr>
        <w:t>8), 1034-1062.</w:t>
      </w:r>
    </w:p>
    <w:p w14:paraId="0D489DC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Hardwick, P., Adams, M., &amp; Zou, H. (2011). Board characteristics and profit efficiency in the United Kingdom life insurance industry. </w:t>
      </w:r>
      <w:r w:rsidRPr="00957375">
        <w:rPr>
          <w:rFonts w:ascii="Times New Roman" w:eastAsia="Calibri" w:hAnsi="Times New Roman" w:cs="Times New Roman"/>
          <w:i/>
          <w:noProof/>
          <w:sz w:val="24"/>
          <w:szCs w:val="24"/>
        </w:rPr>
        <w:t>Journal of Business Finance &amp; Accounting, 38</w:t>
      </w:r>
      <w:r w:rsidRPr="00957375">
        <w:rPr>
          <w:rFonts w:ascii="Times New Roman" w:eastAsia="Calibri" w:hAnsi="Times New Roman" w:cs="Times New Roman"/>
          <w:noProof/>
          <w:sz w:val="24"/>
          <w:szCs w:val="24"/>
        </w:rPr>
        <w:t>(7</w:t>
      </w:r>
      <w:r w:rsidRPr="00957375">
        <w:rPr>
          <w:rFonts w:ascii="Cambria Math" w:eastAsia="Calibri" w:hAnsi="Cambria Math" w:cs="Cambria Math"/>
          <w:noProof/>
          <w:sz w:val="24"/>
          <w:szCs w:val="24"/>
        </w:rPr>
        <w:t>‐</w:t>
      </w:r>
      <w:r w:rsidRPr="00957375">
        <w:rPr>
          <w:rFonts w:ascii="Times New Roman" w:eastAsia="Calibri" w:hAnsi="Times New Roman" w:cs="Times New Roman"/>
          <w:noProof/>
          <w:sz w:val="24"/>
          <w:szCs w:val="24"/>
        </w:rPr>
        <w:t xml:space="preserve">8), 987-1015. </w:t>
      </w:r>
    </w:p>
    <w:p w14:paraId="35DA3B1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Higgs, D. (2003). </w:t>
      </w:r>
      <w:r w:rsidRPr="00957375">
        <w:rPr>
          <w:rFonts w:ascii="Times New Roman" w:eastAsia="Calibri" w:hAnsi="Times New Roman" w:cs="Times New Roman"/>
          <w:i/>
          <w:noProof/>
          <w:sz w:val="24"/>
          <w:szCs w:val="24"/>
        </w:rPr>
        <w:t>Review of the role and effectiveness of non-executive directors</w:t>
      </w:r>
      <w:r w:rsidRPr="00957375">
        <w:rPr>
          <w:rFonts w:ascii="Times New Roman" w:eastAsia="Calibri" w:hAnsi="Times New Roman" w:cs="Times New Roman"/>
          <w:noProof/>
          <w:sz w:val="24"/>
          <w:szCs w:val="24"/>
        </w:rPr>
        <w:t>. London: DTI.</w:t>
      </w:r>
    </w:p>
    <w:p w14:paraId="101A5AC9"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Hines, C. S., Masli, A., Mauldin, E. G., &amp; Peters, G. F. (2015). Board risk committees and audit pricing. Auditing: </w:t>
      </w:r>
      <w:r w:rsidRPr="00957375">
        <w:rPr>
          <w:rFonts w:ascii="Times New Roman" w:eastAsia="Calibri" w:hAnsi="Times New Roman" w:cs="Times New Roman"/>
          <w:i/>
          <w:noProof/>
          <w:sz w:val="24"/>
          <w:szCs w:val="24"/>
        </w:rPr>
        <w:t>A Journal of Practice &amp; Theory, 34</w:t>
      </w:r>
      <w:r w:rsidRPr="00957375">
        <w:rPr>
          <w:rFonts w:ascii="Times New Roman" w:eastAsia="Calibri" w:hAnsi="Times New Roman" w:cs="Times New Roman"/>
          <w:noProof/>
          <w:sz w:val="24"/>
          <w:szCs w:val="24"/>
        </w:rPr>
        <w:t xml:space="preserve">(4), 59-84. </w:t>
      </w:r>
    </w:p>
    <w:p w14:paraId="5A5251BC"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Hsu, W.-Y., &amp; Petchsakulwong, P. (2010). The impact of corporate governance on the efficiency performance of the Thai non-life insurance industry. </w:t>
      </w:r>
      <w:r w:rsidRPr="00957375">
        <w:rPr>
          <w:rFonts w:ascii="Times New Roman" w:eastAsia="Calibri" w:hAnsi="Times New Roman" w:cs="Times New Roman"/>
          <w:i/>
          <w:noProof/>
          <w:sz w:val="24"/>
          <w:szCs w:val="24"/>
        </w:rPr>
        <w:t>The Geneva Papers on Risk and Insurance-Issues and Practice,</w:t>
      </w:r>
      <w:r w:rsidRPr="00957375">
        <w:rPr>
          <w:rFonts w:ascii="Times New Roman" w:eastAsia="Calibri" w:hAnsi="Times New Roman" w:cs="Times New Roman"/>
          <w:noProof/>
          <w:sz w:val="24"/>
          <w:szCs w:val="24"/>
        </w:rPr>
        <w:t xml:space="preserve"> S28-S49. </w:t>
      </w:r>
    </w:p>
    <w:p w14:paraId="0786C804"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Jensen, M. C. (1993). The modern industrial revolution, exit, and the failure of internal control systems. </w:t>
      </w:r>
      <w:r w:rsidRPr="00957375">
        <w:rPr>
          <w:rFonts w:ascii="Times New Roman" w:eastAsia="Calibri" w:hAnsi="Times New Roman" w:cs="Times New Roman"/>
          <w:i/>
          <w:noProof/>
          <w:sz w:val="24"/>
          <w:szCs w:val="24"/>
        </w:rPr>
        <w:t>The Journal of Finance, 48</w:t>
      </w:r>
      <w:r w:rsidRPr="00957375">
        <w:rPr>
          <w:rFonts w:ascii="Times New Roman" w:eastAsia="Calibri" w:hAnsi="Times New Roman" w:cs="Times New Roman"/>
          <w:noProof/>
          <w:sz w:val="24"/>
          <w:szCs w:val="24"/>
        </w:rPr>
        <w:t>(3), 831-880.</w:t>
      </w:r>
    </w:p>
    <w:p w14:paraId="58B3FF0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Jensen, M. C. (2001). Value maximization, stakeholder theory, and the corporate objective function. </w:t>
      </w:r>
      <w:r w:rsidRPr="00957375">
        <w:rPr>
          <w:rFonts w:ascii="Times New Roman" w:eastAsia="Calibri" w:hAnsi="Times New Roman" w:cs="Times New Roman"/>
          <w:i/>
          <w:noProof/>
          <w:sz w:val="24"/>
          <w:szCs w:val="24"/>
        </w:rPr>
        <w:t>Journal of Applied Corporate Finance, 14</w:t>
      </w:r>
      <w:r w:rsidRPr="00957375">
        <w:rPr>
          <w:rFonts w:ascii="Times New Roman" w:eastAsia="Calibri" w:hAnsi="Times New Roman" w:cs="Times New Roman"/>
          <w:noProof/>
          <w:sz w:val="24"/>
          <w:szCs w:val="24"/>
        </w:rPr>
        <w:t xml:space="preserve">(3), 8-21. </w:t>
      </w:r>
    </w:p>
    <w:p w14:paraId="0C4C2EAD"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Jensen, M. C., &amp; Meckling, W. H. (1976). Theory of the firm: Managerial behavior, agency costs and ownership structure. </w:t>
      </w:r>
      <w:r w:rsidRPr="00957375">
        <w:rPr>
          <w:rFonts w:ascii="Times New Roman" w:eastAsia="Calibri" w:hAnsi="Times New Roman" w:cs="Times New Roman"/>
          <w:i/>
          <w:noProof/>
          <w:sz w:val="24"/>
          <w:szCs w:val="24"/>
        </w:rPr>
        <w:t>Journal of Financial Economics, 3</w:t>
      </w:r>
      <w:r w:rsidRPr="00957375">
        <w:rPr>
          <w:rFonts w:ascii="Times New Roman" w:eastAsia="Calibri" w:hAnsi="Times New Roman" w:cs="Times New Roman"/>
          <w:noProof/>
          <w:sz w:val="24"/>
          <w:szCs w:val="24"/>
        </w:rPr>
        <w:t xml:space="preserve">(4), 305-360. </w:t>
      </w:r>
    </w:p>
    <w:p w14:paraId="61A768F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Jermias, J., &amp; Gani, L. (2014). The impact of board capital and board characteristics on firm performance. </w:t>
      </w:r>
      <w:r w:rsidRPr="00957375">
        <w:rPr>
          <w:rFonts w:ascii="Times New Roman" w:eastAsia="Calibri" w:hAnsi="Times New Roman" w:cs="Times New Roman"/>
          <w:i/>
          <w:noProof/>
          <w:sz w:val="24"/>
          <w:szCs w:val="24"/>
        </w:rPr>
        <w:t>The British Accounting Review, 46</w:t>
      </w:r>
      <w:r w:rsidRPr="00957375">
        <w:rPr>
          <w:rFonts w:ascii="Times New Roman" w:eastAsia="Calibri" w:hAnsi="Times New Roman" w:cs="Times New Roman"/>
          <w:noProof/>
          <w:sz w:val="24"/>
          <w:szCs w:val="24"/>
        </w:rPr>
        <w:t xml:space="preserve">(2), 135-153. </w:t>
      </w:r>
    </w:p>
    <w:p w14:paraId="6E733F9F" w14:textId="77777777" w:rsidR="00525B27"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John</w:t>
      </w:r>
      <w:r w:rsidRPr="00957375">
        <w:rPr>
          <w:rFonts w:ascii="Times New Roman" w:eastAsia="Calibri" w:hAnsi="Times New Roman" w:cs="Times New Roman"/>
          <w:noProof/>
          <w:sz w:val="24"/>
          <w:szCs w:val="24"/>
          <w:shd w:val="clear" w:color="auto" w:fill="FFFFFF"/>
        </w:rPr>
        <w:t>, K., Litov, L., &amp; Yeung, B. (2008). Corporate governance and risk</w:t>
      </w:r>
      <w:r w:rsidRPr="00957375">
        <w:rPr>
          <w:rFonts w:ascii="Cambria Math" w:eastAsia="Calibri" w:hAnsi="Cambria Math" w:cs="Cambria Math"/>
          <w:noProof/>
          <w:sz w:val="24"/>
          <w:szCs w:val="24"/>
          <w:shd w:val="clear" w:color="auto" w:fill="FFFFFF"/>
        </w:rPr>
        <w:t>‐</w:t>
      </w:r>
      <w:r w:rsidRPr="00957375">
        <w:rPr>
          <w:rFonts w:ascii="Times New Roman" w:eastAsia="Calibri" w:hAnsi="Times New Roman" w:cs="Times New Roman"/>
          <w:noProof/>
          <w:sz w:val="24"/>
          <w:szCs w:val="24"/>
          <w:shd w:val="clear" w:color="auto" w:fill="FFFFFF"/>
        </w:rPr>
        <w:t>taking. </w:t>
      </w:r>
      <w:r w:rsidRPr="00957375">
        <w:rPr>
          <w:rFonts w:ascii="Times New Roman" w:eastAsia="Calibri" w:hAnsi="Times New Roman" w:cs="Times New Roman"/>
          <w:i/>
          <w:iCs/>
          <w:noProof/>
          <w:sz w:val="24"/>
          <w:szCs w:val="24"/>
          <w:shd w:val="clear" w:color="auto" w:fill="FFFFFF"/>
        </w:rPr>
        <w:t>The Journal of Finance</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63</w:t>
      </w:r>
      <w:r w:rsidRPr="00957375">
        <w:rPr>
          <w:rFonts w:ascii="Times New Roman" w:eastAsia="Calibri" w:hAnsi="Times New Roman" w:cs="Times New Roman"/>
          <w:noProof/>
          <w:sz w:val="24"/>
          <w:szCs w:val="24"/>
          <w:shd w:val="clear" w:color="auto" w:fill="FFFFFF"/>
        </w:rPr>
        <w:t>(4), 1679-1728.</w:t>
      </w:r>
    </w:p>
    <w:p w14:paraId="66346D37"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Laas, D., &amp; Siegel, C. (2013). </w:t>
      </w:r>
      <w:r w:rsidRPr="00957375">
        <w:rPr>
          <w:rFonts w:ascii="Times New Roman" w:eastAsia="Calibri" w:hAnsi="Times New Roman" w:cs="Times New Roman"/>
          <w:i/>
          <w:noProof/>
          <w:sz w:val="24"/>
          <w:szCs w:val="24"/>
        </w:rPr>
        <w:t>Basel accords versus Solvency II: Regulatory adequacy and consistency under the postcrisis capital standards</w:t>
      </w:r>
      <w:r w:rsidRPr="00957375">
        <w:rPr>
          <w:rFonts w:ascii="Times New Roman" w:eastAsia="Calibri" w:hAnsi="Times New Roman" w:cs="Times New Roman"/>
          <w:noProof/>
          <w:sz w:val="24"/>
          <w:szCs w:val="24"/>
        </w:rPr>
        <w:t xml:space="preserve">. [Risk Management and Insurance Working Paper]. </w:t>
      </w:r>
    </w:p>
    <w:p w14:paraId="5C212018"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Laeven</w:t>
      </w:r>
      <w:r w:rsidRPr="00957375">
        <w:rPr>
          <w:rFonts w:ascii="Times New Roman" w:eastAsia="Calibri" w:hAnsi="Times New Roman" w:cs="Times New Roman"/>
          <w:noProof/>
          <w:sz w:val="24"/>
          <w:szCs w:val="24"/>
          <w:shd w:val="clear" w:color="auto" w:fill="FFFFFF"/>
        </w:rPr>
        <w:t>, L., &amp; Levine, R. (2009). Bank governance, regulation and risk taking. </w:t>
      </w:r>
      <w:r w:rsidRPr="00957375">
        <w:rPr>
          <w:rFonts w:ascii="Times New Roman" w:eastAsia="Calibri" w:hAnsi="Times New Roman" w:cs="Times New Roman"/>
          <w:i/>
          <w:iCs/>
          <w:noProof/>
          <w:sz w:val="24"/>
          <w:szCs w:val="24"/>
          <w:shd w:val="clear" w:color="auto" w:fill="FFFFFF"/>
        </w:rPr>
        <w:t>Journal of Financial Economics</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93</w:t>
      </w:r>
      <w:r w:rsidRPr="00957375">
        <w:rPr>
          <w:rFonts w:ascii="Times New Roman" w:eastAsia="Calibri" w:hAnsi="Times New Roman" w:cs="Times New Roman"/>
          <w:noProof/>
          <w:sz w:val="24"/>
          <w:szCs w:val="24"/>
          <w:shd w:val="clear" w:color="auto" w:fill="FFFFFF"/>
        </w:rPr>
        <w:t>(2), 259-275.</w:t>
      </w:r>
    </w:p>
    <w:p w14:paraId="7DD925E3"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Larcker</w:t>
      </w:r>
      <w:r w:rsidRPr="00957375">
        <w:rPr>
          <w:rFonts w:ascii="Times New Roman" w:eastAsia="Calibri" w:hAnsi="Times New Roman" w:cs="Times New Roman"/>
          <w:noProof/>
          <w:sz w:val="24"/>
          <w:szCs w:val="24"/>
          <w:shd w:val="clear" w:color="auto" w:fill="FFFFFF"/>
        </w:rPr>
        <w:t>, D. F., &amp; Rusticus, T. O. (2010). On the use of instrumental variables in accounting research. </w:t>
      </w:r>
      <w:r w:rsidRPr="00957375">
        <w:rPr>
          <w:rFonts w:ascii="Times New Roman" w:eastAsia="Calibri" w:hAnsi="Times New Roman" w:cs="Times New Roman"/>
          <w:i/>
          <w:iCs/>
          <w:noProof/>
          <w:sz w:val="24"/>
          <w:szCs w:val="24"/>
          <w:shd w:val="clear" w:color="auto" w:fill="FFFFFF"/>
        </w:rPr>
        <w:t>Journal of Accounting and Economics</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49</w:t>
      </w:r>
      <w:r w:rsidRPr="00957375">
        <w:rPr>
          <w:rFonts w:ascii="Times New Roman" w:eastAsia="Calibri" w:hAnsi="Times New Roman" w:cs="Times New Roman"/>
          <w:noProof/>
          <w:sz w:val="24"/>
          <w:szCs w:val="24"/>
          <w:shd w:val="clear" w:color="auto" w:fill="FFFFFF"/>
        </w:rPr>
        <w:t>(3), 186-205.</w:t>
      </w:r>
    </w:p>
    <w:p w14:paraId="2E9F69F2"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Li, C. A., &amp; Wearing, R. T. (2012). Risk management and non-executive directors in UK quoted banks and other financial institutions. </w:t>
      </w:r>
      <w:r w:rsidRPr="00957375">
        <w:rPr>
          <w:rFonts w:ascii="Times New Roman" w:eastAsia="Calibri" w:hAnsi="Times New Roman" w:cs="Times New Roman"/>
          <w:i/>
          <w:iCs/>
          <w:noProof/>
          <w:sz w:val="24"/>
          <w:szCs w:val="24"/>
          <w:shd w:val="clear" w:color="auto" w:fill="FFFFFF"/>
        </w:rPr>
        <w:t>International Journal of Disclosure and Governance</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9</w:t>
      </w:r>
      <w:r w:rsidRPr="00957375">
        <w:rPr>
          <w:rFonts w:ascii="Times New Roman" w:eastAsia="Calibri" w:hAnsi="Times New Roman" w:cs="Times New Roman"/>
          <w:noProof/>
          <w:sz w:val="24"/>
          <w:szCs w:val="24"/>
          <w:shd w:val="clear" w:color="auto" w:fill="FFFFFF"/>
        </w:rPr>
        <w:t>(3), 226-237.</w:t>
      </w:r>
    </w:p>
    <w:p w14:paraId="34B024B5" w14:textId="77777777" w:rsidR="00525B27" w:rsidRPr="00525B27" w:rsidRDefault="00525B27" w:rsidP="00525B27">
      <w:pPr>
        <w:spacing w:after="0" w:line="240" w:lineRule="auto"/>
        <w:ind w:left="720" w:hanging="720"/>
        <w:jc w:val="both"/>
        <w:rPr>
          <w:rFonts w:ascii="Times New Roman" w:eastAsia="Calibri" w:hAnsi="Times New Roman" w:cs="Times New Roman"/>
          <w:noProof/>
          <w:sz w:val="24"/>
          <w:szCs w:val="24"/>
          <w:shd w:val="clear" w:color="auto" w:fill="FFFFFF"/>
        </w:rPr>
      </w:pPr>
      <w:r w:rsidRPr="00525B27">
        <w:rPr>
          <w:rFonts w:ascii="Times New Roman" w:eastAsia="Calibri" w:hAnsi="Times New Roman" w:cs="Times New Roman"/>
          <w:noProof/>
          <w:sz w:val="24"/>
          <w:szCs w:val="24"/>
          <w:shd w:val="clear" w:color="auto" w:fill="FFFFFF"/>
        </w:rPr>
        <w:t>Maffei, M., Aria, M., Fiondella, C., Spanò, R., &amp; Zagaria, C. (2014). (Un) useful risk disclosure: explanations from the Italian banks. </w:t>
      </w:r>
      <w:r w:rsidRPr="00525B27">
        <w:rPr>
          <w:rFonts w:ascii="Times New Roman" w:eastAsia="Calibri" w:hAnsi="Times New Roman" w:cs="Times New Roman"/>
          <w:i/>
          <w:iCs/>
          <w:noProof/>
          <w:sz w:val="24"/>
          <w:szCs w:val="24"/>
          <w:shd w:val="clear" w:color="auto" w:fill="FFFFFF"/>
        </w:rPr>
        <w:t>Managerial Auditing Journal</w:t>
      </w:r>
      <w:r w:rsidRPr="00525B27">
        <w:rPr>
          <w:rFonts w:ascii="Times New Roman" w:eastAsia="Calibri" w:hAnsi="Times New Roman" w:cs="Times New Roman"/>
          <w:noProof/>
          <w:sz w:val="24"/>
          <w:szCs w:val="24"/>
          <w:shd w:val="clear" w:color="auto" w:fill="FFFFFF"/>
        </w:rPr>
        <w:t>, </w:t>
      </w:r>
      <w:r w:rsidRPr="00525B27">
        <w:rPr>
          <w:rFonts w:ascii="Times New Roman" w:eastAsia="Calibri" w:hAnsi="Times New Roman" w:cs="Times New Roman"/>
          <w:i/>
          <w:iCs/>
          <w:noProof/>
          <w:sz w:val="24"/>
          <w:szCs w:val="24"/>
          <w:shd w:val="clear" w:color="auto" w:fill="FFFFFF"/>
        </w:rPr>
        <w:t>29</w:t>
      </w:r>
      <w:r w:rsidRPr="00525B27">
        <w:rPr>
          <w:rFonts w:ascii="Times New Roman" w:eastAsia="Calibri" w:hAnsi="Times New Roman" w:cs="Times New Roman"/>
          <w:noProof/>
          <w:sz w:val="24"/>
          <w:szCs w:val="24"/>
          <w:shd w:val="clear" w:color="auto" w:fill="FFFFFF"/>
        </w:rPr>
        <w:t>(7), 621-648.</w:t>
      </w:r>
    </w:p>
    <w:p w14:paraId="784EB00F"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Mathew</w:t>
      </w:r>
      <w:r w:rsidRPr="00957375">
        <w:rPr>
          <w:rFonts w:ascii="Times New Roman" w:eastAsia="Calibri" w:hAnsi="Times New Roman" w:cs="Times New Roman"/>
          <w:noProof/>
          <w:sz w:val="24"/>
          <w:szCs w:val="24"/>
          <w:shd w:val="clear" w:color="auto" w:fill="FFFFFF"/>
        </w:rPr>
        <w:t>, S., Ibrahim, S. &amp; Archbold, S. (2016). Boards attributes that increase firm risk–evidence from the UK.</w:t>
      </w:r>
      <w:r w:rsidRPr="00957375">
        <w:rPr>
          <w:rFonts w:ascii="Times New Roman" w:eastAsia="Calibri" w:hAnsi="Times New Roman" w:cs="Times New Roman"/>
          <w:i/>
          <w:iCs/>
          <w:noProof/>
          <w:sz w:val="24"/>
          <w:szCs w:val="24"/>
          <w:shd w:val="clear" w:color="auto" w:fill="FFFFFF"/>
        </w:rPr>
        <w:t xml:space="preserve"> Corporate Governance: The international journal of business in society</w:t>
      </w:r>
      <w:r w:rsidRPr="00957375">
        <w:rPr>
          <w:rFonts w:ascii="Times New Roman" w:eastAsia="Calibri" w:hAnsi="Times New Roman" w:cs="Times New Roman"/>
          <w:noProof/>
          <w:sz w:val="24"/>
          <w:szCs w:val="24"/>
          <w:shd w:val="clear" w:color="auto" w:fill="FFFFFF"/>
        </w:rPr>
        <w:t xml:space="preserve">, </w:t>
      </w:r>
      <w:r w:rsidRPr="00957375">
        <w:rPr>
          <w:rFonts w:ascii="Times New Roman" w:eastAsia="Calibri" w:hAnsi="Times New Roman" w:cs="Times New Roman"/>
          <w:i/>
          <w:iCs/>
          <w:noProof/>
          <w:sz w:val="24"/>
          <w:szCs w:val="24"/>
          <w:shd w:val="clear" w:color="auto" w:fill="FFFFFF"/>
        </w:rPr>
        <w:t>16</w:t>
      </w:r>
      <w:r w:rsidRPr="00957375">
        <w:rPr>
          <w:rFonts w:ascii="Times New Roman" w:eastAsia="Calibri" w:hAnsi="Times New Roman" w:cs="Times New Roman"/>
          <w:noProof/>
          <w:sz w:val="24"/>
          <w:szCs w:val="24"/>
          <w:shd w:val="clear" w:color="auto" w:fill="FFFFFF"/>
        </w:rPr>
        <w:t>(2), 233-258.</w:t>
      </w:r>
    </w:p>
    <w:p w14:paraId="7DC51A4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Mayers, D., &amp; Smith, C. W. (2010). Compensation and board structure: Evidence from the insurance industry. </w:t>
      </w:r>
      <w:r w:rsidRPr="00957375">
        <w:rPr>
          <w:rFonts w:ascii="Times New Roman" w:eastAsia="Calibri" w:hAnsi="Times New Roman" w:cs="Times New Roman"/>
          <w:i/>
          <w:noProof/>
          <w:sz w:val="24"/>
          <w:szCs w:val="24"/>
        </w:rPr>
        <w:t>Journal of Risk and Insurance, 77</w:t>
      </w:r>
      <w:r w:rsidRPr="00957375">
        <w:rPr>
          <w:rFonts w:ascii="Times New Roman" w:eastAsia="Calibri" w:hAnsi="Times New Roman" w:cs="Times New Roman"/>
          <w:noProof/>
          <w:sz w:val="24"/>
          <w:szCs w:val="24"/>
        </w:rPr>
        <w:t xml:space="preserve">(2), 297-327. </w:t>
      </w:r>
    </w:p>
    <w:p w14:paraId="23810BBA" w14:textId="77777777" w:rsidR="00525B27" w:rsidRPr="00525B27" w:rsidRDefault="00525B27" w:rsidP="00525B27">
      <w:pPr>
        <w:spacing w:after="0" w:line="240" w:lineRule="auto"/>
        <w:ind w:left="720" w:hanging="720"/>
        <w:jc w:val="both"/>
        <w:rPr>
          <w:rFonts w:ascii="Times New Roman" w:eastAsia="Calibri" w:hAnsi="Times New Roman" w:cs="Times New Roman"/>
          <w:noProof/>
          <w:sz w:val="24"/>
          <w:szCs w:val="24"/>
          <w:shd w:val="clear" w:color="auto" w:fill="FFFFFF"/>
        </w:rPr>
      </w:pPr>
      <w:r w:rsidRPr="00525B27">
        <w:rPr>
          <w:rFonts w:ascii="Times New Roman" w:eastAsia="Calibri" w:hAnsi="Times New Roman" w:cs="Times New Roman"/>
          <w:noProof/>
          <w:sz w:val="24"/>
          <w:szCs w:val="24"/>
          <w:shd w:val="clear" w:color="auto" w:fill="FFFFFF"/>
        </w:rPr>
        <w:t>Mokhtar, E., &amp; Mellett, H. (2013). Competition, corporate governance, ownership structure and risk reporting. </w:t>
      </w:r>
      <w:r w:rsidRPr="00525B27">
        <w:rPr>
          <w:rFonts w:ascii="Times New Roman" w:eastAsia="Calibri" w:hAnsi="Times New Roman" w:cs="Times New Roman"/>
          <w:i/>
          <w:iCs/>
          <w:noProof/>
          <w:sz w:val="24"/>
          <w:szCs w:val="24"/>
          <w:shd w:val="clear" w:color="auto" w:fill="FFFFFF"/>
        </w:rPr>
        <w:t>Managerial Auditing Journal</w:t>
      </w:r>
      <w:r w:rsidRPr="00525B27">
        <w:rPr>
          <w:rFonts w:ascii="Times New Roman" w:eastAsia="Calibri" w:hAnsi="Times New Roman" w:cs="Times New Roman"/>
          <w:noProof/>
          <w:sz w:val="24"/>
          <w:szCs w:val="24"/>
          <w:shd w:val="clear" w:color="auto" w:fill="FFFFFF"/>
        </w:rPr>
        <w:t>, </w:t>
      </w:r>
      <w:r w:rsidRPr="00525B27">
        <w:rPr>
          <w:rFonts w:ascii="Times New Roman" w:eastAsia="Calibri" w:hAnsi="Times New Roman" w:cs="Times New Roman"/>
          <w:i/>
          <w:iCs/>
          <w:noProof/>
          <w:sz w:val="24"/>
          <w:szCs w:val="24"/>
          <w:shd w:val="clear" w:color="auto" w:fill="FFFFFF"/>
        </w:rPr>
        <w:t>28</w:t>
      </w:r>
      <w:r w:rsidRPr="00525B27">
        <w:rPr>
          <w:rFonts w:ascii="Times New Roman" w:eastAsia="Calibri" w:hAnsi="Times New Roman" w:cs="Times New Roman"/>
          <w:noProof/>
          <w:sz w:val="24"/>
          <w:szCs w:val="24"/>
          <w:shd w:val="clear" w:color="auto" w:fill="FFFFFF"/>
        </w:rPr>
        <w:t>(9), 838-865.</w:t>
      </w:r>
    </w:p>
    <w:p w14:paraId="28ABAD2C"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Nahar</w:t>
      </w:r>
      <w:r w:rsidRPr="00957375">
        <w:rPr>
          <w:rFonts w:ascii="Times New Roman" w:eastAsia="Calibri" w:hAnsi="Times New Roman" w:cs="Times New Roman"/>
          <w:noProof/>
          <w:sz w:val="24"/>
          <w:szCs w:val="24"/>
          <w:shd w:val="clear" w:color="auto" w:fill="FFFFFF"/>
        </w:rPr>
        <w:t xml:space="preserve"> Abdullah, S. (2004). Board composition, CEO duality and performance among Malaysian listed companies. </w:t>
      </w:r>
      <w:r w:rsidRPr="00957375">
        <w:rPr>
          <w:rFonts w:ascii="Times New Roman" w:eastAsia="Calibri" w:hAnsi="Times New Roman" w:cs="Times New Roman"/>
          <w:i/>
          <w:iCs/>
          <w:noProof/>
          <w:sz w:val="24"/>
          <w:szCs w:val="24"/>
          <w:shd w:val="clear" w:color="auto" w:fill="FFFFFF"/>
        </w:rPr>
        <w:t>Corporate Governance: The international journal of business in society</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4</w:t>
      </w:r>
      <w:r w:rsidRPr="00957375">
        <w:rPr>
          <w:rFonts w:ascii="Times New Roman" w:eastAsia="Calibri" w:hAnsi="Times New Roman" w:cs="Times New Roman"/>
          <w:noProof/>
          <w:sz w:val="24"/>
          <w:szCs w:val="24"/>
          <w:shd w:val="clear" w:color="auto" w:fill="FFFFFF"/>
        </w:rPr>
        <w:t>(4), 47-61.</w:t>
      </w:r>
    </w:p>
    <w:p w14:paraId="5D1F3937" w14:textId="77777777" w:rsidR="00525B27" w:rsidRPr="00957375" w:rsidRDefault="00525B27" w:rsidP="00525B27">
      <w:pPr>
        <w:spacing w:after="0" w:line="240" w:lineRule="auto"/>
        <w:ind w:left="720" w:hanging="720"/>
        <w:jc w:val="both"/>
        <w:rPr>
          <w:rFonts w:ascii="Times New Roman" w:eastAsia="Calibri" w:hAnsi="Times New Roman" w:cs="Times New Roman"/>
          <w:noProof/>
          <w:sz w:val="24"/>
          <w:szCs w:val="24"/>
          <w:shd w:val="clear" w:color="auto" w:fill="FFFFFF"/>
        </w:rPr>
      </w:pPr>
      <w:r w:rsidRPr="00525B27">
        <w:rPr>
          <w:rFonts w:ascii="Times New Roman" w:eastAsia="Calibri" w:hAnsi="Times New Roman" w:cs="Times New Roman"/>
          <w:noProof/>
          <w:sz w:val="24"/>
          <w:szCs w:val="24"/>
          <w:shd w:val="clear" w:color="auto" w:fill="FFFFFF"/>
        </w:rPr>
        <w:t>Nahar, S., Jubb, C., &amp; Azim, M. I. (2016). Risk governance and performance: a developing country perspective. </w:t>
      </w:r>
      <w:r w:rsidRPr="00525B27">
        <w:rPr>
          <w:rFonts w:ascii="Times New Roman" w:eastAsia="Calibri" w:hAnsi="Times New Roman" w:cs="Times New Roman"/>
          <w:i/>
          <w:iCs/>
          <w:noProof/>
          <w:sz w:val="24"/>
          <w:szCs w:val="24"/>
          <w:shd w:val="clear" w:color="auto" w:fill="FFFFFF"/>
        </w:rPr>
        <w:t>Managerial Auditing Journal</w:t>
      </w:r>
      <w:r w:rsidRPr="00525B27">
        <w:rPr>
          <w:rFonts w:ascii="Times New Roman" w:eastAsia="Calibri" w:hAnsi="Times New Roman" w:cs="Times New Roman"/>
          <w:noProof/>
          <w:sz w:val="24"/>
          <w:szCs w:val="24"/>
          <w:shd w:val="clear" w:color="auto" w:fill="FFFFFF"/>
        </w:rPr>
        <w:t>, </w:t>
      </w:r>
      <w:r w:rsidRPr="00525B27">
        <w:rPr>
          <w:rFonts w:ascii="Times New Roman" w:eastAsia="Calibri" w:hAnsi="Times New Roman" w:cs="Times New Roman"/>
          <w:i/>
          <w:iCs/>
          <w:noProof/>
          <w:sz w:val="24"/>
          <w:szCs w:val="24"/>
          <w:shd w:val="clear" w:color="auto" w:fill="FFFFFF"/>
        </w:rPr>
        <w:t>31</w:t>
      </w:r>
      <w:r w:rsidRPr="00525B27">
        <w:rPr>
          <w:rFonts w:ascii="Times New Roman" w:eastAsia="Calibri" w:hAnsi="Times New Roman" w:cs="Times New Roman"/>
          <w:noProof/>
          <w:sz w:val="24"/>
          <w:szCs w:val="24"/>
          <w:shd w:val="clear" w:color="auto" w:fill="FFFFFF"/>
        </w:rPr>
        <w:t>(3), 250-268.</w:t>
      </w:r>
    </w:p>
    <w:p w14:paraId="11E2D0B8"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Najjar, N. J. (2012). The impact of corporate governance on the insurance firm’s performance in Bahrain. </w:t>
      </w:r>
      <w:r w:rsidRPr="00957375">
        <w:rPr>
          <w:rFonts w:ascii="Times New Roman" w:eastAsia="Calibri" w:hAnsi="Times New Roman" w:cs="Times New Roman"/>
          <w:i/>
          <w:noProof/>
          <w:sz w:val="24"/>
          <w:szCs w:val="24"/>
        </w:rPr>
        <w:t>International Journal of Learning and Development, 2</w:t>
      </w:r>
      <w:r w:rsidRPr="00957375">
        <w:rPr>
          <w:rFonts w:ascii="Times New Roman" w:eastAsia="Calibri" w:hAnsi="Times New Roman" w:cs="Times New Roman"/>
          <w:noProof/>
          <w:sz w:val="24"/>
          <w:szCs w:val="24"/>
        </w:rPr>
        <w:t xml:space="preserve">(2), 1-17. </w:t>
      </w:r>
    </w:p>
    <w:p w14:paraId="06D1C356"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Ntim, C. G., &amp; Osei, K. A. (2011). The impact of corporate board meetings on corporate performance in South Africa. </w:t>
      </w:r>
      <w:r w:rsidRPr="00957375">
        <w:rPr>
          <w:rFonts w:ascii="Times New Roman" w:eastAsia="Calibri" w:hAnsi="Times New Roman" w:cs="Times New Roman"/>
          <w:i/>
          <w:noProof/>
          <w:sz w:val="24"/>
          <w:szCs w:val="24"/>
        </w:rPr>
        <w:t>African Review of Economics and Finance, 2</w:t>
      </w:r>
      <w:r w:rsidRPr="00957375">
        <w:rPr>
          <w:rFonts w:ascii="Times New Roman" w:eastAsia="Calibri" w:hAnsi="Times New Roman" w:cs="Times New Roman"/>
          <w:noProof/>
          <w:sz w:val="24"/>
          <w:szCs w:val="24"/>
        </w:rPr>
        <w:t>(2), 83-103.</w:t>
      </w:r>
    </w:p>
    <w:p w14:paraId="383F628E"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u w:val="single"/>
        </w:rPr>
      </w:pPr>
      <w:r w:rsidRPr="00957375">
        <w:rPr>
          <w:rFonts w:ascii="Times New Roman" w:eastAsia="Calibri" w:hAnsi="Times New Roman" w:cs="Times New Roman"/>
          <w:noProof/>
          <w:sz w:val="24"/>
          <w:szCs w:val="24"/>
        </w:rPr>
        <w:t xml:space="preserve">OECD. (2004). </w:t>
      </w:r>
      <w:r w:rsidRPr="00957375">
        <w:rPr>
          <w:rFonts w:ascii="Times New Roman" w:eastAsia="Calibri" w:hAnsi="Times New Roman" w:cs="Times New Roman"/>
          <w:i/>
          <w:noProof/>
          <w:sz w:val="24"/>
          <w:szCs w:val="24"/>
        </w:rPr>
        <w:t>OECD principles of corporate governance</w:t>
      </w:r>
      <w:r w:rsidRPr="00957375">
        <w:rPr>
          <w:rFonts w:ascii="Times New Roman" w:eastAsia="Calibri" w:hAnsi="Times New Roman" w:cs="Times New Roman"/>
          <w:noProof/>
          <w:sz w:val="24"/>
          <w:szCs w:val="24"/>
        </w:rPr>
        <w:t xml:space="preserve">, 3-66. Retrieved from </w:t>
      </w:r>
      <w:hyperlink r:id="rId25" w:history="1">
        <w:r w:rsidRPr="00957375">
          <w:rPr>
            <w:rFonts w:ascii="Times New Roman" w:eastAsia="Calibri" w:hAnsi="Times New Roman" w:cs="Times New Roman"/>
            <w:noProof/>
            <w:sz w:val="24"/>
            <w:szCs w:val="24"/>
            <w:u w:val="single"/>
          </w:rPr>
          <w:t>http://www.oecd.org/corporate/</w:t>
        </w:r>
      </w:hyperlink>
      <w:r w:rsidRPr="00957375">
        <w:rPr>
          <w:rFonts w:ascii="Times New Roman" w:eastAsia="Calibri" w:hAnsi="Times New Roman" w:cs="Times New Roman"/>
          <w:noProof/>
          <w:sz w:val="24"/>
          <w:szCs w:val="24"/>
        </w:rPr>
        <w:t xml:space="preserve"> </w:t>
      </w:r>
      <w:r w:rsidRPr="00957375">
        <w:rPr>
          <w:rFonts w:ascii="Times New Roman" w:eastAsia="Calibri" w:hAnsi="Times New Roman" w:cs="Times New Roman"/>
          <w:noProof/>
          <w:sz w:val="24"/>
          <w:szCs w:val="24"/>
          <w:u w:val="single"/>
        </w:rPr>
        <w:t>ca/corporategovernanceprinciples/31557724.pdf.</w:t>
      </w:r>
    </w:p>
    <w:p w14:paraId="18EEE8A3"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Pallant</w:t>
      </w:r>
      <w:r w:rsidRPr="00957375">
        <w:rPr>
          <w:rFonts w:ascii="Times New Roman" w:eastAsia="Calibri" w:hAnsi="Times New Roman" w:cs="Times New Roman"/>
          <w:noProof/>
          <w:sz w:val="24"/>
          <w:szCs w:val="24"/>
          <w:shd w:val="clear" w:color="auto" w:fill="FFFFFF"/>
        </w:rPr>
        <w:t>, J. (2013). </w:t>
      </w:r>
      <w:r w:rsidRPr="00957375">
        <w:rPr>
          <w:rFonts w:ascii="Times New Roman" w:eastAsia="Calibri" w:hAnsi="Times New Roman" w:cs="Times New Roman"/>
          <w:i/>
          <w:iCs/>
          <w:noProof/>
          <w:sz w:val="24"/>
          <w:szCs w:val="24"/>
          <w:shd w:val="clear" w:color="auto" w:fill="FFFFFF"/>
        </w:rPr>
        <w:t>SPSS survival manual</w:t>
      </w:r>
      <w:r w:rsidRPr="00957375">
        <w:rPr>
          <w:rFonts w:ascii="Times New Roman" w:eastAsia="Calibri" w:hAnsi="Times New Roman" w:cs="Times New Roman"/>
          <w:noProof/>
          <w:sz w:val="24"/>
          <w:szCs w:val="24"/>
          <w:shd w:val="clear" w:color="auto" w:fill="FFFFFF"/>
        </w:rPr>
        <w:t>. McGraw-Hill Education (UK).</w:t>
      </w:r>
    </w:p>
    <w:p w14:paraId="08A48FF1"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Pathan, S., &amp; Faff, R. (2013). Does board structure in banks really affect their performance?. </w:t>
      </w:r>
      <w:r w:rsidRPr="00957375">
        <w:rPr>
          <w:rFonts w:ascii="Times New Roman" w:eastAsia="Calibri" w:hAnsi="Times New Roman" w:cs="Times New Roman"/>
          <w:i/>
          <w:noProof/>
          <w:sz w:val="24"/>
          <w:szCs w:val="24"/>
        </w:rPr>
        <w:t>Journal of Banking &amp; Finance, 37</w:t>
      </w:r>
      <w:r w:rsidRPr="00957375">
        <w:rPr>
          <w:rFonts w:ascii="Times New Roman" w:eastAsia="Calibri" w:hAnsi="Times New Roman" w:cs="Times New Roman"/>
          <w:noProof/>
          <w:sz w:val="24"/>
          <w:szCs w:val="24"/>
        </w:rPr>
        <w:t>(5), 1573-1589.</w:t>
      </w:r>
    </w:p>
    <w:p w14:paraId="2C32B74A"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Priya, K., &amp; Nimalathasan, B. (2013). Board of directors’ characteristics and financial performance: a case study of selected hotels and restaurants in Sri Lanka. </w:t>
      </w:r>
      <w:r w:rsidRPr="00957375">
        <w:rPr>
          <w:rFonts w:ascii="Times New Roman" w:eastAsia="Calibri" w:hAnsi="Times New Roman" w:cs="Times New Roman"/>
          <w:i/>
          <w:noProof/>
          <w:sz w:val="24"/>
          <w:szCs w:val="24"/>
        </w:rPr>
        <w:t>Merit Research Journal of Accounting, Auditing, Economics and Finance, 1</w:t>
      </w:r>
      <w:r w:rsidRPr="00957375">
        <w:rPr>
          <w:rFonts w:ascii="Times New Roman" w:eastAsia="Calibri" w:hAnsi="Times New Roman" w:cs="Times New Roman"/>
          <w:noProof/>
          <w:sz w:val="24"/>
          <w:szCs w:val="24"/>
        </w:rPr>
        <w:t xml:space="preserve">(2), 18-25. </w:t>
      </w:r>
    </w:p>
    <w:p w14:paraId="30AE6834"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PWC. (2010). </w:t>
      </w:r>
      <w:r w:rsidRPr="00957375">
        <w:rPr>
          <w:rFonts w:ascii="Times New Roman" w:eastAsia="Calibri" w:hAnsi="Times New Roman" w:cs="Times New Roman"/>
          <w:i/>
          <w:noProof/>
          <w:sz w:val="24"/>
          <w:szCs w:val="24"/>
        </w:rPr>
        <w:t>Corporate governance: Best practice reporting</w:t>
      </w:r>
      <w:r w:rsidRPr="00957375">
        <w:rPr>
          <w:rFonts w:ascii="Times New Roman" w:eastAsia="Calibri" w:hAnsi="Times New Roman" w:cs="Times New Roman"/>
          <w:noProof/>
          <w:sz w:val="24"/>
          <w:szCs w:val="24"/>
        </w:rPr>
        <w:t>. UK: PWC. Retrieved from http://www.pwc.co.uk/assets/pdf/corporate-governance-best-practice-reporting.pdf .</w:t>
      </w:r>
    </w:p>
    <w:p w14:paraId="2DE04FF5"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B802BF">
        <w:rPr>
          <w:rFonts w:ascii="Times New Roman" w:eastAsia="Calibri" w:hAnsi="Times New Roman" w:cs="Times New Roman"/>
          <w:noProof/>
          <w:sz w:val="24"/>
          <w:szCs w:val="24"/>
          <w:shd w:val="clear" w:color="auto" w:fill="FFFFFF"/>
          <w:lang w:val="fr-FR"/>
        </w:rPr>
        <w:t xml:space="preserve">Rashid, K., &amp; Islam, S. M. (2014). </w:t>
      </w:r>
      <w:r w:rsidRPr="00957375">
        <w:rPr>
          <w:rFonts w:ascii="Times New Roman" w:eastAsia="Calibri" w:hAnsi="Times New Roman" w:cs="Times New Roman"/>
          <w:noProof/>
          <w:sz w:val="24"/>
          <w:szCs w:val="24"/>
          <w:shd w:val="clear" w:color="auto" w:fill="FFFFFF"/>
        </w:rPr>
        <w:t>Corporate governance, firm performance and complementarities in a developed market: A study of the Australian case for the period 2000–2003. </w:t>
      </w:r>
      <w:r w:rsidRPr="00957375">
        <w:rPr>
          <w:rFonts w:ascii="Times New Roman" w:eastAsia="Calibri" w:hAnsi="Times New Roman" w:cs="Times New Roman"/>
          <w:i/>
          <w:iCs/>
          <w:noProof/>
          <w:sz w:val="24"/>
          <w:szCs w:val="24"/>
          <w:shd w:val="clear" w:color="auto" w:fill="FFFFFF"/>
        </w:rPr>
        <w:t>International Journal of Disclosure and Governance</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11</w:t>
      </w:r>
      <w:r w:rsidRPr="00957375">
        <w:rPr>
          <w:rFonts w:ascii="Times New Roman" w:eastAsia="Calibri" w:hAnsi="Times New Roman" w:cs="Times New Roman"/>
          <w:noProof/>
          <w:sz w:val="24"/>
          <w:szCs w:val="24"/>
          <w:shd w:val="clear" w:color="auto" w:fill="FFFFFF"/>
        </w:rPr>
        <w:t>(3), 255-283.</w:t>
      </w:r>
    </w:p>
    <w:p w14:paraId="6BE942A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Solomon, J. (2010). </w:t>
      </w:r>
      <w:r w:rsidRPr="00957375">
        <w:rPr>
          <w:rFonts w:ascii="Times New Roman" w:eastAsia="Calibri" w:hAnsi="Times New Roman" w:cs="Times New Roman"/>
          <w:i/>
          <w:noProof/>
          <w:sz w:val="24"/>
          <w:szCs w:val="24"/>
        </w:rPr>
        <w:t>Corporate governance and accountability</w:t>
      </w:r>
      <w:r w:rsidRPr="00957375">
        <w:rPr>
          <w:rFonts w:ascii="Times New Roman" w:eastAsia="Calibri" w:hAnsi="Times New Roman" w:cs="Times New Roman"/>
          <w:noProof/>
          <w:sz w:val="24"/>
          <w:szCs w:val="24"/>
        </w:rPr>
        <w:t xml:space="preserve"> (3rd ed.): Chichester: John Wiley &amp; Sons.</w:t>
      </w:r>
    </w:p>
    <w:p w14:paraId="611C6995"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Spira, L. F., &amp; Page, M. (2003). Risk management: The reinvention of internal control and the changing role of internal audit. </w:t>
      </w:r>
      <w:r w:rsidRPr="00957375">
        <w:rPr>
          <w:rFonts w:ascii="Times New Roman" w:eastAsia="Calibri" w:hAnsi="Times New Roman" w:cs="Times New Roman"/>
          <w:i/>
          <w:noProof/>
          <w:sz w:val="24"/>
          <w:szCs w:val="24"/>
        </w:rPr>
        <w:t>Accounting, Auditing &amp; Accountability Journal, 16</w:t>
      </w:r>
      <w:r w:rsidRPr="00957375">
        <w:rPr>
          <w:rFonts w:ascii="Times New Roman" w:eastAsia="Calibri" w:hAnsi="Times New Roman" w:cs="Times New Roman"/>
          <w:noProof/>
          <w:sz w:val="24"/>
          <w:szCs w:val="24"/>
        </w:rPr>
        <w:t>(4), 640-661.</w:t>
      </w:r>
    </w:p>
    <w:p w14:paraId="1A0B5285"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rPr>
        <w:t>Su</w:t>
      </w:r>
      <w:r w:rsidRPr="00957375">
        <w:rPr>
          <w:rFonts w:ascii="Times New Roman" w:eastAsia="Calibri" w:hAnsi="Times New Roman" w:cs="Times New Roman"/>
          <w:noProof/>
          <w:sz w:val="24"/>
          <w:szCs w:val="24"/>
          <w:shd w:val="clear" w:color="auto" w:fill="FFFFFF"/>
        </w:rPr>
        <w:t>, W., &amp; Lee, C. Y. (2013). Effects of corporate governance on risk taking in Taiwanese family firms during institutional reform. </w:t>
      </w:r>
      <w:r w:rsidRPr="00957375">
        <w:rPr>
          <w:rFonts w:ascii="Times New Roman" w:eastAsia="Calibri" w:hAnsi="Times New Roman" w:cs="Times New Roman"/>
          <w:i/>
          <w:iCs/>
          <w:noProof/>
          <w:sz w:val="24"/>
          <w:szCs w:val="24"/>
          <w:shd w:val="clear" w:color="auto" w:fill="FFFFFF"/>
        </w:rPr>
        <w:t>Asia Pacific Journal of Management</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30</w:t>
      </w:r>
      <w:r w:rsidRPr="00957375">
        <w:rPr>
          <w:rFonts w:ascii="Times New Roman" w:eastAsia="Calibri" w:hAnsi="Times New Roman" w:cs="Times New Roman"/>
          <w:noProof/>
          <w:sz w:val="24"/>
          <w:szCs w:val="24"/>
          <w:shd w:val="clear" w:color="auto" w:fill="FFFFFF"/>
        </w:rPr>
        <w:t>(3), 809-828.</w:t>
      </w:r>
    </w:p>
    <w:p w14:paraId="3F69868B"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Tanda, A. (2015). Corporate governance and bank regulation: The impact on capital ratios. </w:t>
      </w:r>
      <w:r w:rsidRPr="00957375">
        <w:rPr>
          <w:rFonts w:ascii="Times New Roman" w:eastAsia="Calibri" w:hAnsi="Times New Roman" w:cs="Times New Roman"/>
          <w:i/>
          <w:iCs/>
          <w:noProof/>
          <w:sz w:val="24"/>
          <w:szCs w:val="24"/>
          <w:shd w:val="clear" w:color="auto" w:fill="FFFFFF"/>
        </w:rPr>
        <w:t>International Journal of Disclosure and Governance</w:t>
      </w:r>
      <w:r w:rsidRPr="00957375">
        <w:rPr>
          <w:rFonts w:ascii="Times New Roman" w:eastAsia="Calibri" w:hAnsi="Times New Roman" w:cs="Times New Roman"/>
          <w:noProof/>
          <w:sz w:val="24"/>
          <w:szCs w:val="24"/>
          <w:shd w:val="clear" w:color="auto" w:fill="FFFFFF"/>
        </w:rPr>
        <w:t>, </w:t>
      </w:r>
      <w:r w:rsidRPr="00957375">
        <w:rPr>
          <w:rFonts w:ascii="Times New Roman" w:eastAsia="Calibri" w:hAnsi="Times New Roman" w:cs="Times New Roman"/>
          <w:i/>
          <w:iCs/>
          <w:noProof/>
          <w:sz w:val="24"/>
          <w:szCs w:val="24"/>
          <w:shd w:val="clear" w:color="auto" w:fill="FFFFFF"/>
        </w:rPr>
        <w:t>12</w:t>
      </w:r>
      <w:r w:rsidRPr="00957375">
        <w:rPr>
          <w:rFonts w:ascii="Times New Roman" w:eastAsia="Calibri" w:hAnsi="Times New Roman" w:cs="Times New Roman"/>
          <w:noProof/>
          <w:sz w:val="24"/>
          <w:szCs w:val="24"/>
          <w:shd w:val="clear" w:color="auto" w:fill="FFFFFF"/>
        </w:rPr>
        <w:t>(4), 327-353.</w:t>
      </w:r>
    </w:p>
    <w:p w14:paraId="42B3218A"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Tornyeva, K., &amp; Wereko, T. (2012). Corporate governance and firm performance: Evidence from the insurance sector of Ghana. </w:t>
      </w:r>
      <w:r w:rsidRPr="00957375">
        <w:rPr>
          <w:rFonts w:ascii="Times New Roman" w:eastAsia="Calibri" w:hAnsi="Times New Roman" w:cs="Times New Roman"/>
          <w:i/>
          <w:noProof/>
          <w:sz w:val="24"/>
          <w:szCs w:val="24"/>
        </w:rPr>
        <w:t>Corporate Governance, 4</w:t>
      </w:r>
      <w:r w:rsidRPr="00957375">
        <w:rPr>
          <w:rFonts w:ascii="Times New Roman" w:eastAsia="Calibri" w:hAnsi="Times New Roman" w:cs="Times New Roman"/>
          <w:noProof/>
          <w:sz w:val="24"/>
          <w:szCs w:val="24"/>
        </w:rPr>
        <w:t xml:space="preserve">(13). </w:t>
      </w:r>
    </w:p>
    <w:p w14:paraId="6D1A7649"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Vafeas, N. (1999). Board meeting frequency and firm performance. </w:t>
      </w:r>
      <w:r w:rsidRPr="00957375">
        <w:rPr>
          <w:rFonts w:ascii="Times New Roman" w:eastAsia="Calibri" w:hAnsi="Times New Roman" w:cs="Times New Roman"/>
          <w:i/>
          <w:noProof/>
          <w:sz w:val="24"/>
          <w:szCs w:val="24"/>
        </w:rPr>
        <w:t>Journal of Financial Economics, 53</w:t>
      </w:r>
      <w:r w:rsidRPr="00957375">
        <w:rPr>
          <w:rFonts w:ascii="Times New Roman" w:eastAsia="Calibri" w:hAnsi="Times New Roman" w:cs="Times New Roman"/>
          <w:noProof/>
          <w:sz w:val="24"/>
          <w:szCs w:val="24"/>
        </w:rPr>
        <w:t>(1), 113-142. doi:10.1016/S0304-405X(99)00018-5</w:t>
      </w:r>
    </w:p>
    <w:p w14:paraId="2B38AF7A"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Vafeas, N., &amp; Theodorou, E. (1998). The relationship between board structure and firm performance in the UK. </w:t>
      </w:r>
      <w:r w:rsidRPr="00957375">
        <w:rPr>
          <w:rFonts w:ascii="Times New Roman" w:eastAsia="Calibri" w:hAnsi="Times New Roman" w:cs="Times New Roman"/>
          <w:i/>
          <w:noProof/>
          <w:sz w:val="24"/>
          <w:szCs w:val="24"/>
        </w:rPr>
        <w:t>The British Accounting Review, 30</w:t>
      </w:r>
      <w:r w:rsidRPr="00957375">
        <w:rPr>
          <w:rFonts w:ascii="Times New Roman" w:eastAsia="Calibri" w:hAnsi="Times New Roman" w:cs="Times New Roman"/>
          <w:noProof/>
          <w:sz w:val="24"/>
          <w:szCs w:val="24"/>
        </w:rPr>
        <w:t xml:space="preserve">(4), 383-407. </w:t>
      </w:r>
    </w:p>
    <w:p w14:paraId="3232C4E6"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rPr>
      </w:pPr>
      <w:r w:rsidRPr="00957375">
        <w:rPr>
          <w:rFonts w:ascii="Times New Roman" w:eastAsia="Calibri" w:hAnsi="Times New Roman" w:cs="Times New Roman"/>
          <w:noProof/>
          <w:sz w:val="24"/>
          <w:szCs w:val="24"/>
        </w:rPr>
        <w:t xml:space="preserve">Weir, C., &amp; Laing, D. (2001). Governance structures, director independence and corporate performance in the UK. </w:t>
      </w:r>
      <w:r w:rsidRPr="00957375">
        <w:rPr>
          <w:rFonts w:ascii="Times New Roman" w:eastAsia="Calibri" w:hAnsi="Times New Roman" w:cs="Times New Roman"/>
          <w:i/>
          <w:noProof/>
          <w:sz w:val="24"/>
          <w:szCs w:val="24"/>
        </w:rPr>
        <w:t>European Business Review, 13</w:t>
      </w:r>
      <w:r w:rsidRPr="00957375">
        <w:rPr>
          <w:rFonts w:ascii="Times New Roman" w:eastAsia="Calibri" w:hAnsi="Times New Roman" w:cs="Times New Roman"/>
          <w:noProof/>
          <w:sz w:val="24"/>
          <w:szCs w:val="24"/>
        </w:rPr>
        <w:t xml:space="preserve">(2), 86-95. </w:t>
      </w:r>
    </w:p>
    <w:p w14:paraId="1FD15D29" w14:textId="77777777" w:rsidR="00525B27" w:rsidRPr="00957375" w:rsidRDefault="00525B27" w:rsidP="00957375">
      <w:pPr>
        <w:spacing w:after="0" w:line="240" w:lineRule="auto"/>
        <w:ind w:left="720" w:hanging="720"/>
        <w:jc w:val="both"/>
        <w:rPr>
          <w:rFonts w:ascii="Times New Roman" w:eastAsia="Calibri" w:hAnsi="Times New Roman" w:cs="Times New Roman"/>
          <w:noProof/>
          <w:sz w:val="24"/>
          <w:szCs w:val="24"/>
          <w:shd w:val="clear" w:color="auto" w:fill="FFFFFF"/>
        </w:rPr>
      </w:pPr>
      <w:r w:rsidRPr="00957375">
        <w:rPr>
          <w:rFonts w:ascii="Times New Roman" w:eastAsia="Calibri" w:hAnsi="Times New Roman" w:cs="Times New Roman"/>
          <w:noProof/>
          <w:sz w:val="24"/>
          <w:szCs w:val="24"/>
          <w:shd w:val="clear" w:color="auto" w:fill="FFFFFF"/>
        </w:rPr>
        <w:t>Yeoh, P. (2010). Causes of the global financial crisis: Learning from the competing insights. </w:t>
      </w:r>
      <w:r w:rsidRPr="00957375">
        <w:rPr>
          <w:rFonts w:ascii="Times New Roman" w:eastAsia="Calibri" w:hAnsi="Times New Roman" w:cs="Times New Roman"/>
          <w:i/>
          <w:iCs/>
          <w:noProof/>
          <w:sz w:val="24"/>
          <w:szCs w:val="24"/>
          <w:shd w:val="clear" w:color="auto" w:fill="FFFFFF"/>
        </w:rPr>
        <w:t>International Journal of Disclosure and Governance</w:t>
      </w:r>
      <w:r w:rsidRPr="00957375">
        <w:rPr>
          <w:rFonts w:ascii="Times New Roman" w:eastAsia="Calibri" w:hAnsi="Times New Roman" w:cs="Times New Roman"/>
          <w:noProof/>
          <w:sz w:val="24"/>
          <w:szCs w:val="24"/>
          <w:shd w:val="clear" w:color="auto" w:fill="FFFFFF"/>
        </w:rPr>
        <w:t>,</w:t>
      </w:r>
      <w:r w:rsidRPr="00957375">
        <w:rPr>
          <w:rFonts w:ascii="Times New Roman" w:eastAsia="Calibri" w:hAnsi="Times New Roman" w:cs="Times New Roman"/>
          <w:i/>
          <w:iCs/>
          <w:noProof/>
          <w:sz w:val="24"/>
          <w:szCs w:val="24"/>
          <w:shd w:val="clear" w:color="auto" w:fill="FFFFFF"/>
        </w:rPr>
        <w:t>7</w:t>
      </w:r>
      <w:r w:rsidRPr="00957375">
        <w:rPr>
          <w:rFonts w:ascii="Times New Roman" w:eastAsia="Calibri" w:hAnsi="Times New Roman" w:cs="Times New Roman"/>
          <w:noProof/>
          <w:sz w:val="24"/>
          <w:szCs w:val="24"/>
          <w:shd w:val="clear" w:color="auto" w:fill="FFFFFF"/>
        </w:rPr>
        <w:t>(1), 42-69.</w:t>
      </w:r>
    </w:p>
    <w:p w14:paraId="682A0D42" w14:textId="77777777" w:rsidR="00C32C59" w:rsidRDefault="00C32C59">
      <w:pPr>
        <w:rPr>
          <w:rFonts w:ascii="Times New Roman" w:eastAsia="Calibri" w:hAnsi="Times New Roman" w:cs="Times New Roman"/>
          <w:noProof/>
          <w:sz w:val="24"/>
          <w:szCs w:val="24"/>
        </w:rPr>
      </w:pPr>
      <w:r>
        <w:rPr>
          <w:rFonts w:ascii="Times New Roman" w:eastAsia="Calibri" w:hAnsi="Times New Roman" w:cs="Times New Roman"/>
          <w:noProof/>
          <w:sz w:val="24"/>
          <w:szCs w:val="24"/>
        </w:rPr>
        <w:br w:type="page"/>
      </w:r>
    </w:p>
    <w:p w14:paraId="304B88BA" w14:textId="77777777" w:rsidR="00C32C59" w:rsidRPr="00C32C59" w:rsidRDefault="00C32C59" w:rsidP="00C32C59">
      <w:pPr>
        <w:keepNext/>
        <w:keepLines/>
        <w:spacing w:after="0" w:line="480" w:lineRule="auto"/>
        <w:jc w:val="both"/>
        <w:outlineLvl w:val="0"/>
        <w:rPr>
          <w:rFonts w:ascii="Times New Roman" w:eastAsia="Calibri" w:hAnsi="Times New Roman" w:cs="Times New Roman"/>
          <w:b/>
        </w:rPr>
      </w:pPr>
      <w:r w:rsidRPr="00C32C59">
        <w:rPr>
          <w:rFonts w:ascii="Times New Roman" w:eastAsia="Calibri" w:hAnsi="Times New Roman" w:cs="Times New Roman"/>
          <w:b/>
        </w:rPr>
        <w:t>Tables</w:t>
      </w:r>
    </w:p>
    <w:p w14:paraId="5CC902B0" w14:textId="77777777" w:rsidR="00C32C59" w:rsidRPr="00C32C59" w:rsidRDefault="00C32C59" w:rsidP="00C32C59">
      <w:pPr>
        <w:spacing w:line="240" w:lineRule="auto"/>
        <w:jc w:val="both"/>
        <w:rPr>
          <w:rFonts w:ascii="Times New Roman" w:eastAsia="Calibri" w:hAnsi="Times New Roman" w:cs="Times New Roman"/>
          <w:b/>
          <w:bCs/>
          <w:sz w:val="24"/>
          <w:szCs w:val="24"/>
        </w:rPr>
      </w:pPr>
      <w:bookmarkStart w:id="16" w:name="_Toc459936917"/>
      <w:r w:rsidRPr="00C32C59">
        <w:rPr>
          <w:rFonts w:ascii="Times New Roman" w:eastAsia="Calibri" w:hAnsi="Times New Roman" w:cs="Times New Roman"/>
          <w:b/>
          <w:bCs/>
          <w:sz w:val="24"/>
          <w:szCs w:val="24"/>
        </w:rPr>
        <w:t>Table 1: Sample choice process</w:t>
      </w:r>
      <w:bookmarkEnd w:id="16"/>
    </w:p>
    <w:tbl>
      <w:tblPr>
        <w:tblStyle w:val="TableGrid11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1365"/>
        <w:gridCol w:w="1372"/>
      </w:tblGrid>
      <w:tr w:rsidR="00C32C59" w:rsidRPr="00C32C59" w14:paraId="6900E721" w14:textId="77777777" w:rsidTr="001C4D87">
        <w:trPr>
          <w:trHeight w:val="20"/>
        </w:trPr>
        <w:tc>
          <w:tcPr>
            <w:tcW w:w="3484" w:type="pct"/>
            <w:tcBorders>
              <w:top w:val="single" w:sz="12" w:space="0" w:color="auto"/>
              <w:bottom w:val="single" w:sz="12" w:space="0" w:color="auto"/>
            </w:tcBorders>
            <w:vAlign w:val="center"/>
          </w:tcPr>
          <w:p w14:paraId="2678FFD8" w14:textId="448922C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Sample aspects on April 2016</w:t>
            </w:r>
          </w:p>
        </w:tc>
        <w:tc>
          <w:tcPr>
            <w:tcW w:w="756" w:type="pct"/>
            <w:tcBorders>
              <w:top w:val="single" w:sz="12" w:space="0" w:color="auto"/>
              <w:bottom w:val="single" w:sz="12" w:space="0" w:color="auto"/>
            </w:tcBorders>
            <w:vAlign w:val="center"/>
          </w:tcPr>
          <w:p w14:paraId="0AFBB626" w14:textId="77777777" w:rsidR="00C32C59" w:rsidRPr="00C32C59" w:rsidRDefault="00C32C59" w:rsidP="00C32C59">
            <w:pPr>
              <w:spacing w:line="360" w:lineRule="auto"/>
              <w:jc w:val="center"/>
              <w:rPr>
                <w:rFonts w:ascii="Times New Roman" w:eastAsia="Calibri" w:hAnsi="Times New Roman" w:cs="Times New Roman"/>
                <w:sz w:val="24"/>
                <w:szCs w:val="24"/>
              </w:rPr>
            </w:pPr>
            <w:r w:rsidRPr="00C32C59">
              <w:rPr>
                <w:rFonts w:ascii="Times New Roman" w:eastAsia="Calibri" w:hAnsi="Times New Roman" w:cs="Times New Roman"/>
                <w:sz w:val="24"/>
                <w:szCs w:val="24"/>
              </w:rPr>
              <w:t>No of firms</w:t>
            </w:r>
          </w:p>
        </w:tc>
        <w:tc>
          <w:tcPr>
            <w:tcW w:w="760" w:type="pct"/>
            <w:tcBorders>
              <w:top w:val="single" w:sz="12" w:space="0" w:color="auto"/>
              <w:bottom w:val="single" w:sz="12" w:space="0" w:color="auto"/>
            </w:tcBorders>
            <w:vAlign w:val="center"/>
          </w:tcPr>
          <w:p w14:paraId="75877784" w14:textId="77777777" w:rsidR="00C32C59" w:rsidRPr="00C32C59" w:rsidRDefault="00C32C59" w:rsidP="00C32C59">
            <w:pPr>
              <w:spacing w:line="360" w:lineRule="auto"/>
              <w:jc w:val="center"/>
              <w:rPr>
                <w:rFonts w:ascii="Times New Roman" w:eastAsia="Calibri" w:hAnsi="Times New Roman" w:cs="Times New Roman"/>
                <w:sz w:val="24"/>
                <w:szCs w:val="24"/>
              </w:rPr>
            </w:pPr>
            <w:r w:rsidRPr="00C32C59">
              <w:rPr>
                <w:rFonts w:ascii="Times New Roman" w:eastAsia="Calibri" w:hAnsi="Times New Roman" w:cs="Times New Roman"/>
                <w:sz w:val="24"/>
                <w:szCs w:val="24"/>
              </w:rPr>
              <w:t>No of obs</w:t>
            </w:r>
          </w:p>
        </w:tc>
      </w:tr>
      <w:tr w:rsidR="00C32C59" w:rsidRPr="00C32C59" w14:paraId="4FBEA68D" w14:textId="77777777" w:rsidTr="001C4D87">
        <w:trPr>
          <w:trHeight w:val="20"/>
        </w:trPr>
        <w:tc>
          <w:tcPr>
            <w:tcW w:w="3484" w:type="pct"/>
            <w:tcBorders>
              <w:top w:val="single" w:sz="12" w:space="0" w:color="auto"/>
            </w:tcBorders>
            <w:vAlign w:val="center"/>
          </w:tcPr>
          <w:p w14:paraId="62AFD7A5"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Total firms in  FTSE 350 </w:t>
            </w:r>
          </w:p>
        </w:tc>
        <w:tc>
          <w:tcPr>
            <w:tcW w:w="756" w:type="pct"/>
            <w:tcBorders>
              <w:top w:val="single" w:sz="12" w:space="0" w:color="auto"/>
            </w:tcBorders>
            <w:vAlign w:val="center"/>
          </w:tcPr>
          <w:p w14:paraId="0EF0BC0C"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350</w:t>
            </w:r>
          </w:p>
        </w:tc>
        <w:tc>
          <w:tcPr>
            <w:tcW w:w="760" w:type="pct"/>
            <w:tcBorders>
              <w:top w:val="single" w:sz="12" w:space="0" w:color="auto"/>
            </w:tcBorders>
            <w:vAlign w:val="center"/>
          </w:tcPr>
          <w:p w14:paraId="446AC970"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3500</w:t>
            </w:r>
          </w:p>
        </w:tc>
      </w:tr>
      <w:tr w:rsidR="00C32C59" w:rsidRPr="00C32C59" w14:paraId="7697751D" w14:textId="77777777" w:rsidTr="001C4D87">
        <w:trPr>
          <w:trHeight w:val="20"/>
        </w:trPr>
        <w:tc>
          <w:tcPr>
            <w:tcW w:w="3484" w:type="pct"/>
            <w:vAlign w:val="center"/>
          </w:tcPr>
          <w:p w14:paraId="60085965"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 Non-insurance firms in  FTSE 350 </w:t>
            </w:r>
          </w:p>
        </w:tc>
        <w:tc>
          <w:tcPr>
            <w:tcW w:w="756" w:type="pct"/>
            <w:vAlign w:val="center"/>
          </w:tcPr>
          <w:p w14:paraId="3B5A604B"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335</w:t>
            </w:r>
          </w:p>
        </w:tc>
        <w:tc>
          <w:tcPr>
            <w:tcW w:w="760" w:type="pct"/>
            <w:vAlign w:val="center"/>
          </w:tcPr>
          <w:p w14:paraId="152CE69B"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3350</w:t>
            </w:r>
          </w:p>
        </w:tc>
      </w:tr>
      <w:tr w:rsidR="00C32C59" w:rsidRPr="00C32C59" w14:paraId="3AC9C6D9" w14:textId="77777777" w:rsidTr="001C4D87">
        <w:trPr>
          <w:trHeight w:val="20"/>
        </w:trPr>
        <w:tc>
          <w:tcPr>
            <w:tcW w:w="3484" w:type="pct"/>
            <w:vAlign w:val="center"/>
          </w:tcPr>
          <w:p w14:paraId="2B74CB34"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 Insurance firms in  FTSE 350 </w:t>
            </w:r>
          </w:p>
        </w:tc>
        <w:tc>
          <w:tcPr>
            <w:tcW w:w="756" w:type="pct"/>
            <w:vAlign w:val="center"/>
          </w:tcPr>
          <w:p w14:paraId="3AA4527F"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15</w:t>
            </w:r>
          </w:p>
        </w:tc>
        <w:tc>
          <w:tcPr>
            <w:tcW w:w="760" w:type="pct"/>
            <w:vAlign w:val="center"/>
          </w:tcPr>
          <w:p w14:paraId="4CFDAC5A"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150</w:t>
            </w:r>
          </w:p>
        </w:tc>
      </w:tr>
      <w:tr w:rsidR="00C32C59" w:rsidRPr="00C32C59" w14:paraId="366B11FC" w14:textId="77777777" w:rsidTr="001C4D87">
        <w:trPr>
          <w:trHeight w:val="20"/>
        </w:trPr>
        <w:tc>
          <w:tcPr>
            <w:tcW w:w="3484" w:type="pct"/>
            <w:tcBorders>
              <w:bottom w:val="single" w:sz="6" w:space="0" w:color="auto"/>
            </w:tcBorders>
            <w:vAlign w:val="center"/>
          </w:tcPr>
          <w:p w14:paraId="69DE379D"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 Exclude three insurance firms in  FTSE 350 (because no data available for most of the years under study) </w:t>
            </w:r>
          </w:p>
        </w:tc>
        <w:tc>
          <w:tcPr>
            <w:tcW w:w="756" w:type="pct"/>
            <w:tcBorders>
              <w:bottom w:val="single" w:sz="6" w:space="0" w:color="auto"/>
            </w:tcBorders>
            <w:vAlign w:val="center"/>
          </w:tcPr>
          <w:p w14:paraId="0D087880"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w:t>
            </w:r>
          </w:p>
        </w:tc>
        <w:tc>
          <w:tcPr>
            <w:tcW w:w="760" w:type="pct"/>
            <w:tcBorders>
              <w:bottom w:val="single" w:sz="6" w:space="0" w:color="auto"/>
            </w:tcBorders>
            <w:vAlign w:val="center"/>
          </w:tcPr>
          <w:p w14:paraId="190380A6"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30</w:t>
            </w:r>
          </w:p>
        </w:tc>
      </w:tr>
      <w:tr w:rsidR="00C32C59" w:rsidRPr="00C32C59" w14:paraId="20A0BC20" w14:textId="77777777" w:rsidTr="001C4D87">
        <w:trPr>
          <w:trHeight w:val="20"/>
        </w:trPr>
        <w:tc>
          <w:tcPr>
            <w:tcW w:w="3484" w:type="pct"/>
            <w:tcBorders>
              <w:top w:val="single" w:sz="6" w:space="0" w:color="auto"/>
              <w:bottom w:val="single" w:sz="6" w:space="0" w:color="auto"/>
            </w:tcBorders>
            <w:vAlign w:val="center"/>
          </w:tcPr>
          <w:p w14:paraId="449DB46F"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Final sample</w:t>
            </w:r>
          </w:p>
        </w:tc>
        <w:tc>
          <w:tcPr>
            <w:tcW w:w="756" w:type="pct"/>
            <w:tcBorders>
              <w:top w:val="single" w:sz="6" w:space="0" w:color="auto"/>
              <w:bottom w:val="single" w:sz="6" w:space="0" w:color="auto"/>
            </w:tcBorders>
            <w:vAlign w:val="center"/>
          </w:tcPr>
          <w:p w14:paraId="711FCF87"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12</w:t>
            </w:r>
          </w:p>
        </w:tc>
        <w:tc>
          <w:tcPr>
            <w:tcW w:w="760" w:type="pct"/>
            <w:tcBorders>
              <w:top w:val="single" w:sz="6" w:space="0" w:color="auto"/>
              <w:bottom w:val="single" w:sz="6" w:space="0" w:color="auto"/>
            </w:tcBorders>
            <w:vAlign w:val="center"/>
          </w:tcPr>
          <w:p w14:paraId="6C6959A3"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120</w:t>
            </w:r>
          </w:p>
        </w:tc>
      </w:tr>
      <w:tr w:rsidR="00C32C59" w:rsidRPr="00C32C59" w14:paraId="5331BA42" w14:textId="77777777" w:rsidTr="001C4D87">
        <w:trPr>
          <w:trHeight w:val="20"/>
        </w:trPr>
        <w:tc>
          <w:tcPr>
            <w:tcW w:w="3484" w:type="pct"/>
            <w:tcBorders>
              <w:top w:val="single" w:sz="6" w:space="0" w:color="auto"/>
              <w:bottom w:val="single" w:sz="6" w:space="0" w:color="auto"/>
            </w:tcBorders>
            <w:vAlign w:val="center"/>
          </w:tcPr>
          <w:p w14:paraId="515DDF7B"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Exclude three years of one insurance firm (because the company was established at the end of 2008 </w:t>
            </w:r>
          </w:p>
        </w:tc>
        <w:tc>
          <w:tcPr>
            <w:tcW w:w="756" w:type="pct"/>
            <w:tcBorders>
              <w:top w:val="single" w:sz="6" w:space="0" w:color="auto"/>
              <w:bottom w:val="single" w:sz="6" w:space="0" w:color="auto"/>
            </w:tcBorders>
            <w:vAlign w:val="center"/>
          </w:tcPr>
          <w:p w14:paraId="195352F1" w14:textId="77777777" w:rsidR="00C32C59" w:rsidRPr="00C32C59" w:rsidRDefault="00C32C59" w:rsidP="00C32C59">
            <w:pPr>
              <w:spacing w:line="360" w:lineRule="auto"/>
              <w:jc w:val="right"/>
              <w:rPr>
                <w:rFonts w:ascii="Times New Roman" w:eastAsia="Calibri" w:hAnsi="Times New Roman" w:cs="Times New Roman"/>
                <w:sz w:val="24"/>
                <w:szCs w:val="24"/>
              </w:rPr>
            </w:pPr>
          </w:p>
        </w:tc>
        <w:tc>
          <w:tcPr>
            <w:tcW w:w="760" w:type="pct"/>
            <w:tcBorders>
              <w:top w:val="single" w:sz="6" w:space="0" w:color="auto"/>
              <w:bottom w:val="single" w:sz="6" w:space="0" w:color="auto"/>
            </w:tcBorders>
            <w:vAlign w:val="center"/>
          </w:tcPr>
          <w:p w14:paraId="2CA1B88D"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3</w:t>
            </w:r>
          </w:p>
        </w:tc>
      </w:tr>
      <w:tr w:rsidR="00C32C59" w:rsidRPr="00C32C59" w14:paraId="6FF6979F" w14:textId="77777777" w:rsidTr="001C4D87">
        <w:trPr>
          <w:trHeight w:val="20"/>
        </w:trPr>
        <w:tc>
          <w:tcPr>
            <w:tcW w:w="3484" w:type="pct"/>
            <w:tcBorders>
              <w:top w:val="single" w:sz="6" w:space="0" w:color="auto"/>
              <w:bottom w:val="single" w:sz="12" w:space="0" w:color="auto"/>
            </w:tcBorders>
            <w:vAlign w:val="center"/>
          </w:tcPr>
          <w:p w14:paraId="35C3694B" w14:textId="77777777" w:rsidR="00C32C59" w:rsidRPr="00C32C59" w:rsidRDefault="00C32C59" w:rsidP="00C32C59">
            <w:pPr>
              <w:spacing w:line="360" w:lineRule="auto"/>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Final number of observations</w:t>
            </w:r>
          </w:p>
        </w:tc>
        <w:tc>
          <w:tcPr>
            <w:tcW w:w="756" w:type="pct"/>
            <w:tcBorders>
              <w:top w:val="single" w:sz="6" w:space="0" w:color="auto"/>
              <w:bottom w:val="single" w:sz="12" w:space="0" w:color="auto"/>
            </w:tcBorders>
            <w:vAlign w:val="center"/>
          </w:tcPr>
          <w:p w14:paraId="24AB2AA1" w14:textId="77777777" w:rsidR="00C32C59" w:rsidRPr="00C32C59" w:rsidRDefault="00C32C59" w:rsidP="00C32C59">
            <w:pPr>
              <w:spacing w:line="360" w:lineRule="auto"/>
              <w:jc w:val="right"/>
              <w:rPr>
                <w:rFonts w:ascii="Times New Roman" w:eastAsia="Calibri" w:hAnsi="Times New Roman" w:cs="Times New Roman"/>
                <w:sz w:val="24"/>
                <w:szCs w:val="24"/>
              </w:rPr>
            </w:pPr>
          </w:p>
        </w:tc>
        <w:tc>
          <w:tcPr>
            <w:tcW w:w="760" w:type="pct"/>
            <w:tcBorders>
              <w:top w:val="single" w:sz="6" w:space="0" w:color="auto"/>
              <w:bottom w:val="single" w:sz="12" w:space="0" w:color="auto"/>
            </w:tcBorders>
            <w:vAlign w:val="center"/>
          </w:tcPr>
          <w:p w14:paraId="558F27CC" w14:textId="77777777" w:rsidR="00C32C59" w:rsidRPr="00C32C59" w:rsidRDefault="00C32C59" w:rsidP="00C32C59">
            <w:pPr>
              <w:spacing w:line="360" w:lineRule="auto"/>
              <w:jc w:val="right"/>
              <w:rPr>
                <w:rFonts w:ascii="Times New Roman" w:eastAsia="Calibri" w:hAnsi="Times New Roman" w:cs="Times New Roman"/>
                <w:sz w:val="24"/>
                <w:szCs w:val="24"/>
              </w:rPr>
            </w:pPr>
            <w:r w:rsidRPr="00C32C59">
              <w:rPr>
                <w:rFonts w:ascii="Times New Roman" w:eastAsia="Calibri" w:hAnsi="Times New Roman" w:cs="Times New Roman"/>
                <w:sz w:val="24"/>
                <w:szCs w:val="24"/>
              </w:rPr>
              <w:t>117</w:t>
            </w:r>
          </w:p>
        </w:tc>
      </w:tr>
    </w:tbl>
    <w:p w14:paraId="622398C9" w14:textId="77777777" w:rsidR="00C32C59" w:rsidRPr="00C32C59" w:rsidRDefault="00C32C59" w:rsidP="00C32C59">
      <w:pPr>
        <w:rPr>
          <w:rFonts w:eastAsia="Calibri"/>
        </w:rPr>
      </w:pPr>
    </w:p>
    <w:p w14:paraId="0AA931C3" w14:textId="77777777" w:rsidR="00C32C59" w:rsidRPr="00C32C59" w:rsidRDefault="00C32C59" w:rsidP="00C32C59">
      <w:pPr>
        <w:rPr>
          <w:rFonts w:eastAsia="Calibri"/>
        </w:rPr>
      </w:pPr>
      <w:r w:rsidRPr="00C32C59">
        <w:rPr>
          <w:rFonts w:eastAsia="Calibri"/>
        </w:rPr>
        <w:br w:type="page"/>
      </w:r>
    </w:p>
    <w:p w14:paraId="17E6B80B" w14:textId="77777777" w:rsidR="00C32C59" w:rsidRPr="00C32C59" w:rsidRDefault="00C32C59" w:rsidP="00C32C59">
      <w:pPr>
        <w:rPr>
          <w:rFonts w:eastAsia="Calibri"/>
        </w:rPr>
      </w:pPr>
    </w:p>
    <w:p w14:paraId="092F4C4D" w14:textId="77777777" w:rsidR="00C32C59" w:rsidRPr="00C32C59" w:rsidRDefault="00C32C59" w:rsidP="00C32C59">
      <w:pPr>
        <w:spacing w:line="240" w:lineRule="auto"/>
        <w:jc w:val="both"/>
        <w:rPr>
          <w:rFonts w:ascii="Times New Roman" w:eastAsia="Calibri" w:hAnsi="Times New Roman" w:cs="Times New Roman"/>
          <w:b/>
          <w:bCs/>
          <w:sz w:val="24"/>
          <w:szCs w:val="24"/>
        </w:rPr>
      </w:pPr>
      <w:bookmarkStart w:id="17" w:name="_Toc459936919"/>
      <w:r w:rsidRPr="00C32C59">
        <w:rPr>
          <w:rFonts w:ascii="Times New Roman" w:eastAsia="Calibri" w:hAnsi="Times New Roman" w:cs="Times New Roman"/>
          <w:b/>
          <w:bCs/>
          <w:sz w:val="24"/>
          <w:szCs w:val="24"/>
        </w:rPr>
        <w:t>Table 2: Definition of</w:t>
      </w:r>
      <w:r w:rsidRPr="00C32C59">
        <w:rPr>
          <w:rFonts w:ascii="Times New Roman" w:eastAsia="Calibri" w:hAnsi="Times New Roman" w:cs="Times New Roman"/>
          <w:b/>
          <w:bCs/>
          <w:noProof/>
          <w:sz w:val="24"/>
          <w:szCs w:val="24"/>
        </w:rPr>
        <w:t xml:space="preserve"> variables</w:t>
      </w:r>
      <w:bookmarkEnd w:id="17"/>
    </w:p>
    <w:tbl>
      <w:tblPr>
        <w:tblW w:w="0" w:type="auto"/>
        <w:tblBorders>
          <w:top w:val="single" w:sz="12" w:space="0" w:color="auto"/>
        </w:tblBorders>
        <w:tblCellMar>
          <w:left w:w="0" w:type="dxa"/>
          <w:right w:w="0" w:type="dxa"/>
        </w:tblCellMar>
        <w:tblLook w:val="04A0" w:firstRow="1" w:lastRow="0" w:firstColumn="1" w:lastColumn="0" w:noHBand="0" w:noVBand="1"/>
      </w:tblPr>
      <w:tblGrid>
        <w:gridCol w:w="1793"/>
        <w:gridCol w:w="1376"/>
        <w:gridCol w:w="4115"/>
        <w:gridCol w:w="1742"/>
      </w:tblGrid>
      <w:tr w:rsidR="00C32C59" w:rsidRPr="00C32C59" w14:paraId="0CE79893" w14:textId="77777777" w:rsidTr="001C4D87">
        <w:trPr>
          <w:trHeight w:val="534"/>
        </w:trPr>
        <w:tc>
          <w:tcPr>
            <w:tcW w:w="0" w:type="auto"/>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768ED25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Variables</w:t>
            </w:r>
          </w:p>
        </w:tc>
        <w:tc>
          <w:tcPr>
            <w:tcW w:w="0" w:type="auto"/>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6027CEB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Abbrev</w:t>
            </w:r>
          </w:p>
        </w:tc>
        <w:tc>
          <w:tcPr>
            <w:tcW w:w="0" w:type="auto"/>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7232E3A0"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Measurement </w:t>
            </w:r>
          </w:p>
        </w:tc>
        <w:tc>
          <w:tcPr>
            <w:tcW w:w="0" w:type="auto"/>
            <w:tcBorders>
              <w:top w:val="single" w:sz="12" w:space="0" w:color="auto"/>
              <w:bottom w:val="single" w:sz="12" w:space="0" w:color="auto"/>
            </w:tcBorders>
            <w:shd w:val="clear" w:color="auto" w:fill="auto"/>
            <w:tcMar>
              <w:top w:w="15" w:type="dxa"/>
              <w:left w:w="108" w:type="dxa"/>
              <w:bottom w:w="0" w:type="dxa"/>
              <w:right w:w="108" w:type="dxa"/>
            </w:tcMar>
            <w:hideMark/>
          </w:tcPr>
          <w:p w14:paraId="25536F75"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Source of information </w:t>
            </w:r>
          </w:p>
        </w:tc>
      </w:tr>
      <w:tr w:rsidR="00C32C59" w:rsidRPr="00C32C59" w14:paraId="41703875" w14:textId="77777777" w:rsidTr="001C4D87">
        <w:trPr>
          <w:trHeight w:val="497"/>
        </w:trPr>
        <w:tc>
          <w:tcPr>
            <w:tcW w:w="0" w:type="auto"/>
            <w:gridSpan w:val="3"/>
            <w:tcBorders>
              <w:top w:val="single" w:sz="12" w:space="0" w:color="auto"/>
            </w:tcBorders>
            <w:shd w:val="clear" w:color="auto" w:fill="auto"/>
            <w:tcMar>
              <w:top w:w="15" w:type="dxa"/>
              <w:left w:w="108" w:type="dxa"/>
              <w:bottom w:w="0" w:type="dxa"/>
              <w:right w:w="108" w:type="dxa"/>
            </w:tcMar>
            <w:vAlign w:val="center"/>
            <w:hideMark/>
          </w:tcPr>
          <w:p w14:paraId="2BD4F44E"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Dependent variable</w:t>
            </w:r>
            <w:r w:rsidRPr="00C32C59">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I</w:t>
            </w:r>
            <w:r w:rsidRPr="00C32C59">
              <w:rPr>
                <w:rFonts w:ascii="Times New Roman" w:eastAsia="Calibri" w:hAnsi="Times New Roman" w:cs="Times New Roman"/>
                <w:i/>
                <w:iCs/>
                <w:sz w:val="24"/>
                <w:szCs w:val="24"/>
              </w:rPr>
              <w:t>nsurance firms’ risk taking</w:t>
            </w:r>
          </w:p>
        </w:tc>
        <w:tc>
          <w:tcPr>
            <w:tcW w:w="0" w:type="auto"/>
            <w:tcBorders>
              <w:top w:val="single" w:sz="12" w:space="0" w:color="auto"/>
            </w:tcBorders>
            <w:shd w:val="clear" w:color="auto" w:fill="auto"/>
            <w:tcMar>
              <w:top w:w="15" w:type="dxa"/>
              <w:left w:w="108" w:type="dxa"/>
              <w:bottom w:w="0" w:type="dxa"/>
              <w:right w:w="108" w:type="dxa"/>
            </w:tcMar>
            <w:hideMark/>
          </w:tcPr>
          <w:p w14:paraId="23AD10F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w:t>
            </w:r>
          </w:p>
        </w:tc>
      </w:tr>
      <w:tr w:rsidR="00C32C59" w:rsidRPr="00C32C59" w14:paraId="35083E46" w14:textId="77777777" w:rsidTr="001C4D87">
        <w:trPr>
          <w:trHeight w:val="408"/>
        </w:trPr>
        <w:tc>
          <w:tcPr>
            <w:tcW w:w="0" w:type="auto"/>
            <w:shd w:val="clear" w:color="auto" w:fill="auto"/>
            <w:tcMar>
              <w:top w:w="15" w:type="dxa"/>
              <w:left w:w="108" w:type="dxa"/>
              <w:bottom w:w="0" w:type="dxa"/>
              <w:right w:w="108" w:type="dxa"/>
            </w:tcMar>
            <w:vAlign w:val="center"/>
          </w:tcPr>
          <w:p w14:paraId="0932B5DA"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RT1</w:t>
            </w:r>
          </w:p>
        </w:tc>
        <w:tc>
          <w:tcPr>
            <w:tcW w:w="0" w:type="auto"/>
            <w:shd w:val="clear" w:color="auto" w:fill="auto"/>
            <w:tcMar>
              <w:top w:w="15" w:type="dxa"/>
              <w:left w:w="108" w:type="dxa"/>
              <w:bottom w:w="0" w:type="dxa"/>
              <w:right w:w="108" w:type="dxa"/>
            </w:tcMar>
            <w:vAlign w:val="center"/>
          </w:tcPr>
          <w:p w14:paraId="79771B66"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ZscoreROA</w:t>
            </w:r>
          </w:p>
        </w:tc>
        <w:tc>
          <w:tcPr>
            <w:tcW w:w="0" w:type="auto"/>
            <w:shd w:val="clear" w:color="auto" w:fill="auto"/>
            <w:tcMar>
              <w:top w:w="15" w:type="dxa"/>
              <w:left w:w="108" w:type="dxa"/>
              <w:bottom w:w="0" w:type="dxa"/>
              <w:right w:w="108" w:type="dxa"/>
            </w:tcMar>
            <w:vAlign w:val="center"/>
          </w:tcPr>
          <w:p w14:paraId="69630287" w14:textId="77777777" w:rsidR="00C32C59" w:rsidRPr="00C32C59" w:rsidRDefault="00C32C59" w:rsidP="00C32C59">
            <w:pPr>
              <w:spacing w:after="0"/>
              <w:rPr>
                <w:rFonts w:ascii="Times New Roman" w:eastAsia="Calibri" w:hAnsi="Times New Roman" w:cs="Times New Roman"/>
                <w:sz w:val="24"/>
                <w:szCs w:val="24"/>
              </w:rPr>
            </w:pPr>
            <w:r w:rsidRPr="00C32C59">
              <w:rPr>
                <w:rFonts w:ascii="Times New Roman" w:eastAsia="Calibri" w:hAnsi="Times New Roman" w:cs="Times New Roman"/>
                <w:sz w:val="24"/>
                <w:szCs w:val="24"/>
              </w:rPr>
              <w:t>is the risk taking using ROA; The firm-level Z-score; a larger value means less overall firm risk and greater stability.</w:t>
            </w:r>
          </w:p>
        </w:tc>
        <w:tc>
          <w:tcPr>
            <w:tcW w:w="0" w:type="auto"/>
            <w:shd w:val="clear" w:color="auto" w:fill="auto"/>
            <w:tcMar>
              <w:top w:w="15" w:type="dxa"/>
              <w:left w:w="108" w:type="dxa"/>
              <w:bottom w:w="0" w:type="dxa"/>
              <w:right w:w="108" w:type="dxa"/>
            </w:tcMar>
          </w:tcPr>
          <w:p w14:paraId="1664D33B"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w:t>
            </w:r>
          </w:p>
        </w:tc>
      </w:tr>
      <w:tr w:rsidR="00C32C59" w:rsidRPr="00C32C59" w14:paraId="39E06546" w14:textId="77777777" w:rsidTr="001C4D87">
        <w:trPr>
          <w:trHeight w:val="408"/>
        </w:trPr>
        <w:tc>
          <w:tcPr>
            <w:tcW w:w="0" w:type="auto"/>
            <w:shd w:val="clear" w:color="auto" w:fill="auto"/>
            <w:tcMar>
              <w:top w:w="15" w:type="dxa"/>
              <w:left w:w="108" w:type="dxa"/>
              <w:bottom w:w="0" w:type="dxa"/>
              <w:right w:w="108" w:type="dxa"/>
            </w:tcMar>
            <w:vAlign w:val="center"/>
          </w:tcPr>
          <w:p w14:paraId="1849D3FB"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RT2</w:t>
            </w:r>
          </w:p>
        </w:tc>
        <w:tc>
          <w:tcPr>
            <w:tcW w:w="0" w:type="auto"/>
            <w:shd w:val="clear" w:color="auto" w:fill="auto"/>
            <w:tcMar>
              <w:top w:w="15" w:type="dxa"/>
              <w:left w:w="108" w:type="dxa"/>
              <w:bottom w:w="0" w:type="dxa"/>
              <w:right w:w="108" w:type="dxa"/>
            </w:tcMar>
            <w:vAlign w:val="center"/>
          </w:tcPr>
          <w:p w14:paraId="635601C6"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ZscoreROE</w:t>
            </w:r>
          </w:p>
        </w:tc>
        <w:tc>
          <w:tcPr>
            <w:tcW w:w="0" w:type="auto"/>
            <w:shd w:val="clear" w:color="auto" w:fill="auto"/>
            <w:tcMar>
              <w:top w:w="15" w:type="dxa"/>
              <w:left w:w="108" w:type="dxa"/>
              <w:bottom w:w="0" w:type="dxa"/>
              <w:right w:w="108" w:type="dxa"/>
            </w:tcMar>
            <w:vAlign w:val="center"/>
          </w:tcPr>
          <w:p w14:paraId="758EEE9B"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is the risk taking using ROE.</w:t>
            </w:r>
          </w:p>
        </w:tc>
        <w:tc>
          <w:tcPr>
            <w:tcW w:w="0" w:type="auto"/>
            <w:shd w:val="clear" w:color="auto" w:fill="auto"/>
            <w:tcMar>
              <w:top w:w="15" w:type="dxa"/>
              <w:left w:w="108" w:type="dxa"/>
              <w:bottom w:w="0" w:type="dxa"/>
              <w:right w:w="108" w:type="dxa"/>
            </w:tcMar>
          </w:tcPr>
          <w:p w14:paraId="07649CCF"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w:t>
            </w:r>
          </w:p>
        </w:tc>
      </w:tr>
      <w:tr w:rsidR="00C32C59" w:rsidRPr="00C32C59" w14:paraId="4816B64F" w14:textId="77777777" w:rsidTr="001C4D87">
        <w:trPr>
          <w:trHeight w:val="408"/>
        </w:trPr>
        <w:tc>
          <w:tcPr>
            <w:tcW w:w="0" w:type="auto"/>
            <w:shd w:val="clear" w:color="auto" w:fill="auto"/>
            <w:tcMar>
              <w:top w:w="15" w:type="dxa"/>
              <w:left w:w="108" w:type="dxa"/>
              <w:bottom w:w="0" w:type="dxa"/>
              <w:right w:w="108" w:type="dxa"/>
            </w:tcMar>
            <w:vAlign w:val="center"/>
            <w:hideMark/>
          </w:tcPr>
          <w:p w14:paraId="709A117B"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Return on assets</w:t>
            </w:r>
          </w:p>
        </w:tc>
        <w:tc>
          <w:tcPr>
            <w:tcW w:w="0" w:type="auto"/>
            <w:shd w:val="clear" w:color="auto" w:fill="auto"/>
            <w:tcMar>
              <w:top w:w="15" w:type="dxa"/>
              <w:left w:w="108" w:type="dxa"/>
              <w:bottom w:w="0" w:type="dxa"/>
              <w:right w:w="108" w:type="dxa"/>
            </w:tcMar>
            <w:vAlign w:val="center"/>
            <w:hideMark/>
          </w:tcPr>
          <w:p w14:paraId="619DA0D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ICROA</w:t>
            </w:r>
          </w:p>
        </w:tc>
        <w:tc>
          <w:tcPr>
            <w:tcW w:w="0" w:type="auto"/>
            <w:shd w:val="clear" w:color="auto" w:fill="auto"/>
            <w:tcMar>
              <w:top w:w="15" w:type="dxa"/>
              <w:left w:w="108" w:type="dxa"/>
              <w:bottom w:w="0" w:type="dxa"/>
              <w:right w:w="108" w:type="dxa"/>
            </w:tcMar>
            <w:vAlign w:val="center"/>
            <w:hideMark/>
          </w:tcPr>
          <w:p w14:paraId="772FDCA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Percentage of net income to total assets </w:t>
            </w:r>
          </w:p>
        </w:tc>
        <w:tc>
          <w:tcPr>
            <w:tcW w:w="0" w:type="auto"/>
            <w:shd w:val="clear" w:color="auto" w:fill="auto"/>
            <w:tcMar>
              <w:top w:w="15" w:type="dxa"/>
              <w:left w:w="108" w:type="dxa"/>
              <w:bottom w:w="0" w:type="dxa"/>
              <w:right w:w="108" w:type="dxa"/>
            </w:tcMar>
            <w:hideMark/>
          </w:tcPr>
          <w:p w14:paraId="0231B5C3"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FAME; Annual report </w:t>
            </w:r>
          </w:p>
        </w:tc>
      </w:tr>
      <w:tr w:rsidR="00C32C59" w:rsidRPr="00C32C59" w14:paraId="04237005" w14:textId="77777777" w:rsidTr="001C4D87">
        <w:trPr>
          <w:trHeight w:val="497"/>
        </w:trPr>
        <w:tc>
          <w:tcPr>
            <w:tcW w:w="0" w:type="auto"/>
            <w:tcBorders>
              <w:bottom w:val="single" w:sz="6" w:space="0" w:color="auto"/>
            </w:tcBorders>
            <w:shd w:val="clear" w:color="auto" w:fill="auto"/>
            <w:tcMar>
              <w:top w:w="15" w:type="dxa"/>
              <w:left w:w="108" w:type="dxa"/>
              <w:bottom w:w="0" w:type="dxa"/>
              <w:right w:w="108" w:type="dxa"/>
            </w:tcMar>
            <w:vAlign w:val="center"/>
            <w:hideMark/>
          </w:tcPr>
          <w:p w14:paraId="2A5CBE95"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Return on equity</w:t>
            </w:r>
          </w:p>
        </w:tc>
        <w:tc>
          <w:tcPr>
            <w:tcW w:w="0" w:type="auto"/>
            <w:tcBorders>
              <w:bottom w:val="single" w:sz="6" w:space="0" w:color="auto"/>
            </w:tcBorders>
            <w:shd w:val="clear" w:color="auto" w:fill="auto"/>
            <w:tcMar>
              <w:top w:w="15" w:type="dxa"/>
              <w:left w:w="108" w:type="dxa"/>
              <w:bottom w:w="0" w:type="dxa"/>
              <w:right w:w="108" w:type="dxa"/>
            </w:tcMar>
            <w:vAlign w:val="center"/>
            <w:hideMark/>
          </w:tcPr>
          <w:p w14:paraId="4308285B"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ICROE</w:t>
            </w:r>
          </w:p>
        </w:tc>
        <w:tc>
          <w:tcPr>
            <w:tcW w:w="0" w:type="auto"/>
            <w:tcBorders>
              <w:bottom w:val="single" w:sz="6" w:space="0" w:color="auto"/>
            </w:tcBorders>
            <w:shd w:val="clear" w:color="auto" w:fill="auto"/>
            <w:tcMar>
              <w:top w:w="15" w:type="dxa"/>
              <w:left w:w="108" w:type="dxa"/>
              <w:bottom w:w="0" w:type="dxa"/>
              <w:right w:w="108" w:type="dxa"/>
            </w:tcMar>
            <w:vAlign w:val="center"/>
            <w:hideMark/>
          </w:tcPr>
          <w:p w14:paraId="2B00F6D0"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Percentage of net income to total equity </w:t>
            </w:r>
          </w:p>
        </w:tc>
        <w:tc>
          <w:tcPr>
            <w:tcW w:w="0" w:type="auto"/>
            <w:tcBorders>
              <w:bottom w:val="single" w:sz="6" w:space="0" w:color="auto"/>
            </w:tcBorders>
            <w:shd w:val="clear" w:color="auto" w:fill="auto"/>
            <w:tcMar>
              <w:top w:w="15" w:type="dxa"/>
              <w:left w:w="108" w:type="dxa"/>
              <w:bottom w:w="0" w:type="dxa"/>
              <w:right w:w="108" w:type="dxa"/>
            </w:tcMar>
            <w:hideMark/>
          </w:tcPr>
          <w:p w14:paraId="5F09558A"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FAME; Annual report</w:t>
            </w:r>
          </w:p>
        </w:tc>
      </w:tr>
      <w:tr w:rsidR="00C32C59" w:rsidRPr="00C32C59" w14:paraId="7C214385" w14:textId="77777777" w:rsidTr="001C4D87">
        <w:trPr>
          <w:trHeight w:val="515"/>
        </w:trPr>
        <w:tc>
          <w:tcPr>
            <w:tcW w:w="0" w:type="auto"/>
            <w:gridSpan w:val="3"/>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5E8D1DF8"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Independent variables</w:t>
            </w:r>
          </w:p>
        </w:tc>
        <w:tc>
          <w:tcPr>
            <w:tcW w:w="0" w:type="auto"/>
            <w:tcBorders>
              <w:top w:val="single" w:sz="6" w:space="0" w:color="auto"/>
              <w:bottom w:val="single" w:sz="6" w:space="0" w:color="auto"/>
            </w:tcBorders>
            <w:shd w:val="clear" w:color="auto" w:fill="auto"/>
            <w:tcMar>
              <w:top w:w="15" w:type="dxa"/>
              <w:left w:w="108" w:type="dxa"/>
              <w:bottom w:w="0" w:type="dxa"/>
              <w:right w:w="108" w:type="dxa"/>
            </w:tcMar>
            <w:hideMark/>
          </w:tcPr>
          <w:p w14:paraId="66C3AF19"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w:t>
            </w:r>
          </w:p>
        </w:tc>
      </w:tr>
      <w:tr w:rsidR="00C32C59" w:rsidRPr="00C32C59" w14:paraId="03DB924D" w14:textId="77777777" w:rsidTr="001C4D87">
        <w:trPr>
          <w:trHeight w:val="612"/>
        </w:trPr>
        <w:tc>
          <w:tcPr>
            <w:tcW w:w="0" w:type="auto"/>
            <w:tcBorders>
              <w:top w:val="single" w:sz="6" w:space="0" w:color="auto"/>
            </w:tcBorders>
            <w:shd w:val="clear" w:color="auto" w:fill="auto"/>
            <w:tcMar>
              <w:top w:w="15" w:type="dxa"/>
              <w:left w:w="108" w:type="dxa"/>
              <w:bottom w:w="0" w:type="dxa"/>
              <w:right w:w="108" w:type="dxa"/>
            </w:tcMar>
            <w:vAlign w:val="center"/>
            <w:hideMark/>
          </w:tcPr>
          <w:p w14:paraId="232845A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Board size</w:t>
            </w:r>
          </w:p>
        </w:tc>
        <w:tc>
          <w:tcPr>
            <w:tcW w:w="0" w:type="auto"/>
            <w:tcBorders>
              <w:top w:val="single" w:sz="6" w:space="0" w:color="auto"/>
            </w:tcBorders>
            <w:shd w:val="clear" w:color="auto" w:fill="auto"/>
            <w:tcMar>
              <w:top w:w="15" w:type="dxa"/>
              <w:left w:w="108" w:type="dxa"/>
              <w:bottom w:w="0" w:type="dxa"/>
              <w:right w:w="108" w:type="dxa"/>
            </w:tcMar>
            <w:vAlign w:val="center"/>
            <w:hideMark/>
          </w:tcPr>
          <w:p w14:paraId="5B0590CE"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ICBS</w:t>
            </w:r>
          </w:p>
        </w:tc>
        <w:tc>
          <w:tcPr>
            <w:tcW w:w="0" w:type="auto"/>
            <w:tcBorders>
              <w:top w:val="single" w:sz="6" w:space="0" w:color="auto"/>
            </w:tcBorders>
            <w:shd w:val="clear" w:color="auto" w:fill="auto"/>
            <w:tcMar>
              <w:top w:w="15" w:type="dxa"/>
              <w:left w:w="108" w:type="dxa"/>
              <w:bottom w:w="0" w:type="dxa"/>
              <w:right w:w="108" w:type="dxa"/>
            </w:tcMar>
            <w:vAlign w:val="center"/>
            <w:hideMark/>
          </w:tcPr>
          <w:p w14:paraId="7F9106F3"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Total number of directors on the board </w:t>
            </w:r>
          </w:p>
        </w:tc>
        <w:tc>
          <w:tcPr>
            <w:tcW w:w="0" w:type="auto"/>
            <w:tcBorders>
              <w:top w:val="single" w:sz="6" w:space="0" w:color="auto"/>
            </w:tcBorders>
            <w:shd w:val="clear" w:color="auto" w:fill="auto"/>
            <w:tcMar>
              <w:top w:w="15" w:type="dxa"/>
              <w:left w:w="108" w:type="dxa"/>
              <w:bottom w:w="0" w:type="dxa"/>
              <w:right w:w="108" w:type="dxa"/>
            </w:tcMar>
            <w:hideMark/>
          </w:tcPr>
          <w:p w14:paraId="79C4897E"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 (CG section)</w:t>
            </w:r>
          </w:p>
        </w:tc>
      </w:tr>
      <w:tr w:rsidR="00C32C59" w:rsidRPr="00C32C59" w14:paraId="2EA1D7A5" w14:textId="77777777" w:rsidTr="001C4D87">
        <w:trPr>
          <w:trHeight w:val="354"/>
        </w:trPr>
        <w:tc>
          <w:tcPr>
            <w:tcW w:w="0" w:type="auto"/>
            <w:shd w:val="clear" w:color="auto" w:fill="auto"/>
            <w:tcMar>
              <w:top w:w="15" w:type="dxa"/>
              <w:left w:w="108" w:type="dxa"/>
              <w:bottom w:w="0" w:type="dxa"/>
              <w:right w:w="108" w:type="dxa"/>
            </w:tcMar>
            <w:vAlign w:val="center"/>
            <w:hideMark/>
          </w:tcPr>
          <w:p w14:paraId="19883A4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Board meetings</w:t>
            </w:r>
          </w:p>
        </w:tc>
        <w:tc>
          <w:tcPr>
            <w:tcW w:w="0" w:type="auto"/>
            <w:shd w:val="clear" w:color="auto" w:fill="auto"/>
            <w:tcMar>
              <w:top w:w="15" w:type="dxa"/>
              <w:left w:w="108" w:type="dxa"/>
              <w:bottom w:w="0" w:type="dxa"/>
              <w:right w:w="108" w:type="dxa"/>
            </w:tcMar>
            <w:vAlign w:val="center"/>
            <w:hideMark/>
          </w:tcPr>
          <w:p w14:paraId="1A2FEF37"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ICBM</w:t>
            </w:r>
          </w:p>
        </w:tc>
        <w:tc>
          <w:tcPr>
            <w:tcW w:w="0" w:type="auto"/>
            <w:shd w:val="clear" w:color="auto" w:fill="auto"/>
            <w:tcMar>
              <w:top w:w="15" w:type="dxa"/>
              <w:left w:w="108" w:type="dxa"/>
              <w:bottom w:w="0" w:type="dxa"/>
              <w:right w:w="108" w:type="dxa"/>
            </w:tcMar>
            <w:vAlign w:val="center"/>
            <w:hideMark/>
          </w:tcPr>
          <w:p w14:paraId="3BF8C069"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Total number of board of directors’ meetings </w:t>
            </w:r>
          </w:p>
        </w:tc>
        <w:tc>
          <w:tcPr>
            <w:tcW w:w="0" w:type="auto"/>
            <w:shd w:val="clear" w:color="auto" w:fill="auto"/>
            <w:tcMar>
              <w:top w:w="15" w:type="dxa"/>
              <w:left w:w="108" w:type="dxa"/>
              <w:bottom w:w="0" w:type="dxa"/>
              <w:right w:w="108" w:type="dxa"/>
            </w:tcMar>
            <w:hideMark/>
          </w:tcPr>
          <w:p w14:paraId="50FA5529"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 (CG section)</w:t>
            </w:r>
          </w:p>
        </w:tc>
      </w:tr>
      <w:tr w:rsidR="00C32C59" w:rsidRPr="00C32C59" w14:paraId="2C29EC28" w14:textId="77777777" w:rsidTr="001C4D87">
        <w:trPr>
          <w:trHeight w:val="796"/>
        </w:trPr>
        <w:tc>
          <w:tcPr>
            <w:tcW w:w="0" w:type="auto"/>
            <w:shd w:val="clear" w:color="auto" w:fill="auto"/>
            <w:tcMar>
              <w:top w:w="15" w:type="dxa"/>
              <w:left w:w="108" w:type="dxa"/>
              <w:bottom w:w="0" w:type="dxa"/>
              <w:right w:w="108" w:type="dxa"/>
            </w:tcMar>
            <w:vAlign w:val="center"/>
            <w:hideMark/>
          </w:tcPr>
          <w:p w14:paraId="11DA8EF0"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Board independence</w:t>
            </w:r>
          </w:p>
        </w:tc>
        <w:tc>
          <w:tcPr>
            <w:tcW w:w="0" w:type="auto"/>
            <w:shd w:val="clear" w:color="auto" w:fill="auto"/>
            <w:tcMar>
              <w:top w:w="15" w:type="dxa"/>
              <w:left w:w="108" w:type="dxa"/>
              <w:bottom w:w="0" w:type="dxa"/>
              <w:right w:w="108" w:type="dxa"/>
            </w:tcMar>
            <w:vAlign w:val="center"/>
            <w:hideMark/>
          </w:tcPr>
          <w:p w14:paraId="08AA574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ICNEDs</w:t>
            </w:r>
          </w:p>
        </w:tc>
        <w:tc>
          <w:tcPr>
            <w:tcW w:w="0" w:type="auto"/>
            <w:shd w:val="clear" w:color="auto" w:fill="auto"/>
            <w:tcMar>
              <w:top w:w="15" w:type="dxa"/>
              <w:left w:w="108" w:type="dxa"/>
              <w:bottom w:w="0" w:type="dxa"/>
              <w:right w:w="108" w:type="dxa"/>
            </w:tcMar>
            <w:vAlign w:val="center"/>
            <w:hideMark/>
          </w:tcPr>
          <w:p w14:paraId="09E3A460"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Percentage of non-executive directors to the total number of board of directors </w:t>
            </w:r>
          </w:p>
        </w:tc>
        <w:tc>
          <w:tcPr>
            <w:tcW w:w="0" w:type="auto"/>
            <w:shd w:val="clear" w:color="auto" w:fill="auto"/>
            <w:tcMar>
              <w:top w:w="15" w:type="dxa"/>
              <w:left w:w="108" w:type="dxa"/>
              <w:bottom w:w="0" w:type="dxa"/>
              <w:right w:w="108" w:type="dxa"/>
            </w:tcMar>
            <w:hideMark/>
          </w:tcPr>
          <w:p w14:paraId="7D25BF5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 (CG section)</w:t>
            </w:r>
          </w:p>
        </w:tc>
      </w:tr>
      <w:tr w:rsidR="00C32C59" w:rsidRPr="00C32C59" w14:paraId="63A284F7" w14:textId="77777777" w:rsidTr="001C4D87">
        <w:trPr>
          <w:trHeight w:val="1011"/>
        </w:trPr>
        <w:tc>
          <w:tcPr>
            <w:tcW w:w="0" w:type="auto"/>
            <w:tcBorders>
              <w:bottom w:val="single" w:sz="6" w:space="0" w:color="auto"/>
            </w:tcBorders>
            <w:shd w:val="clear" w:color="auto" w:fill="auto"/>
            <w:tcMar>
              <w:top w:w="15" w:type="dxa"/>
              <w:left w:w="108" w:type="dxa"/>
              <w:bottom w:w="0" w:type="dxa"/>
              <w:right w:w="108" w:type="dxa"/>
            </w:tcMar>
            <w:vAlign w:val="center"/>
            <w:hideMark/>
          </w:tcPr>
          <w:p w14:paraId="5F559112"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Audit committee size</w:t>
            </w:r>
          </w:p>
        </w:tc>
        <w:tc>
          <w:tcPr>
            <w:tcW w:w="0" w:type="auto"/>
            <w:tcBorders>
              <w:bottom w:val="single" w:sz="6" w:space="0" w:color="auto"/>
            </w:tcBorders>
            <w:shd w:val="clear" w:color="auto" w:fill="auto"/>
            <w:tcMar>
              <w:top w:w="15" w:type="dxa"/>
              <w:left w:w="108" w:type="dxa"/>
              <w:bottom w:w="0" w:type="dxa"/>
              <w:right w:w="108" w:type="dxa"/>
            </w:tcMar>
            <w:vAlign w:val="center"/>
            <w:hideMark/>
          </w:tcPr>
          <w:p w14:paraId="70AB57DF"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ICACs</w:t>
            </w:r>
          </w:p>
        </w:tc>
        <w:tc>
          <w:tcPr>
            <w:tcW w:w="0" w:type="auto"/>
            <w:tcBorders>
              <w:bottom w:val="single" w:sz="6" w:space="0" w:color="auto"/>
            </w:tcBorders>
            <w:shd w:val="clear" w:color="auto" w:fill="auto"/>
            <w:tcMar>
              <w:top w:w="15" w:type="dxa"/>
              <w:left w:w="108" w:type="dxa"/>
              <w:bottom w:w="0" w:type="dxa"/>
              <w:right w:w="108" w:type="dxa"/>
            </w:tcMar>
            <w:vAlign w:val="center"/>
            <w:hideMark/>
          </w:tcPr>
          <w:p w14:paraId="7856FB45"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Total number of audit committee members </w:t>
            </w:r>
          </w:p>
        </w:tc>
        <w:tc>
          <w:tcPr>
            <w:tcW w:w="0" w:type="auto"/>
            <w:tcBorders>
              <w:bottom w:val="single" w:sz="6" w:space="0" w:color="auto"/>
            </w:tcBorders>
            <w:shd w:val="clear" w:color="auto" w:fill="auto"/>
            <w:tcMar>
              <w:top w:w="15" w:type="dxa"/>
              <w:left w:w="108" w:type="dxa"/>
              <w:bottom w:w="0" w:type="dxa"/>
              <w:right w:w="108" w:type="dxa"/>
            </w:tcMar>
            <w:hideMark/>
          </w:tcPr>
          <w:p w14:paraId="3BF2909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Annual report (CG section)</w:t>
            </w:r>
          </w:p>
        </w:tc>
      </w:tr>
      <w:tr w:rsidR="00C32C59" w:rsidRPr="00C32C59" w14:paraId="1E7A193B" w14:textId="77777777" w:rsidTr="001C4D87">
        <w:trPr>
          <w:trHeight w:val="497"/>
        </w:trPr>
        <w:tc>
          <w:tcPr>
            <w:tcW w:w="0" w:type="auto"/>
            <w:gridSpan w:val="3"/>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6CD3DED4"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Control variables</w:t>
            </w:r>
          </w:p>
        </w:tc>
        <w:tc>
          <w:tcPr>
            <w:tcW w:w="0" w:type="auto"/>
            <w:tcBorders>
              <w:top w:val="single" w:sz="6" w:space="0" w:color="auto"/>
              <w:bottom w:val="single" w:sz="6" w:space="0" w:color="auto"/>
            </w:tcBorders>
            <w:shd w:val="clear" w:color="auto" w:fill="auto"/>
            <w:tcMar>
              <w:top w:w="15" w:type="dxa"/>
              <w:left w:w="108" w:type="dxa"/>
              <w:bottom w:w="0" w:type="dxa"/>
              <w:right w:w="108" w:type="dxa"/>
            </w:tcMar>
            <w:hideMark/>
          </w:tcPr>
          <w:p w14:paraId="171868D3"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w:t>
            </w:r>
          </w:p>
        </w:tc>
      </w:tr>
      <w:tr w:rsidR="00C32C59" w:rsidRPr="00C32C59" w14:paraId="7E393EAD" w14:textId="77777777" w:rsidTr="001C4D87">
        <w:trPr>
          <w:trHeight w:val="375"/>
        </w:trPr>
        <w:tc>
          <w:tcPr>
            <w:tcW w:w="0" w:type="auto"/>
            <w:tcBorders>
              <w:top w:val="single" w:sz="6" w:space="0" w:color="auto"/>
              <w:bottom w:val="nil"/>
            </w:tcBorders>
            <w:shd w:val="clear" w:color="auto" w:fill="auto"/>
            <w:tcMar>
              <w:top w:w="15" w:type="dxa"/>
              <w:left w:w="108" w:type="dxa"/>
              <w:bottom w:w="0" w:type="dxa"/>
              <w:right w:w="108" w:type="dxa"/>
            </w:tcMar>
            <w:vAlign w:val="center"/>
            <w:hideMark/>
          </w:tcPr>
          <w:p w14:paraId="4D26B736"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Insurance company size</w:t>
            </w:r>
          </w:p>
        </w:tc>
        <w:tc>
          <w:tcPr>
            <w:tcW w:w="0" w:type="auto"/>
            <w:tcBorders>
              <w:top w:val="single" w:sz="6" w:space="0" w:color="auto"/>
              <w:bottom w:val="nil"/>
            </w:tcBorders>
            <w:shd w:val="clear" w:color="auto" w:fill="auto"/>
            <w:tcMar>
              <w:top w:w="15" w:type="dxa"/>
              <w:left w:w="108" w:type="dxa"/>
              <w:bottom w:w="0" w:type="dxa"/>
              <w:right w:w="108" w:type="dxa"/>
            </w:tcMar>
            <w:vAlign w:val="center"/>
            <w:hideMark/>
          </w:tcPr>
          <w:p w14:paraId="614F7718"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ICTA</w:t>
            </w:r>
          </w:p>
        </w:tc>
        <w:tc>
          <w:tcPr>
            <w:tcW w:w="0" w:type="auto"/>
            <w:tcBorders>
              <w:top w:val="single" w:sz="6" w:space="0" w:color="auto"/>
              <w:bottom w:val="nil"/>
            </w:tcBorders>
            <w:shd w:val="clear" w:color="auto" w:fill="auto"/>
            <w:tcMar>
              <w:top w:w="15" w:type="dxa"/>
              <w:left w:w="108" w:type="dxa"/>
              <w:bottom w:w="0" w:type="dxa"/>
              <w:right w:w="108" w:type="dxa"/>
            </w:tcMar>
            <w:vAlign w:val="center"/>
            <w:hideMark/>
          </w:tcPr>
          <w:p w14:paraId="4098C3D0"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Natural logarithm of total assets </w:t>
            </w:r>
          </w:p>
        </w:tc>
        <w:tc>
          <w:tcPr>
            <w:tcW w:w="0" w:type="auto"/>
            <w:tcBorders>
              <w:top w:val="single" w:sz="6" w:space="0" w:color="auto"/>
              <w:bottom w:val="nil"/>
            </w:tcBorders>
            <w:shd w:val="clear" w:color="auto" w:fill="auto"/>
            <w:tcMar>
              <w:top w:w="15" w:type="dxa"/>
              <w:left w:w="108" w:type="dxa"/>
              <w:bottom w:w="0" w:type="dxa"/>
              <w:right w:w="108" w:type="dxa"/>
            </w:tcMar>
            <w:hideMark/>
          </w:tcPr>
          <w:p w14:paraId="3F9CD236"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FAME-Osiris</w:t>
            </w:r>
          </w:p>
        </w:tc>
      </w:tr>
      <w:tr w:rsidR="00C32C59" w:rsidRPr="00C32C59" w14:paraId="7947E363" w14:textId="77777777" w:rsidTr="001C4D87">
        <w:trPr>
          <w:trHeight w:val="869"/>
        </w:trPr>
        <w:tc>
          <w:tcPr>
            <w:tcW w:w="0" w:type="auto"/>
            <w:tcBorders>
              <w:top w:val="nil"/>
              <w:bottom w:val="single" w:sz="12" w:space="0" w:color="auto"/>
            </w:tcBorders>
            <w:shd w:val="clear" w:color="auto" w:fill="auto"/>
            <w:tcMar>
              <w:top w:w="15" w:type="dxa"/>
              <w:left w:w="108" w:type="dxa"/>
              <w:bottom w:w="0" w:type="dxa"/>
              <w:right w:w="108" w:type="dxa"/>
            </w:tcMar>
            <w:vAlign w:val="center"/>
            <w:hideMark/>
          </w:tcPr>
          <w:p w14:paraId="7526639D"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Liquidity ratio</w:t>
            </w:r>
          </w:p>
        </w:tc>
        <w:tc>
          <w:tcPr>
            <w:tcW w:w="0" w:type="auto"/>
            <w:tcBorders>
              <w:top w:val="nil"/>
              <w:bottom w:val="single" w:sz="12" w:space="0" w:color="auto"/>
            </w:tcBorders>
            <w:shd w:val="clear" w:color="auto" w:fill="auto"/>
            <w:tcMar>
              <w:top w:w="15" w:type="dxa"/>
              <w:left w:w="108" w:type="dxa"/>
              <w:bottom w:w="0" w:type="dxa"/>
              <w:right w:w="108" w:type="dxa"/>
            </w:tcMar>
            <w:vAlign w:val="center"/>
            <w:hideMark/>
          </w:tcPr>
          <w:p w14:paraId="5CC8661C"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ICI</w:t>
            </w:r>
          </w:p>
        </w:tc>
        <w:tc>
          <w:tcPr>
            <w:tcW w:w="0" w:type="auto"/>
            <w:tcBorders>
              <w:top w:val="nil"/>
              <w:bottom w:val="single" w:sz="12" w:space="0" w:color="auto"/>
            </w:tcBorders>
            <w:shd w:val="clear" w:color="auto" w:fill="auto"/>
            <w:tcMar>
              <w:top w:w="15" w:type="dxa"/>
              <w:left w:w="108" w:type="dxa"/>
              <w:bottom w:w="0" w:type="dxa"/>
              <w:right w:w="108" w:type="dxa"/>
            </w:tcMar>
            <w:vAlign w:val="center"/>
            <w:hideMark/>
          </w:tcPr>
          <w:p w14:paraId="0F02258E"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 xml:space="preserve">Percentage of current assets to current liabilities </w:t>
            </w:r>
          </w:p>
        </w:tc>
        <w:tc>
          <w:tcPr>
            <w:tcW w:w="0" w:type="auto"/>
            <w:tcBorders>
              <w:top w:val="nil"/>
              <w:bottom w:val="single" w:sz="12" w:space="0" w:color="auto"/>
            </w:tcBorders>
            <w:shd w:val="clear" w:color="auto" w:fill="auto"/>
            <w:tcMar>
              <w:top w:w="15" w:type="dxa"/>
              <w:left w:w="108" w:type="dxa"/>
              <w:bottom w:w="0" w:type="dxa"/>
              <w:right w:w="108" w:type="dxa"/>
            </w:tcMar>
            <w:hideMark/>
          </w:tcPr>
          <w:p w14:paraId="606762D8" w14:textId="77777777" w:rsidR="00C32C59" w:rsidRPr="00C32C59" w:rsidRDefault="00C32C59" w:rsidP="00C32C59">
            <w:pPr>
              <w:spacing w:after="0"/>
              <w:jc w:val="both"/>
              <w:rPr>
                <w:rFonts w:ascii="Times New Roman" w:eastAsia="Calibri" w:hAnsi="Times New Roman" w:cs="Times New Roman"/>
                <w:sz w:val="24"/>
                <w:szCs w:val="24"/>
              </w:rPr>
            </w:pPr>
            <w:r w:rsidRPr="00C32C59">
              <w:rPr>
                <w:rFonts w:ascii="Times New Roman" w:eastAsia="Calibri" w:hAnsi="Times New Roman" w:cs="Times New Roman"/>
                <w:sz w:val="24"/>
                <w:szCs w:val="24"/>
              </w:rPr>
              <w:t>FAME-Osiris</w:t>
            </w:r>
          </w:p>
        </w:tc>
      </w:tr>
    </w:tbl>
    <w:p w14:paraId="55EB54E2" w14:textId="77777777" w:rsidR="00C32C59" w:rsidRPr="00C32C59" w:rsidRDefault="00C32C59" w:rsidP="00C32C59">
      <w:pPr>
        <w:spacing w:before="120" w:after="120" w:line="360" w:lineRule="auto"/>
        <w:jc w:val="both"/>
        <w:rPr>
          <w:rFonts w:ascii="Calibri" w:eastAsia="Calibri" w:hAnsi="Calibri" w:cs="Times New Roman"/>
          <w:sz w:val="2"/>
          <w:szCs w:val="24"/>
        </w:rPr>
      </w:pPr>
    </w:p>
    <w:p w14:paraId="40244F1F" w14:textId="77777777" w:rsidR="00C32C59" w:rsidRPr="00C32C59" w:rsidRDefault="00C32C59" w:rsidP="00C32C59">
      <w:pPr>
        <w:rPr>
          <w:rFonts w:eastAsia="Calibri"/>
        </w:rPr>
      </w:pPr>
      <w:r w:rsidRPr="00C32C59">
        <w:rPr>
          <w:rFonts w:eastAsia="Calibri"/>
        </w:rPr>
        <w:br w:type="page"/>
      </w:r>
    </w:p>
    <w:p w14:paraId="4BFC3D1D" w14:textId="77777777" w:rsidR="00C32C59" w:rsidRPr="00C32C59" w:rsidRDefault="00C32C59" w:rsidP="00C32C59">
      <w:pPr>
        <w:rPr>
          <w:rFonts w:eastAsia="Calibri"/>
        </w:rPr>
      </w:pPr>
    </w:p>
    <w:p w14:paraId="26C16E1C" w14:textId="77777777" w:rsidR="00C32C59" w:rsidRPr="00C32C59" w:rsidRDefault="00C32C59" w:rsidP="00C32C59">
      <w:pPr>
        <w:spacing w:before="240" w:after="0" w:line="480" w:lineRule="auto"/>
        <w:jc w:val="both"/>
        <w:rPr>
          <w:rFonts w:ascii="Times New Roman" w:eastAsia="Calibri" w:hAnsi="Times New Roman" w:cs="Times New Roman"/>
          <w:b/>
          <w:bCs/>
          <w:sz w:val="24"/>
          <w:szCs w:val="24"/>
        </w:rPr>
      </w:pPr>
      <w:bookmarkStart w:id="18" w:name="_Toc459936920"/>
      <w:r w:rsidRPr="00C32C59">
        <w:rPr>
          <w:rFonts w:ascii="Times New Roman" w:eastAsia="Calibri" w:hAnsi="Times New Roman" w:cs="Times New Roman"/>
          <w:b/>
          <w:bCs/>
          <w:sz w:val="24"/>
          <w:szCs w:val="24"/>
        </w:rPr>
        <w:t>Table 3: Descriptive statistics for each year separately</w:t>
      </w:r>
      <w:bookmarkEnd w:id="18"/>
    </w:p>
    <w:tbl>
      <w:tblPr>
        <w:tblStyle w:val="TableGrid32"/>
        <w:tblW w:w="5263"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56"/>
        <w:gridCol w:w="756"/>
        <w:gridCol w:w="756"/>
        <w:gridCol w:w="897"/>
        <w:gridCol w:w="756"/>
        <w:gridCol w:w="756"/>
        <w:gridCol w:w="756"/>
        <w:gridCol w:w="903"/>
        <w:gridCol w:w="756"/>
        <w:gridCol w:w="756"/>
      </w:tblGrid>
      <w:tr w:rsidR="00C32C59" w:rsidRPr="00C32C59" w14:paraId="77D71C5E" w14:textId="77777777" w:rsidTr="001C4D87">
        <w:trPr>
          <w:trHeight w:val="20"/>
          <w:tblHeader/>
          <w:jc w:val="center"/>
        </w:trPr>
        <w:tc>
          <w:tcPr>
            <w:tcW w:w="870" w:type="pct"/>
            <w:tcBorders>
              <w:top w:val="single" w:sz="12" w:space="0" w:color="auto"/>
              <w:bottom w:val="single" w:sz="12" w:space="0" w:color="auto"/>
            </w:tcBorders>
            <w:vAlign w:val="center"/>
          </w:tcPr>
          <w:p w14:paraId="65A9E337" w14:textId="77777777" w:rsidR="00C32C59" w:rsidRPr="00C32C59" w:rsidRDefault="00C32C59" w:rsidP="00C32C59">
            <w:pPr>
              <w:jc w:val="both"/>
              <w:rPr>
                <w:rFonts w:ascii="Times New Roman" w:hAnsi="Times New Roman"/>
                <w:b/>
                <w:bCs/>
                <w:sz w:val="24"/>
                <w:szCs w:val="24"/>
              </w:rPr>
            </w:pPr>
            <w:r w:rsidRPr="00C32C59">
              <w:rPr>
                <w:rFonts w:ascii="Times New Roman" w:hAnsi="Times New Roman"/>
                <w:b/>
                <w:bCs/>
                <w:sz w:val="24"/>
                <w:szCs w:val="24"/>
              </w:rPr>
              <w:t>Variables</w:t>
            </w:r>
          </w:p>
        </w:tc>
        <w:tc>
          <w:tcPr>
            <w:tcW w:w="398" w:type="pct"/>
            <w:tcBorders>
              <w:top w:val="single" w:sz="12" w:space="0" w:color="auto"/>
              <w:bottom w:val="single" w:sz="12" w:space="0" w:color="auto"/>
            </w:tcBorders>
            <w:vAlign w:val="center"/>
          </w:tcPr>
          <w:p w14:paraId="417E93EA"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2005</w:t>
            </w:r>
          </w:p>
        </w:tc>
        <w:tc>
          <w:tcPr>
            <w:tcW w:w="398" w:type="pct"/>
            <w:tcBorders>
              <w:top w:val="single" w:sz="12" w:space="0" w:color="auto"/>
              <w:bottom w:val="single" w:sz="12" w:space="0" w:color="auto"/>
            </w:tcBorders>
            <w:vAlign w:val="center"/>
          </w:tcPr>
          <w:p w14:paraId="2FFD572B"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2006</w:t>
            </w:r>
          </w:p>
        </w:tc>
        <w:tc>
          <w:tcPr>
            <w:tcW w:w="398" w:type="pct"/>
            <w:tcBorders>
              <w:top w:val="single" w:sz="12" w:space="0" w:color="auto"/>
              <w:bottom w:val="single" w:sz="12" w:space="0" w:color="auto"/>
            </w:tcBorders>
            <w:vAlign w:val="center"/>
          </w:tcPr>
          <w:p w14:paraId="2505DA53"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2007</w:t>
            </w:r>
          </w:p>
        </w:tc>
        <w:tc>
          <w:tcPr>
            <w:tcW w:w="472" w:type="pct"/>
            <w:tcBorders>
              <w:top w:val="single" w:sz="12" w:space="0" w:color="auto"/>
              <w:bottom w:val="single" w:sz="12" w:space="0" w:color="auto"/>
            </w:tcBorders>
            <w:vAlign w:val="center"/>
          </w:tcPr>
          <w:p w14:paraId="6C95637D"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2008</w:t>
            </w:r>
          </w:p>
        </w:tc>
        <w:tc>
          <w:tcPr>
            <w:tcW w:w="398" w:type="pct"/>
            <w:tcBorders>
              <w:top w:val="single" w:sz="12" w:space="0" w:color="auto"/>
              <w:bottom w:val="single" w:sz="12" w:space="0" w:color="auto"/>
            </w:tcBorders>
            <w:vAlign w:val="center"/>
          </w:tcPr>
          <w:p w14:paraId="3A169B3C"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2009</w:t>
            </w:r>
          </w:p>
        </w:tc>
        <w:tc>
          <w:tcPr>
            <w:tcW w:w="398" w:type="pct"/>
            <w:tcBorders>
              <w:top w:val="single" w:sz="12" w:space="0" w:color="auto"/>
              <w:bottom w:val="single" w:sz="12" w:space="0" w:color="auto"/>
            </w:tcBorders>
            <w:vAlign w:val="center"/>
          </w:tcPr>
          <w:p w14:paraId="104E2B23"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2010</w:t>
            </w:r>
          </w:p>
        </w:tc>
        <w:tc>
          <w:tcPr>
            <w:tcW w:w="398" w:type="pct"/>
            <w:tcBorders>
              <w:top w:val="single" w:sz="12" w:space="0" w:color="auto"/>
              <w:bottom w:val="single" w:sz="12" w:space="0" w:color="auto"/>
            </w:tcBorders>
            <w:vAlign w:val="center"/>
          </w:tcPr>
          <w:p w14:paraId="21D98521"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2011</w:t>
            </w:r>
          </w:p>
        </w:tc>
        <w:tc>
          <w:tcPr>
            <w:tcW w:w="475" w:type="pct"/>
            <w:tcBorders>
              <w:top w:val="single" w:sz="12" w:space="0" w:color="auto"/>
              <w:bottom w:val="single" w:sz="12" w:space="0" w:color="auto"/>
            </w:tcBorders>
            <w:vAlign w:val="center"/>
          </w:tcPr>
          <w:p w14:paraId="30D50B4C"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2012</w:t>
            </w:r>
          </w:p>
        </w:tc>
        <w:tc>
          <w:tcPr>
            <w:tcW w:w="398" w:type="pct"/>
            <w:tcBorders>
              <w:top w:val="single" w:sz="12" w:space="0" w:color="auto"/>
              <w:bottom w:val="single" w:sz="12" w:space="0" w:color="auto"/>
            </w:tcBorders>
            <w:vAlign w:val="center"/>
          </w:tcPr>
          <w:p w14:paraId="781F20F2"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2013</w:t>
            </w:r>
          </w:p>
        </w:tc>
        <w:tc>
          <w:tcPr>
            <w:tcW w:w="398" w:type="pct"/>
            <w:tcBorders>
              <w:top w:val="single" w:sz="12" w:space="0" w:color="auto"/>
              <w:bottom w:val="single" w:sz="12" w:space="0" w:color="auto"/>
            </w:tcBorders>
            <w:vAlign w:val="center"/>
          </w:tcPr>
          <w:p w14:paraId="5D3FE8E9" w14:textId="77777777" w:rsidR="00C32C59" w:rsidRPr="00C32C59" w:rsidRDefault="00C32C59" w:rsidP="00C32C59">
            <w:pPr>
              <w:jc w:val="right"/>
              <w:rPr>
                <w:rFonts w:ascii="Times New Roman" w:hAnsi="Times New Roman"/>
                <w:b/>
                <w:bCs/>
                <w:sz w:val="24"/>
                <w:szCs w:val="24"/>
              </w:rPr>
            </w:pPr>
            <w:r w:rsidRPr="00C32C59">
              <w:rPr>
                <w:rFonts w:ascii="Times New Roman" w:hAnsi="Times New Roman"/>
                <w:b/>
                <w:bCs/>
                <w:sz w:val="24"/>
                <w:szCs w:val="24"/>
              </w:rPr>
              <w:t>2014</w:t>
            </w:r>
          </w:p>
        </w:tc>
      </w:tr>
      <w:tr w:rsidR="00C32C59" w:rsidRPr="00C32C59" w14:paraId="40B89734" w14:textId="77777777" w:rsidTr="001C4D87">
        <w:trPr>
          <w:trHeight w:val="20"/>
          <w:jc w:val="center"/>
        </w:trPr>
        <w:tc>
          <w:tcPr>
            <w:tcW w:w="5000" w:type="pct"/>
            <w:gridSpan w:val="11"/>
            <w:tcBorders>
              <w:top w:val="single" w:sz="12" w:space="0" w:color="auto"/>
            </w:tcBorders>
            <w:vAlign w:val="center"/>
          </w:tcPr>
          <w:p w14:paraId="1268274E"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RT1</w:t>
            </w:r>
          </w:p>
        </w:tc>
      </w:tr>
      <w:tr w:rsidR="00C32C59" w:rsidRPr="00C32C59" w14:paraId="707082A2" w14:textId="77777777" w:rsidTr="001C4D87">
        <w:trPr>
          <w:trHeight w:val="20"/>
          <w:jc w:val="center"/>
        </w:trPr>
        <w:tc>
          <w:tcPr>
            <w:tcW w:w="870" w:type="pct"/>
            <w:vAlign w:val="center"/>
          </w:tcPr>
          <w:p w14:paraId="048D84C1"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tcPr>
          <w:p w14:paraId="442A91F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0.83</w:t>
            </w:r>
          </w:p>
        </w:tc>
        <w:tc>
          <w:tcPr>
            <w:tcW w:w="398" w:type="pct"/>
          </w:tcPr>
          <w:p w14:paraId="302D9C6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0.87</w:t>
            </w:r>
          </w:p>
        </w:tc>
        <w:tc>
          <w:tcPr>
            <w:tcW w:w="398" w:type="pct"/>
          </w:tcPr>
          <w:p w14:paraId="60D4CFD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1.08</w:t>
            </w:r>
          </w:p>
        </w:tc>
        <w:tc>
          <w:tcPr>
            <w:tcW w:w="472" w:type="pct"/>
          </w:tcPr>
          <w:p w14:paraId="5F36311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0.82</w:t>
            </w:r>
          </w:p>
        </w:tc>
        <w:tc>
          <w:tcPr>
            <w:tcW w:w="398" w:type="pct"/>
          </w:tcPr>
          <w:p w14:paraId="3D060BD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0.65</w:t>
            </w:r>
          </w:p>
        </w:tc>
        <w:tc>
          <w:tcPr>
            <w:tcW w:w="398" w:type="pct"/>
          </w:tcPr>
          <w:p w14:paraId="2C01BBD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0.72</w:t>
            </w:r>
          </w:p>
        </w:tc>
        <w:tc>
          <w:tcPr>
            <w:tcW w:w="398" w:type="pct"/>
          </w:tcPr>
          <w:p w14:paraId="59909E9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0.45</w:t>
            </w:r>
          </w:p>
        </w:tc>
        <w:tc>
          <w:tcPr>
            <w:tcW w:w="475" w:type="pct"/>
          </w:tcPr>
          <w:p w14:paraId="1C21057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0.64</w:t>
            </w:r>
          </w:p>
        </w:tc>
        <w:tc>
          <w:tcPr>
            <w:tcW w:w="398" w:type="pct"/>
          </w:tcPr>
          <w:p w14:paraId="39DC3ED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0.55</w:t>
            </w:r>
          </w:p>
        </w:tc>
        <w:tc>
          <w:tcPr>
            <w:tcW w:w="398" w:type="pct"/>
          </w:tcPr>
          <w:p w14:paraId="51637AF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0.53</w:t>
            </w:r>
          </w:p>
        </w:tc>
      </w:tr>
      <w:tr w:rsidR="00C32C59" w:rsidRPr="00C32C59" w14:paraId="1F069E01" w14:textId="77777777" w:rsidTr="001C4D87">
        <w:trPr>
          <w:trHeight w:val="20"/>
          <w:jc w:val="center"/>
        </w:trPr>
        <w:tc>
          <w:tcPr>
            <w:tcW w:w="870" w:type="pct"/>
            <w:vAlign w:val="center"/>
          </w:tcPr>
          <w:p w14:paraId="27507032"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tcPr>
          <w:p w14:paraId="53ED050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1.11</w:t>
            </w:r>
          </w:p>
        </w:tc>
        <w:tc>
          <w:tcPr>
            <w:tcW w:w="398" w:type="pct"/>
          </w:tcPr>
          <w:p w14:paraId="46E5E53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1.20</w:t>
            </w:r>
          </w:p>
        </w:tc>
        <w:tc>
          <w:tcPr>
            <w:tcW w:w="398" w:type="pct"/>
          </w:tcPr>
          <w:p w14:paraId="7C97070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1.46</w:t>
            </w:r>
          </w:p>
        </w:tc>
        <w:tc>
          <w:tcPr>
            <w:tcW w:w="472" w:type="pct"/>
          </w:tcPr>
          <w:p w14:paraId="48F5A38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1.37</w:t>
            </w:r>
          </w:p>
        </w:tc>
        <w:tc>
          <w:tcPr>
            <w:tcW w:w="398" w:type="pct"/>
          </w:tcPr>
          <w:p w14:paraId="128E97C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1.08</w:t>
            </w:r>
          </w:p>
        </w:tc>
        <w:tc>
          <w:tcPr>
            <w:tcW w:w="398" w:type="pct"/>
          </w:tcPr>
          <w:p w14:paraId="0360A5A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1.03</w:t>
            </w:r>
          </w:p>
        </w:tc>
        <w:tc>
          <w:tcPr>
            <w:tcW w:w="398" w:type="pct"/>
          </w:tcPr>
          <w:p w14:paraId="2DC09A2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0.76</w:t>
            </w:r>
          </w:p>
        </w:tc>
        <w:tc>
          <w:tcPr>
            <w:tcW w:w="475" w:type="pct"/>
          </w:tcPr>
          <w:p w14:paraId="50E71F9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0.87</w:t>
            </w:r>
          </w:p>
        </w:tc>
        <w:tc>
          <w:tcPr>
            <w:tcW w:w="398" w:type="pct"/>
          </w:tcPr>
          <w:p w14:paraId="4DB2BD2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0.71</w:t>
            </w:r>
          </w:p>
        </w:tc>
        <w:tc>
          <w:tcPr>
            <w:tcW w:w="398" w:type="pct"/>
          </w:tcPr>
          <w:p w14:paraId="5D0EE22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0.61</w:t>
            </w:r>
          </w:p>
        </w:tc>
      </w:tr>
      <w:tr w:rsidR="00C32C59" w:rsidRPr="00C32C59" w14:paraId="018B0C45" w14:textId="77777777" w:rsidTr="001C4D87">
        <w:trPr>
          <w:trHeight w:val="20"/>
          <w:jc w:val="center"/>
        </w:trPr>
        <w:tc>
          <w:tcPr>
            <w:tcW w:w="870" w:type="pct"/>
            <w:vAlign w:val="center"/>
          </w:tcPr>
          <w:p w14:paraId="5BE849CE"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tcPr>
          <w:p w14:paraId="79643B9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0.10</w:t>
            </w:r>
          </w:p>
        </w:tc>
        <w:tc>
          <w:tcPr>
            <w:tcW w:w="398" w:type="pct"/>
          </w:tcPr>
          <w:p w14:paraId="154E6B2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0.12</w:t>
            </w:r>
          </w:p>
        </w:tc>
        <w:tc>
          <w:tcPr>
            <w:tcW w:w="398" w:type="pct"/>
          </w:tcPr>
          <w:p w14:paraId="7C711DE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0.06</w:t>
            </w:r>
          </w:p>
        </w:tc>
        <w:tc>
          <w:tcPr>
            <w:tcW w:w="472" w:type="pct"/>
          </w:tcPr>
          <w:p w14:paraId="1A95920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-0.16</w:t>
            </w:r>
          </w:p>
        </w:tc>
        <w:tc>
          <w:tcPr>
            <w:tcW w:w="398" w:type="pct"/>
          </w:tcPr>
          <w:p w14:paraId="7710898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0.03</w:t>
            </w:r>
          </w:p>
        </w:tc>
        <w:tc>
          <w:tcPr>
            <w:tcW w:w="398" w:type="pct"/>
          </w:tcPr>
          <w:p w14:paraId="507928E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0.01</w:t>
            </w:r>
          </w:p>
        </w:tc>
        <w:tc>
          <w:tcPr>
            <w:tcW w:w="398" w:type="pct"/>
          </w:tcPr>
          <w:p w14:paraId="53241C7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0.01</w:t>
            </w:r>
          </w:p>
        </w:tc>
        <w:tc>
          <w:tcPr>
            <w:tcW w:w="475" w:type="pct"/>
          </w:tcPr>
          <w:p w14:paraId="2B659BB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-0.15</w:t>
            </w:r>
          </w:p>
        </w:tc>
        <w:tc>
          <w:tcPr>
            <w:tcW w:w="398" w:type="pct"/>
          </w:tcPr>
          <w:p w14:paraId="741366B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-0.19</w:t>
            </w:r>
          </w:p>
        </w:tc>
        <w:tc>
          <w:tcPr>
            <w:tcW w:w="398" w:type="pct"/>
          </w:tcPr>
          <w:p w14:paraId="27584CE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0.06</w:t>
            </w:r>
          </w:p>
        </w:tc>
      </w:tr>
      <w:tr w:rsidR="00C32C59" w:rsidRPr="00C32C59" w14:paraId="14E5ACC4" w14:textId="77777777" w:rsidTr="001C4D87">
        <w:trPr>
          <w:trHeight w:val="20"/>
          <w:jc w:val="center"/>
        </w:trPr>
        <w:tc>
          <w:tcPr>
            <w:tcW w:w="870" w:type="pct"/>
            <w:vAlign w:val="center"/>
          </w:tcPr>
          <w:p w14:paraId="4E625815"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tcPr>
          <w:p w14:paraId="2DD9ED2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3.61</w:t>
            </w:r>
          </w:p>
        </w:tc>
        <w:tc>
          <w:tcPr>
            <w:tcW w:w="398" w:type="pct"/>
          </w:tcPr>
          <w:p w14:paraId="1C6AE59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3.92</w:t>
            </w:r>
          </w:p>
        </w:tc>
        <w:tc>
          <w:tcPr>
            <w:tcW w:w="398" w:type="pct"/>
          </w:tcPr>
          <w:p w14:paraId="4BF6296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4.12</w:t>
            </w:r>
          </w:p>
        </w:tc>
        <w:tc>
          <w:tcPr>
            <w:tcW w:w="472" w:type="pct"/>
          </w:tcPr>
          <w:p w14:paraId="3D9EDE3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tcPr>
          <w:p w14:paraId="12C075C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3.67</w:t>
            </w:r>
          </w:p>
        </w:tc>
        <w:tc>
          <w:tcPr>
            <w:tcW w:w="398" w:type="pct"/>
          </w:tcPr>
          <w:p w14:paraId="7C72D57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3.01</w:t>
            </w:r>
          </w:p>
        </w:tc>
        <w:tc>
          <w:tcPr>
            <w:tcW w:w="398" w:type="pct"/>
          </w:tcPr>
          <w:p w14:paraId="5C741A5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2.29</w:t>
            </w:r>
          </w:p>
        </w:tc>
        <w:tc>
          <w:tcPr>
            <w:tcW w:w="475" w:type="pct"/>
          </w:tcPr>
          <w:p w14:paraId="6D23227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2.54</w:t>
            </w:r>
          </w:p>
        </w:tc>
        <w:tc>
          <w:tcPr>
            <w:tcW w:w="398" w:type="pct"/>
          </w:tcPr>
          <w:p w14:paraId="77EF200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2.14</w:t>
            </w:r>
          </w:p>
        </w:tc>
        <w:tc>
          <w:tcPr>
            <w:tcW w:w="398" w:type="pct"/>
          </w:tcPr>
          <w:p w14:paraId="2BAC87E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1.82</w:t>
            </w:r>
          </w:p>
        </w:tc>
      </w:tr>
      <w:tr w:rsidR="00C32C59" w:rsidRPr="00C32C59" w14:paraId="048B1977" w14:textId="77777777" w:rsidTr="001C4D87">
        <w:trPr>
          <w:trHeight w:val="20"/>
          <w:jc w:val="center"/>
        </w:trPr>
        <w:tc>
          <w:tcPr>
            <w:tcW w:w="5000" w:type="pct"/>
            <w:gridSpan w:val="11"/>
            <w:tcBorders>
              <w:bottom w:val="nil"/>
            </w:tcBorders>
            <w:vAlign w:val="center"/>
          </w:tcPr>
          <w:p w14:paraId="4A218F81" w14:textId="77777777" w:rsidR="00C32C59" w:rsidRPr="00C32C59" w:rsidRDefault="00C32C59" w:rsidP="00C32C59">
            <w:pPr>
              <w:rPr>
                <w:rFonts w:ascii="Times New Roman" w:hAnsi="Times New Roman"/>
                <w:b/>
                <w:bCs/>
                <w:sz w:val="24"/>
                <w:szCs w:val="24"/>
              </w:rPr>
            </w:pPr>
          </w:p>
        </w:tc>
      </w:tr>
      <w:tr w:rsidR="00C32C59" w:rsidRPr="00C32C59" w14:paraId="65FE673A" w14:textId="77777777" w:rsidTr="001C4D87">
        <w:trPr>
          <w:trHeight w:val="20"/>
          <w:jc w:val="center"/>
        </w:trPr>
        <w:tc>
          <w:tcPr>
            <w:tcW w:w="5000" w:type="pct"/>
            <w:gridSpan w:val="11"/>
            <w:tcBorders>
              <w:top w:val="nil"/>
              <w:bottom w:val="nil"/>
            </w:tcBorders>
            <w:vAlign w:val="center"/>
          </w:tcPr>
          <w:p w14:paraId="675C9649"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RT2</w:t>
            </w:r>
          </w:p>
        </w:tc>
      </w:tr>
      <w:tr w:rsidR="00C32C59" w:rsidRPr="00C32C59" w14:paraId="22A7F9B6" w14:textId="77777777" w:rsidTr="001C4D87">
        <w:trPr>
          <w:trHeight w:val="20"/>
          <w:jc w:val="center"/>
        </w:trPr>
        <w:tc>
          <w:tcPr>
            <w:tcW w:w="870" w:type="pct"/>
            <w:tcBorders>
              <w:top w:val="nil"/>
            </w:tcBorders>
            <w:vAlign w:val="center"/>
          </w:tcPr>
          <w:p w14:paraId="6BCB0DCF"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tcBorders>
              <w:top w:val="nil"/>
            </w:tcBorders>
          </w:tcPr>
          <w:p w14:paraId="67DDB40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w:t>
            </w:r>
          </w:p>
        </w:tc>
        <w:tc>
          <w:tcPr>
            <w:tcW w:w="398" w:type="pct"/>
            <w:tcBorders>
              <w:top w:val="nil"/>
            </w:tcBorders>
          </w:tcPr>
          <w:p w14:paraId="3F51990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1.35</w:t>
            </w:r>
          </w:p>
        </w:tc>
        <w:tc>
          <w:tcPr>
            <w:tcW w:w="398" w:type="pct"/>
            <w:tcBorders>
              <w:top w:val="nil"/>
            </w:tcBorders>
          </w:tcPr>
          <w:p w14:paraId="3867E1B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1.21</w:t>
            </w:r>
          </w:p>
        </w:tc>
        <w:tc>
          <w:tcPr>
            <w:tcW w:w="472" w:type="pct"/>
            <w:tcBorders>
              <w:top w:val="nil"/>
            </w:tcBorders>
          </w:tcPr>
          <w:p w14:paraId="044A998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0.24</w:t>
            </w:r>
          </w:p>
        </w:tc>
        <w:tc>
          <w:tcPr>
            <w:tcW w:w="398" w:type="pct"/>
            <w:tcBorders>
              <w:top w:val="nil"/>
            </w:tcBorders>
          </w:tcPr>
          <w:p w14:paraId="3CF0691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0.90</w:t>
            </w:r>
          </w:p>
        </w:tc>
        <w:tc>
          <w:tcPr>
            <w:tcW w:w="398" w:type="pct"/>
            <w:tcBorders>
              <w:top w:val="nil"/>
            </w:tcBorders>
          </w:tcPr>
          <w:p w14:paraId="6DFBA4A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1.07</w:t>
            </w:r>
          </w:p>
        </w:tc>
        <w:tc>
          <w:tcPr>
            <w:tcW w:w="398" w:type="pct"/>
            <w:tcBorders>
              <w:top w:val="nil"/>
            </w:tcBorders>
          </w:tcPr>
          <w:p w14:paraId="69E7FDE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0.72</w:t>
            </w:r>
          </w:p>
        </w:tc>
        <w:tc>
          <w:tcPr>
            <w:tcW w:w="475" w:type="pct"/>
            <w:tcBorders>
              <w:top w:val="nil"/>
            </w:tcBorders>
          </w:tcPr>
          <w:p w14:paraId="04041DA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1.05</w:t>
            </w:r>
          </w:p>
        </w:tc>
        <w:tc>
          <w:tcPr>
            <w:tcW w:w="398" w:type="pct"/>
            <w:tcBorders>
              <w:top w:val="nil"/>
            </w:tcBorders>
          </w:tcPr>
          <w:p w14:paraId="2CF1380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1.17</w:t>
            </w:r>
          </w:p>
        </w:tc>
        <w:tc>
          <w:tcPr>
            <w:tcW w:w="398" w:type="pct"/>
            <w:tcBorders>
              <w:top w:val="nil"/>
            </w:tcBorders>
          </w:tcPr>
          <w:p w14:paraId="3CFF212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1.05</w:t>
            </w:r>
          </w:p>
        </w:tc>
      </w:tr>
      <w:tr w:rsidR="00C32C59" w:rsidRPr="00C32C59" w14:paraId="2C0956E1" w14:textId="77777777" w:rsidTr="001C4D87">
        <w:trPr>
          <w:trHeight w:val="20"/>
          <w:jc w:val="center"/>
        </w:trPr>
        <w:tc>
          <w:tcPr>
            <w:tcW w:w="870" w:type="pct"/>
            <w:vAlign w:val="center"/>
          </w:tcPr>
          <w:p w14:paraId="21239076"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tcPr>
          <w:p w14:paraId="6C69D46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0.83</w:t>
            </w:r>
          </w:p>
        </w:tc>
        <w:tc>
          <w:tcPr>
            <w:tcW w:w="398" w:type="pct"/>
          </w:tcPr>
          <w:p w14:paraId="330790C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0.84</w:t>
            </w:r>
          </w:p>
        </w:tc>
        <w:tc>
          <w:tcPr>
            <w:tcW w:w="398" w:type="pct"/>
          </w:tcPr>
          <w:p w14:paraId="444AC04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0.89</w:t>
            </w:r>
          </w:p>
        </w:tc>
        <w:tc>
          <w:tcPr>
            <w:tcW w:w="472" w:type="pct"/>
          </w:tcPr>
          <w:p w14:paraId="02BFE37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1.50</w:t>
            </w:r>
          </w:p>
        </w:tc>
        <w:tc>
          <w:tcPr>
            <w:tcW w:w="398" w:type="pct"/>
          </w:tcPr>
          <w:p w14:paraId="1685835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0.92</w:t>
            </w:r>
          </w:p>
        </w:tc>
        <w:tc>
          <w:tcPr>
            <w:tcW w:w="398" w:type="pct"/>
          </w:tcPr>
          <w:p w14:paraId="1B0BEB1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0.91</w:t>
            </w:r>
          </w:p>
        </w:tc>
        <w:tc>
          <w:tcPr>
            <w:tcW w:w="398" w:type="pct"/>
          </w:tcPr>
          <w:p w14:paraId="3347677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0.98</w:t>
            </w:r>
          </w:p>
        </w:tc>
        <w:tc>
          <w:tcPr>
            <w:tcW w:w="475" w:type="pct"/>
          </w:tcPr>
          <w:p w14:paraId="555A09D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1.08</w:t>
            </w:r>
          </w:p>
        </w:tc>
        <w:tc>
          <w:tcPr>
            <w:tcW w:w="398" w:type="pct"/>
          </w:tcPr>
          <w:p w14:paraId="7A38585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0.97</w:t>
            </w:r>
          </w:p>
        </w:tc>
        <w:tc>
          <w:tcPr>
            <w:tcW w:w="398" w:type="pct"/>
          </w:tcPr>
          <w:p w14:paraId="5EA2F12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0.68</w:t>
            </w:r>
          </w:p>
        </w:tc>
      </w:tr>
      <w:tr w:rsidR="00C32C59" w:rsidRPr="00C32C59" w14:paraId="0AC917B1" w14:textId="77777777" w:rsidTr="001C4D87">
        <w:trPr>
          <w:trHeight w:val="20"/>
          <w:jc w:val="center"/>
        </w:trPr>
        <w:tc>
          <w:tcPr>
            <w:tcW w:w="870" w:type="pct"/>
            <w:vAlign w:val="center"/>
          </w:tcPr>
          <w:p w14:paraId="7D56D20C"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tcPr>
          <w:p w14:paraId="06C50E2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0.20</w:t>
            </w:r>
          </w:p>
        </w:tc>
        <w:tc>
          <w:tcPr>
            <w:tcW w:w="398" w:type="pct"/>
          </w:tcPr>
          <w:p w14:paraId="50BD728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0.29</w:t>
            </w:r>
          </w:p>
        </w:tc>
        <w:tc>
          <w:tcPr>
            <w:tcW w:w="398" w:type="pct"/>
          </w:tcPr>
          <w:p w14:paraId="0EE0200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0.27</w:t>
            </w:r>
          </w:p>
        </w:tc>
        <w:tc>
          <w:tcPr>
            <w:tcW w:w="472" w:type="pct"/>
          </w:tcPr>
          <w:p w14:paraId="473A7F9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-2.88</w:t>
            </w:r>
          </w:p>
        </w:tc>
        <w:tc>
          <w:tcPr>
            <w:tcW w:w="398" w:type="pct"/>
          </w:tcPr>
          <w:p w14:paraId="2A3DC12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0.14</w:t>
            </w:r>
          </w:p>
        </w:tc>
        <w:tc>
          <w:tcPr>
            <w:tcW w:w="398" w:type="pct"/>
          </w:tcPr>
          <w:p w14:paraId="1E272A2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0.02</w:t>
            </w:r>
          </w:p>
        </w:tc>
        <w:tc>
          <w:tcPr>
            <w:tcW w:w="398" w:type="pct"/>
          </w:tcPr>
          <w:p w14:paraId="5F896DE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-0.01</w:t>
            </w:r>
          </w:p>
        </w:tc>
        <w:tc>
          <w:tcPr>
            <w:tcW w:w="475" w:type="pct"/>
          </w:tcPr>
          <w:p w14:paraId="364A8FF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-1.23</w:t>
            </w:r>
          </w:p>
        </w:tc>
        <w:tc>
          <w:tcPr>
            <w:tcW w:w="398" w:type="pct"/>
          </w:tcPr>
          <w:p w14:paraId="6582988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-0.40</w:t>
            </w:r>
          </w:p>
        </w:tc>
        <w:tc>
          <w:tcPr>
            <w:tcW w:w="398" w:type="pct"/>
          </w:tcPr>
          <w:p w14:paraId="5E23498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0.33</w:t>
            </w:r>
          </w:p>
        </w:tc>
      </w:tr>
      <w:tr w:rsidR="00C32C59" w:rsidRPr="00C32C59" w14:paraId="720742D5" w14:textId="77777777" w:rsidTr="001C4D87">
        <w:trPr>
          <w:trHeight w:val="20"/>
          <w:jc w:val="center"/>
        </w:trPr>
        <w:tc>
          <w:tcPr>
            <w:tcW w:w="870" w:type="pct"/>
            <w:vAlign w:val="center"/>
          </w:tcPr>
          <w:p w14:paraId="5F9E8BA2"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tcPr>
          <w:p w14:paraId="605FB7B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3.17</w:t>
            </w:r>
          </w:p>
        </w:tc>
        <w:tc>
          <w:tcPr>
            <w:tcW w:w="398" w:type="pct"/>
          </w:tcPr>
          <w:p w14:paraId="5318D17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3.24</w:t>
            </w:r>
          </w:p>
        </w:tc>
        <w:tc>
          <w:tcPr>
            <w:tcW w:w="398" w:type="pct"/>
          </w:tcPr>
          <w:p w14:paraId="7A2862B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3.69</w:t>
            </w:r>
          </w:p>
        </w:tc>
        <w:tc>
          <w:tcPr>
            <w:tcW w:w="472" w:type="pct"/>
          </w:tcPr>
          <w:p w14:paraId="7A61332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3.54</w:t>
            </w:r>
          </w:p>
        </w:tc>
        <w:tc>
          <w:tcPr>
            <w:tcW w:w="398" w:type="pct"/>
          </w:tcPr>
          <w:p w14:paraId="7DF3F2B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3.46</w:t>
            </w:r>
          </w:p>
        </w:tc>
        <w:tc>
          <w:tcPr>
            <w:tcW w:w="398" w:type="pct"/>
          </w:tcPr>
          <w:p w14:paraId="12B38CC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3.65</w:t>
            </w:r>
          </w:p>
        </w:tc>
        <w:tc>
          <w:tcPr>
            <w:tcW w:w="398" w:type="pct"/>
          </w:tcPr>
          <w:p w14:paraId="0D2CABF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3.65</w:t>
            </w:r>
          </w:p>
        </w:tc>
        <w:tc>
          <w:tcPr>
            <w:tcW w:w="475" w:type="pct"/>
          </w:tcPr>
          <w:p w14:paraId="05CD543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3.62</w:t>
            </w:r>
          </w:p>
        </w:tc>
        <w:tc>
          <w:tcPr>
            <w:tcW w:w="398" w:type="pct"/>
          </w:tcPr>
          <w:p w14:paraId="3124414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3.45</w:t>
            </w:r>
          </w:p>
        </w:tc>
        <w:tc>
          <w:tcPr>
            <w:tcW w:w="398" w:type="pct"/>
          </w:tcPr>
          <w:p w14:paraId="56EA352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2.97</w:t>
            </w:r>
          </w:p>
        </w:tc>
      </w:tr>
      <w:tr w:rsidR="00C32C59" w:rsidRPr="00C32C59" w14:paraId="4630BD65" w14:textId="77777777" w:rsidTr="001C4D87">
        <w:trPr>
          <w:trHeight w:val="20"/>
          <w:jc w:val="center"/>
        </w:trPr>
        <w:tc>
          <w:tcPr>
            <w:tcW w:w="5000" w:type="pct"/>
            <w:gridSpan w:val="11"/>
            <w:vAlign w:val="center"/>
          </w:tcPr>
          <w:p w14:paraId="1B9BE1C3"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ICBS</w:t>
            </w:r>
          </w:p>
        </w:tc>
      </w:tr>
      <w:tr w:rsidR="00C32C59" w:rsidRPr="00C32C59" w14:paraId="250402D6" w14:textId="77777777" w:rsidTr="001C4D87">
        <w:trPr>
          <w:trHeight w:val="20"/>
          <w:jc w:val="center"/>
        </w:trPr>
        <w:tc>
          <w:tcPr>
            <w:tcW w:w="870" w:type="pct"/>
            <w:vAlign w:val="center"/>
          </w:tcPr>
          <w:p w14:paraId="56DEB770"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vAlign w:val="center"/>
          </w:tcPr>
          <w:p w14:paraId="3930252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11.45</w:t>
            </w:r>
          </w:p>
        </w:tc>
        <w:tc>
          <w:tcPr>
            <w:tcW w:w="398" w:type="pct"/>
            <w:vAlign w:val="center"/>
          </w:tcPr>
          <w:p w14:paraId="070EC88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11.36</w:t>
            </w:r>
          </w:p>
        </w:tc>
        <w:tc>
          <w:tcPr>
            <w:tcW w:w="398" w:type="pct"/>
            <w:vAlign w:val="center"/>
          </w:tcPr>
          <w:p w14:paraId="5D2F97B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11.55</w:t>
            </w:r>
          </w:p>
        </w:tc>
        <w:tc>
          <w:tcPr>
            <w:tcW w:w="472" w:type="pct"/>
            <w:vAlign w:val="center"/>
          </w:tcPr>
          <w:p w14:paraId="05DC3BE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11.33</w:t>
            </w:r>
          </w:p>
        </w:tc>
        <w:tc>
          <w:tcPr>
            <w:tcW w:w="398" w:type="pct"/>
            <w:vAlign w:val="center"/>
          </w:tcPr>
          <w:p w14:paraId="6CF38A8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11.75</w:t>
            </w:r>
          </w:p>
        </w:tc>
        <w:tc>
          <w:tcPr>
            <w:tcW w:w="398" w:type="pct"/>
            <w:vAlign w:val="center"/>
          </w:tcPr>
          <w:p w14:paraId="5617177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12.08</w:t>
            </w:r>
          </w:p>
        </w:tc>
        <w:tc>
          <w:tcPr>
            <w:tcW w:w="398" w:type="pct"/>
            <w:vAlign w:val="center"/>
          </w:tcPr>
          <w:p w14:paraId="4EEB2A2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12.58</w:t>
            </w:r>
          </w:p>
        </w:tc>
        <w:tc>
          <w:tcPr>
            <w:tcW w:w="475" w:type="pct"/>
            <w:vAlign w:val="center"/>
          </w:tcPr>
          <w:p w14:paraId="2EBE28A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12.42</w:t>
            </w:r>
          </w:p>
        </w:tc>
        <w:tc>
          <w:tcPr>
            <w:tcW w:w="398" w:type="pct"/>
            <w:vAlign w:val="center"/>
          </w:tcPr>
          <w:p w14:paraId="5029CDB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11.92</w:t>
            </w:r>
          </w:p>
        </w:tc>
        <w:tc>
          <w:tcPr>
            <w:tcW w:w="398" w:type="pct"/>
            <w:vAlign w:val="center"/>
          </w:tcPr>
          <w:p w14:paraId="6EC5601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11.50</w:t>
            </w:r>
          </w:p>
        </w:tc>
      </w:tr>
      <w:tr w:rsidR="00C32C59" w:rsidRPr="00C32C59" w14:paraId="402FFF79" w14:textId="77777777" w:rsidTr="001C4D87">
        <w:trPr>
          <w:trHeight w:val="20"/>
          <w:jc w:val="center"/>
        </w:trPr>
        <w:tc>
          <w:tcPr>
            <w:tcW w:w="870" w:type="pct"/>
            <w:vAlign w:val="center"/>
          </w:tcPr>
          <w:p w14:paraId="25ED934D"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vAlign w:val="center"/>
          </w:tcPr>
          <w:p w14:paraId="2638B65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1.92</w:t>
            </w:r>
          </w:p>
        </w:tc>
        <w:tc>
          <w:tcPr>
            <w:tcW w:w="398" w:type="pct"/>
            <w:vAlign w:val="center"/>
          </w:tcPr>
          <w:p w14:paraId="68B8A28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2.06</w:t>
            </w:r>
          </w:p>
        </w:tc>
        <w:tc>
          <w:tcPr>
            <w:tcW w:w="398" w:type="pct"/>
            <w:vAlign w:val="center"/>
          </w:tcPr>
          <w:p w14:paraId="0E406E0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2.02</w:t>
            </w:r>
          </w:p>
        </w:tc>
        <w:tc>
          <w:tcPr>
            <w:tcW w:w="472" w:type="pct"/>
            <w:vAlign w:val="center"/>
          </w:tcPr>
          <w:p w14:paraId="58CA2A4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1.92</w:t>
            </w:r>
          </w:p>
        </w:tc>
        <w:tc>
          <w:tcPr>
            <w:tcW w:w="398" w:type="pct"/>
            <w:vAlign w:val="center"/>
          </w:tcPr>
          <w:p w14:paraId="5EC5E6C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1.86</w:t>
            </w:r>
          </w:p>
        </w:tc>
        <w:tc>
          <w:tcPr>
            <w:tcW w:w="398" w:type="pct"/>
            <w:vAlign w:val="center"/>
          </w:tcPr>
          <w:p w14:paraId="69331E1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2.54</w:t>
            </w:r>
          </w:p>
        </w:tc>
        <w:tc>
          <w:tcPr>
            <w:tcW w:w="398" w:type="pct"/>
            <w:vAlign w:val="center"/>
          </w:tcPr>
          <w:p w14:paraId="6916EC6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2.15</w:t>
            </w:r>
          </w:p>
        </w:tc>
        <w:tc>
          <w:tcPr>
            <w:tcW w:w="475" w:type="pct"/>
            <w:vAlign w:val="center"/>
          </w:tcPr>
          <w:p w14:paraId="2F77987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1.38</w:t>
            </w:r>
          </w:p>
        </w:tc>
        <w:tc>
          <w:tcPr>
            <w:tcW w:w="398" w:type="pct"/>
            <w:vAlign w:val="center"/>
          </w:tcPr>
          <w:p w14:paraId="1A20C26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1.56</w:t>
            </w:r>
          </w:p>
        </w:tc>
        <w:tc>
          <w:tcPr>
            <w:tcW w:w="398" w:type="pct"/>
            <w:vAlign w:val="center"/>
          </w:tcPr>
          <w:p w14:paraId="75CFCE7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2.24</w:t>
            </w:r>
          </w:p>
        </w:tc>
      </w:tr>
      <w:tr w:rsidR="00C32C59" w:rsidRPr="00C32C59" w14:paraId="21F5E00A" w14:textId="77777777" w:rsidTr="001C4D87">
        <w:trPr>
          <w:trHeight w:val="20"/>
          <w:jc w:val="center"/>
        </w:trPr>
        <w:tc>
          <w:tcPr>
            <w:tcW w:w="870" w:type="pct"/>
            <w:vAlign w:val="center"/>
          </w:tcPr>
          <w:p w14:paraId="0C689BCD"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vAlign w:val="center"/>
          </w:tcPr>
          <w:p w14:paraId="242DCEF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398" w:type="pct"/>
            <w:vAlign w:val="center"/>
          </w:tcPr>
          <w:p w14:paraId="0C694B6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7.00</w:t>
            </w:r>
          </w:p>
        </w:tc>
        <w:tc>
          <w:tcPr>
            <w:tcW w:w="398" w:type="pct"/>
            <w:vAlign w:val="center"/>
          </w:tcPr>
          <w:p w14:paraId="3E7F2D7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472" w:type="pct"/>
            <w:vAlign w:val="center"/>
          </w:tcPr>
          <w:p w14:paraId="3000607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398" w:type="pct"/>
            <w:vAlign w:val="center"/>
          </w:tcPr>
          <w:p w14:paraId="1982539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398" w:type="pct"/>
            <w:vAlign w:val="center"/>
          </w:tcPr>
          <w:p w14:paraId="37CE43F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398" w:type="pct"/>
            <w:vAlign w:val="center"/>
          </w:tcPr>
          <w:p w14:paraId="7F13233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475" w:type="pct"/>
            <w:vAlign w:val="center"/>
          </w:tcPr>
          <w:p w14:paraId="1C3ADAC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11.00</w:t>
            </w:r>
          </w:p>
        </w:tc>
        <w:tc>
          <w:tcPr>
            <w:tcW w:w="398" w:type="pct"/>
            <w:vAlign w:val="center"/>
          </w:tcPr>
          <w:p w14:paraId="18E90B5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10.00</w:t>
            </w:r>
          </w:p>
        </w:tc>
        <w:tc>
          <w:tcPr>
            <w:tcW w:w="398" w:type="pct"/>
            <w:vAlign w:val="center"/>
          </w:tcPr>
          <w:p w14:paraId="3F65082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8.00</w:t>
            </w:r>
          </w:p>
        </w:tc>
      </w:tr>
      <w:tr w:rsidR="00C32C59" w:rsidRPr="00C32C59" w14:paraId="65D528A6" w14:textId="77777777" w:rsidTr="001C4D87">
        <w:trPr>
          <w:trHeight w:val="20"/>
          <w:jc w:val="center"/>
        </w:trPr>
        <w:tc>
          <w:tcPr>
            <w:tcW w:w="870" w:type="pct"/>
            <w:vAlign w:val="center"/>
          </w:tcPr>
          <w:p w14:paraId="70A09162"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vAlign w:val="center"/>
          </w:tcPr>
          <w:p w14:paraId="5AF64DD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14.00</w:t>
            </w:r>
          </w:p>
        </w:tc>
        <w:tc>
          <w:tcPr>
            <w:tcW w:w="398" w:type="pct"/>
            <w:vAlign w:val="center"/>
          </w:tcPr>
          <w:p w14:paraId="3614367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14.00</w:t>
            </w:r>
          </w:p>
        </w:tc>
        <w:tc>
          <w:tcPr>
            <w:tcW w:w="398" w:type="pct"/>
            <w:vAlign w:val="center"/>
          </w:tcPr>
          <w:p w14:paraId="4079A65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16.00</w:t>
            </w:r>
          </w:p>
        </w:tc>
        <w:tc>
          <w:tcPr>
            <w:tcW w:w="472" w:type="pct"/>
            <w:vAlign w:val="center"/>
          </w:tcPr>
          <w:p w14:paraId="15EFBCF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15.00</w:t>
            </w:r>
          </w:p>
        </w:tc>
        <w:tc>
          <w:tcPr>
            <w:tcW w:w="398" w:type="pct"/>
            <w:vAlign w:val="center"/>
          </w:tcPr>
          <w:p w14:paraId="2931034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14.00</w:t>
            </w:r>
          </w:p>
        </w:tc>
        <w:tc>
          <w:tcPr>
            <w:tcW w:w="398" w:type="pct"/>
            <w:vAlign w:val="center"/>
          </w:tcPr>
          <w:p w14:paraId="5857B9C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17.00</w:t>
            </w:r>
          </w:p>
        </w:tc>
        <w:tc>
          <w:tcPr>
            <w:tcW w:w="398" w:type="pct"/>
            <w:vAlign w:val="center"/>
          </w:tcPr>
          <w:p w14:paraId="387F9C6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17.00</w:t>
            </w:r>
          </w:p>
        </w:tc>
        <w:tc>
          <w:tcPr>
            <w:tcW w:w="475" w:type="pct"/>
            <w:vAlign w:val="center"/>
          </w:tcPr>
          <w:p w14:paraId="129F03D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16.00</w:t>
            </w:r>
          </w:p>
        </w:tc>
        <w:tc>
          <w:tcPr>
            <w:tcW w:w="398" w:type="pct"/>
            <w:vAlign w:val="center"/>
          </w:tcPr>
          <w:p w14:paraId="7963175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16.00</w:t>
            </w:r>
          </w:p>
        </w:tc>
        <w:tc>
          <w:tcPr>
            <w:tcW w:w="398" w:type="pct"/>
            <w:vAlign w:val="center"/>
          </w:tcPr>
          <w:p w14:paraId="69831BF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16.00</w:t>
            </w:r>
          </w:p>
        </w:tc>
      </w:tr>
      <w:tr w:rsidR="00C32C59" w:rsidRPr="00C32C59" w14:paraId="3FA2D072" w14:textId="77777777" w:rsidTr="001C4D87">
        <w:trPr>
          <w:trHeight w:val="20"/>
          <w:jc w:val="center"/>
        </w:trPr>
        <w:tc>
          <w:tcPr>
            <w:tcW w:w="5000" w:type="pct"/>
            <w:gridSpan w:val="11"/>
            <w:vAlign w:val="center"/>
          </w:tcPr>
          <w:p w14:paraId="3D85588C"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ICBM</w:t>
            </w:r>
          </w:p>
        </w:tc>
      </w:tr>
      <w:tr w:rsidR="00C32C59" w:rsidRPr="00C32C59" w14:paraId="799B42B0" w14:textId="77777777" w:rsidTr="001C4D87">
        <w:trPr>
          <w:trHeight w:val="20"/>
          <w:jc w:val="center"/>
        </w:trPr>
        <w:tc>
          <w:tcPr>
            <w:tcW w:w="870" w:type="pct"/>
            <w:vAlign w:val="center"/>
          </w:tcPr>
          <w:p w14:paraId="64237A3B"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vAlign w:val="center"/>
          </w:tcPr>
          <w:p w14:paraId="40151AF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398" w:type="pct"/>
            <w:vAlign w:val="center"/>
          </w:tcPr>
          <w:p w14:paraId="04B7BD3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8.27</w:t>
            </w:r>
          </w:p>
        </w:tc>
        <w:tc>
          <w:tcPr>
            <w:tcW w:w="398" w:type="pct"/>
            <w:vAlign w:val="center"/>
          </w:tcPr>
          <w:p w14:paraId="17E3824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9.55</w:t>
            </w:r>
          </w:p>
        </w:tc>
        <w:tc>
          <w:tcPr>
            <w:tcW w:w="472" w:type="pct"/>
            <w:vAlign w:val="center"/>
          </w:tcPr>
          <w:p w14:paraId="0E09FC0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8.58</w:t>
            </w:r>
          </w:p>
        </w:tc>
        <w:tc>
          <w:tcPr>
            <w:tcW w:w="398" w:type="pct"/>
            <w:vAlign w:val="center"/>
          </w:tcPr>
          <w:p w14:paraId="3016FD7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8.42</w:t>
            </w:r>
          </w:p>
        </w:tc>
        <w:tc>
          <w:tcPr>
            <w:tcW w:w="398" w:type="pct"/>
            <w:vAlign w:val="center"/>
          </w:tcPr>
          <w:p w14:paraId="7D05FB3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8.92</w:t>
            </w:r>
          </w:p>
        </w:tc>
        <w:tc>
          <w:tcPr>
            <w:tcW w:w="398" w:type="pct"/>
            <w:vAlign w:val="center"/>
          </w:tcPr>
          <w:p w14:paraId="69846AE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9.00</w:t>
            </w:r>
          </w:p>
        </w:tc>
        <w:tc>
          <w:tcPr>
            <w:tcW w:w="475" w:type="pct"/>
            <w:vAlign w:val="center"/>
          </w:tcPr>
          <w:p w14:paraId="18057FE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8.42</w:t>
            </w:r>
          </w:p>
        </w:tc>
        <w:tc>
          <w:tcPr>
            <w:tcW w:w="398" w:type="pct"/>
            <w:vAlign w:val="center"/>
          </w:tcPr>
          <w:p w14:paraId="26096B6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8.00</w:t>
            </w:r>
          </w:p>
        </w:tc>
        <w:tc>
          <w:tcPr>
            <w:tcW w:w="398" w:type="pct"/>
            <w:vAlign w:val="center"/>
          </w:tcPr>
          <w:p w14:paraId="526B4DF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8.58</w:t>
            </w:r>
          </w:p>
        </w:tc>
      </w:tr>
      <w:tr w:rsidR="00C32C59" w:rsidRPr="00C32C59" w14:paraId="26C77CB9" w14:textId="77777777" w:rsidTr="001C4D87">
        <w:trPr>
          <w:trHeight w:val="20"/>
          <w:jc w:val="center"/>
        </w:trPr>
        <w:tc>
          <w:tcPr>
            <w:tcW w:w="870" w:type="pct"/>
            <w:vAlign w:val="center"/>
          </w:tcPr>
          <w:p w14:paraId="545A5618"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vAlign w:val="center"/>
          </w:tcPr>
          <w:p w14:paraId="28A5AFC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3.63</w:t>
            </w:r>
          </w:p>
        </w:tc>
        <w:tc>
          <w:tcPr>
            <w:tcW w:w="398" w:type="pct"/>
            <w:vAlign w:val="center"/>
          </w:tcPr>
          <w:p w14:paraId="775670E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2.80</w:t>
            </w:r>
          </w:p>
        </w:tc>
        <w:tc>
          <w:tcPr>
            <w:tcW w:w="398" w:type="pct"/>
            <w:vAlign w:val="center"/>
          </w:tcPr>
          <w:p w14:paraId="4A369D3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3.96</w:t>
            </w:r>
          </w:p>
        </w:tc>
        <w:tc>
          <w:tcPr>
            <w:tcW w:w="472" w:type="pct"/>
            <w:vAlign w:val="center"/>
          </w:tcPr>
          <w:p w14:paraId="2C3B447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4.03</w:t>
            </w:r>
          </w:p>
        </w:tc>
        <w:tc>
          <w:tcPr>
            <w:tcW w:w="398" w:type="pct"/>
            <w:vAlign w:val="center"/>
          </w:tcPr>
          <w:p w14:paraId="78BD729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3.82</w:t>
            </w:r>
          </w:p>
        </w:tc>
        <w:tc>
          <w:tcPr>
            <w:tcW w:w="398" w:type="pct"/>
            <w:vAlign w:val="center"/>
          </w:tcPr>
          <w:p w14:paraId="16E33A3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3.87</w:t>
            </w:r>
          </w:p>
        </w:tc>
        <w:tc>
          <w:tcPr>
            <w:tcW w:w="398" w:type="pct"/>
            <w:vAlign w:val="center"/>
          </w:tcPr>
          <w:p w14:paraId="263D44F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4.57</w:t>
            </w:r>
          </w:p>
        </w:tc>
        <w:tc>
          <w:tcPr>
            <w:tcW w:w="475" w:type="pct"/>
            <w:vAlign w:val="center"/>
          </w:tcPr>
          <w:p w14:paraId="178AC02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3.06</w:t>
            </w:r>
          </w:p>
        </w:tc>
        <w:tc>
          <w:tcPr>
            <w:tcW w:w="398" w:type="pct"/>
            <w:vAlign w:val="center"/>
          </w:tcPr>
          <w:p w14:paraId="40FA292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2.22</w:t>
            </w:r>
          </w:p>
        </w:tc>
        <w:tc>
          <w:tcPr>
            <w:tcW w:w="398" w:type="pct"/>
            <w:vAlign w:val="center"/>
          </w:tcPr>
          <w:p w14:paraId="580A861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2.78</w:t>
            </w:r>
          </w:p>
        </w:tc>
      </w:tr>
      <w:tr w:rsidR="00C32C59" w:rsidRPr="00C32C59" w14:paraId="666BC002" w14:textId="77777777" w:rsidTr="001C4D87">
        <w:trPr>
          <w:trHeight w:val="20"/>
          <w:jc w:val="center"/>
        </w:trPr>
        <w:tc>
          <w:tcPr>
            <w:tcW w:w="870" w:type="pct"/>
            <w:vAlign w:val="center"/>
          </w:tcPr>
          <w:p w14:paraId="4E08808D"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vAlign w:val="center"/>
          </w:tcPr>
          <w:p w14:paraId="373875A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0C06EFC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012A345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5.00</w:t>
            </w:r>
          </w:p>
        </w:tc>
        <w:tc>
          <w:tcPr>
            <w:tcW w:w="472" w:type="pct"/>
            <w:vAlign w:val="center"/>
          </w:tcPr>
          <w:p w14:paraId="4B25945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7BB7A431"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4F22DD0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0785CDF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475" w:type="pct"/>
            <w:vAlign w:val="center"/>
          </w:tcPr>
          <w:p w14:paraId="333BBC6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15B760F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398" w:type="pct"/>
            <w:vAlign w:val="center"/>
          </w:tcPr>
          <w:p w14:paraId="370F70E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r>
      <w:tr w:rsidR="00C32C59" w:rsidRPr="00C32C59" w14:paraId="71CCAF99" w14:textId="77777777" w:rsidTr="001C4D87">
        <w:trPr>
          <w:trHeight w:val="20"/>
          <w:jc w:val="center"/>
        </w:trPr>
        <w:tc>
          <w:tcPr>
            <w:tcW w:w="870" w:type="pct"/>
            <w:vAlign w:val="center"/>
          </w:tcPr>
          <w:p w14:paraId="4EB2085C"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vAlign w:val="center"/>
          </w:tcPr>
          <w:p w14:paraId="1EF7800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14.00</w:t>
            </w:r>
          </w:p>
        </w:tc>
        <w:tc>
          <w:tcPr>
            <w:tcW w:w="398" w:type="pct"/>
            <w:vAlign w:val="center"/>
          </w:tcPr>
          <w:p w14:paraId="17F72E6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11.00</w:t>
            </w:r>
          </w:p>
        </w:tc>
        <w:tc>
          <w:tcPr>
            <w:tcW w:w="398" w:type="pct"/>
            <w:vAlign w:val="center"/>
          </w:tcPr>
          <w:p w14:paraId="00BC4FE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18.00</w:t>
            </w:r>
          </w:p>
        </w:tc>
        <w:tc>
          <w:tcPr>
            <w:tcW w:w="472" w:type="pct"/>
            <w:vAlign w:val="center"/>
          </w:tcPr>
          <w:p w14:paraId="53514D7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17.00</w:t>
            </w:r>
          </w:p>
        </w:tc>
        <w:tc>
          <w:tcPr>
            <w:tcW w:w="398" w:type="pct"/>
            <w:vAlign w:val="center"/>
          </w:tcPr>
          <w:p w14:paraId="7116C40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15.00</w:t>
            </w:r>
          </w:p>
        </w:tc>
        <w:tc>
          <w:tcPr>
            <w:tcW w:w="398" w:type="pct"/>
            <w:vAlign w:val="center"/>
          </w:tcPr>
          <w:p w14:paraId="116BED8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19.00</w:t>
            </w:r>
          </w:p>
        </w:tc>
        <w:tc>
          <w:tcPr>
            <w:tcW w:w="398" w:type="pct"/>
            <w:vAlign w:val="center"/>
          </w:tcPr>
          <w:p w14:paraId="748446E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19.00</w:t>
            </w:r>
          </w:p>
        </w:tc>
        <w:tc>
          <w:tcPr>
            <w:tcW w:w="475" w:type="pct"/>
            <w:vAlign w:val="center"/>
          </w:tcPr>
          <w:p w14:paraId="11A11D9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15.00</w:t>
            </w:r>
          </w:p>
        </w:tc>
        <w:tc>
          <w:tcPr>
            <w:tcW w:w="398" w:type="pct"/>
            <w:vAlign w:val="center"/>
          </w:tcPr>
          <w:p w14:paraId="6CF894C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11.00</w:t>
            </w:r>
          </w:p>
        </w:tc>
        <w:tc>
          <w:tcPr>
            <w:tcW w:w="398" w:type="pct"/>
            <w:vAlign w:val="center"/>
          </w:tcPr>
          <w:p w14:paraId="177154B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14.00</w:t>
            </w:r>
          </w:p>
        </w:tc>
      </w:tr>
      <w:tr w:rsidR="00C32C59" w:rsidRPr="00C32C59" w14:paraId="520CAAD6" w14:textId="77777777" w:rsidTr="001C4D87">
        <w:trPr>
          <w:trHeight w:val="20"/>
          <w:jc w:val="center"/>
        </w:trPr>
        <w:tc>
          <w:tcPr>
            <w:tcW w:w="5000" w:type="pct"/>
            <w:gridSpan w:val="11"/>
            <w:vAlign w:val="center"/>
          </w:tcPr>
          <w:p w14:paraId="547971B9"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ICNEDs%</w:t>
            </w:r>
          </w:p>
        </w:tc>
      </w:tr>
      <w:tr w:rsidR="00C32C59" w:rsidRPr="00C32C59" w14:paraId="45F6E656" w14:textId="77777777" w:rsidTr="001C4D87">
        <w:trPr>
          <w:trHeight w:val="20"/>
          <w:jc w:val="center"/>
        </w:trPr>
        <w:tc>
          <w:tcPr>
            <w:tcW w:w="870" w:type="pct"/>
            <w:vAlign w:val="center"/>
          </w:tcPr>
          <w:p w14:paraId="4B02AB68"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vAlign w:val="center"/>
          </w:tcPr>
          <w:p w14:paraId="4076A28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0.59</w:t>
            </w:r>
          </w:p>
        </w:tc>
        <w:tc>
          <w:tcPr>
            <w:tcW w:w="398" w:type="pct"/>
            <w:vAlign w:val="center"/>
          </w:tcPr>
          <w:p w14:paraId="2246D90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0.58</w:t>
            </w:r>
          </w:p>
        </w:tc>
        <w:tc>
          <w:tcPr>
            <w:tcW w:w="398" w:type="pct"/>
            <w:vAlign w:val="center"/>
          </w:tcPr>
          <w:p w14:paraId="1300F1A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0.60</w:t>
            </w:r>
          </w:p>
        </w:tc>
        <w:tc>
          <w:tcPr>
            <w:tcW w:w="472" w:type="pct"/>
            <w:vAlign w:val="center"/>
          </w:tcPr>
          <w:p w14:paraId="264292A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0.64</w:t>
            </w:r>
          </w:p>
        </w:tc>
        <w:tc>
          <w:tcPr>
            <w:tcW w:w="398" w:type="pct"/>
            <w:vAlign w:val="center"/>
          </w:tcPr>
          <w:p w14:paraId="63007FA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0.64</w:t>
            </w:r>
          </w:p>
        </w:tc>
        <w:tc>
          <w:tcPr>
            <w:tcW w:w="398" w:type="pct"/>
            <w:vAlign w:val="center"/>
          </w:tcPr>
          <w:p w14:paraId="252E475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0.65</w:t>
            </w:r>
          </w:p>
        </w:tc>
        <w:tc>
          <w:tcPr>
            <w:tcW w:w="398" w:type="pct"/>
            <w:vAlign w:val="center"/>
          </w:tcPr>
          <w:p w14:paraId="7B72CED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0.67</w:t>
            </w:r>
          </w:p>
        </w:tc>
        <w:tc>
          <w:tcPr>
            <w:tcW w:w="475" w:type="pct"/>
            <w:vAlign w:val="center"/>
          </w:tcPr>
          <w:p w14:paraId="7E769EF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0.67</w:t>
            </w:r>
          </w:p>
        </w:tc>
        <w:tc>
          <w:tcPr>
            <w:tcW w:w="398" w:type="pct"/>
            <w:vAlign w:val="center"/>
          </w:tcPr>
          <w:p w14:paraId="27BE64C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0.68</w:t>
            </w:r>
          </w:p>
        </w:tc>
        <w:tc>
          <w:tcPr>
            <w:tcW w:w="398" w:type="pct"/>
            <w:vAlign w:val="center"/>
          </w:tcPr>
          <w:p w14:paraId="4E2D969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0.61</w:t>
            </w:r>
          </w:p>
        </w:tc>
      </w:tr>
      <w:tr w:rsidR="00C32C59" w:rsidRPr="00C32C59" w14:paraId="39FBE2E7" w14:textId="77777777" w:rsidTr="001C4D87">
        <w:trPr>
          <w:trHeight w:val="20"/>
          <w:jc w:val="center"/>
        </w:trPr>
        <w:tc>
          <w:tcPr>
            <w:tcW w:w="870" w:type="pct"/>
            <w:vAlign w:val="center"/>
          </w:tcPr>
          <w:p w14:paraId="2BEF5606"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vAlign w:val="center"/>
          </w:tcPr>
          <w:p w14:paraId="17C3E36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0.10</w:t>
            </w:r>
          </w:p>
        </w:tc>
        <w:tc>
          <w:tcPr>
            <w:tcW w:w="398" w:type="pct"/>
            <w:vAlign w:val="center"/>
          </w:tcPr>
          <w:p w14:paraId="50F8656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0.11</w:t>
            </w:r>
          </w:p>
        </w:tc>
        <w:tc>
          <w:tcPr>
            <w:tcW w:w="398" w:type="pct"/>
            <w:vAlign w:val="center"/>
          </w:tcPr>
          <w:p w14:paraId="6456D89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0.10</w:t>
            </w:r>
          </w:p>
        </w:tc>
        <w:tc>
          <w:tcPr>
            <w:tcW w:w="472" w:type="pct"/>
            <w:vAlign w:val="center"/>
          </w:tcPr>
          <w:p w14:paraId="72C0E1B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0.11</w:t>
            </w:r>
          </w:p>
        </w:tc>
        <w:tc>
          <w:tcPr>
            <w:tcW w:w="398" w:type="pct"/>
            <w:vAlign w:val="center"/>
          </w:tcPr>
          <w:p w14:paraId="6CA00BC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0.09</w:t>
            </w:r>
          </w:p>
        </w:tc>
        <w:tc>
          <w:tcPr>
            <w:tcW w:w="398" w:type="pct"/>
            <w:vAlign w:val="center"/>
          </w:tcPr>
          <w:p w14:paraId="52F103D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0.09</w:t>
            </w:r>
          </w:p>
        </w:tc>
        <w:tc>
          <w:tcPr>
            <w:tcW w:w="398" w:type="pct"/>
            <w:vAlign w:val="center"/>
          </w:tcPr>
          <w:p w14:paraId="032D6FF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0.08</w:t>
            </w:r>
          </w:p>
        </w:tc>
        <w:tc>
          <w:tcPr>
            <w:tcW w:w="475" w:type="pct"/>
            <w:vAlign w:val="center"/>
          </w:tcPr>
          <w:p w14:paraId="012DA2F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0.08</w:t>
            </w:r>
          </w:p>
        </w:tc>
        <w:tc>
          <w:tcPr>
            <w:tcW w:w="398" w:type="pct"/>
            <w:vAlign w:val="center"/>
          </w:tcPr>
          <w:p w14:paraId="4ED27D3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0.10</w:t>
            </w:r>
          </w:p>
        </w:tc>
        <w:tc>
          <w:tcPr>
            <w:tcW w:w="398" w:type="pct"/>
            <w:vAlign w:val="center"/>
          </w:tcPr>
          <w:p w14:paraId="7C1B2F8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0.18</w:t>
            </w:r>
          </w:p>
        </w:tc>
      </w:tr>
      <w:tr w:rsidR="00C32C59" w:rsidRPr="00C32C59" w14:paraId="0688D90B" w14:textId="77777777" w:rsidTr="001C4D87">
        <w:trPr>
          <w:trHeight w:val="20"/>
          <w:jc w:val="center"/>
        </w:trPr>
        <w:tc>
          <w:tcPr>
            <w:tcW w:w="870" w:type="pct"/>
            <w:vAlign w:val="center"/>
          </w:tcPr>
          <w:p w14:paraId="0F3C980E"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vAlign w:val="center"/>
          </w:tcPr>
          <w:p w14:paraId="22A2064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0.45</w:t>
            </w:r>
          </w:p>
        </w:tc>
        <w:tc>
          <w:tcPr>
            <w:tcW w:w="398" w:type="pct"/>
            <w:vAlign w:val="center"/>
          </w:tcPr>
          <w:p w14:paraId="3CD7F70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0.41</w:t>
            </w:r>
          </w:p>
        </w:tc>
        <w:tc>
          <w:tcPr>
            <w:tcW w:w="398" w:type="pct"/>
            <w:vAlign w:val="center"/>
          </w:tcPr>
          <w:p w14:paraId="442BF56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0.46</w:t>
            </w:r>
          </w:p>
        </w:tc>
        <w:tc>
          <w:tcPr>
            <w:tcW w:w="472" w:type="pct"/>
            <w:vAlign w:val="center"/>
          </w:tcPr>
          <w:p w14:paraId="6573071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0.45</w:t>
            </w:r>
          </w:p>
        </w:tc>
        <w:tc>
          <w:tcPr>
            <w:tcW w:w="398" w:type="pct"/>
            <w:vAlign w:val="center"/>
          </w:tcPr>
          <w:p w14:paraId="08E351C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0.50</w:t>
            </w:r>
          </w:p>
        </w:tc>
        <w:tc>
          <w:tcPr>
            <w:tcW w:w="398" w:type="pct"/>
            <w:vAlign w:val="center"/>
          </w:tcPr>
          <w:p w14:paraId="13C3F12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0.53</w:t>
            </w:r>
          </w:p>
        </w:tc>
        <w:tc>
          <w:tcPr>
            <w:tcW w:w="398" w:type="pct"/>
            <w:vAlign w:val="center"/>
          </w:tcPr>
          <w:p w14:paraId="5F07BDD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0.54</w:t>
            </w:r>
          </w:p>
        </w:tc>
        <w:tc>
          <w:tcPr>
            <w:tcW w:w="475" w:type="pct"/>
            <w:vAlign w:val="center"/>
          </w:tcPr>
          <w:p w14:paraId="470B867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0.53</w:t>
            </w:r>
          </w:p>
        </w:tc>
        <w:tc>
          <w:tcPr>
            <w:tcW w:w="398" w:type="pct"/>
            <w:vAlign w:val="center"/>
          </w:tcPr>
          <w:p w14:paraId="2031C85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0.50</w:t>
            </w:r>
          </w:p>
        </w:tc>
        <w:tc>
          <w:tcPr>
            <w:tcW w:w="398" w:type="pct"/>
            <w:vAlign w:val="center"/>
          </w:tcPr>
          <w:p w14:paraId="30DF6DED"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0.10</w:t>
            </w:r>
          </w:p>
        </w:tc>
      </w:tr>
      <w:tr w:rsidR="00C32C59" w:rsidRPr="00C32C59" w14:paraId="68BD4E6A" w14:textId="77777777" w:rsidTr="001C4D87">
        <w:trPr>
          <w:trHeight w:val="20"/>
          <w:jc w:val="center"/>
        </w:trPr>
        <w:tc>
          <w:tcPr>
            <w:tcW w:w="870" w:type="pct"/>
            <w:vAlign w:val="center"/>
          </w:tcPr>
          <w:p w14:paraId="4AFB3A76"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vAlign w:val="center"/>
          </w:tcPr>
          <w:p w14:paraId="22FE94F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0.81</w:t>
            </w:r>
          </w:p>
        </w:tc>
        <w:tc>
          <w:tcPr>
            <w:tcW w:w="398" w:type="pct"/>
            <w:vAlign w:val="center"/>
          </w:tcPr>
          <w:p w14:paraId="1BA48D6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0.75</w:t>
            </w:r>
          </w:p>
        </w:tc>
        <w:tc>
          <w:tcPr>
            <w:tcW w:w="398" w:type="pct"/>
            <w:vAlign w:val="center"/>
          </w:tcPr>
          <w:p w14:paraId="12D0CC6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0.75</w:t>
            </w:r>
          </w:p>
        </w:tc>
        <w:tc>
          <w:tcPr>
            <w:tcW w:w="472" w:type="pct"/>
            <w:vAlign w:val="center"/>
          </w:tcPr>
          <w:p w14:paraId="6F3E898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0.85</w:t>
            </w:r>
          </w:p>
        </w:tc>
        <w:tc>
          <w:tcPr>
            <w:tcW w:w="398" w:type="pct"/>
            <w:vAlign w:val="center"/>
          </w:tcPr>
          <w:p w14:paraId="4D2EA80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0.78</w:t>
            </w:r>
          </w:p>
        </w:tc>
        <w:tc>
          <w:tcPr>
            <w:tcW w:w="398" w:type="pct"/>
            <w:vAlign w:val="center"/>
          </w:tcPr>
          <w:p w14:paraId="11F1FAE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0.78</w:t>
            </w:r>
          </w:p>
        </w:tc>
        <w:tc>
          <w:tcPr>
            <w:tcW w:w="398" w:type="pct"/>
            <w:vAlign w:val="center"/>
          </w:tcPr>
          <w:p w14:paraId="0B3427C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0.78</w:t>
            </w:r>
          </w:p>
        </w:tc>
        <w:tc>
          <w:tcPr>
            <w:tcW w:w="475" w:type="pct"/>
            <w:vAlign w:val="center"/>
          </w:tcPr>
          <w:p w14:paraId="6AE689F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0.78</w:t>
            </w:r>
          </w:p>
        </w:tc>
        <w:tc>
          <w:tcPr>
            <w:tcW w:w="398" w:type="pct"/>
            <w:vAlign w:val="center"/>
          </w:tcPr>
          <w:p w14:paraId="29474A3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0.81</w:t>
            </w:r>
          </w:p>
        </w:tc>
        <w:tc>
          <w:tcPr>
            <w:tcW w:w="398" w:type="pct"/>
            <w:vAlign w:val="center"/>
          </w:tcPr>
          <w:p w14:paraId="2EF7853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0.77</w:t>
            </w:r>
          </w:p>
        </w:tc>
      </w:tr>
      <w:tr w:rsidR="00C32C59" w:rsidRPr="00C32C59" w14:paraId="6AB8E5D8" w14:textId="77777777" w:rsidTr="001C4D87">
        <w:trPr>
          <w:trHeight w:val="20"/>
          <w:jc w:val="center"/>
        </w:trPr>
        <w:tc>
          <w:tcPr>
            <w:tcW w:w="5000" w:type="pct"/>
            <w:gridSpan w:val="11"/>
            <w:vAlign w:val="center"/>
          </w:tcPr>
          <w:p w14:paraId="41761964" w14:textId="77777777" w:rsidR="00C32C59" w:rsidRPr="00C32C59" w:rsidRDefault="00C32C59" w:rsidP="00C32C59">
            <w:pPr>
              <w:rPr>
                <w:rFonts w:ascii="Times New Roman" w:hAnsi="Times New Roman"/>
                <w:b/>
                <w:bCs/>
                <w:sz w:val="24"/>
                <w:szCs w:val="24"/>
              </w:rPr>
            </w:pPr>
            <w:r w:rsidRPr="00C32C59">
              <w:rPr>
                <w:rFonts w:ascii="Times New Roman" w:hAnsi="Times New Roman"/>
                <w:b/>
                <w:bCs/>
                <w:sz w:val="24"/>
                <w:szCs w:val="24"/>
              </w:rPr>
              <w:t>ICACS</w:t>
            </w:r>
          </w:p>
        </w:tc>
      </w:tr>
      <w:tr w:rsidR="00C32C59" w:rsidRPr="00C32C59" w14:paraId="06CCD172" w14:textId="77777777" w:rsidTr="001C4D87">
        <w:trPr>
          <w:trHeight w:val="20"/>
          <w:jc w:val="center"/>
        </w:trPr>
        <w:tc>
          <w:tcPr>
            <w:tcW w:w="870" w:type="pct"/>
            <w:vAlign w:val="center"/>
          </w:tcPr>
          <w:p w14:paraId="52568B79"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Mean</w:t>
            </w:r>
          </w:p>
        </w:tc>
        <w:tc>
          <w:tcPr>
            <w:tcW w:w="398" w:type="pct"/>
            <w:vAlign w:val="center"/>
          </w:tcPr>
          <w:p w14:paraId="5D319266"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4.09</w:t>
            </w:r>
          </w:p>
        </w:tc>
        <w:tc>
          <w:tcPr>
            <w:tcW w:w="398" w:type="pct"/>
            <w:vAlign w:val="center"/>
          </w:tcPr>
          <w:p w14:paraId="51CA2D0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4.09</w:t>
            </w:r>
          </w:p>
        </w:tc>
        <w:tc>
          <w:tcPr>
            <w:tcW w:w="398" w:type="pct"/>
            <w:vAlign w:val="center"/>
          </w:tcPr>
          <w:p w14:paraId="542EDE9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4.00</w:t>
            </w:r>
          </w:p>
        </w:tc>
        <w:tc>
          <w:tcPr>
            <w:tcW w:w="472" w:type="pct"/>
            <w:vAlign w:val="center"/>
          </w:tcPr>
          <w:p w14:paraId="251EB17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4.25</w:t>
            </w:r>
          </w:p>
        </w:tc>
        <w:tc>
          <w:tcPr>
            <w:tcW w:w="398" w:type="pct"/>
            <w:vAlign w:val="center"/>
          </w:tcPr>
          <w:p w14:paraId="258AA47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4.25</w:t>
            </w:r>
          </w:p>
        </w:tc>
        <w:tc>
          <w:tcPr>
            <w:tcW w:w="398" w:type="pct"/>
            <w:vAlign w:val="center"/>
          </w:tcPr>
          <w:p w14:paraId="52D4C76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4.50</w:t>
            </w:r>
          </w:p>
        </w:tc>
        <w:tc>
          <w:tcPr>
            <w:tcW w:w="398" w:type="pct"/>
            <w:vAlign w:val="center"/>
          </w:tcPr>
          <w:p w14:paraId="47F236D2"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4.58</w:t>
            </w:r>
          </w:p>
        </w:tc>
        <w:tc>
          <w:tcPr>
            <w:tcW w:w="475" w:type="pct"/>
            <w:vAlign w:val="center"/>
          </w:tcPr>
          <w:p w14:paraId="322DFAE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4.58</w:t>
            </w:r>
          </w:p>
        </w:tc>
        <w:tc>
          <w:tcPr>
            <w:tcW w:w="398" w:type="pct"/>
            <w:vAlign w:val="center"/>
          </w:tcPr>
          <w:p w14:paraId="28FFE10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4.42</w:t>
            </w:r>
          </w:p>
        </w:tc>
        <w:tc>
          <w:tcPr>
            <w:tcW w:w="398" w:type="pct"/>
            <w:vAlign w:val="center"/>
          </w:tcPr>
          <w:p w14:paraId="7B69040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4.58</w:t>
            </w:r>
          </w:p>
        </w:tc>
      </w:tr>
      <w:tr w:rsidR="00C32C59" w:rsidRPr="00C32C59" w14:paraId="5889B984" w14:textId="77777777" w:rsidTr="001C4D87">
        <w:trPr>
          <w:trHeight w:val="20"/>
          <w:jc w:val="center"/>
        </w:trPr>
        <w:tc>
          <w:tcPr>
            <w:tcW w:w="870" w:type="pct"/>
            <w:vAlign w:val="center"/>
          </w:tcPr>
          <w:p w14:paraId="7A8BC5C5"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Std. Deviation</w:t>
            </w:r>
          </w:p>
        </w:tc>
        <w:tc>
          <w:tcPr>
            <w:tcW w:w="398" w:type="pct"/>
            <w:vAlign w:val="center"/>
          </w:tcPr>
          <w:p w14:paraId="5F2F221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0.83</w:t>
            </w:r>
          </w:p>
        </w:tc>
        <w:tc>
          <w:tcPr>
            <w:tcW w:w="398" w:type="pct"/>
            <w:vAlign w:val="center"/>
          </w:tcPr>
          <w:p w14:paraId="2E3B61D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0.83</w:t>
            </w:r>
          </w:p>
        </w:tc>
        <w:tc>
          <w:tcPr>
            <w:tcW w:w="398" w:type="pct"/>
            <w:vAlign w:val="center"/>
          </w:tcPr>
          <w:p w14:paraId="372613C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1.00</w:t>
            </w:r>
          </w:p>
        </w:tc>
        <w:tc>
          <w:tcPr>
            <w:tcW w:w="472" w:type="pct"/>
            <w:vAlign w:val="center"/>
          </w:tcPr>
          <w:p w14:paraId="4AD1B7D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1.06</w:t>
            </w:r>
          </w:p>
        </w:tc>
        <w:tc>
          <w:tcPr>
            <w:tcW w:w="398" w:type="pct"/>
            <w:vAlign w:val="center"/>
          </w:tcPr>
          <w:p w14:paraId="6A86D1A7"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1.14</w:t>
            </w:r>
          </w:p>
        </w:tc>
        <w:tc>
          <w:tcPr>
            <w:tcW w:w="398" w:type="pct"/>
            <w:vAlign w:val="center"/>
          </w:tcPr>
          <w:p w14:paraId="5125DAFE"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1.51</w:t>
            </w:r>
          </w:p>
        </w:tc>
        <w:tc>
          <w:tcPr>
            <w:tcW w:w="398" w:type="pct"/>
            <w:vAlign w:val="center"/>
          </w:tcPr>
          <w:p w14:paraId="344F2E9F"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1.24</w:t>
            </w:r>
          </w:p>
        </w:tc>
        <w:tc>
          <w:tcPr>
            <w:tcW w:w="475" w:type="pct"/>
            <w:vAlign w:val="center"/>
          </w:tcPr>
          <w:p w14:paraId="5CBC564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1.38</w:t>
            </w:r>
          </w:p>
        </w:tc>
        <w:tc>
          <w:tcPr>
            <w:tcW w:w="398" w:type="pct"/>
            <w:vAlign w:val="center"/>
          </w:tcPr>
          <w:p w14:paraId="404633A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1.44</w:t>
            </w:r>
          </w:p>
        </w:tc>
        <w:tc>
          <w:tcPr>
            <w:tcW w:w="398" w:type="pct"/>
            <w:vAlign w:val="center"/>
          </w:tcPr>
          <w:p w14:paraId="6037D24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1.38</w:t>
            </w:r>
          </w:p>
        </w:tc>
      </w:tr>
      <w:tr w:rsidR="00C32C59" w:rsidRPr="00C32C59" w14:paraId="67FC4D3F" w14:textId="77777777" w:rsidTr="001C4D87">
        <w:trPr>
          <w:trHeight w:val="20"/>
          <w:jc w:val="center"/>
        </w:trPr>
        <w:tc>
          <w:tcPr>
            <w:tcW w:w="870" w:type="pct"/>
            <w:vAlign w:val="center"/>
          </w:tcPr>
          <w:p w14:paraId="369ED5BE"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Minimum</w:t>
            </w:r>
          </w:p>
        </w:tc>
        <w:tc>
          <w:tcPr>
            <w:tcW w:w="398" w:type="pct"/>
            <w:vAlign w:val="center"/>
          </w:tcPr>
          <w:p w14:paraId="067ABD3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2DBA46C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5E3AA2BA"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472" w:type="pct"/>
            <w:vAlign w:val="center"/>
          </w:tcPr>
          <w:p w14:paraId="0A81904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27883A40"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302F6FE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26E4FC2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475" w:type="pct"/>
            <w:vAlign w:val="center"/>
          </w:tcPr>
          <w:p w14:paraId="39A990EC"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39298F2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c>
          <w:tcPr>
            <w:tcW w:w="398" w:type="pct"/>
            <w:vAlign w:val="center"/>
          </w:tcPr>
          <w:p w14:paraId="0A65370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3.00</w:t>
            </w:r>
          </w:p>
        </w:tc>
      </w:tr>
      <w:tr w:rsidR="00C32C59" w:rsidRPr="00C32C59" w14:paraId="048D4FA6" w14:textId="77777777" w:rsidTr="001C4D87">
        <w:trPr>
          <w:trHeight w:val="20"/>
          <w:jc w:val="center"/>
        </w:trPr>
        <w:tc>
          <w:tcPr>
            <w:tcW w:w="870" w:type="pct"/>
            <w:vAlign w:val="center"/>
          </w:tcPr>
          <w:p w14:paraId="552C5DF3" w14:textId="77777777" w:rsidR="00C32C59" w:rsidRPr="00C32C59" w:rsidRDefault="00C32C59" w:rsidP="00C32C59">
            <w:pPr>
              <w:jc w:val="both"/>
              <w:rPr>
                <w:rFonts w:ascii="Times New Roman" w:hAnsi="Times New Roman"/>
                <w:sz w:val="24"/>
                <w:szCs w:val="24"/>
              </w:rPr>
            </w:pPr>
            <w:r w:rsidRPr="00C32C59">
              <w:rPr>
                <w:rFonts w:ascii="Times New Roman" w:hAnsi="Times New Roman"/>
                <w:sz w:val="24"/>
                <w:szCs w:val="24"/>
              </w:rPr>
              <w:t>Maximum</w:t>
            </w:r>
          </w:p>
        </w:tc>
        <w:tc>
          <w:tcPr>
            <w:tcW w:w="398" w:type="pct"/>
            <w:vAlign w:val="center"/>
          </w:tcPr>
          <w:p w14:paraId="221D1AF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6.00</w:t>
            </w:r>
          </w:p>
        </w:tc>
        <w:tc>
          <w:tcPr>
            <w:tcW w:w="398" w:type="pct"/>
            <w:vAlign w:val="center"/>
          </w:tcPr>
          <w:p w14:paraId="51A0D1A5"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6.00</w:t>
            </w:r>
          </w:p>
        </w:tc>
        <w:tc>
          <w:tcPr>
            <w:tcW w:w="398" w:type="pct"/>
            <w:vAlign w:val="center"/>
          </w:tcPr>
          <w:p w14:paraId="21978534"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6.00</w:t>
            </w:r>
          </w:p>
        </w:tc>
        <w:tc>
          <w:tcPr>
            <w:tcW w:w="472" w:type="pct"/>
            <w:vAlign w:val="center"/>
          </w:tcPr>
          <w:p w14:paraId="4CDDE2B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6.00</w:t>
            </w:r>
          </w:p>
        </w:tc>
        <w:tc>
          <w:tcPr>
            <w:tcW w:w="398" w:type="pct"/>
            <w:vAlign w:val="center"/>
          </w:tcPr>
          <w:p w14:paraId="774EB97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6.00</w:t>
            </w:r>
          </w:p>
        </w:tc>
        <w:tc>
          <w:tcPr>
            <w:tcW w:w="398" w:type="pct"/>
            <w:vAlign w:val="center"/>
          </w:tcPr>
          <w:p w14:paraId="222D7B79"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7.00</w:t>
            </w:r>
          </w:p>
        </w:tc>
        <w:tc>
          <w:tcPr>
            <w:tcW w:w="398" w:type="pct"/>
            <w:vAlign w:val="center"/>
          </w:tcPr>
          <w:p w14:paraId="45E68CD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7.00</w:t>
            </w:r>
          </w:p>
        </w:tc>
        <w:tc>
          <w:tcPr>
            <w:tcW w:w="475" w:type="pct"/>
            <w:vAlign w:val="center"/>
          </w:tcPr>
          <w:p w14:paraId="38B55983"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8.00</w:t>
            </w:r>
          </w:p>
        </w:tc>
        <w:tc>
          <w:tcPr>
            <w:tcW w:w="398" w:type="pct"/>
            <w:vAlign w:val="center"/>
          </w:tcPr>
          <w:p w14:paraId="2037CEC8"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8.00</w:t>
            </w:r>
          </w:p>
        </w:tc>
        <w:tc>
          <w:tcPr>
            <w:tcW w:w="398" w:type="pct"/>
            <w:vAlign w:val="center"/>
          </w:tcPr>
          <w:p w14:paraId="1804A07B" w14:textId="77777777" w:rsidR="00C32C59" w:rsidRPr="00C32C59" w:rsidRDefault="00C32C59" w:rsidP="00C32C59">
            <w:pPr>
              <w:jc w:val="right"/>
              <w:rPr>
                <w:rFonts w:ascii="Times New Roman" w:hAnsi="Times New Roman"/>
                <w:sz w:val="24"/>
                <w:szCs w:val="24"/>
              </w:rPr>
            </w:pPr>
            <w:r w:rsidRPr="00C32C59">
              <w:rPr>
                <w:rFonts w:ascii="Times New Roman" w:hAnsi="Times New Roman"/>
                <w:sz w:val="24"/>
                <w:szCs w:val="24"/>
              </w:rPr>
              <w:t>8.00</w:t>
            </w:r>
          </w:p>
        </w:tc>
      </w:tr>
    </w:tbl>
    <w:p w14:paraId="3C35594A" w14:textId="77777777" w:rsidR="00C32C59" w:rsidRPr="00C32C59" w:rsidRDefault="00C32C59" w:rsidP="00C32C59">
      <w:pPr>
        <w:spacing w:before="120" w:after="120" w:line="360" w:lineRule="auto"/>
        <w:ind w:firstLine="720"/>
        <w:jc w:val="both"/>
        <w:rPr>
          <w:rFonts w:ascii="Calibri" w:eastAsia="Calibri" w:hAnsi="Calibri" w:cs="Times New Roman"/>
          <w:sz w:val="24"/>
          <w:szCs w:val="24"/>
        </w:rPr>
      </w:pPr>
    </w:p>
    <w:p w14:paraId="65AF3862" w14:textId="77777777" w:rsidR="00C32C59" w:rsidRPr="00C32C59" w:rsidRDefault="00C32C59" w:rsidP="00C32C59">
      <w:pPr>
        <w:rPr>
          <w:rFonts w:eastAsia="Calibri"/>
        </w:rPr>
      </w:pPr>
    </w:p>
    <w:p w14:paraId="0E12F2E7" w14:textId="77777777" w:rsidR="00C32C59" w:rsidRPr="00C32C59" w:rsidRDefault="00C32C59" w:rsidP="00C32C59">
      <w:pPr>
        <w:spacing w:after="160" w:line="259" w:lineRule="auto"/>
        <w:rPr>
          <w:rFonts w:ascii="Times New Roman" w:eastAsia="Calibri" w:hAnsi="Times New Roman" w:cs="Times New Roman"/>
          <w:b/>
          <w:bCs/>
          <w:sz w:val="24"/>
          <w:szCs w:val="24"/>
        </w:rPr>
      </w:pPr>
      <w:bookmarkStart w:id="19" w:name="_Toc459936921"/>
      <w:r w:rsidRPr="00C32C59">
        <w:rPr>
          <w:rFonts w:ascii="Times New Roman" w:eastAsia="Calibri" w:hAnsi="Times New Roman" w:cs="Times New Roman"/>
          <w:b/>
          <w:bCs/>
          <w:sz w:val="24"/>
          <w:szCs w:val="24"/>
        </w:rPr>
        <w:br w:type="page"/>
      </w:r>
    </w:p>
    <w:p w14:paraId="07FD3F98" w14:textId="77777777" w:rsidR="00C32C59" w:rsidRPr="00C32C59" w:rsidRDefault="00C32C59" w:rsidP="00C32C59">
      <w:pPr>
        <w:spacing w:line="240" w:lineRule="auto"/>
        <w:jc w:val="both"/>
        <w:rPr>
          <w:rFonts w:ascii="Times New Roman" w:eastAsia="Times New Roman" w:hAnsi="Times New Roman" w:cs="Times New Roman"/>
          <w:b/>
          <w:bCs/>
          <w:sz w:val="24"/>
          <w:szCs w:val="24"/>
        </w:rPr>
      </w:pPr>
      <w:r w:rsidRPr="00C32C59">
        <w:rPr>
          <w:rFonts w:ascii="Times New Roman" w:eastAsia="Calibri" w:hAnsi="Times New Roman" w:cs="Times New Roman"/>
          <w:b/>
          <w:bCs/>
          <w:sz w:val="24"/>
          <w:szCs w:val="24"/>
        </w:rPr>
        <w:t>Table 4: Descriptive statistics for all variables</w:t>
      </w:r>
      <w:bookmarkEnd w:id="19"/>
    </w:p>
    <w:tbl>
      <w:tblPr>
        <w:tblW w:w="5000" w:type="pct"/>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1679"/>
        <w:gridCol w:w="1368"/>
        <w:gridCol w:w="1197"/>
        <w:gridCol w:w="1915"/>
        <w:gridCol w:w="1361"/>
        <w:gridCol w:w="1506"/>
      </w:tblGrid>
      <w:tr w:rsidR="00C32C59" w:rsidRPr="00C32C59" w14:paraId="71F80B62" w14:textId="77777777" w:rsidTr="001C4D87">
        <w:trPr>
          <w:cantSplit/>
          <w:trHeight w:val="276"/>
        </w:trPr>
        <w:tc>
          <w:tcPr>
            <w:tcW w:w="930" w:type="pct"/>
            <w:vMerge w:val="restart"/>
            <w:tcBorders>
              <w:top w:val="single" w:sz="12" w:space="0" w:color="auto"/>
              <w:bottom w:val="single" w:sz="12" w:space="0" w:color="auto"/>
            </w:tcBorders>
            <w:shd w:val="clear" w:color="auto" w:fill="FFFFFF"/>
            <w:vAlign w:val="center"/>
          </w:tcPr>
          <w:p w14:paraId="197D5C20" w14:textId="77777777" w:rsidR="00C32C59" w:rsidRPr="00C32C59" w:rsidRDefault="00C32C59" w:rsidP="00C32C59">
            <w:pPr>
              <w:spacing w:after="0" w:line="240" w:lineRule="auto"/>
              <w:jc w:val="both"/>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Variables</w:t>
            </w:r>
          </w:p>
        </w:tc>
        <w:tc>
          <w:tcPr>
            <w:tcW w:w="758" w:type="pct"/>
            <w:vMerge w:val="restart"/>
            <w:tcBorders>
              <w:top w:val="single" w:sz="12" w:space="0" w:color="auto"/>
              <w:bottom w:val="single" w:sz="12" w:space="0" w:color="auto"/>
            </w:tcBorders>
            <w:shd w:val="clear" w:color="auto" w:fill="FFFFFF"/>
            <w:vAlign w:val="center"/>
          </w:tcPr>
          <w:p w14:paraId="7943EA0C"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Mean</w:t>
            </w:r>
          </w:p>
        </w:tc>
        <w:tc>
          <w:tcPr>
            <w:tcW w:w="663" w:type="pct"/>
            <w:vMerge w:val="restart"/>
            <w:tcBorders>
              <w:top w:val="single" w:sz="12" w:space="0" w:color="auto"/>
              <w:bottom w:val="single" w:sz="12" w:space="0" w:color="auto"/>
            </w:tcBorders>
            <w:shd w:val="clear" w:color="auto" w:fill="FFFFFF"/>
            <w:vAlign w:val="center"/>
          </w:tcPr>
          <w:p w14:paraId="3D76D7EE"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Median</w:t>
            </w:r>
          </w:p>
        </w:tc>
        <w:tc>
          <w:tcPr>
            <w:tcW w:w="1061" w:type="pct"/>
            <w:vMerge w:val="restart"/>
            <w:tcBorders>
              <w:top w:val="single" w:sz="12" w:space="0" w:color="auto"/>
              <w:bottom w:val="single" w:sz="12" w:space="0" w:color="auto"/>
            </w:tcBorders>
            <w:shd w:val="clear" w:color="auto" w:fill="FFFFFF"/>
            <w:vAlign w:val="center"/>
          </w:tcPr>
          <w:p w14:paraId="13468BD2"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Std. Deviation</w:t>
            </w:r>
          </w:p>
        </w:tc>
        <w:tc>
          <w:tcPr>
            <w:tcW w:w="754" w:type="pct"/>
            <w:vMerge w:val="restart"/>
            <w:tcBorders>
              <w:top w:val="single" w:sz="12" w:space="0" w:color="auto"/>
              <w:bottom w:val="single" w:sz="12" w:space="0" w:color="auto"/>
            </w:tcBorders>
            <w:shd w:val="clear" w:color="auto" w:fill="FFFFFF"/>
            <w:vAlign w:val="center"/>
          </w:tcPr>
          <w:p w14:paraId="146EC046"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Minimum</w:t>
            </w:r>
          </w:p>
        </w:tc>
        <w:tc>
          <w:tcPr>
            <w:tcW w:w="834" w:type="pct"/>
            <w:vMerge w:val="restart"/>
            <w:tcBorders>
              <w:top w:val="single" w:sz="12" w:space="0" w:color="auto"/>
              <w:bottom w:val="single" w:sz="12" w:space="0" w:color="auto"/>
            </w:tcBorders>
            <w:shd w:val="clear" w:color="auto" w:fill="FFFFFF"/>
            <w:vAlign w:val="center"/>
          </w:tcPr>
          <w:p w14:paraId="77D2EDC1"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r w:rsidRPr="00C32C59">
              <w:rPr>
                <w:rFonts w:ascii="Times New Roman" w:eastAsia="Times New Roman" w:hAnsi="Times New Roman" w:cs="Times New Roman"/>
                <w:b/>
                <w:bCs/>
                <w:sz w:val="24"/>
                <w:szCs w:val="24"/>
              </w:rPr>
              <w:t>Maximum</w:t>
            </w:r>
          </w:p>
        </w:tc>
      </w:tr>
      <w:tr w:rsidR="00C32C59" w:rsidRPr="00C32C59" w14:paraId="66C895BA" w14:textId="77777777" w:rsidTr="001C4D87">
        <w:trPr>
          <w:cantSplit/>
          <w:trHeight w:val="397"/>
        </w:trPr>
        <w:tc>
          <w:tcPr>
            <w:tcW w:w="930" w:type="pct"/>
            <w:vMerge/>
            <w:tcBorders>
              <w:top w:val="nil"/>
              <w:bottom w:val="single" w:sz="12" w:space="0" w:color="auto"/>
            </w:tcBorders>
            <w:shd w:val="clear" w:color="auto" w:fill="FFFFFF"/>
            <w:vAlign w:val="center"/>
          </w:tcPr>
          <w:p w14:paraId="53D99B9F" w14:textId="77777777" w:rsidR="00C32C59" w:rsidRPr="00C32C59" w:rsidRDefault="00C32C59" w:rsidP="00C32C59">
            <w:pPr>
              <w:spacing w:after="0" w:line="240" w:lineRule="auto"/>
              <w:jc w:val="both"/>
              <w:rPr>
                <w:rFonts w:ascii="Times New Roman" w:eastAsia="Times New Roman" w:hAnsi="Times New Roman" w:cs="Times New Roman"/>
                <w:b/>
                <w:bCs/>
                <w:sz w:val="24"/>
                <w:szCs w:val="24"/>
              </w:rPr>
            </w:pPr>
          </w:p>
        </w:tc>
        <w:tc>
          <w:tcPr>
            <w:tcW w:w="758" w:type="pct"/>
            <w:vMerge/>
            <w:tcBorders>
              <w:top w:val="nil"/>
              <w:bottom w:val="single" w:sz="12" w:space="0" w:color="auto"/>
            </w:tcBorders>
            <w:shd w:val="clear" w:color="auto" w:fill="FFFFFF"/>
            <w:vAlign w:val="center"/>
          </w:tcPr>
          <w:p w14:paraId="5E3407B0"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p>
        </w:tc>
        <w:tc>
          <w:tcPr>
            <w:tcW w:w="663" w:type="pct"/>
            <w:vMerge/>
            <w:tcBorders>
              <w:top w:val="nil"/>
              <w:bottom w:val="single" w:sz="12" w:space="0" w:color="auto"/>
            </w:tcBorders>
            <w:shd w:val="clear" w:color="auto" w:fill="FFFFFF"/>
            <w:vAlign w:val="center"/>
          </w:tcPr>
          <w:p w14:paraId="0D17DE7B"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p>
        </w:tc>
        <w:tc>
          <w:tcPr>
            <w:tcW w:w="1061" w:type="pct"/>
            <w:vMerge/>
            <w:tcBorders>
              <w:top w:val="nil"/>
              <w:bottom w:val="single" w:sz="12" w:space="0" w:color="auto"/>
            </w:tcBorders>
            <w:shd w:val="clear" w:color="auto" w:fill="FFFFFF"/>
            <w:vAlign w:val="center"/>
          </w:tcPr>
          <w:p w14:paraId="67BECB9B"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p>
        </w:tc>
        <w:tc>
          <w:tcPr>
            <w:tcW w:w="754" w:type="pct"/>
            <w:vMerge/>
            <w:tcBorders>
              <w:top w:val="nil"/>
              <w:bottom w:val="single" w:sz="12" w:space="0" w:color="auto"/>
            </w:tcBorders>
            <w:shd w:val="clear" w:color="auto" w:fill="FFFFFF"/>
            <w:vAlign w:val="center"/>
          </w:tcPr>
          <w:p w14:paraId="1D95D89F"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p>
        </w:tc>
        <w:tc>
          <w:tcPr>
            <w:tcW w:w="834" w:type="pct"/>
            <w:vMerge/>
            <w:tcBorders>
              <w:top w:val="nil"/>
              <w:bottom w:val="single" w:sz="12" w:space="0" w:color="auto"/>
            </w:tcBorders>
            <w:shd w:val="clear" w:color="auto" w:fill="FFFFFF"/>
            <w:vAlign w:val="center"/>
          </w:tcPr>
          <w:p w14:paraId="18A4010A" w14:textId="77777777" w:rsidR="00C32C59" w:rsidRPr="00C32C59" w:rsidRDefault="00C32C59" w:rsidP="00C32C59">
            <w:pPr>
              <w:spacing w:after="0" w:line="240" w:lineRule="auto"/>
              <w:jc w:val="center"/>
              <w:rPr>
                <w:rFonts w:ascii="Times New Roman" w:eastAsia="Times New Roman" w:hAnsi="Times New Roman" w:cs="Times New Roman"/>
                <w:b/>
                <w:bCs/>
                <w:sz w:val="24"/>
                <w:szCs w:val="24"/>
              </w:rPr>
            </w:pPr>
          </w:p>
        </w:tc>
      </w:tr>
      <w:tr w:rsidR="00C32C59" w:rsidRPr="00C32C59" w14:paraId="37C09D24" w14:textId="77777777" w:rsidTr="001C4D87">
        <w:trPr>
          <w:cantSplit/>
          <w:trHeight w:val="397"/>
        </w:trPr>
        <w:tc>
          <w:tcPr>
            <w:tcW w:w="930" w:type="pct"/>
            <w:tcBorders>
              <w:top w:val="single" w:sz="12" w:space="0" w:color="auto"/>
            </w:tcBorders>
            <w:shd w:val="clear" w:color="auto" w:fill="FFFFFF"/>
            <w:vAlign w:val="center"/>
          </w:tcPr>
          <w:p w14:paraId="3824EA25"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RT1</w:t>
            </w:r>
          </w:p>
        </w:tc>
        <w:tc>
          <w:tcPr>
            <w:tcW w:w="758" w:type="pct"/>
            <w:tcBorders>
              <w:top w:val="single" w:sz="12" w:space="0" w:color="auto"/>
            </w:tcBorders>
            <w:shd w:val="clear" w:color="auto" w:fill="FFFFFF"/>
          </w:tcPr>
          <w:p w14:paraId="7B3764A8"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0.71</w:t>
            </w:r>
          </w:p>
        </w:tc>
        <w:tc>
          <w:tcPr>
            <w:tcW w:w="663" w:type="pct"/>
            <w:tcBorders>
              <w:top w:val="single" w:sz="12" w:space="0" w:color="auto"/>
            </w:tcBorders>
            <w:shd w:val="clear" w:color="auto" w:fill="FFFFFF"/>
          </w:tcPr>
          <w:p w14:paraId="171D6B5B"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0.21</w:t>
            </w:r>
          </w:p>
        </w:tc>
        <w:tc>
          <w:tcPr>
            <w:tcW w:w="1061" w:type="pct"/>
            <w:tcBorders>
              <w:top w:val="single" w:sz="12" w:space="0" w:color="auto"/>
            </w:tcBorders>
            <w:shd w:val="clear" w:color="auto" w:fill="FFFFFF"/>
          </w:tcPr>
          <w:p w14:paraId="5EAC524E"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1.02</w:t>
            </w:r>
          </w:p>
        </w:tc>
        <w:tc>
          <w:tcPr>
            <w:tcW w:w="754" w:type="pct"/>
            <w:tcBorders>
              <w:top w:val="single" w:sz="12" w:space="0" w:color="auto"/>
            </w:tcBorders>
            <w:shd w:val="clear" w:color="auto" w:fill="FFFFFF"/>
          </w:tcPr>
          <w:p w14:paraId="13DE68C9"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-0.19</w:t>
            </w:r>
          </w:p>
        </w:tc>
        <w:tc>
          <w:tcPr>
            <w:tcW w:w="834" w:type="pct"/>
            <w:tcBorders>
              <w:top w:val="single" w:sz="12" w:space="0" w:color="auto"/>
            </w:tcBorders>
            <w:shd w:val="clear" w:color="auto" w:fill="FFFFFF"/>
          </w:tcPr>
          <w:p w14:paraId="56669074"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4.12</w:t>
            </w:r>
          </w:p>
        </w:tc>
      </w:tr>
      <w:tr w:rsidR="00C32C59" w:rsidRPr="00C32C59" w14:paraId="17424FE9" w14:textId="77777777" w:rsidTr="001C4D87">
        <w:trPr>
          <w:cantSplit/>
          <w:trHeight w:val="397"/>
        </w:trPr>
        <w:tc>
          <w:tcPr>
            <w:tcW w:w="930" w:type="pct"/>
            <w:shd w:val="clear" w:color="auto" w:fill="FFFFFF"/>
            <w:vAlign w:val="center"/>
          </w:tcPr>
          <w:p w14:paraId="7359303D"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RT2</w:t>
            </w:r>
          </w:p>
        </w:tc>
        <w:tc>
          <w:tcPr>
            <w:tcW w:w="758" w:type="pct"/>
            <w:shd w:val="clear" w:color="auto" w:fill="FFFFFF"/>
          </w:tcPr>
          <w:p w14:paraId="3F9C7CE9"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1.01</w:t>
            </w:r>
          </w:p>
        </w:tc>
        <w:tc>
          <w:tcPr>
            <w:tcW w:w="663" w:type="pct"/>
            <w:shd w:val="clear" w:color="auto" w:fill="FFFFFF"/>
          </w:tcPr>
          <w:p w14:paraId="7170CE1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0.91</w:t>
            </w:r>
          </w:p>
        </w:tc>
        <w:tc>
          <w:tcPr>
            <w:tcW w:w="1061" w:type="pct"/>
            <w:shd w:val="clear" w:color="auto" w:fill="FFFFFF"/>
          </w:tcPr>
          <w:p w14:paraId="0F9EFADC"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1.00</w:t>
            </w:r>
          </w:p>
        </w:tc>
        <w:tc>
          <w:tcPr>
            <w:tcW w:w="754" w:type="pct"/>
            <w:shd w:val="clear" w:color="auto" w:fill="FFFFFF"/>
          </w:tcPr>
          <w:p w14:paraId="610A8DE1"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-2.88</w:t>
            </w:r>
          </w:p>
        </w:tc>
        <w:tc>
          <w:tcPr>
            <w:tcW w:w="834" w:type="pct"/>
            <w:shd w:val="clear" w:color="auto" w:fill="FFFFFF"/>
          </w:tcPr>
          <w:p w14:paraId="6CF1E746"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3.69</w:t>
            </w:r>
          </w:p>
        </w:tc>
      </w:tr>
      <w:tr w:rsidR="00C32C59" w:rsidRPr="00C32C59" w14:paraId="3C8C983A" w14:textId="77777777" w:rsidTr="001C4D87">
        <w:trPr>
          <w:cantSplit/>
          <w:trHeight w:val="397"/>
        </w:trPr>
        <w:tc>
          <w:tcPr>
            <w:tcW w:w="930" w:type="pct"/>
            <w:shd w:val="clear" w:color="auto" w:fill="FFFFFF"/>
            <w:vAlign w:val="center"/>
          </w:tcPr>
          <w:p w14:paraId="66004B46"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ICBS</w:t>
            </w:r>
          </w:p>
        </w:tc>
        <w:tc>
          <w:tcPr>
            <w:tcW w:w="758" w:type="pct"/>
            <w:shd w:val="clear" w:color="auto" w:fill="FFFFFF"/>
            <w:vAlign w:val="center"/>
          </w:tcPr>
          <w:p w14:paraId="3454AE06"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11.80</w:t>
            </w:r>
          </w:p>
        </w:tc>
        <w:tc>
          <w:tcPr>
            <w:tcW w:w="663" w:type="pct"/>
            <w:shd w:val="clear" w:color="auto" w:fill="FFFFFF"/>
            <w:vAlign w:val="center"/>
          </w:tcPr>
          <w:p w14:paraId="2FA4DDBE"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12.00</w:t>
            </w:r>
          </w:p>
        </w:tc>
        <w:tc>
          <w:tcPr>
            <w:tcW w:w="1061" w:type="pct"/>
            <w:shd w:val="clear" w:color="auto" w:fill="FFFFFF"/>
            <w:vAlign w:val="center"/>
          </w:tcPr>
          <w:p w14:paraId="62DB9963"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1.96</w:t>
            </w:r>
          </w:p>
        </w:tc>
        <w:tc>
          <w:tcPr>
            <w:tcW w:w="754" w:type="pct"/>
            <w:shd w:val="clear" w:color="auto" w:fill="FFFFFF"/>
            <w:vAlign w:val="center"/>
          </w:tcPr>
          <w:p w14:paraId="1D98633A"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7.00</w:t>
            </w:r>
          </w:p>
        </w:tc>
        <w:tc>
          <w:tcPr>
            <w:tcW w:w="834" w:type="pct"/>
            <w:shd w:val="clear" w:color="auto" w:fill="FFFFFF"/>
            <w:vAlign w:val="center"/>
          </w:tcPr>
          <w:p w14:paraId="7A237000"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17.00</w:t>
            </w:r>
          </w:p>
        </w:tc>
      </w:tr>
      <w:tr w:rsidR="00C32C59" w:rsidRPr="00C32C59" w14:paraId="5E98F52B" w14:textId="77777777" w:rsidTr="001C4D87">
        <w:trPr>
          <w:cantSplit/>
          <w:trHeight w:val="397"/>
        </w:trPr>
        <w:tc>
          <w:tcPr>
            <w:tcW w:w="930" w:type="pct"/>
            <w:shd w:val="clear" w:color="auto" w:fill="FFFFFF"/>
            <w:vAlign w:val="center"/>
          </w:tcPr>
          <w:p w14:paraId="78B8B605"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ICBM</w:t>
            </w:r>
          </w:p>
        </w:tc>
        <w:tc>
          <w:tcPr>
            <w:tcW w:w="758" w:type="pct"/>
            <w:shd w:val="clear" w:color="auto" w:fill="FFFFFF"/>
            <w:vAlign w:val="center"/>
          </w:tcPr>
          <w:p w14:paraId="612BCC8F"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8.67</w:t>
            </w:r>
          </w:p>
        </w:tc>
        <w:tc>
          <w:tcPr>
            <w:tcW w:w="663" w:type="pct"/>
            <w:shd w:val="clear" w:color="auto" w:fill="FFFFFF"/>
            <w:vAlign w:val="center"/>
          </w:tcPr>
          <w:p w14:paraId="685375C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9.00</w:t>
            </w:r>
          </w:p>
        </w:tc>
        <w:tc>
          <w:tcPr>
            <w:tcW w:w="1061" w:type="pct"/>
            <w:shd w:val="clear" w:color="auto" w:fill="FFFFFF"/>
            <w:vAlign w:val="center"/>
          </w:tcPr>
          <w:p w14:paraId="64D9EF04"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3.43</w:t>
            </w:r>
          </w:p>
        </w:tc>
        <w:tc>
          <w:tcPr>
            <w:tcW w:w="754" w:type="pct"/>
            <w:shd w:val="clear" w:color="auto" w:fill="FFFFFF"/>
            <w:vAlign w:val="center"/>
          </w:tcPr>
          <w:p w14:paraId="17B34E3D"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4.00</w:t>
            </w:r>
          </w:p>
        </w:tc>
        <w:tc>
          <w:tcPr>
            <w:tcW w:w="834" w:type="pct"/>
            <w:shd w:val="clear" w:color="auto" w:fill="FFFFFF"/>
            <w:vAlign w:val="center"/>
          </w:tcPr>
          <w:p w14:paraId="54CD2F3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19.00</w:t>
            </w:r>
          </w:p>
        </w:tc>
      </w:tr>
      <w:tr w:rsidR="00C32C59" w:rsidRPr="00C32C59" w14:paraId="7BDFD9B0" w14:textId="77777777" w:rsidTr="001C4D87">
        <w:trPr>
          <w:cantSplit/>
          <w:trHeight w:val="397"/>
        </w:trPr>
        <w:tc>
          <w:tcPr>
            <w:tcW w:w="930" w:type="pct"/>
            <w:shd w:val="clear" w:color="auto" w:fill="FFFFFF"/>
            <w:vAlign w:val="center"/>
          </w:tcPr>
          <w:p w14:paraId="2D02688F"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ICNEDs (%)</w:t>
            </w:r>
          </w:p>
        </w:tc>
        <w:tc>
          <w:tcPr>
            <w:tcW w:w="758" w:type="pct"/>
            <w:shd w:val="clear" w:color="auto" w:fill="FFFFFF"/>
            <w:vAlign w:val="center"/>
          </w:tcPr>
          <w:p w14:paraId="50720C0B"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0.63</w:t>
            </w:r>
          </w:p>
        </w:tc>
        <w:tc>
          <w:tcPr>
            <w:tcW w:w="663" w:type="pct"/>
            <w:shd w:val="clear" w:color="auto" w:fill="FFFFFF"/>
            <w:vAlign w:val="center"/>
          </w:tcPr>
          <w:p w14:paraId="4244D08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0.63</w:t>
            </w:r>
          </w:p>
        </w:tc>
        <w:tc>
          <w:tcPr>
            <w:tcW w:w="1061" w:type="pct"/>
            <w:shd w:val="clear" w:color="auto" w:fill="FFFFFF"/>
            <w:vAlign w:val="center"/>
          </w:tcPr>
          <w:p w14:paraId="650065F1"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0.11</w:t>
            </w:r>
          </w:p>
        </w:tc>
        <w:tc>
          <w:tcPr>
            <w:tcW w:w="754" w:type="pct"/>
            <w:shd w:val="clear" w:color="auto" w:fill="FFFFFF"/>
            <w:vAlign w:val="center"/>
          </w:tcPr>
          <w:p w14:paraId="5B53B068"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0.10</w:t>
            </w:r>
          </w:p>
        </w:tc>
        <w:tc>
          <w:tcPr>
            <w:tcW w:w="834" w:type="pct"/>
            <w:shd w:val="clear" w:color="auto" w:fill="FFFFFF"/>
            <w:vAlign w:val="center"/>
          </w:tcPr>
          <w:p w14:paraId="34A3682A"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0.85</w:t>
            </w:r>
          </w:p>
        </w:tc>
      </w:tr>
      <w:tr w:rsidR="00C32C59" w:rsidRPr="00C32C59" w14:paraId="70CA112B" w14:textId="77777777" w:rsidTr="001C4D87">
        <w:trPr>
          <w:cantSplit/>
          <w:trHeight w:val="397"/>
        </w:trPr>
        <w:tc>
          <w:tcPr>
            <w:tcW w:w="930" w:type="pct"/>
            <w:shd w:val="clear" w:color="auto" w:fill="FFFFFF"/>
            <w:vAlign w:val="center"/>
          </w:tcPr>
          <w:p w14:paraId="55AF2B40"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ICACS</w:t>
            </w:r>
          </w:p>
        </w:tc>
        <w:tc>
          <w:tcPr>
            <w:tcW w:w="758" w:type="pct"/>
            <w:shd w:val="clear" w:color="auto" w:fill="FFFFFF"/>
            <w:vAlign w:val="center"/>
          </w:tcPr>
          <w:p w14:paraId="3C1B08E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4.34</w:t>
            </w:r>
          </w:p>
        </w:tc>
        <w:tc>
          <w:tcPr>
            <w:tcW w:w="663" w:type="pct"/>
            <w:shd w:val="clear" w:color="auto" w:fill="FFFFFF"/>
            <w:vAlign w:val="center"/>
          </w:tcPr>
          <w:p w14:paraId="74312071"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4.00</w:t>
            </w:r>
          </w:p>
        </w:tc>
        <w:tc>
          <w:tcPr>
            <w:tcW w:w="1061" w:type="pct"/>
            <w:shd w:val="clear" w:color="auto" w:fill="FFFFFF"/>
            <w:vAlign w:val="center"/>
          </w:tcPr>
          <w:p w14:paraId="1BB6746E"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1.18</w:t>
            </w:r>
          </w:p>
        </w:tc>
        <w:tc>
          <w:tcPr>
            <w:tcW w:w="754" w:type="pct"/>
            <w:shd w:val="clear" w:color="auto" w:fill="FFFFFF"/>
            <w:vAlign w:val="center"/>
          </w:tcPr>
          <w:p w14:paraId="419D70A9"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3.00</w:t>
            </w:r>
          </w:p>
        </w:tc>
        <w:tc>
          <w:tcPr>
            <w:tcW w:w="834" w:type="pct"/>
            <w:shd w:val="clear" w:color="auto" w:fill="FFFFFF"/>
            <w:vAlign w:val="center"/>
          </w:tcPr>
          <w:p w14:paraId="4FF7CEEC"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8.00</w:t>
            </w:r>
          </w:p>
        </w:tc>
      </w:tr>
      <w:tr w:rsidR="00C32C59" w:rsidRPr="00C32C59" w14:paraId="6CF09995" w14:textId="77777777" w:rsidTr="001C4D87">
        <w:trPr>
          <w:cantSplit/>
          <w:trHeight w:val="397"/>
        </w:trPr>
        <w:tc>
          <w:tcPr>
            <w:tcW w:w="930" w:type="pct"/>
            <w:shd w:val="clear" w:color="auto" w:fill="FFFFFF"/>
            <w:vAlign w:val="center"/>
          </w:tcPr>
          <w:p w14:paraId="13018BDF"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ICTA (000)</w:t>
            </w:r>
          </w:p>
        </w:tc>
        <w:tc>
          <w:tcPr>
            <w:tcW w:w="758" w:type="pct"/>
            <w:shd w:val="clear" w:color="auto" w:fill="FFFFFF"/>
            <w:vAlign w:val="center"/>
          </w:tcPr>
          <w:p w14:paraId="3D5F9732"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133541.41</w:t>
            </w:r>
          </w:p>
        </w:tc>
        <w:tc>
          <w:tcPr>
            <w:tcW w:w="663" w:type="pct"/>
            <w:shd w:val="clear" w:color="auto" w:fill="FFFFFF"/>
            <w:vAlign w:val="center"/>
          </w:tcPr>
          <w:p w14:paraId="173820F3"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35183.60</w:t>
            </w:r>
          </w:p>
        </w:tc>
        <w:tc>
          <w:tcPr>
            <w:tcW w:w="1061" w:type="pct"/>
            <w:shd w:val="clear" w:color="auto" w:fill="FFFFFF"/>
            <w:vAlign w:val="center"/>
          </w:tcPr>
          <w:p w14:paraId="5F54BE33"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311761.57</w:t>
            </w:r>
          </w:p>
        </w:tc>
        <w:tc>
          <w:tcPr>
            <w:tcW w:w="754" w:type="pct"/>
            <w:shd w:val="clear" w:color="auto" w:fill="FFFFFF"/>
            <w:vAlign w:val="center"/>
          </w:tcPr>
          <w:p w14:paraId="5111A602"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593.00</w:t>
            </w:r>
          </w:p>
        </w:tc>
        <w:tc>
          <w:tcPr>
            <w:tcW w:w="834" w:type="pct"/>
            <w:shd w:val="clear" w:color="auto" w:fill="FFFFFF"/>
            <w:vAlign w:val="center"/>
          </w:tcPr>
          <w:p w14:paraId="2D1A81C1"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3213260.00</w:t>
            </w:r>
          </w:p>
        </w:tc>
      </w:tr>
      <w:tr w:rsidR="00C32C59" w:rsidRPr="00C32C59" w14:paraId="3BB5AAF1" w14:textId="77777777" w:rsidTr="001C4D87">
        <w:trPr>
          <w:cantSplit/>
          <w:trHeight w:val="397"/>
        </w:trPr>
        <w:tc>
          <w:tcPr>
            <w:tcW w:w="930" w:type="pct"/>
            <w:shd w:val="clear" w:color="auto" w:fill="FFFFFF"/>
            <w:vAlign w:val="center"/>
          </w:tcPr>
          <w:p w14:paraId="6540EC7A" w14:textId="77777777" w:rsidR="00C32C59" w:rsidRPr="00C32C59" w:rsidRDefault="00C32C59" w:rsidP="00C32C59">
            <w:pPr>
              <w:spacing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ICL%</w:t>
            </w:r>
          </w:p>
        </w:tc>
        <w:tc>
          <w:tcPr>
            <w:tcW w:w="758" w:type="pct"/>
            <w:shd w:val="clear" w:color="auto" w:fill="FFFFFF"/>
            <w:vAlign w:val="center"/>
          </w:tcPr>
          <w:p w14:paraId="06BCEE33"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1.14</w:t>
            </w:r>
          </w:p>
        </w:tc>
        <w:tc>
          <w:tcPr>
            <w:tcW w:w="663" w:type="pct"/>
            <w:shd w:val="clear" w:color="auto" w:fill="FFFFFF"/>
            <w:vAlign w:val="center"/>
          </w:tcPr>
          <w:p w14:paraId="190AC0E5"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0.78</w:t>
            </w:r>
          </w:p>
        </w:tc>
        <w:tc>
          <w:tcPr>
            <w:tcW w:w="1061" w:type="pct"/>
            <w:shd w:val="clear" w:color="auto" w:fill="FFFFFF"/>
            <w:vAlign w:val="center"/>
          </w:tcPr>
          <w:p w14:paraId="4C96C4AB"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1.20</w:t>
            </w:r>
          </w:p>
        </w:tc>
        <w:tc>
          <w:tcPr>
            <w:tcW w:w="754" w:type="pct"/>
            <w:shd w:val="clear" w:color="auto" w:fill="FFFFFF"/>
            <w:vAlign w:val="center"/>
          </w:tcPr>
          <w:p w14:paraId="4F03A5CB"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0.01</w:t>
            </w:r>
          </w:p>
        </w:tc>
        <w:tc>
          <w:tcPr>
            <w:tcW w:w="834" w:type="pct"/>
            <w:shd w:val="clear" w:color="auto" w:fill="FFFFFF"/>
            <w:vAlign w:val="center"/>
          </w:tcPr>
          <w:p w14:paraId="59FC3622" w14:textId="77777777" w:rsidR="00C32C59" w:rsidRPr="00C32C59" w:rsidRDefault="00C32C59" w:rsidP="00C32C59">
            <w:pPr>
              <w:spacing w:line="240" w:lineRule="auto"/>
              <w:jc w:val="right"/>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6.88</w:t>
            </w:r>
          </w:p>
        </w:tc>
      </w:tr>
    </w:tbl>
    <w:p w14:paraId="436BAB4E" w14:textId="77777777" w:rsidR="00C32C59" w:rsidRPr="00C32C59" w:rsidRDefault="00C32C59" w:rsidP="00C32C59">
      <w:pPr>
        <w:spacing w:line="240" w:lineRule="auto"/>
        <w:jc w:val="both"/>
        <w:rPr>
          <w:rFonts w:ascii="Times New Roman" w:eastAsia="Times New Roman" w:hAnsi="Times New Roman" w:cs="Times New Roman"/>
        </w:rPr>
      </w:pPr>
      <w:r w:rsidRPr="00C32C59">
        <w:rPr>
          <w:rFonts w:ascii="Times New Roman" w:eastAsia="Times New Roman" w:hAnsi="Times New Roman" w:cs="Times New Roman"/>
        </w:rPr>
        <w:t>Notes: Variables are defined as follows: Risk taking using ROA (RT1),  Risk taking using ROE (RT2),  insurance company return on assets (ICROA); insurance company return on equity (ICROE); insurance company board size (ICBS); insurance company board meetings (ICBM); insurance company board independence (ICNEDs); insurance company audit committee size (ICACS); insurance company size (ICTA); and insurance company liquidity (ICL). Full definitions of these variables are presented above in Table 2.</w:t>
      </w:r>
    </w:p>
    <w:p w14:paraId="14979B51" w14:textId="77777777" w:rsidR="00C32C59" w:rsidRPr="00C32C59" w:rsidRDefault="00C32C59" w:rsidP="00C32C59">
      <w:pPr>
        <w:rPr>
          <w:rFonts w:eastAsia="Calibri"/>
        </w:rPr>
        <w:sectPr w:rsidR="00C32C59" w:rsidRPr="00C32C59" w:rsidSect="00C32C59">
          <w:footerReference w:type="default" r:id="rId26"/>
          <w:type w:val="continuous"/>
          <w:pgSz w:w="11906" w:h="16838"/>
          <w:pgMar w:top="1440" w:right="1440" w:bottom="1440" w:left="1440" w:header="708" w:footer="708" w:gutter="0"/>
          <w:cols w:space="708"/>
          <w:docGrid w:linePitch="360"/>
        </w:sectPr>
      </w:pPr>
      <w:bookmarkStart w:id="20" w:name="_Toc459936922"/>
      <w:r w:rsidRPr="00C32C59">
        <w:rPr>
          <w:rFonts w:eastAsia="Calibri"/>
        </w:rPr>
        <w:br w:type="page"/>
      </w:r>
    </w:p>
    <w:p w14:paraId="172E2CF3" w14:textId="77777777" w:rsidR="00C32C59" w:rsidRPr="00C32C59" w:rsidRDefault="00C32C59" w:rsidP="00C32C59">
      <w:pPr>
        <w:spacing w:line="240" w:lineRule="auto"/>
        <w:jc w:val="both"/>
        <w:rPr>
          <w:rFonts w:ascii="Times New Roman" w:eastAsia="Times New Roman" w:hAnsi="Times New Roman" w:cs="Times New Roman"/>
          <w:b/>
          <w:bCs/>
          <w:sz w:val="24"/>
          <w:szCs w:val="24"/>
        </w:rPr>
      </w:pPr>
      <w:r w:rsidRPr="00C32C59">
        <w:rPr>
          <w:rFonts w:ascii="Times New Roman" w:eastAsia="Calibri" w:hAnsi="Times New Roman" w:cs="Times New Roman"/>
          <w:b/>
          <w:bCs/>
          <w:sz w:val="24"/>
          <w:szCs w:val="24"/>
        </w:rPr>
        <w:t>Table 5:</w:t>
      </w:r>
      <w:r w:rsidRPr="00C32C59">
        <w:rPr>
          <w:rFonts w:ascii="Times New Roman" w:eastAsia="Calibri" w:hAnsi="Times New Roman" w:cs="Times New Roman"/>
          <w:b/>
          <w:bCs/>
          <w:noProof/>
          <w:sz w:val="24"/>
          <w:szCs w:val="24"/>
        </w:rPr>
        <w:t xml:space="preserve"> Pearson correlation among all variables</w:t>
      </w:r>
      <w:bookmarkEnd w:id="20"/>
    </w:p>
    <w:tbl>
      <w:tblPr>
        <w:tblW w:w="0" w:type="auto"/>
        <w:jc w:val="center"/>
        <w:tblBorders>
          <w:top w:val="single" w:sz="12" w:space="0" w:color="auto"/>
        </w:tblBorders>
        <w:tblCellMar>
          <w:left w:w="0" w:type="dxa"/>
          <w:right w:w="0" w:type="dxa"/>
        </w:tblCellMar>
        <w:tblLook w:val="0000" w:firstRow="0" w:lastRow="0" w:firstColumn="0" w:lastColumn="0" w:noHBand="0" w:noVBand="0"/>
      </w:tblPr>
      <w:tblGrid>
        <w:gridCol w:w="1238"/>
        <w:gridCol w:w="1025"/>
        <w:gridCol w:w="858"/>
        <w:gridCol w:w="1025"/>
        <w:gridCol w:w="1167"/>
        <w:gridCol w:w="1238"/>
        <w:gridCol w:w="1058"/>
        <w:gridCol w:w="838"/>
        <w:gridCol w:w="579"/>
      </w:tblGrid>
      <w:tr w:rsidR="00C32C59" w:rsidRPr="00C32C59" w14:paraId="338DD5AA" w14:textId="77777777" w:rsidTr="001C4D87">
        <w:trPr>
          <w:cantSplit/>
          <w:trHeight w:val="170"/>
          <w:jc w:val="center"/>
        </w:trPr>
        <w:tc>
          <w:tcPr>
            <w:tcW w:w="0" w:type="auto"/>
            <w:tcBorders>
              <w:top w:val="single" w:sz="12" w:space="0" w:color="auto"/>
            </w:tcBorders>
            <w:shd w:val="clear" w:color="auto" w:fill="FFFFFF"/>
            <w:vAlign w:val="center"/>
          </w:tcPr>
          <w:p w14:paraId="617F146E"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p>
        </w:tc>
        <w:tc>
          <w:tcPr>
            <w:tcW w:w="0" w:type="auto"/>
            <w:tcBorders>
              <w:top w:val="single" w:sz="12" w:space="0" w:color="auto"/>
            </w:tcBorders>
            <w:shd w:val="clear" w:color="auto" w:fill="FFFFFF"/>
          </w:tcPr>
          <w:p w14:paraId="633FBBF7"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RT1</w:t>
            </w:r>
          </w:p>
        </w:tc>
        <w:tc>
          <w:tcPr>
            <w:tcW w:w="0" w:type="auto"/>
            <w:tcBorders>
              <w:top w:val="single" w:sz="12" w:space="0" w:color="auto"/>
            </w:tcBorders>
            <w:shd w:val="clear" w:color="auto" w:fill="FFFFFF"/>
          </w:tcPr>
          <w:p w14:paraId="1F1AE42D"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RT2</w:t>
            </w:r>
          </w:p>
        </w:tc>
        <w:tc>
          <w:tcPr>
            <w:tcW w:w="0" w:type="auto"/>
            <w:tcBorders>
              <w:top w:val="single" w:sz="12" w:space="0" w:color="auto"/>
            </w:tcBorders>
            <w:shd w:val="clear" w:color="auto" w:fill="FFFFFF"/>
            <w:vAlign w:val="center"/>
          </w:tcPr>
          <w:p w14:paraId="65B045F9"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ICBS</w:t>
            </w:r>
          </w:p>
        </w:tc>
        <w:tc>
          <w:tcPr>
            <w:tcW w:w="0" w:type="auto"/>
            <w:tcBorders>
              <w:top w:val="single" w:sz="12" w:space="0" w:color="auto"/>
            </w:tcBorders>
            <w:shd w:val="clear" w:color="auto" w:fill="FFFFFF"/>
            <w:vAlign w:val="center"/>
          </w:tcPr>
          <w:p w14:paraId="36794111"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ICBM</w:t>
            </w:r>
          </w:p>
        </w:tc>
        <w:tc>
          <w:tcPr>
            <w:tcW w:w="0" w:type="auto"/>
            <w:tcBorders>
              <w:top w:val="single" w:sz="12" w:space="0" w:color="auto"/>
            </w:tcBorders>
            <w:shd w:val="clear" w:color="auto" w:fill="FFFFFF"/>
            <w:vAlign w:val="center"/>
          </w:tcPr>
          <w:p w14:paraId="64C1FA52"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ICNEDs</w:t>
            </w:r>
          </w:p>
        </w:tc>
        <w:tc>
          <w:tcPr>
            <w:tcW w:w="0" w:type="auto"/>
            <w:tcBorders>
              <w:top w:val="single" w:sz="12" w:space="0" w:color="auto"/>
            </w:tcBorders>
            <w:shd w:val="clear" w:color="auto" w:fill="FFFFFF"/>
            <w:vAlign w:val="center"/>
          </w:tcPr>
          <w:p w14:paraId="00AD1122"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ICACS</w:t>
            </w:r>
          </w:p>
        </w:tc>
        <w:tc>
          <w:tcPr>
            <w:tcW w:w="0" w:type="auto"/>
            <w:tcBorders>
              <w:top w:val="single" w:sz="12" w:space="0" w:color="auto"/>
            </w:tcBorders>
            <w:shd w:val="clear" w:color="auto" w:fill="FFFFFF"/>
            <w:vAlign w:val="center"/>
          </w:tcPr>
          <w:p w14:paraId="0A76E3B3"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ICTA</w:t>
            </w:r>
          </w:p>
        </w:tc>
        <w:tc>
          <w:tcPr>
            <w:tcW w:w="0" w:type="auto"/>
            <w:tcBorders>
              <w:top w:val="single" w:sz="12" w:space="0" w:color="auto"/>
            </w:tcBorders>
            <w:shd w:val="clear" w:color="auto" w:fill="FFFFFF"/>
            <w:vAlign w:val="center"/>
          </w:tcPr>
          <w:p w14:paraId="0E0A1329"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ICL</w:t>
            </w:r>
          </w:p>
        </w:tc>
      </w:tr>
      <w:tr w:rsidR="00C32C59" w:rsidRPr="00C32C59" w14:paraId="18CB6A55" w14:textId="77777777" w:rsidTr="001C4D87">
        <w:trPr>
          <w:cantSplit/>
          <w:trHeight w:val="170"/>
          <w:jc w:val="center"/>
        </w:trPr>
        <w:tc>
          <w:tcPr>
            <w:tcW w:w="0" w:type="auto"/>
            <w:vMerge w:val="restart"/>
            <w:tcBorders>
              <w:top w:val="single" w:sz="12" w:space="0" w:color="auto"/>
            </w:tcBorders>
            <w:shd w:val="clear" w:color="auto" w:fill="FFFFFF"/>
          </w:tcPr>
          <w:p w14:paraId="634A9AB5"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RT1</w:t>
            </w:r>
          </w:p>
        </w:tc>
        <w:tc>
          <w:tcPr>
            <w:tcW w:w="0" w:type="auto"/>
            <w:tcBorders>
              <w:top w:val="single" w:sz="12" w:space="0" w:color="auto"/>
            </w:tcBorders>
            <w:shd w:val="clear" w:color="auto" w:fill="FFFFFF"/>
            <w:vAlign w:val="center"/>
          </w:tcPr>
          <w:p w14:paraId="401DFFF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1</w:t>
            </w:r>
          </w:p>
        </w:tc>
        <w:tc>
          <w:tcPr>
            <w:tcW w:w="0" w:type="auto"/>
            <w:tcBorders>
              <w:top w:val="single" w:sz="12" w:space="0" w:color="auto"/>
            </w:tcBorders>
            <w:shd w:val="clear" w:color="auto" w:fill="FFFFFF"/>
            <w:vAlign w:val="center"/>
          </w:tcPr>
          <w:p w14:paraId="59F064D1"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76587C77"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3BABD991"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4AC65EBA"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372CD140"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4D644942"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top w:val="single" w:sz="12" w:space="0" w:color="auto"/>
            </w:tcBorders>
            <w:shd w:val="clear" w:color="auto" w:fill="FFFFFF"/>
            <w:vAlign w:val="center"/>
          </w:tcPr>
          <w:p w14:paraId="1B5B4DFC"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4DBB82D5" w14:textId="77777777" w:rsidTr="001C4D87">
        <w:trPr>
          <w:cantSplit/>
          <w:trHeight w:val="170"/>
          <w:jc w:val="center"/>
        </w:trPr>
        <w:tc>
          <w:tcPr>
            <w:tcW w:w="0" w:type="auto"/>
            <w:vMerge/>
            <w:shd w:val="clear" w:color="auto" w:fill="FFFFFF"/>
          </w:tcPr>
          <w:p w14:paraId="4EBAF1A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4D67FE4"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3F54C4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47D3D8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3AF35AB"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3AACD18"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A8AE1B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1D030F91"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1978E37A"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6E896BD2" w14:textId="77777777" w:rsidTr="001C4D87">
        <w:trPr>
          <w:cantSplit/>
          <w:trHeight w:val="170"/>
          <w:jc w:val="center"/>
        </w:trPr>
        <w:tc>
          <w:tcPr>
            <w:tcW w:w="0" w:type="auto"/>
            <w:shd w:val="clear" w:color="auto" w:fill="FFFFFF"/>
          </w:tcPr>
          <w:p w14:paraId="2D96F21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RT2</w:t>
            </w:r>
          </w:p>
        </w:tc>
        <w:tc>
          <w:tcPr>
            <w:tcW w:w="0" w:type="auto"/>
            <w:shd w:val="clear" w:color="auto" w:fill="FFFFFF"/>
            <w:vAlign w:val="center"/>
          </w:tcPr>
          <w:p w14:paraId="12D2CFA7"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0.65**</w:t>
            </w:r>
          </w:p>
        </w:tc>
        <w:tc>
          <w:tcPr>
            <w:tcW w:w="0" w:type="auto"/>
            <w:shd w:val="clear" w:color="auto" w:fill="FFFFFF"/>
            <w:vAlign w:val="center"/>
          </w:tcPr>
          <w:p w14:paraId="3C74E4F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1</w:t>
            </w:r>
          </w:p>
        </w:tc>
        <w:tc>
          <w:tcPr>
            <w:tcW w:w="0" w:type="auto"/>
            <w:shd w:val="clear" w:color="auto" w:fill="FFFFFF"/>
            <w:vAlign w:val="center"/>
          </w:tcPr>
          <w:p w14:paraId="6B812435"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456F9D7"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27BB9F39"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3D819AF"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45E2F74"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C4F7006"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385A22EC" w14:textId="77777777" w:rsidTr="001C4D87">
        <w:trPr>
          <w:cantSplit/>
          <w:trHeight w:val="170"/>
          <w:jc w:val="center"/>
        </w:trPr>
        <w:tc>
          <w:tcPr>
            <w:tcW w:w="0" w:type="auto"/>
            <w:shd w:val="clear" w:color="auto" w:fill="FFFFFF"/>
          </w:tcPr>
          <w:p w14:paraId="28FA48BB"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24C5081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0.00</w:t>
            </w:r>
          </w:p>
        </w:tc>
        <w:tc>
          <w:tcPr>
            <w:tcW w:w="0" w:type="auto"/>
            <w:shd w:val="clear" w:color="auto" w:fill="FFFFFF"/>
            <w:vAlign w:val="center"/>
          </w:tcPr>
          <w:p w14:paraId="35D38816"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F187CE7"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397C5347"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193AED2"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49A69AEF"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1792AB5A"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0C45E14"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6FBDF536" w14:textId="77777777" w:rsidTr="001C4D87">
        <w:trPr>
          <w:cantSplit/>
          <w:trHeight w:val="170"/>
          <w:jc w:val="center"/>
        </w:trPr>
        <w:tc>
          <w:tcPr>
            <w:tcW w:w="0" w:type="auto"/>
            <w:vMerge w:val="restart"/>
            <w:shd w:val="clear" w:color="auto" w:fill="FFFFFF"/>
          </w:tcPr>
          <w:p w14:paraId="74FA82BC"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ICBS</w:t>
            </w:r>
          </w:p>
        </w:tc>
        <w:tc>
          <w:tcPr>
            <w:tcW w:w="0" w:type="auto"/>
            <w:shd w:val="clear" w:color="auto" w:fill="FFFFFF"/>
            <w:vAlign w:val="center"/>
          </w:tcPr>
          <w:p w14:paraId="49765FAE"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0.33**</w:t>
            </w:r>
          </w:p>
        </w:tc>
        <w:tc>
          <w:tcPr>
            <w:tcW w:w="0" w:type="auto"/>
            <w:shd w:val="clear" w:color="auto" w:fill="FFFFFF"/>
            <w:vAlign w:val="center"/>
          </w:tcPr>
          <w:p w14:paraId="5D4179F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0.06</w:t>
            </w:r>
          </w:p>
        </w:tc>
        <w:tc>
          <w:tcPr>
            <w:tcW w:w="0" w:type="auto"/>
            <w:shd w:val="clear" w:color="auto" w:fill="FFFFFF"/>
            <w:vAlign w:val="center"/>
          </w:tcPr>
          <w:p w14:paraId="33EFE35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1</w:t>
            </w:r>
          </w:p>
        </w:tc>
        <w:tc>
          <w:tcPr>
            <w:tcW w:w="0" w:type="auto"/>
            <w:shd w:val="clear" w:color="auto" w:fill="FFFFFF"/>
            <w:vAlign w:val="center"/>
          </w:tcPr>
          <w:p w14:paraId="14F0B9A7"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20EEE9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41E51105"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BCABCC5"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BB87DC5"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49A4747E" w14:textId="77777777" w:rsidTr="001C4D87">
        <w:trPr>
          <w:cantSplit/>
          <w:trHeight w:val="170"/>
          <w:jc w:val="center"/>
        </w:trPr>
        <w:tc>
          <w:tcPr>
            <w:tcW w:w="0" w:type="auto"/>
            <w:vMerge/>
            <w:shd w:val="clear" w:color="auto" w:fill="FFFFFF"/>
          </w:tcPr>
          <w:p w14:paraId="65750230"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4E1E917"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0.00</w:t>
            </w:r>
          </w:p>
        </w:tc>
        <w:tc>
          <w:tcPr>
            <w:tcW w:w="0" w:type="auto"/>
            <w:shd w:val="clear" w:color="auto" w:fill="FFFFFF"/>
            <w:vAlign w:val="center"/>
          </w:tcPr>
          <w:p w14:paraId="79B808A5"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0.55</w:t>
            </w:r>
          </w:p>
        </w:tc>
        <w:tc>
          <w:tcPr>
            <w:tcW w:w="0" w:type="auto"/>
            <w:shd w:val="clear" w:color="auto" w:fill="FFFFFF"/>
            <w:vAlign w:val="center"/>
          </w:tcPr>
          <w:p w14:paraId="2430945C"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6B84EFB"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17BAF0EB"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9B9130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4C1CD5F4"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948D1C7"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22B11C16" w14:textId="77777777" w:rsidTr="001C4D87">
        <w:trPr>
          <w:cantSplit/>
          <w:trHeight w:val="170"/>
          <w:jc w:val="center"/>
        </w:trPr>
        <w:tc>
          <w:tcPr>
            <w:tcW w:w="0" w:type="auto"/>
            <w:vMerge w:val="restart"/>
            <w:shd w:val="clear" w:color="auto" w:fill="FFFFFF"/>
          </w:tcPr>
          <w:p w14:paraId="4515DE4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ICBM</w:t>
            </w:r>
          </w:p>
        </w:tc>
        <w:tc>
          <w:tcPr>
            <w:tcW w:w="0" w:type="auto"/>
            <w:shd w:val="clear" w:color="auto" w:fill="FFFFFF"/>
            <w:vAlign w:val="center"/>
          </w:tcPr>
          <w:p w14:paraId="72FC9E0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0.38**</w:t>
            </w:r>
          </w:p>
        </w:tc>
        <w:tc>
          <w:tcPr>
            <w:tcW w:w="0" w:type="auto"/>
            <w:shd w:val="clear" w:color="auto" w:fill="FFFFFF"/>
            <w:vAlign w:val="center"/>
          </w:tcPr>
          <w:p w14:paraId="6047961C"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0.15</w:t>
            </w:r>
          </w:p>
        </w:tc>
        <w:tc>
          <w:tcPr>
            <w:tcW w:w="0" w:type="auto"/>
            <w:shd w:val="clear" w:color="auto" w:fill="FFFFFF"/>
            <w:vAlign w:val="center"/>
          </w:tcPr>
          <w:p w14:paraId="35569E1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0.068</w:t>
            </w:r>
          </w:p>
        </w:tc>
        <w:tc>
          <w:tcPr>
            <w:tcW w:w="0" w:type="auto"/>
            <w:shd w:val="clear" w:color="auto" w:fill="FFFFFF"/>
            <w:vAlign w:val="center"/>
          </w:tcPr>
          <w:p w14:paraId="56FBC41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w:t>
            </w:r>
          </w:p>
        </w:tc>
        <w:tc>
          <w:tcPr>
            <w:tcW w:w="0" w:type="auto"/>
            <w:shd w:val="clear" w:color="auto" w:fill="FFFFFF"/>
            <w:vAlign w:val="center"/>
          </w:tcPr>
          <w:p w14:paraId="139EFAE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550D3C00"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7C3A709"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27EBF8B6"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005B23F8" w14:textId="77777777" w:rsidTr="001C4D87">
        <w:trPr>
          <w:cantSplit/>
          <w:trHeight w:val="170"/>
          <w:jc w:val="center"/>
        </w:trPr>
        <w:tc>
          <w:tcPr>
            <w:tcW w:w="0" w:type="auto"/>
            <w:vMerge/>
            <w:shd w:val="clear" w:color="auto" w:fill="FFFFFF"/>
          </w:tcPr>
          <w:p w14:paraId="7F8F33C8"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33C27DE9"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0.00</w:t>
            </w:r>
          </w:p>
        </w:tc>
        <w:tc>
          <w:tcPr>
            <w:tcW w:w="0" w:type="auto"/>
            <w:shd w:val="clear" w:color="auto" w:fill="FFFFFF"/>
            <w:vAlign w:val="center"/>
          </w:tcPr>
          <w:p w14:paraId="4765300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0.10</w:t>
            </w:r>
          </w:p>
        </w:tc>
        <w:tc>
          <w:tcPr>
            <w:tcW w:w="0" w:type="auto"/>
            <w:shd w:val="clear" w:color="auto" w:fill="FFFFFF"/>
            <w:vAlign w:val="center"/>
          </w:tcPr>
          <w:p w14:paraId="0FF07B5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0.463</w:t>
            </w:r>
          </w:p>
        </w:tc>
        <w:tc>
          <w:tcPr>
            <w:tcW w:w="0" w:type="auto"/>
            <w:shd w:val="clear" w:color="auto" w:fill="FFFFFF"/>
            <w:vAlign w:val="center"/>
          </w:tcPr>
          <w:p w14:paraId="17B7DF85"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406A5EC"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E17EF7B"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474B039F"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23D6BE9C"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076B538B" w14:textId="77777777" w:rsidTr="001C4D87">
        <w:trPr>
          <w:cantSplit/>
          <w:trHeight w:val="170"/>
          <w:jc w:val="center"/>
        </w:trPr>
        <w:tc>
          <w:tcPr>
            <w:tcW w:w="0" w:type="auto"/>
            <w:vMerge w:val="restart"/>
            <w:shd w:val="clear" w:color="auto" w:fill="FFFFFF"/>
          </w:tcPr>
          <w:p w14:paraId="437F8489"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ICNEDs</w:t>
            </w:r>
          </w:p>
        </w:tc>
        <w:tc>
          <w:tcPr>
            <w:tcW w:w="0" w:type="auto"/>
            <w:shd w:val="clear" w:color="auto" w:fill="FFFFFF"/>
            <w:vAlign w:val="center"/>
          </w:tcPr>
          <w:p w14:paraId="0E0C526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0.05</w:t>
            </w:r>
          </w:p>
        </w:tc>
        <w:tc>
          <w:tcPr>
            <w:tcW w:w="0" w:type="auto"/>
            <w:shd w:val="clear" w:color="auto" w:fill="FFFFFF"/>
            <w:vAlign w:val="center"/>
          </w:tcPr>
          <w:p w14:paraId="09C1874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0.11</w:t>
            </w:r>
          </w:p>
        </w:tc>
        <w:tc>
          <w:tcPr>
            <w:tcW w:w="0" w:type="auto"/>
            <w:shd w:val="clear" w:color="auto" w:fill="FFFFFF"/>
            <w:vAlign w:val="center"/>
          </w:tcPr>
          <w:p w14:paraId="60700E3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-0.074</w:t>
            </w:r>
          </w:p>
        </w:tc>
        <w:tc>
          <w:tcPr>
            <w:tcW w:w="0" w:type="auto"/>
            <w:shd w:val="clear" w:color="auto" w:fill="FFFFFF"/>
            <w:vAlign w:val="center"/>
          </w:tcPr>
          <w:p w14:paraId="45DEB9EF"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0.098</w:t>
            </w:r>
          </w:p>
        </w:tc>
        <w:tc>
          <w:tcPr>
            <w:tcW w:w="0" w:type="auto"/>
            <w:shd w:val="clear" w:color="auto" w:fill="FFFFFF"/>
            <w:vAlign w:val="center"/>
          </w:tcPr>
          <w:p w14:paraId="0C8FF12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w:t>
            </w:r>
          </w:p>
        </w:tc>
        <w:tc>
          <w:tcPr>
            <w:tcW w:w="0" w:type="auto"/>
            <w:shd w:val="clear" w:color="auto" w:fill="FFFFFF"/>
            <w:vAlign w:val="center"/>
          </w:tcPr>
          <w:p w14:paraId="0922104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AD80BDF"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4D4C692A"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5E41B952" w14:textId="77777777" w:rsidTr="001C4D87">
        <w:trPr>
          <w:cantSplit/>
          <w:trHeight w:val="170"/>
          <w:jc w:val="center"/>
        </w:trPr>
        <w:tc>
          <w:tcPr>
            <w:tcW w:w="0" w:type="auto"/>
            <w:vMerge/>
            <w:shd w:val="clear" w:color="auto" w:fill="FFFFFF"/>
          </w:tcPr>
          <w:p w14:paraId="3B70A276"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B154DB9"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0.58</w:t>
            </w:r>
          </w:p>
        </w:tc>
        <w:tc>
          <w:tcPr>
            <w:tcW w:w="0" w:type="auto"/>
            <w:shd w:val="clear" w:color="auto" w:fill="FFFFFF"/>
            <w:vAlign w:val="center"/>
          </w:tcPr>
          <w:p w14:paraId="2B53AFA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0.25</w:t>
            </w:r>
          </w:p>
        </w:tc>
        <w:tc>
          <w:tcPr>
            <w:tcW w:w="0" w:type="auto"/>
            <w:shd w:val="clear" w:color="auto" w:fill="FFFFFF"/>
            <w:vAlign w:val="center"/>
          </w:tcPr>
          <w:p w14:paraId="4485DCC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0.425</w:t>
            </w:r>
          </w:p>
        </w:tc>
        <w:tc>
          <w:tcPr>
            <w:tcW w:w="0" w:type="auto"/>
            <w:shd w:val="clear" w:color="auto" w:fill="FFFFFF"/>
            <w:vAlign w:val="center"/>
          </w:tcPr>
          <w:p w14:paraId="5E72981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0.294</w:t>
            </w:r>
          </w:p>
        </w:tc>
        <w:tc>
          <w:tcPr>
            <w:tcW w:w="0" w:type="auto"/>
            <w:shd w:val="clear" w:color="auto" w:fill="FFFFFF"/>
            <w:vAlign w:val="center"/>
          </w:tcPr>
          <w:p w14:paraId="6D41FBE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176AB52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3B53F69"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0B4E849A"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1D02F1F7" w14:textId="77777777" w:rsidTr="001C4D87">
        <w:trPr>
          <w:cantSplit/>
          <w:trHeight w:val="170"/>
          <w:jc w:val="center"/>
        </w:trPr>
        <w:tc>
          <w:tcPr>
            <w:tcW w:w="0" w:type="auto"/>
            <w:vMerge w:val="restart"/>
            <w:shd w:val="clear" w:color="auto" w:fill="FFFFFF"/>
          </w:tcPr>
          <w:p w14:paraId="1A6F738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ICACS</w:t>
            </w:r>
          </w:p>
        </w:tc>
        <w:tc>
          <w:tcPr>
            <w:tcW w:w="0" w:type="auto"/>
            <w:shd w:val="clear" w:color="auto" w:fill="FFFFFF"/>
            <w:vAlign w:val="center"/>
          </w:tcPr>
          <w:p w14:paraId="40AFDBB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0.21*</w:t>
            </w:r>
          </w:p>
        </w:tc>
        <w:tc>
          <w:tcPr>
            <w:tcW w:w="0" w:type="auto"/>
            <w:shd w:val="clear" w:color="auto" w:fill="FFFFFF"/>
            <w:vAlign w:val="center"/>
          </w:tcPr>
          <w:p w14:paraId="358D7F0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0.20*</w:t>
            </w:r>
          </w:p>
        </w:tc>
        <w:tc>
          <w:tcPr>
            <w:tcW w:w="0" w:type="auto"/>
            <w:shd w:val="clear" w:color="auto" w:fill="FFFFFF"/>
            <w:vAlign w:val="center"/>
          </w:tcPr>
          <w:p w14:paraId="104F378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0.081</w:t>
            </w:r>
          </w:p>
        </w:tc>
        <w:tc>
          <w:tcPr>
            <w:tcW w:w="0" w:type="auto"/>
            <w:shd w:val="clear" w:color="auto" w:fill="FFFFFF"/>
            <w:vAlign w:val="center"/>
          </w:tcPr>
          <w:p w14:paraId="4A12769C"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0.090</w:t>
            </w:r>
          </w:p>
        </w:tc>
        <w:tc>
          <w:tcPr>
            <w:tcW w:w="0" w:type="auto"/>
            <w:shd w:val="clear" w:color="auto" w:fill="FFFFFF"/>
            <w:vAlign w:val="center"/>
          </w:tcPr>
          <w:p w14:paraId="415D117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0.272**</w:t>
            </w:r>
          </w:p>
        </w:tc>
        <w:tc>
          <w:tcPr>
            <w:tcW w:w="0" w:type="auto"/>
            <w:shd w:val="clear" w:color="auto" w:fill="FFFFFF"/>
            <w:vAlign w:val="center"/>
          </w:tcPr>
          <w:p w14:paraId="2A73F76C"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w:t>
            </w:r>
          </w:p>
        </w:tc>
        <w:tc>
          <w:tcPr>
            <w:tcW w:w="0" w:type="auto"/>
            <w:shd w:val="clear" w:color="auto" w:fill="FFFFFF"/>
            <w:vAlign w:val="center"/>
          </w:tcPr>
          <w:p w14:paraId="3DE7A102"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7A189B18"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15D5D1EF" w14:textId="77777777" w:rsidTr="001C4D87">
        <w:trPr>
          <w:cantSplit/>
          <w:trHeight w:val="170"/>
          <w:jc w:val="center"/>
        </w:trPr>
        <w:tc>
          <w:tcPr>
            <w:tcW w:w="0" w:type="auto"/>
            <w:vMerge/>
            <w:shd w:val="clear" w:color="auto" w:fill="FFFFFF"/>
          </w:tcPr>
          <w:p w14:paraId="15094928"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20482E6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0.02</w:t>
            </w:r>
          </w:p>
        </w:tc>
        <w:tc>
          <w:tcPr>
            <w:tcW w:w="0" w:type="auto"/>
            <w:shd w:val="clear" w:color="auto" w:fill="FFFFFF"/>
            <w:vAlign w:val="center"/>
          </w:tcPr>
          <w:p w14:paraId="0C288846"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0.03</w:t>
            </w:r>
          </w:p>
        </w:tc>
        <w:tc>
          <w:tcPr>
            <w:tcW w:w="0" w:type="auto"/>
            <w:shd w:val="clear" w:color="auto" w:fill="FFFFFF"/>
            <w:vAlign w:val="center"/>
          </w:tcPr>
          <w:p w14:paraId="0A00A606"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0.383</w:t>
            </w:r>
          </w:p>
        </w:tc>
        <w:tc>
          <w:tcPr>
            <w:tcW w:w="0" w:type="auto"/>
            <w:shd w:val="clear" w:color="auto" w:fill="FFFFFF"/>
            <w:vAlign w:val="center"/>
          </w:tcPr>
          <w:p w14:paraId="55EDD752"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0.335</w:t>
            </w:r>
          </w:p>
        </w:tc>
        <w:tc>
          <w:tcPr>
            <w:tcW w:w="0" w:type="auto"/>
            <w:shd w:val="clear" w:color="auto" w:fill="FFFFFF"/>
            <w:vAlign w:val="center"/>
          </w:tcPr>
          <w:p w14:paraId="206A45E6"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0.003</w:t>
            </w:r>
          </w:p>
        </w:tc>
        <w:tc>
          <w:tcPr>
            <w:tcW w:w="0" w:type="auto"/>
            <w:shd w:val="clear" w:color="auto" w:fill="FFFFFF"/>
            <w:vAlign w:val="center"/>
          </w:tcPr>
          <w:p w14:paraId="28084B9E"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149B5AD"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14:paraId="63CBA069"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031AA9DC" w14:textId="77777777" w:rsidTr="001C4D87">
        <w:trPr>
          <w:cantSplit/>
          <w:trHeight w:val="170"/>
          <w:jc w:val="center"/>
        </w:trPr>
        <w:tc>
          <w:tcPr>
            <w:tcW w:w="0" w:type="auto"/>
            <w:vMerge w:val="restart"/>
            <w:shd w:val="clear" w:color="auto" w:fill="FFFFFF"/>
          </w:tcPr>
          <w:p w14:paraId="46E385F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ICTA</w:t>
            </w:r>
          </w:p>
        </w:tc>
        <w:tc>
          <w:tcPr>
            <w:tcW w:w="0" w:type="auto"/>
            <w:shd w:val="clear" w:color="auto" w:fill="FFFFFF"/>
            <w:vAlign w:val="center"/>
          </w:tcPr>
          <w:p w14:paraId="2197C4F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0.25**</w:t>
            </w:r>
          </w:p>
        </w:tc>
        <w:tc>
          <w:tcPr>
            <w:tcW w:w="0" w:type="auto"/>
            <w:shd w:val="clear" w:color="auto" w:fill="FFFFFF"/>
            <w:vAlign w:val="center"/>
          </w:tcPr>
          <w:p w14:paraId="566B8527"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0.13</w:t>
            </w:r>
          </w:p>
        </w:tc>
        <w:tc>
          <w:tcPr>
            <w:tcW w:w="0" w:type="auto"/>
            <w:shd w:val="clear" w:color="auto" w:fill="FFFFFF"/>
            <w:vAlign w:val="center"/>
          </w:tcPr>
          <w:p w14:paraId="75E01211"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0.197*</w:t>
            </w:r>
          </w:p>
        </w:tc>
        <w:tc>
          <w:tcPr>
            <w:tcW w:w="0" w:type="auto"/>
            <w:shd w:val="clear" w:color="auto" w:fill="FFFFFF"/>
            <w:vAlign w:val="center"/>
          </w:tcPr>
          <w:p w14:paraId="3021FB6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0.519**</w:t>
            </w:r>
          </w:p>
        </w:tc>
        <w:tc>
          <w:tcPr>
            <w:tcW w:w="0" w:type="auto"/>
            <w:shd w:val="clear" w:color="auto" w:fill="FFFFFF"/>
            <w:vAlign w:val="center"/>
          </w:tcPr>
          <w:p w14:paraId="22B6878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0.021</w:t>
            </w:r>
          </w:p>
        </w:tc>
        <w:tc>
          <w:tcPr>
            <w:tcW w:w="0" w:type="auto"/>
            <w:shd w:val="clear" w:color="auto" w:fill="FFFFFF"/>
            <w:vAlign w:val="center"/>
          </w:tcPr>
          <w:p w14:paraId="4F7AB34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0.132</w:t>
            </w:r>
          </w:p>
        </w:tc>
        <w:tc>
          <w:tcPr>
            <w:tcW w:w="0" w:type="auto"/>
            <w:shd w:val="clear" w:color="auto" w:fill="FFFFFF"/>
            <w:vAlign w:val="center"/>
          </w:tcPr>
          <w:p w14:paraId="313C146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w:t>
            </w:r>
          </w:p>
        </w:tc>
        <w:tc>
          <w:tcPr>
            <w:tcW w:w="0" w:type="auto"/>
            <w:shd w:val="clear" w:color="auto" w:fill="FFFFFF"/>
            <w:vAlign w:val="center"/>
          </w:tcPr>
          <w:p w14:paraId="68E70E40"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140DC5B1" w14:textId="77777777" w:rsidTr="001C4D87">
        <w:trPr>
          <w:cantSplit/>
          <w:trHeight w:val="170"/>
          <w:jc w:val="center"/>
        </w:trPr>
        <w:tc>
          <w:tcPr>
            <w:tcW w:w="0" w:type="auto"/>
            <w:vMerge/>
            <w:tcBorders>
              <w:bottom w:val="nil"/>
            </w:tcBorders>
            <w:shd w:val="clear" w:color="auto" w:fill="FFFFFF"/>
          </w:tcPr>
          <w:p w14:paraId="30F31305"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bottom w:val="nil"/>
            </w:tcBorders>
            <w:shd w:val="clear" w:color="auto" w:fill="FFFFFF"/>
            <w:vAlign w:val="center"/>
          </w:tcPr>
          <w:p w14:paraId="782D863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0.01</w:t>
            </w:r>
          </w:p>
        </w:tc>
        <w:tc>
          <w:tcPr>
            <w:tcW w:w="0" w:type="auto"/>
            <w:tcBorders>
              <w:bottom w:val="nil"/>
            </w:tcBorders>
            <w:shd w:val="clear" w:color="auto" w:fill="FFFFFF"/>
            <w:vAlign w:val="center"/>
          </w:tcPr>
          <w:p w14:paraId="05824C2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0.16</w:t>
            </w:r>
          </w:p>
        </w:tc>
        <w:tc>
          <w:tcPr>
            <w:tcW w:w="0" w:type="auto"/>
            <w:tcBorders>
              <w:bottom w:val="nil"/>
            </w:tcBorders>
            <w:shd w:val="clear" w:color="auto" w:fill="FFFFFF"/>
            <w:vAlign w:val="center"/>
          </w:tcPr>
          <w:p w14:paraId="72AFAD0F"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0.034</w:t>
            </w:r>
          </w:p>
        </w:tc>
        <w:tc>
          <w:tcPr>
            <w:tcW w:w="0" w:type="auto"/>
            <w:tcBorders>
              <w:bottom w:val="nil"/>
            </w:tcBorders>
            <w:shd w:val="clear" w:color="auto" w:fill="FFFFFF"/>
            <w:vAlign w:val="center"/>
          </w:tcPr>
          <w:p w14:paraId="588F0A3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0.000</w:t>
            </w:r>
          </w:p>
        </w:tc>
        <w:tc>
          <w:tcPr>
            <w:tcW w:w="0" w:type="auto"/>
            <w:tcBorders>
              <w:bottom w:val="nil"/>
            </w:tcBorders>
            <w:shd w:val="clear" w:color="auto" w:fill="FFFFFF"/>
            <w:vAlign w:val="center"/>
          </w:tcPr>
          <w:p w14:paraId="0286C97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0.819</w:t>
            </w:r>
          </w:p>
        </w:tc>
        <w:tc>
          <w:tcPr>
            <w:tcW w:w="0" w:type="auto"/>
            <w:tcBorders>
              <w:bottom w:val="nil"/>
            </w:tcBorders>
            <w:shd w:val="clear" w:color="auto" w:fill="FFFFFF"/>
            <w:vAlign w:val="center"/>
          </w:tcPr>
          <w:p w14:paraId="07EB1DD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0.158</w:t>
            </w:r>
          </w:p>
        </w:tc>
        <w:tc>
          <w:tcPr>
            <w:tcW w:w="0" w:type="auto"/>
            <w:tcBorders>
              <w:bottom w:val="nil"/>
            </w:tcBorders>
            <w:shd w:val="clear" w:color="auto" w:fill="FFFFFF"/>
            <w:vAlign w:val="center"/>
          </w:tcPr>
          <w:p w14:paraId="61E48B83" w14:textId="77777777" w:rsidR="00C32C59" w:rsidRPr="00C32C59" w:rsidRDefault="00C32C59" w:rsidP="00C32C59">
            <w:pPr>
              <w:spacing w:after="0" w:line="240" w:lineRule="auto"/>
              <w:rPr>
                <w:rFonts w:ascii="Times New Roman" w:eastAsia="Times New Roman" w:hAnsi="Times New Roman" w:cs="Times New Roman"/>
                <w:sz w:val="24"/>
                <w:szCs w:val="24"/>
              </w:rPr>
            </w:pPr>
          </w:p>
        </w:tc>
        <w:tc>
          <w:tcPr>
            <w:tcW w:w="0" w:type="auto"/>
            <w:tcBorders>
              <w:bottom w:val="nil"/>
            </w:tcBorders>
            <w:shd w:val="clear" w:color="auto" w:fill="FFFFFF"/>
            <w:vAlign w:val="center"/>
          </w:tcPr>
          <w:p w14:paraId="17C8F939"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5CEAFE3C" w14:textId="77777777" w:rsidTr="001C4D87">
        <w:trPr>
          <w:cantSplit/>
          <w:trHeight w:val="170"/>
          <w:jc w:val="center"/>
        </w:trPr>
        <w:tc>
          <w:tcPr>
            <w:tcW w:w="0" w:type="auto"/>
            <w:vMerge w:val="restart"/>
            <w:tcBorders>
              <w:top w:val="nil"/>
            </w:tcBorders>
            <w:shd w:val="clear" w:color="auto" w:fill="FFFFFF"/>
          </w:tcPr>
          <w:p w14:paraId="6F65E3CD"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ICL</w:t>
            </w:r>
          </w:p>
        </w:tc>
        <w:tc>
          <w:tcPr>
            <w:tcW w:w="0" w:type="auto"/>
            <w:tcBorders>
              <w:top w:val="nil"/>
            </w:tcBorders>
            <w:shd w:val="clear" w:color="auto" w:fill="FFFFFF"/>
            <w:vAlign w:val="center"/>
          </w:tcPr>
          <w:p w14:paraId="32E11AC5"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-0.18*</w:t>
            </w:r>
          </w:p>
        </w:tc>
        <w:tc>
          <w:tcPr>
            <w:tcW w:w="0" w:type="auto"/>
            <w:tcBorders>
              <w:top w:val="nil"/>
            </w:tcBorders>
            <w:shd w:val="clear" w:color="auto" w:fill="FFFFFF"/>
            <w:vAlign w:val="center"/>
          </w:tcPr>
          <w:p w14:paraId="00CCD59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-0.21*</w:t>
            </w:r>
          </w:p>
        </w:tc>
        <w:tc>
          <w:tcPr>
            <w:tcW w:w="0" w:type="auto"/>
            <w:tcBorders>
              <w:top w:val="nil"/>
            </w:tcBorders>
            <w:shd w:val="clear" w:color="auto" w:fill="FFFFFF"/>
            <w:vAlign w:val="center"/>
          </w:tcPr>
          <w:p w14:paraId="4D2B4D36"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-0.026</w:t>
            </w:r>
          </w:p>
        </w:tc>
        <w:tc>
          <w:tcPr>
            <w:tcW w:w="0" w:type="auto"/>
            <w:tcBorders>
              <w:top w:val="nil"/>
            </w:tcBorders>
            <w:shd w:val="clear" w:color="auto" w:fill="FFFFFF"/>
            <w:vAlign w:val="center"/>
          </w:tcPr>
          <w:p w14:paraId="113DE969"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0.107</w:t>
            </w:r>
          </w:p>
        </w:tc>
        <w:tc>
          <w:tcPr>
            <w:tcW w:w="0" w:type="auto"/>
            <w:tcBorders>
              <w:top w:val="nil"/>
            </w:tcBorders>
            <w:shd w:val="clear" w:color="auto" w:fill="FFFFFF"/>
            <w:vAlign w:val="center"/>
          </w:tcPr>
          <w:p w14:paraId="0F30297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0.149</w:t>
            </w:r>
          </w:p>
        </w:tc>
        <w:tc>
          <w:tcPr>
            <w:tcW w:w="0" w:type="auto"/>
            <w:tcBorders>
              <w:top w:val="nil"/>
            </w:tcBorders>
            <w:shd w:val="clear" w:color="auto" w:fill="FFFFFF"/>
            <w:vAlign w:val="center"/>
          </w:tcPr>
          <w:p w14:paraId="45B3057B"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0.123</w:t>
            </w:r>
          </w:p>
        </w:tc>
        <w:tc>
          <w:tcPr>
            <w:tcW w:w="0" w:type="auto"/>
            <w:tcBorders>
              <w:top w:val="nil"/>
            </w:tcBorders>
            <w:shd w:val="clear" w:color="auto" w:fill="FFFFFF"/>
            <w:vAlign w:val="center"/>
          </w:tcPr>
          <w:p w14:paraId="7FE61E50"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0.099</w:t>
            </w:r>
          </w:p>
        </w:tc>
        <w:tc>
          <w:tcPr>
            <w:tcW w:w="0" w:type="auto"/>
            <w:tcBorders>
              <w:top w:val="nil"/>
            </w:tcBorders>
            <w:shd w:val="clear" w:color="auto" w:fill="FFFFFF"/>
            <w:vAlign w:val="center"/>
          </w:tcPr>
          <w:p w14:paraId="3A25F313"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w:t>
            </w:r>
          </w:p>
        </w:tc>
      </w:tr>
      <w:tr w:rsidR="00C32C59" w:rsidRPr="00C32C59" w14:paraId="5C2D9EDF" w14:textId="77777777" w:rsidTr="001C4D87">
        <w:trPr>
          <w:cantSplit/>
          <w:trHeight w:val="170"/>
          <w:jc w:val="center"/>
        </w:trPr>
        <w:tc>
          <w:tcPr>
            <w:tcW w:w="0" w:type="auto"/>
            <w:vMerge/>
            <w:tcBorders>
              <w:top w:val="nil"/>
              <w:bottom w:val="single" w:sz="12" w:space="0" w:color="auto"/>
            </w:tcBorders>
            <w:shd w:val="clear" w:color="auto" w:fill="FFFFFF"/>
            <w:vAlign w:val="center"/>
          </w:tcPr>
          <w:p w14:paraId="3E2837F0"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p>
        </w:tc>
        <w:tc>
          <w:tcPr>
            <w:tcW w:w="0" w:type="auto"/>
            <w:tcBorders>
              <w:top w:val="nil"/>
              <w:bottom w:val="single" w:sz="12" w:space="0" w:color="auto"/>
            </w:tcBorders>
            <w:shd w:val="clear" w:color="auto" w:fill="FFFFFF"/>
            <w:vAlign w:val="center"/>
          </w:tcPr>
          <w:p w14:paraId="27F6BA7F"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0.05</w:t>
            </w:r>
          </w:p>
        </w:tc>
        <w:tc>
          <w:tcPr>
            <w:tcW w:w="0" w:type="auto"/>
            <w:tcBorders>
              <w:top w:val="nil"/>
              <w:bottom w:val="single" w:sz="12" w:space="0" w:color="auto"/>
            </w:tcBorders>
            <w:shd w:val="clear" w:color="auto" w:fill="FFFFFF"/>
            <w:vAlign w:val="center"/>
          </w:tcPr>
          <w:p w14:paraId="3F5D587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0.02</w:t>
            </w:r>
          </w:p>
        </w:tc>
        <w:tc>
          <w:tcPr>
            <w:tcW w:w="0" w:type="auto"/>
            <w:tcBorders>
              <w:top w:val="nil"/>
              <w:bottom w:val="single" w:sz="12" w:space="0" w:color="auto"/>
            </w:tcBorders>
            <w:shd w:val="clear" w:color="auto" w:fill="FFFFFF"/>
            <w:vAlign w:val="center"/>
          </w:tcPr>
          <w:p w14:paraId="7B181EF4"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 0.781</w:t>
            </w:r>
          </w:p>
        </w:tc>
        <w:tc>
          <w:tcPr>
            <w:tcW w:w="0" w:type="auto"/>
            <w:tcBorders>
              <w:top w:val="nil"/>
              <w:bottom w:val="single" w:sz="12" w:space="0" w:color="auto"/>
            </w:tcBorders>
            <w:shd w:val="clear" w:color="auto" w:fill="FFFFFF"/>
            <w:vAlign w:val="center"/>
          </w:tcPr>
          <w:p w14:paraId="6768604A"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0.252</w:t>
            </w:r>
          </w:p>
        </w:tc>
        <w:tc>
          <w:tcPr>
            <w:tcW w:w="0" w:type="auto"/>
            <w:tcBorders>
              <w:top w:val="nil"/>
              <w:bottom w:val="single" w:sz="12" w:space="0" w:color="auto"/>
            </w:tcBorders>
            <w:shd w:val="clear" w:color="auto" w:fill="FFFFFF"/>
            <w:vAlign w:val="center"/>
          </w:tcPr>
          <w:p w14:paraId="2A42D538"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0.110</w:t>
            </w:r>
          </w:p>
        </w:tc>
        <w:tc>
          <w:tcPr>
            <w:tcW w:w="0" w:type="auto"/>
            <w:tcBorders>
              <w:top w:val="nil"/>
              <w:bottom w:val="single" w:sz="12" w:space="0" w:color="auto"/>
            </w:tcBorders>
            <w:shd w:val="clear" w:color="auto" w:fill="FFFFFF"/>
            <w:vAlign w:val="center"/>
          </w:tcPr>
          <w:p w14:paraId="60FA931E"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0.187</w:t>
            </w:r>
          </w:p>
        </w:tc>
        <w:tc>
          <w:tcPr>
            <w:tcW w:w="0" w:type="auto"/>
            <w:tcBorders>
              <w:top w:val="nil"/>
              <w:bottom w:val="single" w:sz="12" w:space="0" w:color="auto"/>
            </w:tcBorders>
            <w:shd w:val="clear" w:color="auto" w:fill="FFFFFF"/>
            <w:vAlign w:val="center"/>
          </w:tcPr>
          <w:p w14:paraId="07EAD492" w14:textId="77777777" w:rsidR="00C32C59" w:rsidRPr="00C32C59" w:rsidRDefault="00C32C59" w:rsidP="00C32C59">
            <w:pPr>
              <w:spacing w:after="0" w:line="240" w:lineRule="auto"/>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0.290</w:t>
            </w:r>
          </w:p>
        </w:tc>
        <w:tc>
          <w:tcPr>
            <w:tcW w:w="0" w:type="auto"/>
            <w:tcBorders>
              <w:top w:val="nil"/>
              <w:bottom w:val="single" w:sz="12" w:space="0" w:color="auto"/>
            </w:tcBorders>
            <w:shd w:val="clear" w:color="auto" w:fill="FFFFFF"/>
            <w:vAlign w:val="center"/>
          </w:tcPr>
          <w:p w14:paraId="56E9A361" w14:textId="77777777" w:rsidR="00C32C59" w:rsidRPr="00C32C59" w:rsidRDefault="00C32C59" w:rsidP="00C32C59">
            <w:pPr>
              <w:spacing w:after="0" w:line="240" w:lineRule="auto"/>
              <w:rPr>
                <w:rFonts w:ascii="Times New Roman" w:eastAsia="Times New Roman" w:hAnsi="Times New Roman" w:cs="Times New Roman"/>
                <w:sz w:val="24"/>
                <w:szCs w:val="24"/>
              </w:rPr>
            </w:pPr>
          </w:p>
        </w:tc>
      </w:tr>
      <w:tr w:rsidR="00C32C59" w:rsidRPr="00C32C59" w14:paraId="0500EAF9" w14:textId="77777777" w:rsidTr="001C4D87">
        <w:trPr>
          <w:cantSplit/>
          <w:trHeight w:val="170"/>
          <w:jc w:val="center"/>
        </w:trPr>
        <w:tc>
          <w:tcPr>
            <w:tcW w:w="0" w:type="auto"/>
            <w:gridSpan w:val="9"/>
            <w:tcBorders>
              <w:top w:val="single" w:sz="12" w:space="0" w:color="auto"/>
            </w:tcBorders>
            <w:shd w:val="clear" w:color="auto" w:fill="FFFFFF"/>
          </w:tcPr>
          <w:p w14:paraId="5D34BAA9"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Notes: Variables are defined as follows: </w:t>
            </w:r>
            <w:r w:rsidRPr="00C32C59">
              <w:rPr>
                <w:rFonts w:ascii="Times New Roman" w:eastAsia="Times New Roman" w:hAnsi="Times New Roman" w:cs="Times New Roman"/>
              </w:rPr>
              <w:t>Risk taking using ROA (RT1); risk taking using ROE (RT2)</w:t>
            </w:r>
            <w:r w:rsidRPr="00C32C59">
              <w:rPr>
                <w:rFonts w:ascii="Times New Roman" w:eastAsia="Times New Roman" w:hAnsi="Times New Roman" w:cs="Times New Roman"/>
                <w:sz w:val="24"/>
                <w:szCs w:val="24"/>
              </w:rPr>
              <w:t>; insurance company board size (ICBS); insurance company board meetings (ICBM); insurance company board independence (ICNEDs); insurance company audit committee size (ICACS); insurance company size (ICTA); and insurance company liquidity (ICL). Full definitions of these variables are presented above in Table 2.</w:t>
            </w:r>
          </w:p>
          <w:p w14:paraId="4AE9C394"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0.01 level.</w:t>
            </w:r>
          </w:p>
        </w:tc>
      </w:tr>
      <w:tr w:rsidR="00C32C59" w:rsidRPr="00C32C59" w14:paraId="17E30389" w14:textId="77777777" w:rsidTr="001C4D87">
        <w:trPr>
          <w:cantSplit/>
          <w:trHeight w:val="170"/>
          <w:jc w:val="center"/>
        </w:trPr>
        <w:tc>
          <w:tcPr>
            <w:tcW w:w="0" w:type="auto"/>
            <w:gridSpan w:val="9"/>
            <w:shd w:val="clear" w:color="auto" w:fill="FFFFFF"/>
          </w:tcPr>
          <w:p w14:paraId="0F42FCA5" w14:textId="77777777" w:rsidR="00C32C59" w:rsidRPr="00C32C59" w:rsidRDefault="00C32C59" w:rsidP="00C32C59">
            <w:pPr>
              <w:spacing w:after="0" w:line="240" w:lineRule="auto"/>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0.05 level.</w:t>
            </w:r>
          </w:p>
        </w:tc>
      </w:tr>
    </w:tbl>
    <w:p w14:paraId="7B0B5E15" w14:textId="77777777" w:rsidR="00C32C59" w:rsidRPr="00C32C59" w:rsidRDefault="00C32C59" w:rsidP="00C32C59">
      <w:pPr>
        <w:rPr>
          <w:rFonts w:eastAsia="Calibri"/>
        </w:rPr>
      </w:pPr>
    </w:p>
    <w:p w14:paraId="7E25381F" w14:textId="77777777" w:rsidR="00C32C59" w:rsidRPr="00C32C59" w:rsidRDefault="00C32C59" w:rsidP="00C32C59">
      <w:pPr>
        <w:tabs>
          <w:tab w:val="left" w:pos="1290"/>
        </w:tabs>
        <w:rPr>
          <w:rFonts w:ascii="Times New Roman" w:eastAsia="Calibri" w:hAnsi="Times New Roman" w:cs="Times New Roman"/>
        </w:rPr>
        <w:sectPr w:rsidR="00C32C59" w:rsidRPr="00C32C59" w:rsidSect="001C4D87">
          <w:pgSz w:w="11906" w:h="16838"/>
          <w:pgMar w:top="1440" w:right="1440" w:bottom="1440" w:left="1440" w:header="709" w:footer="709" w:gutter="0"/>
          <w:cols w:space="708"/>
          <w:docGrid w:linePitch="360"/>
        </w:sectPr>
      </w:pPr>
      <w:r w:rsidRPr="00C32C59">
        <w:rPr>
          <w:rFonts w:ascii="Times New Roman" w:eastAsia="Calibri" w:hAnsi="Times New Roman" w:cs="Times New Roman"/>
        </w:rPr>
        <w:tab/>
      </w:r>
      <w:r w:rsidRPr="00C32C59">
        <w:rPr>
          <w:rFonts w:ascii="Times New Roman" w:eastAsia="Calibri" w:hAnsi="Times New Roman" w:cs="Times New Roman"/>
        </w:rPr>
        <w:br w:type="page"/>
      </w:r>
    </w:p>
    <w:p w14:paraId="74E6FE10" w14:textId="77777777" w:rsidR="00C32C59" w:rsidRPr="00C32C59" w:rsidRDefault="00C32C59" w:rsidP="00C32C59">
      <w:pPr>
        <w:tabs>
          <w:tab w:val="left" w:pos="1290"/>
        </w:tabs>
        <w:rPr>
          <w:rFonts w:ascii="Times New Roman" w:eastAsia="Times New Roman" w:hAnsi="Times New Roman" w:cs="Times New Roman"/>
          <w:b/>
          <w:bCs/>
          <w:sz w:val="24"/>
          <w:szCs w:val="24"/>
        </w:rPr>
      </w:pPr>
      <w:r w:rsidRPr="00C32C59">
        <w:rPr>
          <w:rFonts w:ascii="Times New Roman" w:eastAsia="Calibri" w:hAnsi="Times New Roman" w:cs="Times New Roman"/>
          <w:b/>
          <w:bCs/>
          <w:sz w:val="24"/>
          <w:szCs w:val="24"/>
        </w:rPr>
        <w:t>Table 6:</w:t>
      </w:r>
      <w:r w:rsidRPr="00C32C59">
        <w:rPr>
          <w:rFonts w:ascii="Times New Roman" w:eastAsia="Calibri" w:hAnsi="Times New Roman" w:cs="Times New Roman"/>
          <w:b/>
          <w:bCs/>
          <w:noProof/>
          <w:sz w:val="24"/>
          <w:szCs w:val="24"/>
        </w:rPr>
        <w:t xml:space="preserve"> </w:t>
      </w:r>
      <w:r w:rsidRPr="00C32C59">
        <w:rPr>
          <w:rFonts w:ascii="Times New Roman" w:eastAsia="Calibri" w:hAnsi="Times New Roman" w:cs="Times New Roman"/>
          <w:b/>
          <w:bCs/>
          <w:sz w:val="24"/>
          <w:szCs w:val="24"/>
        </w:rPr>
        <w:t>The impact of internal corporate governance mechanisms on risk taking</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244"/>
        <w:gridCol w:w="911"/>
        <w:gridCol w:w="1108"/>
        <w:gridCol w:w="703"/>
        <w:gridCol w:w="1364"/>
        <w:gridCol w:w="898"/>
        <w:gridCol w:w="898"/>
      </w:tblGrid>
      <w:tr w:rsidR="00C32C59" w:rsidRPr="00C32C59" w14:paraId="6ED29460" w14:textId="77777777" w:rsidTr="001C4D87">
        <w:tc>
          <w:tcPr>
            <w:tcW w:w="2124" w:type="dxa"/>
            <w:vMerge w:val="restart"/>
            <w:tcBorders>
              <w:top w:val="single" w:sz="12" w:space="0" w:color="auto"/>
            </w:tcBorders>
          </w:tcPr>
          <w:p w14:paraId="5CAD8EF1" w14:textId="77777777" w:rsidR="00C32C59" w:rsidRPr="00C32C59" w:rsidRDefault="00C32C59" w:rsidP="00C32C59">
            <w:pP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OLS regression</w:t>
            </w:r>
          </w:p>
          <w:p w14:paraId="09519962"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Variables</w:t>
            </w:r>
          </w:p>
        </w:tc>
        <w:tc>
          <w:tcPr>
            <w:tcW w:w="3263" w:type="dxa"/>
            <w:gridSpan w:val="3"/>
            <w:tcBorders>
              <w:top w:val="single" w:sz="12" w:space="0" w:color="auto"/>
              <w:bottom w:val="single" w:sz="6" w:space="0" w:color="auto"/>
            </w:tcBorders>
          </w:tcPr>
          <w:p w14:paraId="1A75F24F" w14:textId="77777777" w:rsidR="00C32C59" w:rsidRPr="00C32C59" w:rsidRDefault="00C32C59" w:rsidP="00C32C59">
            <w:pPr>
              <w:jc w:val="center"/>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Dependent variable: RT1</w:t>
            </w:r>
          </w:p>
        </w:tc>
        <w:tc>
          <w:tcPr>
            <w:tcW w:w="703" w:type="dxa"/>
            <w:tcBorders>
              <w:top w:val="single" w:sz="12" w:space="0" w:color="auto"/>
            </w:tcBorders>
          </w:tcPr>
          <w:p w14:paraId="39DD92E5" w14:textId="77777777" w:rsidR="00C32C59" w:rsidRPr="00C32C59" w:rsidRDefault="00C32C59" w:rsidP="00C32C59">
            <w:pPr>
              <w:rPr>
                <w:rFonts w:ascii="Times New Roman" w:eastAsia="Calibri" w:hAnsi="Times New Roman" w:cs="Times New Roman"/>
                <w:sz w:val="24"/>
                <w:szCs w:val="24"/>
              </w:rPr>
            </w:pPr>
          </w:p>
        </w:tc>
        <w:tc>
          <w:tcPr>
            <w:tcW w:w="3160" w:type="dxa"/>
            <w:gridSpan w:val="3"/>
            <w:tcBorders>
              <w:top w:val="single" w:sz="12" w:space="0" w:color="auto"/>
              <w:bottom w:val="single" w:sz="6" w:space="0" w:color="auto"/>
            </w:tcBorders>
          </w:tcPr>
          <w:p w14:paraId="04593F00" w14:textId="77777777" w:rsidR="00C32C59" w:rsidRPr="00C32C59" w:rsidRDefault="00C32C59" w:rsidP="00C32C59">
            <w:pPr>
              <w:jc w:val="center"/>
              <w:rPr>
                <w:rFonts w:ascii="Times New Roman" w:eastAsia="Calibri" w:hAnsi="Times New Roman" w:cs="Times New Roman"/>
                <w:sz w:val="24"/>
                <w:szCs w:val="24"/>
              </w:rPr>
            </w:pPr>
            <w:r w:rsidRPr="00C32C59">
              <w:rPr>
                <w:rFonts w:ascii="Times New Roman" w:eastAsia="Calibri" w:hAnsi="Times New Roman" w:cs="Times New Roman"/>
                <w:b/>
                <w:bCs/>
                <w:sz w:val="24"/>
                <w:szCs w:val="24"/>
              </w:rPr>
              <w:t>Dependent variable: RT2</w:t>
            </w:r>
          </w:p>
        </w:tc>
      </w:tr>
      <w:tr w:rsidR="00C32C59" w:rsidRPr="00C32C59" w14:paraId="6963A4AB" w14:textId="77777777" w:rsidTr="001C4D87">
        <w:tc>
          <w:tcPr>
            <w:tcW w:w="2124" w:type="dxa"/>
            <w:vMerge/>
            <w:tcBorders>
              <w:bottom w:val="single" w:sz="12" w:space="0" w:color="auto"/>
            </w:tcBorders>
          </w:tcPr>
          <w:p w14:paraId="1F931B9E" w14:textId="77777777" w:rsidR="00C32C59" w:rsidRPr="00C32C59" w:rsidRDefault="00C32C59" w:rsidP="00C32C59">
            <w:pPr>
              <w:rPr>
                <w:rFonts w:ascii="Times New Roman" w:eastAsia="Calibri" w:hAnsi="Times New Roman" w:cs="Times New Roman"/>
                <w:sz w:val="24"/>
                <w:szCs w:val="24"/>
              </w:rPr>
            </w:pPr>
          </w:p>
        </w:tc>
        <w:tc>
          <w:tcPr>
            <w:tcW w:w="1244" w:type="dxa"/>
            <w:tcBorders>
              <w:top w:val="single" w:sz="6" w:space="0" w:color="auto"/>
              <w:bottom w:val="single" w:sz="12" w:space="0" w:color="auto"/>
            </w:tcBorders>
          </w:tcPr>
          <w:p w14:paraId="69972FDF"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t</w:t>
            </w:r>
          </w:p>
        </w:tc>
        <w:tc>
          <w:tcPr>
            <w:tcW w:w="911" w:type="dxa"/>
            <w:tcBorders>
              <w:top w:val="single" w:sz="6" w:space="0" w:color="auto"/>
              <w:bottom w:val="single" w:sz="12" w:space="0" w:color="auto"/>
            </w:tcBorders>
          </w:tcPr>
          <w:p w14:paraId="6814760B"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P&gt;|t|</w:t>
            </w:r>
          </w:p>
        </w:tc>
        <w:tc>
          <w:tcPr>
            <w:tcW w:w="1108" w:type="dxa"/>
            <w:tcBorders>
              <w:top w:val="single" w:sz="6" w:space="0" w:color="auto"/>
              <w:bottom w:val="single" w:sz="12" w:space="0" w:color="auto"/>
            </w:tcBorders>
          </w:tcPr>
          <w:p w14:paraId="740183BF"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VIF</w:t>
            </w:r>
          </w:p>
        </w:tc>
        <w:tc>
          <w:tcPr>
            <w:tcW w:w="703" w:type="dxa"/>
            <w:tcBorders>
              <w:bottom w:val="single" w:sz="6" w:space="0" w:color="auto"/>
            </w:tcBorders>
          </w:tcPr>
          <w:p w14:paraId="79282AF9" w14:textId="77777777" w:rsidR="00C32C59" w:rsidRPr="00C32C59" w:rsidRDefault="00C32C59" w:rsidP="00C32C59">
            <w:pPr>
              <w:rPr>
                <w:rFonts w:ascii="Times New Roman" w:eastAsia="Calibri" w:hAnsi="Times New Roman" w:cs="Times New Roman"/>
                <w:sz w:val="24"/>
                <w:szCs w:val="24"/>
              </w:rPr>
            </w:pPr>
          </w:p>
        </w:tc>
        <w:tc>
          <w:tcPr>
            <w:tcW w:w="1364" w:type="dxa"/>
            <w:tcBorders>
              <w:top w:val="single" w:sz="6" w:space="0" w:color="auto"/>
              <w:bottom w:val="single" w:sz="12" w:space="0" w:color="auto"/>
            </w:tcBorders>
          </w:tcPr>
          <w:p w14:paraId="15058493"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t</w:t>
            </w:r>
          </w:p>
        </w:tc>
        <w:tc>
          <w:tcPr>
            <w:tcW w:w="898" w:type="dxa"/>
            <w:tcBorders>
              <w:top w:val="single" w:sz="6" w:space="0" w:color="auto"/>
              <w:bottom w:val="single" w:sz="12" w:space="0" w:color="auto"/>
            </w:tcBorders>
          </w:tcPr>
          <w:p w14:paraId="0FBBC775"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P&gt;|t|</w:t>
            </w:r>
          </w:p>
        </w:tc>
        <w:tc>
          <w:tcPr>
            <w:tcW w:w="898" w:type="dxa"/>
            <w:tcBorders>
              <w:top w:val="single" w:sz="6" w:space="0" w:color="auto"/>
              <w:bottom w:val="single" w:sz="12" w:space="0" w:color="auto"/>
            </w:tcBorders>
          </w:tcPr>
          <w:p w14:paraId="31DF94FE"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Times New Roman" w:hAnsi="Times New Roman" w:cs="Times New Roman"/>
                <w:sz w:val="24"/>
                <w:szCs w:val="24"/>
              </w:rPr>
              <w:t>VIF</w:t>
            </w:r>
          </w:p>
        </w:tc>
      </w:tr>
      <w:tr w:rsidR="00C32C59" w:rsidRPr="00C32C59" w14:paraId="5E9E8C6B" w14:textId="77777777" w:rsidTr="001C4D87">
        <w:tc>
          <w:tcPr>
            <w:tcW w:w="9250" w:type="dxa"/>
            <w:gridSpan w:val="8"/>
            <w:tcBorders>
              <w:top w:val="single" w:sz="12" w:space="0" w:color="auto"/>
              <w:bottom w:val="single" w:sz="12" w:space="0" w:color="auto"/>
            </w:tcBorders>
            <w:vAlign w:val="center"/>
          </w:tcPr>
          <w:p w14:paraId="2EB13081"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Calibri" w:hAnsi="Times New Roman" w:cs="Times New Roman"/>
                <w:sz w:val="24"/>
                <w:szCs w:val="24"/>
              </w:rPr>
              <w:t>Panel A: Independent :</w:t>
            </w:r>
            <w:r w:rsidRPr="00C32C59">
              <w:rPr>
                <w:rFonts w:ascii="Times New Roman" w:eastAsia="Times New Roman" w:hAnsi="Times New Roman" w:cs="Times New Roman"/>
                <w:b/>
                <w:spacing w:val="-10"/>
                <w:kern w:val="28"/>
                <w:sz w:val="24"/>
                <w:szCs w:val="24"/>
                <w:lang w:val="en-US" w:eastAsia="en-GB"/>
              </w:rPr>
              <w:t xml:space="preserve"> </w:t>
            </w:r>
            <w:r w:rsidRPr="00C32C59">
              <w:rPr>
                <w:rFonts w:ascii="Times New Roman" w:eastAsia="Calibri" w:hAnsi="Times New Roman" w:cs="Times New Roman"/>
                <w:b/>
                <w:sz w:val="24"/>
                <w:szCs w:val="24"/>
                <w:lang w:val="en-US"/>
              </w:rPr>
              <w:t>Internal Corporate Governance Mechanisms</w:t>
            </w:r>
          </w:p>
        </w:tc>
      </w:tr>
      <w:tr w:rsidR="00C32C59" w:rsidRPr="00C32C59" w14:paraId="55A26EF9" w14:textId="77777777" w:rsidTr="001C4D87">
        <w:tc>
          <w:tcPr>
            <w:tcW w:w="2124" w:type="dxa"/>
            <w:tcBorders>
              <w:top w:val="single" w:sz="12" w:space="0" w:color="auto"/>
            </w:tcBorders>
            <w:vAlign w:val="center"/>
          </w:tcPr>
          <w:p w14:paraId="037DD09F"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ICBS</w:t>
            </w:r>
          </w:p>
        </w:tc>
        <w:tc>
          <w:tcPr>
            <w:tcW w:w="1244" w:type="dxa"/>
            <w:tcBorders>
              <w:top w:val="single" w:sz="12" w:space="0" w:color="auto"/>
            </w:tcBorders>
          </w:tcPr>
          <w:p w14:paraId="0CB91EE2"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3.927***</w:t>
            </w:r>
          </w:p>
        </w:tc>
        <w:tc>
          <w:tcPr>
            <w:tcW w:w="911" w:type="dxa"/>
            <w:tcBorders>
              <w:top w:val="single" w:sz="12" w:space="0" w:color="auto"/>
            </w:tcBorders>
          </w:tcPr>
          <w:p w14:paraId="34E283A4"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1108" w:type="dxa"/>
            <w:tcBorders>
              <w:top w:val="single" w:sz="12" w:space="0" w:color="auto"/>
            </w:tcBorders>
          </w:tcPr>
          <w:p w14:paraId="70E1059D"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1.057</w:t>
            </w:r>
          </w:p>
        </w:tc>
        <w:tc>
          <w:tcPr>
            <w:tcW w:w="703" w:type="dxa"/>
            <w:tcBorders>
              <w:top w:val="single" w:sz="12" w:space="0" w:color="auto"/>
            </w:tcBorders>
          </w:tcPr>
          <w:p w14:paraId="03A14C7A"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Borders>
              <w:top w:val="single" w:sz="12" w:space="0" w:color="auto"/>
            </w:tcBorders>
          </w:tcPr>
          <w:p w14:paraId="5DFFA249"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1.701*</w:t>
            </w:r>
          </w:p>
        </w:tc>
        <w:tc>
          <w:tcPr>
            <w:tcW w:w="898" w:type="dxa"/>
            <w:tcBorders>
              <w:top w:val="single" w:sz="12" w:space="0" w:color="auto"/>
            </w:tcBorders>
          </w:tcPr>
          <w:p w14:paraId="3301ACAD"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.092</w:t>
            </w:r>
          </w:p>
        </w:tc>
        <w:tc>
          <w:tcPr>
            <w:tcW w:w="898" w:type="dxa"/>
            <w:tcBorders>
              <w:top w:val="single" w:sz="12" w:space="0" w:color="auto"/>
            </w:tcBorders>
          </w:tcPr>
          <w:p w14:paraId="624A40BD"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1.057</w:t>
            </w:r>
          </w:p>
        </w:tc>
      </w:tr>
      <w:tr w:rsidR="00C32C59" w:rsidRPr="00C32C59" w14:paraId="19667728" w14:textId="77777777" w:rsidTr="001C4D87">
        <w:tc>
          <w:tcPr>
            <w:tcW w:w="2124" w:type="dxa"/>
            <w:vAlign w:val="center"/>
          </w:tcPr>
          <w:p w14:paraId="538817E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ICBM</w:t>
            </w:r>
          </w:p>
        </w:tc>
        <w:tc>
          <w:tcPr>
            <w:tcW w:w="1244" w:type="dxa"/>
          </w:tcPr>
          <w:p w14:paraId="2709E3C4"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6.561***</w:t>
            </w:r>
          </w:p>
        </w:tc>
        <w:tc>
          <w:tcPr>
            <w:tcW w:w="911" w:type="dxa"/>
          </w:tcPr>
          <w:p w14:paraId="4173B0CB"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1108" w:type="dxa"/>
          </w:tcPr>
          <w:p w14:paraId="0E522661"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1.388</w:t>
            </w:r>
          </w:p>
        </w:tc>
        <w:tc>
          <w:tcPr>
            <w:tcW w:w="703" w:type="dxa"/>
          </w:tcPr>
          <w:p w14:paraId="0097076C"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3D0465D8"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4.876***</w:t>
            </w:r>
          </w:p>
        </w:tc>
        <w:tc>
          <w:tcPr>
            <w:tcW w:w="898" w:type="dxa"/>
          </w:tcPr>
          <w:p w14:paraId="6CC3DE5E"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w:t>
            </w:r>
          </w:p>
        </w:tc>
        <w:tc>
          <w:tcPr>
            <w:tcW w:w="898" w:type="dxa"/>
          </w:tcPr>
          <w:p w14:paraId="3136ABB8"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1.388</w:t>
            </w:r>
          </w:p>
        </w:tc>
      </w:tr>
      <w:tr w:rsidR="00C32C59" w:rsidRPr="00C32C59" w14:paraId="51A496DD" w14:textId="77777777" w:rsidTr="001C4D87">
        <w:tc>
          <w:tcPr>
            <w:tcW w:w="2124" w:type="dxa"/>
            <w:vAlign w:val="center"/>
          </w:tcPr>
          <w:p w14:paraId="0AF5EDAF"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ICNEDs</w:t>
            </w:r>
          </w:p>
        </w:tc>
        <w:tc>
          <w:tcPr>
            <w:tcW w:w="1244" w:type="dxa"/>
          </w:tcPr>
          <w:p w14:paraId="17AC163D"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0.662</w:t>
            </w:r>
          </w:p>
        </w:tc>
        <w:tc>
          <w:tcPr>
            <w:tcW w:w="911" w:type="dxa"/>
          </w:tcPr>
          <w:p w14:paraId="3FDDD676"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0.510</w:t>
            </w:r>
          </w:p>
        </w:tc>
        <w:tc>
          <w:tcPr>
            <w:tcW w:w="1108" w:type="dxa"/>
          </w:tcPr>
          <w:p w14:paraId="3C793E77"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1.111</w:t>
            </w:r>
          </w:p>
        </w:tc>
        <w:tc>
          <w:tcPr>
            <w:tcW w:w="703" w:type="dxa"/>
          </w:tcPr>
          <w:p w14:paraId="125E2DA8"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420A3204"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0.879</w:t>
            </w:r>
          </w:p>
        </w:tc>
        <w:tc>
          <w:tcPr>
            <w:tcW w:w="898" w:type="dxa"/>
          </w:tcPr>
          <w:p w14:paraId="1C2D8ED5"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.381</w:t>
            </w:r>
          </w:p>
        </w:tc>
        <w:tc>
          <w:tcPr>
            <w:tcW w:w="898" w:type="dxa"/>
          </w:tcPr>
          <w:p w14:paraId="1ACD50E1"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1.111</w:t>
            </w:r>
          </w:p>
        </w:tc>
      </w:tr>
      <w:tr w:rsidR="00C32C59" w:rsidRPr="00C32C59" w14:paraId="5805E1F5" w14:textId="77777777" w:rsidTr="001C4D87">
        <w:tc>
          <w:tcPr>
            <w:tcW w:w="2124" w:type="dxa"/>
            <w:tcBorders>
              <w:bottom w:val="single" w:sz="12" w:space="0" w:color="auto"/>
            </w:tcBorders>
            <w:vAlign w:val="center"/>
          </w:tcPr>
          <w:p w14:paraId="323C6EEF"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ICACS</w:t>
            </w:r>
          </w:p>
        </w:tc>
        <w:tc>
          <w:tcPr>
            <w:tcW w:w="1244" w:type="dxa"/>
            <w:tcBorders>
              <w:bottom w:val="single" w:sz="12" w:space="0" w:color="auto"/>
            </w:tcBorders>
          </w:tcPr>
          <w:p w14:paraId="537887B6"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0.092</w:t>
            </w:r>
          </w:p>
        </w:tc>
        <w:tc>
          <w:tcPr>
            <w:tcW w:w="911" w:type="dxa"/>
            <w:tcBorders>
              <w:bottom w:val="single" w:sz="12" w:space="0" w:color="auto"/>
            </w:tcBorders>
          </w:tcPr>
          <w:p w14:paraId="51FB367F"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0.927</w:t>
            </w:r>
          </w:p>
        </w:tc>
        <w:tc>
          <w:tcPr>
            <w:tcW w:w="1108" w:type="dxa"/>
            <w:tcBorders>
              <w:bottom w:val="single" w:sz="12" w:space="0" w:color="auto"/>
            </w:tcBorders>
          </w:tcPr>
          <w:p w14:paraId="2D6676C3"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1.108</w:t>
            </w:r>
          </w:p>
        </w:tc>
        <w:tc>
          <w:tcPr>
            <w:tcW w:w="703" w:type="dxa"/>
            <w:tcBorders>
              <w:bottom w:val="single" w:sz="12" w:space="0" w:color="auto"/>
            </w:tcBorders>
          </w:tcPr>
          <w:p w14:paraId="4EE6DB66"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Borders>
              <w:bottom w:val="single" w:sz="12" w:space="0" w:color="auto"/>
            </w:tcBorders>
          </w:tcPr>
          <w:p w14:paraId="097BB99D"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1.760*</w:t>
            </w:r>
          </w:p>
        </w:tc>
        <w:tc>
          <w:tcPr>
            <w:tcW w:w="898" w:type="dxa"/>
            <w:tcBorders>
              <w:bottom w:val="single" w:sz="12" w:space="0" w:color="auto"/>
            </w:tcBorders>
          </w:tcPr>
          <w:p w14:paraId="6A8C828A"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.081</w:t>
            </w:r>
          </w:p>
        </w:tc>
        <w:tc>
          <w:tcPr>
            <w:tcW w:w="898" w:type="dxa"/>
            <w:tcBorders>
              <w:bottom w:val="single" w:sz="12" w:space="0" w:color="auto"/>
            </w:tcBorders>
          </w:tcPr>
          <w:p w14:paraId="2B78E56A"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1.108</w:t>
            </w:r>
          </w:p>
        </w:tc>
      </w:tr>
      <w:tr w:rsidR="00C32C59" w:rsidRPr="00C32C59" w14:paraId="2B4EBD60" w14:textId="77777777" w:rsidTr="001C4D87">
        <w:tc>
          <w:tcPr>
            <w:tcW w:w="9250" w:type="dxa"/>
            <w:gridSpan w:val="8"/>
            <w:tcBorders>
              <w:top w:val="single" w:sz="12" w:space="0" w:color="auto"/>
              <w:bottom w:val="single" w:sz="12" w:space="0" w:color="auto"/>
            </w:tcBorders>
            <w:vAlign w:val="center"/>
          </w:tcPr>
          <w:p w14:paraId="74BA54A9"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Calibri" w:hAnsi="Times New Roman" w:cs="Times New Roman"/>
                <w:sz w:val="24"/>
                <w:szCs w:val="24"/>
              </w:rPr>
              <w:t>Panel B: Control variables</w:t>
            </w:r>
          </w:p>
        </w:tc>
      </w:tr>
      <w:tr w:rsidR="00C32C59" w:rsidRPr="00C32C59" w14:paraId="3CCEC9CA" w14:textId="77777777" w:rsidTr="001C4D87">
        <w:tc>
          <w:tcPr>
            <w:tcW w:w="2124" w:type="dxa"/>
            <w:vAlign w:val="center"/>
          </w:tcPr>
          <w:p w14:paraId="06C3C79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ICTA</w:t>
            </w:r>
          </w:p>
        </w:tc>
        <w:tc>
          <w:tcPr>
            <w:tcW w:w="1244" w:type="dxa"/>
          </w:tcPr>
          <w:p w14:paraId="1FCCE325"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4.216***</w:t>
            </w:r>
          </w:p>
        </w:tc>
        <w:tc>
          <w:tcPr>
            <w:tcW w:w="911" w:type="dxa"/>
          </w:tcPr>
          <w:p w14:paraId="1232BC84"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1108" w:type="dxa"/>
          </w:tcPr>
          <w:p w14:paraId="3F76BEAA"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1.439</w:t>
            </w:r>
          </w:p>
        </w:tc>
        <w:tc>
          <w:tcPr>
            <w:tcW w:w="703" w:type="dxa"/>
          </w:tcPr>
          <w:p w14:paraId="497D47C3"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6636F308"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7.285***</w:t>
            </w:r>
          </w:p>
        </w:tc>
        <w:tc>
          <w:tcPr>
            <w:tcW w:w="898" w:type="dxa"/>
          </w:tcPr>
          <w:p w14:paraId="65166906"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w:t>
            </w:r>
          </w:p>
        </w:tc>
        <w:tc>
          <w:tcPr>
            <w:tcW w:w="898" w:type="dxa"/>
          </w:tcPr>
          <w:p w14:paraId="27C7F355"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1.439</w:t>
            </w:r>
          </w:p>
        </w:tc>
      </w:tr>
      <w:tr w:rsidR="00C32C59" w:rsidRPr="00C32C59" w14:paraId="394B6110" w14:textId="77777777" w:rsidTr="001C4D87">
        <w:tc>
          <w:tcPr>
            <w:tcW w:w="2124" w:type="dxa"/>
            <w:vAlign w:val="center"/>
          </w:tcPr>
          <w:p w14:paraId="64200FEA"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ICL</w:t>
            </w:r>
          </w:p>
        </w:tc>
        <w:tc>
          <w:tcPr>
            <w:tcW w:w="1244" w:type="dxa"/>
          </w:tcPr>
          <w:p w14:paraId="3D0F736D"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-2.181**</w:t>
            </w:r>
          </w:p>
        </w:tc>
        <w:tc>
          <w:tcPr>
            <w:tcW w:w="911" w:type="dxa"/>
          </w:tcPr>
          <w:p w14:paraId="14CBFA43"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0.031</w:t>
            </w:r>
          </w:p>
        </w:tc>
        <w:tc>
          <w:tcPr>
            <w:tcW w:w="1108" w:type="dxa"/>
          </w:tcPr>
          <w:p w14:paraId="704C91C3"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1.041</w:t>
            </w:r>
          </w:p>
        </w:tc>
        <w:tc>
          <w:tcPr>
            <w:tcW w:w="703" w:type="dxa"/>
          </w:tcPr>
          <w:p w14:paraId="4480D33C"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1D348622"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-1.343</w:t>
            </w:r>
          </w:p>
        </w:tc>
        <w:tc>
          <w:tcPr>
            <w:tcW w:w="898" w:type="dxa"/>
          </w:tcPr>
          <w:p w14:paraId="030A77F5"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.182</w:t>
            </w:r>
          </w:p>
        </w:tc>
        <w:tc>
          <w:tcPr>
            <w:tcW w:w="898" w:type="dxa"/>
          </w:tcPr>
          <w:p w14:paraId="43A8AEEC"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1.041</w:t>
            </w:r>
          </w:p>
        </w:tc>
      </w:tr>
      <w:tr w:rsidR="00C32C59" w:rsidRPr="00C32C59" w14:paraId="62984DFE" w14:textId="77777777" w:rsidTr="001C4D87">
        <w:tc>
          <w:tcPr>
            <w:tcW w:w="2124" w:type="dxa"/>
            <w:vAlign w:val="center"/>
          </w:tcPr>
          <w:p w14:paraId="1BD77EAD"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Constant</w:t>
            </w:r>
          </w:p>
        </w:tc>
        <w:tc>
          <w:tcPr>
            <w:tcW w:w="1244" w:type="dxa"/>
          </w:tcPr>
          <w:p w14:paraId="352380D9"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6.307***</w:t>
            </w:r>
          </w:p>
        </w:tc>
        <w:tc>
          <w:tcPr>
            <w:tcW w:w="911" w:type="dxa"/>
          </w:tcPr>
          <w:p w14:paraId="2E12E20B"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1108" w:type="dxa"/>
          </w:tcPr>
          <w:p w14:paraId="25769857"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w:t>
            </w:r>
          </w:p>
        </w:tc>
        <w:tc>
          <w:tcPr>
            <w:tcW w:w="703" w:type="dxa"/>
          </w:tcPr>
          <w:p w14:paraId="51BEFB00"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26B00E16"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5.511***</w:t>
            </w:r>
          </w:p>
        </w:tc>
        <w:tc>
          <w:tcPr>
            <w:tcW w:w="898" w:type="dxa"/>
          </w:tcPr>
          <w:p w14:paraId="4B1928B9"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w:t>
            </w:r>
          </w:p>
        </w:tc>
        <w:tc>
          <w:tcPr>
            <w:tcW w:w="898" w:type="dxa"/>
          </w:tcPr>
          <w:p w14:paraId="1F3C2D08"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w:t>
            </w:r>
          </w:p>
        </w:tc>
      </w:tr>
      <w:tr w:rsidR="00C32C59" w:rsidRPr="00C32C59" w14:paraId="1D3A3862" w14:textId="77777777" w:rsidTr="001C4D87">
        <w:tc>
          <w:tcPr>
            <w:tcW w:w="2124" w:type="dxa"/>
            <w:vAlign w:val="center"/>
          </w:tcPr>
          <w:p w14:paraId="07F4EB0F"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D.Year</w:t>
            </w:r>
          </w:p>
        </w:tc>
        <w:tc>
          <w:tcPr>
            <w:tcW w:w="1244" w:type="dxa"/>
          </w:tcPr>
          <w:p w14:paraId="59EA537F"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Included</w:t>
            </w:r>
          </w:p>
        </w:tc>
        <w:tc>
          <w:tcPr>
            <w:tcW w:w="911" w:type="dxa"/>
          </w:tcPr>
          <w:p w14:paraId="0D92200F" w14:textId="77777777" w:rsidR="00C32C59" w:rsidRPr="00C32C59" w:rsidRDefault="00C32C59" w:rsidP="00C32C59">
            <w:pPr>
              <w:jc w:val="center"/>
              <w:rPr>
                <w:rFonts w:ascii="Times New Roman" w:eastAsia="SimSun" w:hAnsi="Times New Roman" w:cs="Times New Roman"/>
                <w:sz w:val="24"/>
                <w:szCs w:val="24"/>
                <w:lang w:eastAsia="zh-CN"/>
              </w:rPr>
            </w:pPr>
          </w:p>
        </w:tc>
        <w:tc>
          <w:tcPr>
            <w:tcW w:w="1108" w:type="dxa"/>
          </w:tcPr>
          <w:p w14:paraId="39E488A9" w14:textId="77777777" w:rsidR="00C32C59" w:rsidRPr="00C32C59" w:rsidRDefault="00C32C59" w:rsidP="00C32C59">
            <w:pPr>
              <w:jc w:val="center"/>
              <w:rPr>
                <w:rFonts w:ascii="Times New Roman" w:eastAsia="SimSun" w:hAnsi="Times New Roman" w:cs="Times New Roman"/>
                <w:sz w:val="24"/>
                <w:szCs w:val="24"/>
                <w:lang w:eastAsia="zh-CN"/>
              </w:rPr>
            </w:pPr>
          </w:p>
        </w:tc>
        <w:tc>
          <w:tcPr>
            <w:tcW w:w="703" w:type="dxa"/>
          </w:tcPr>
          <w:p w14:paraId="0F5B917E"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Pr>
          <w:p w14:paraId="46E936EF"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Included</w:t>
            </w:r>
          </w:p>
        </w:tc>
        <w:tc>
          <w:tcPr>
            <w:tcW w:w="898" w:type="dxa"/>
          </w:tcPr>
          <w:p w14:paraId="7BED5672" w14:textId="77777777" w:rsidR="00C32C59" w:rsidRPr="00C32C59" w:rsidRDefault="00C32C59" w:rsidP="00C32C59">
            <w:pPr>
              <w:jc w:val="center"/>
              <w:rPr>
                <w:rFonts w:ascii="Times New Roman" w:eastAsia="SimSun" w:hAnsi="Times New Roman" w:cs="Times New Roman"/>
                <w:sz w:val="24"/>
                <w:szCs w:val="24"/>
                <w:lang w:eastAsia="zh-CN"/>
              </w:rPr>
            </w:pPr>
          </w:p>
        </w:tc>
        <w:tc>
          <w:tcPr>
            <w:tcW w:w="898" w:type="dxa"/>
          </w:tcPr>
          <w:p w14:paraId="5B1A5BA2" w14:textId="77777777" w:rsidR="00C32C59" w:rsidRPr="00C32C59" w:rsidRDefault="00C32C59" w:rsidP="00C32C59">
            <w:pPr>
              <w:jc w:val="center"/>
              <w:rPr>
                <w:rFonts w:ascii="Times New Roman" w:eastAsia="SimSun" w:hAnsi="Times New Roman" w:cs="Times New Roman"/>
                <w:sz w:val="24"/>
                <w:szCs w:val="24"/>
                <w:lang w:eastAsia="zh-CN"/>
              </w:rPr>
            </w:pPr>
          </w:p>
        </w:tc>
      </w:tr>
      <w:tr w:rsidR="00C32C59" w:rsidRPr="00C32C59" w14:paraId="006D349F" w14:textId="77777777" w:rsidTr="001C4D87">
        <w:tc>
          <w:tcPr>
            <w:tcW w:w="2124" w:type="dxa"/>
            <w:vAlign w:val="center"/>
          </w:tcPr>
          <w:p w14:paraId="5D91DBF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 value</w:t>
            </w:r>
          </w:p>
        </w:tc>
        <w:tc>
          <w:tcPr>
            <w:tcW w:w="1244" w:type="dxa"/>
            <w:vAlign w:val="center"/>
          </w:tcPr>
          <w:p w14:paraId="3FB0A72A"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10.770***</w:t>
            </w:r>
          </w:p>
        </w:tc>
        <w:tc>
          <w:tcPr>
            <w:tcW w:w="911" w:type="dxa"/>
          </w:tcPr>
          <w:p w14:paraId="7709C993" w14:textId="77777777" w:rsidR="00C32C59" w:rsidRPr="00C32C59" w:rsidRDefault="00C32C59" w:rsidP="00C32C59">
            <w:pPr>
              <w:rPr>
                <w:rFonts w:ascii="Times New Roman" w:eastAsia="SimSun" w:hAnsi="Times New Roman" w:cs="Times New Roman"/>
                <w:sz w:val="24"/>
                <w:szCs w:val="24"/>
                <w:lang w:eastAsia="zh-CN"/>
              </w:rPr>
            </w:pPr>
          </w:p>
        </w:tc>
        <w:tc>
          <w:tcPr>
            <w:tcW w:w="1108" w:type="dxa"/>
          </w:tcPr>
          <w:p w14:paraId="4D870C01" w14:textId="77777777" w:rsidR="00C32C59" w:rsidRPr="00C32C59" w:rsidRDefault="00C32C59" w:rsidP="00C32C59">
            <w:pPr>
              <w:rPr>
                <w:rFonts w:ascii="Times New Roman" w:eastAsia="SimSun" w:hAnsi="Times New Roman" w:cs="Times New Roman"/>
                <w:sz w:val="24"/>
                <w:szCs w:val="24"/>
                <w:lang w:eastAsia="zh-CN"/>
              </w:rPr>
            </w:pPr>
          </w:p>
        </w:tc>
        <w:tc>
          <w:tcPr>
            <w:tcW w:w="703" w:type="dxa"/>
          </w:tcPr>
          <w:p w14:paraId="50E46917" w14:textId="77777777" w:rsidR="00C32C59" w:rsidRPr="00C32C59" w:rsidRDefault="00C32C59" w:rsidP="00C32C59">
            <w:pPr>
              <w:rPr>
                <w:rFonts w:ascii="Times New Roman" w:eastAsia="SimSun" w:hAnsi="Times New Roman" w:cs="Times New Roman"/>
                <w:sz w:val="24"/>
                <w:szCs w:val="24"/>
                <w:lang w:eastAsia="zh-CN"/>
              </w:rPr>
            </w:pPr>
          </w:p>
        </w:tc>
        <w:tc>
          <w:tcPr>
            <w:tcW w:w="1364" w:type="dxa"/>
            <w:vAlign w:val="center"/>
          </w:tcPr>
          <w:p w14:paraId="65A07251" w14:textId="77777777" w:rsidR="00C32C59" w:rsidRPr="00C32C59" w:rsidRDefault="00C32C59" w:rsidP="00C32C59">
            <w:pPr>
              <w:ind w:right="60"/>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10.231***</w:t>
            </w:r>
          </w:p>
        </w:tc>
        <w:tc>
          <w:tcPr>
            <w:tcW w:w="898" w:type="dxa"/>
          </w:tcPr>
          <w:p w14:paraId="574E7AE5" w14:textId="77777777" w:rsidR="00C32C59" w:rsidRPr="00C32C59" w:rsidRDefault="00C32C59" w:rsidP="00C32C59">
            <w:pPr>
              <w:rPr>
                <w:rFonts w:ascii="Times New Roman" w:eastAsia="SimSun" w:hAnsi="Times New Roman" w:cs="Times New Roman"/>
                <w:sz w:val="24"/>
                <w:szCs w:val="24"/>
                <w:lang w:eastAsia="zh-CN"/>
              </w:rPr>
            </w:pPr>
          </w:p>
        </w:tc>
        <w:tc>
          <w:tcPr>
            <w:tcW w:w="898" w:type="dxa"/>
          </w:tcPr>
          <w:p w14:paraId="78CD8B7D" w14:textId="77777777" w:rsidR="00C32C59" w:rsidRPr="00C32C59" w:rsidRDefault="00C32C59" w:rsidP="00C32C59">
            <w:pPr>
              <w:rPr>
                <w:rFonts w:ascii="Times New Roman" w:eastAsia="SimSun" w:hAnsi="Times New Roman" w:cs="Times New Roman"/>
                <w:sz w:val="24"/>
                <w:szCs w:val="24"/>
                <w:lang w:eastAsia="zh-CN"/>
              </w:rPr>
            </w:pPr>
          </w:p>
        </w:tc>
      </w:tr>
      <w:tr w:rsidR="00C32C59" w:rsidRPr="00C32C59" w14:paraId="1BE8C2E4" w14:textId="77777777" w:rsidTr="001C4D87">
        <w:tc>
          <w:tcPr>
            <w:tcW w:w="2124" w:type="dxa"/>
            <w:vAlign w:val="center"/>
          </w:tcPr>
          <w:p w14:paraId="78887520" w14:textId="77777777" w:rsidR="00C32C59" w:rsidRPr="00C32C59" w:rsidRDefault="00C32C59" w:rsidP="00C32C59">
            <w:pPr>
              <w:jc w:val="both"/>
              <w:rPr>
                <w:rFonts w:ascii="Times New Roman" w:eastAsia="Times New Roman" w:hAnsi="Times New Roman" w:cs="Times New Roman"/>
                <w:sz w:val="24"/>
                <w:szCs w:val="24"/>
                <w:vertAlign w:val="superscript"/>
              </w:rPr>
            </w:pPr>
            <w:r w:rsidRPr="00C32C59">
              <w:rPr>
                <w:rFonts w:ascii="Times New Roman" w:eastAsia="Times New Roman" w:hAnsi="Times New Roman" w:cs="Times New Roman"/>
                <w:sz w:val="24"/>
                <w:szCs w:val="24"/>
              </w:rPr>
              <w:t>R</w:t>
            </w:r>
            <w:r w:rsidRPr="00C32C59">
              <w:rPr>
                <w:rFonts w:ascii="Times New Roman" w:eastAsia="Times New Roman" w:hAnsi="Times New Roman" w:cs="Times New Roman"/>
                <w:sz w:val="24"/>
                <w:szCs w:val="24"/>
                <w:vertAlign w:val="superscript"/>
              </w:rPr>
              <w:t>2</w:t>
            </w:r>
          </w:p>
        </w:tc>
        <w:tc>
          <w:tcPr>
            <w:tcW w:w="1244" w:type="dxa"/>
            <w:vAlign w:val="center"/>
          </w:tcPr>
          <w:p w14:paraId="260243C4"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0.372</w:t>
            </w:r>
          </w:p>
        </w:tc>
        <w:tc>
          <w:tcPr>
            <w:tcW w:w="911" w:type="dxa"/>
          </w:tcPr>
          <w:p w14:paraId="3FEE6DE0" w14:textId="77777777" w:rsidR="00C32C59" w:rsidRPr="00C32C59" w:rsidRDefault="00C32C59" w:rsidP="00C32C59">
            <w:pPr>
              <w:rPr>
                <w:rFonts w:ascii="Times New Roman" w:eastAsia="SimSun" w:hAnsi="Times New Roman" w:cs="Times New Roman"/>
                <w:sz w:val="24"/>
                <w:szCs w:val="24"/>
                <w:lang w:eastAsia="zh-CN"/>
              </w:rPr>
            </w:pPr>
          </w:p>
        </w:tc>
        <w:tc>
          <w:tcPr>
            <w:tcW w:w="1108" w:type="dxa"/>
          </w:tcPr>
          <w:p w14:paraId="38FA02A4" w14:textId="77777777" w:rsidR="00C32C59" w:rsidRPr="00C32C59" w:rsidRDefault="00C32C59" w:rsidP="00C32C59">
            <w:pPr>
              <w:rPr>
                <w:rFonts w:ascii="Times New Roman" w:eastAsia="SimSun" w:hAnsi="Times New Roman" w:cs="Times New Roman"/>
                <w:sz w:val="24"/>
                <w:szCs w:val="24"/>
                <w:lang w:eastAsia="zh-CN"/>
              </w:rPr>
            </w:pPr>
          </w:p>
        </w:tc>
        <w:tc>
          <w:tcPr>
            <w:tcW w:w="703" w:type="dxa"/>
          </w:tcPr>
          <w:p w14:paraId="6A44265E" w14:textId="77777777" w:rsidR="00C32C59" w:rsidRPr="00C32C59" w:rsidRDefault="00C32C59" w:rsidP="00C32C59">
            <w:pPr>
              <w:rPr>
                <w:rFonts w:ascii="Times New Roman" w:eastAsia="SimSun" w:hAnsi="Times New Roman" w:cs="Times New Roman"/>
                <w:sz w:val="24"/>
                <w:szCs w:val="24"/>
                <w:lang w:eastAsia="zh-CN"/>
              </w:rPr>
            </w:pPr>
          </w:p>
        </w:tc>
        <w:tc>
          <w:tcPr>
            <w:tcW w:w="1364" w:type="dxa"/>
            <w:vAlign w:val="center"/>
          </w:tcPr>
          <w:p w14:paraId="5380C75A" w14:textId="77777777" w:rsidR="00C32C59" w:rsidRPr="00C32C59" w:rsidRDefault="00C32C59" w:rsidP="00C32C59">
            <w:pPr>
              <w:ind w:right="60"/>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0.360</w:t>
            </w:r>
          </w:p>
        </w:tc>
        <w:tc>
          <w:tcPr>
            <w:tcW w:w="898" w:type="dxa"/>
          </w:tcPr>
          <w:p w14:paraId="0E6CB46B" w14:textId="77777777" w:rsidR="00C32C59" w:rsidRPr="00C32C59" w:rsidRDefault="00C32C59" w:rsidP="00C32C59">
            <w:pPr>
              <w:rPr>
                <w:rFonts w:ascii="Times New Roman" w:eastAsia="SimSun" w:hAnsi="Times New Roman" w:cs="Times New Roman"/>
                <w:sz w:val="24"/>
                <w:szCs w:val="24"/>
                <w:lang w:eastAsia="zh-CN"/>
              </w:rPr>
            </w:pPr>
          </w:p>
        </w:tc>
        <w:tc>
          <w:tcPr>
            <w:tcW w:w="898" w:type="dxa"/>
          </w:tcPr>
          <w:p w14:paraId="7B5235D9" w14:textId="77777777" w:rsidR="00C32C59" w:rsidRPr="00C32C59" w:rsidRDefault="00C32C59" w:rsidP="00C32C59">
            <w:pPr>
              <w:rPr>
                <w:rFonts w:ascii="Times New Roman" w:eastAsia="SimSun" w:hAnsi="Times New Roman" w:cs="Times New Roman"/>
                <w:sz w:val="24"/>
                <w:szCs w:val="24"/>
                <w:lang w:eastAsia="zh-CN"/>
              </w:rPr>
            </w:pPr>
          </w:p>
        </w:tc>
      </w:tr>
      <w:tr w:rsidR="00C32C59" w:rsidRPr="00C32C59" w14:paraId="0D32FBD0" w14:textId="77777777" w:rsidTr="001C4D87">
        <w:tc>
          <w:tcPr>
            <w:tcW w:w="2124" w:type="dxa"/>
            <w:vAlign w:val="center"/>
          </w:tcPr>
          <w:p w14:paraId="4B895E73" w14:textId="77777777" w:rsidR="00C32C59" w:rsidRPr="00C32C59" w:rsidRDefault="00C32C59" w:rsidP="00C32C59">
            <w:pPr>
              <w:rPr>
                <w:rFonts w:ascii="Times New Roman" w:eastAsia="Times New Roman" w:hAnsi="Times New Roman" w:cs="Times New Roman"/>
                <w:sz w:val="24"/>
                <w:szCs w:val="24"/>
                <w:vertAlign w:val="superscript"/>
              </w:rPr>
            </w:pPr>
            <w:r w:rsidRPr="00C32C59">
              <w:rPr>
                <w:rFonts w:ascii="Times New Roman" w:eastAsia="Times New Roman" w:hAnsi="Times New Roman" w:cs="Times New Roman"/>
                <w:sz w:val="24"/>
                <w:szCs w:val="24"/>
              </w:rPr>
              <w:t>Adjusted R</w:t>
            </w:r>
            <w:r w:rsidRPr="00C32C59">
              <w:rPr>
                <w:rFonts w:ascii="Times New Roman" w:eastAsia="Times New Roman" w:hAnsi="Times New Roman" w:cs="Times New Roman"/>
                <w:sz w:val="24"/>
                <w:szCs w:val="24"/>
                <w:vertAlign w:val="superscript"/>
              </w:rPr>
              <w:t>2</w:t>
            </w:r>
          </w:p>
        </w:tc>
        <w:tc>
          <w:tcPr>
            <w:tcW w:w="1244" w:type="dxa"/>
            <w:vAlign w:val="center"/>
          </w:tcPr>
          <w:p w14:paraId="6FF92F67"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0.338</w:t>
            </w:r>
          </w:p>
        </w:tc>
        <w:tc>
          <w:tcPr>
            <w:tcW w:w="911" w:type="dxa"/>
          </w:tcPr>
          <w:p w14:paraId="459C6326" w14:textId="77777777" w:rsidR="00C32C59" w:rsidRPr="00C32C59" w:rsidRDefault="00C32C59" w:rsidP="00C32C59">
            <w:pPr>
              <w:rPr>
                <w:rFonts w:ascii="Times New Roman" w:eastAsia="SimSun" w:hAnsi="Times New Roman" w:cs="Times New Roman"/>
                <w:sz w:val="24"/>
                <w:szCs w:val="24"/>
                <w:lang w:eastAsia="zh-CN"/>
              </w:rPr>
            </w:pPr>
          </w:p>
        </w:tc>
        <w:tc>
          <w:tcPr>
            <w:tcW w:w="1108" w:type="dxa"/>
          </w:tcPr>
          <w:p w14:paraId="1B9495D4" w14:textId="77777777" w:rsidR="00C32C59" w:rsidRPr="00C32C59" w:rsidRDefault="00C32C59" w:rsidP="00C32C59">
            <w:pPr>
              <w:rPr>
                <w:rFonts w:ascii="Times New Roman" w:eastAsia="SimSun" w:hAnsi="Times New Roman" w:cs="Times New Roman"/>
                <w:sz w:val="24"/>
                <w:szCs w:val="24"/>
                <w:lang w:eastAsia="zh-CN"/>
              </w:rPr>
            </w:pPr>
          </w:p>
        </w:tc>
        <w:tc>
          <w:tcPr>
            <w:tcW w:w="703" w:type="dxa"/>
          </w:tcPr>
          <w:p w14:paraId="2E44A482" w14:textId="77777777" w:rsidR="00C32C59" w:rsidRPr="00C32C59" w:rsidRDefault="00C32C59" w:rsidP="00C32C59">
            <w:pPr>
              <w:rPr>
                <w:rFonts w:ascii="Times New Roman" w:eastAsia="SimSun" w:hAnsi="Times New Roman" w:cs="Times New Roman"/>
                <w:sz w:val="24"/>
                <w:szCs w:val="24"/>
                <w:lang w:eastAsia="zh-CN"/>
              </w:rPr>
            </w:pPr>
          </w:p>
        </w:tc>
        <w:tc>
          <w:tcPr>
            <w:tcW w:w="1364" w:type="dxa"/>
            <w:vAlign w:val="center"/>
          </w:tcPr>
          <w:p w14:paraId="1A67D570" w14:textId="77777777" w:rsidR="00C32C59" w:rsidRPr="00C32C59" w:rsidRDefault="00C32C59" w:rsidP="00C32C59">
            <w:pPr>
              <w:ind w:right="60"/>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0.325</w:t>
            </w:r>
          </w:p>
        </w:tc>
        <w:tc>
          <w:tcPr>
            <w:tcW w:w="898" w:type="dxa"/>
          </w:tcPr>
          <w:p w14:paraId="1C73E4BC" w14:textId="77777777" w:rsidR="00C32C59" w:rsidRPr="00C32C59" w:rsidRDefault="00C32C59" w:rsidP="00C32C59">
            <w:pPr>
              <w:rPr>
                <w:rFonts w:ascii="Times New Roman" w:eastAsia="SimSun" w:hAnsi="Times New Roman" w:cs="Times New Roman"/>
                <w:sz w:val="24"/>
                <w:szCs w:val="24"/>
                <w:lang w:eastAsia="zh-CN"/>
              </w:rPr>
            </w:pPr>
          </w:p>
        </w:tc>
        <w:tc>
          <w:tcPr>
            <w:tcW w:w="898" w:type="dxa"/>
          </w:tcPr>
          <w:p w14:paraId="251AB8DF" w14:textId="77777777" w:rsidR="00C32C59" w:rsidRPr="00C32C59" w:rsidRDefault="00C32C59" w:rsidP="00C32C59">
            <w:pPr>
              <w:rPr>
                <w:rFonts w:ascii="Times New Roman" w:eastAsia="SimSun" w:hAnsi="Times New Roman" w:cs="Times New Roman"/>
                <w:sz w:val="24"/>
                <w:szCs w:val="24"/>
                <w:lang w:eastAsia="zh-CN"/>
              </w:rPr>
            </w:pPr>
          </w:p>
        </w:tc>
      </w:tr>
      <w:tr w:rsidR="00C32C59" w:rsidRPr="00C32C59" w14:paraId="1E6F9D78" w14:textId="77777777" w:rsidTr="001C4D87">
        <w:tc>
          <w:tcPr>
            <w:tcW w:w="2124" w:type="dxa"/>
            <w:tcBorders>
              <w:bottom w:val="single" w:sz="12" w:space="0" w:color="auto"/>
            </w:tcBorders>
            <w:vAlign w:val="center"/>
          </w:tcPr>
          <w:p w14:paraId="77F301E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Durbin-Watson</w:t>
            </w:r>
          </w:p>
        </w:tc>
        <w:tc>
          <w:tcPr>
            <w:tcW w:w="1244" w:type="dxa"/>
            <w:tcBorders>
              <w:bottom w:val="single" w:sz="12" w:space="0" w:color="auto"/>
            </w:tcBorders>
            <w:vAlign w:val="center"/>
          </w:tcPr>
          <w:p w14:paraId="409CBC41"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2.120</w:t>
            </w:r>
          </w:p>
        </w:tc>
        <w:tc>
          <w:tcPr>
            <w:tcW w:w="911" w:type="dxa"/>
            <w:tcBorders>
              <w:bottom w:val="single" w:sz="12" w:space="0" w:color="auto"/>
            </w:tcBorders>
          </w:tcPr>
          <w:p w14:paraId="57EEF270" w14:textId="77777777" w:rsidR="00C32C59" w:rsidRPr="00C32C59" w:rsidRDefault="00C32C59" w:rsidP="00C32C59">
            <w:pPr>
              <w:rPr>
                <w:rFonts w:ascii="Times New Roman" w:eastAsia="SimSun" w:hAnsi="Times New Roman" w:cs="Times New Roman"/>
                <w:sz w:val="24"/>
                <w:szCs w:val="24"/>
                <w:lang w:eastAsia="zh-CN"/>
              </w:rPr>
            </w:pPr>
          </w:p>
        </w:tc>
        <w:tc>
          <w:tcPr>
            <w:tcW w:w="1108" w:type="dxa"/>
            <w:tcBorders>
              <w:bottom w:val="single" w:sz="12" w:space="0" w:color="auto"/>
            </w:tcBorders>
          </w:tcPr>
          <w:p w14:paraId="04D790F4" w14:textId="77777777" w:rsidR="00C32C59" w:rsidRPr="00C32C59" w:rsidRDefault="00C32C59" w:rsidP="00C32C59">
            <w:pPr>
              <w:rPr>
                <w:rFonts w:ascii="Times New Roman" w:eastAsia="SimSun" w:hAnsi="Times New Roman" w:cs="Times New Roman"/>
                <w:sz w:val="24"/>
                <w:szCs w:val="24"/>
                <w:lang w:eastAsia="zh-CN"/>
              </w:rPr>
            </w:pPr>
          </w:p>
        </w:tc>
        <w:tc>
          <w:tcPr>
            <w:tcW w:w="703" w:type="dxa"/>
            <w:tcBorders>
              <w:bottom w:val="single" w:sz="12" w:space="0" w:color="auto"/>
            </w:tcBorders>
          </w:tcPr>
          <w:p w14:paraId="5CE08115" w14:textId="77777777" w:rsidR="00C32C59" w:rsidRPr="00C32C59" w:rsidRDefault="00C32C59" w:rsidP="00C32C59">
            <w:pPr>
              <w:rPr>
                <w:rFonts w:ascii="Times New Roman" w:eastAsia="SimSun" w:hAnsi="Times New Roman" w:cs="Times New Roman"/>
                <w:sz w:val="24"/>
                <w:szCs w:val="24"/>
                <w:lang w:eastAsia="zh-CN"/>
              </w:rPr>
            </w:pPr>
          </w:p>
        </w:tc>
        <w:tc>
          <w:tcPr>
            <w:tcW w:w="1364" w:type="dxa"/>
            <w:tcBorders>
              <w:bottom w:val="single" w:sz="12" w:space="0" w:color="auto"/>
            </w:tcBorders>
            <w:vAlign w:val="center"/>
          </w:tcPr>
          <w:p w14:paraId="2BC4F56C" w14:textId="77777777" w:rsidR="00C32C59" w:rsidRPr="00C32C59" w:rsidRDefault="00C32C59" w:rsidP="00C32C59">
            <w:pPr>
              <w:ind w:right="60"/>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2.348</w:t>
            </w:r>
          </w:p>
        </w:tc>
        <w:tc>
          <w:tcPr>
            <w:tcW w:w="898" w:type="dxa"/>
            <w:tcBorders>
              <w:bottom w:val="single" w:sz="12" w:space="0" w:color="auto"/>
            </w:tcBorders>
          </w:tcPr>
          <w:p w14:paraId="3E07EE33" w14:textId="77777777" w:rsidR="00C32C59" w:rsidRPr="00C32C59" w:rsidRDefault="00C32C59" w:rsidP="00C32C59">
            <w:pPr>
              <w:rPr>
                <w:rFonts w:ascii="Times New Roman" w:eastAsia="SimSun" w:hAnsi="Times New Roman" w:cs="Times New Roman"/>
                <w:sz w:val="24"/>
                <w:szCs w:val="24"/>
                <w:lang w:eastAsia="zh-CN"/>
              </w:rPr>
            </w:pPr>
          </w:p>
        </w:tc>
        <w:tc>
          <w:tcPr>
            <w:tcW w:w="898" w:type="dxa"/>
            <w:tcBorders>
              <w:bottom w:val="single" w:sz="12" w:space="0" w:color="auto"/>
            </w:tcBorders>
          </w:tcPr>
          <w:p w14:paraId="5149FCAF" w14:textId="77777777" w:rsidR="00C32C59" w:rsidRPr="00C32C59" w:rsidRDefault="00C32C59" w:rsidP="00C32C59">
            <w:pPr>
              <w:rPr>
                <w:rFonts w:ascii="Times New Roman" w:eastAsia="SimSun" w:hAnsi="Times New Roman" w:cs="Times New Roman"/>
                <w:sz w:val="24"/>
                <w:szCs w:val="24"/>
                <w:lang w:eastAsia="zh-CN"/>
              </w:rPr>
            </w:pPr>
          </w:p>
        </w:tc>
      </w:tr>
      <w:tr w:rsidR="00C32C59" w:rsidRPr="00C32C59" w14:paraId="6D73564F" w14:textId="77777777" w:rsidTr="001C4D87">
        <w:trPr>
          <w:trHeight w:val="2061"/>
        </w:trPr>
        <w:tc>
          <w:tcPr>
            <w:tcW w:w="9250" w:type="dxa"/>
            <w:gridSpan w:val="8"/>
            <w:tcBorders>
              <w:top w:val="single" w:sz="12" w:space="0" w:color="auto"/>
            </w:tcBorders>
          </w:tcPr>
          <w:p w14:paraId="3AF8BA8B"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Notes: Variables are defined as follows: </w:t>
            </w:r>
            <w:r w:rsidRPr="00C32C59">
              <w:rPr>
                <w:rFonts w:ascii="Times New Roman" w:eastAsia="Times New Roman" w:hAnsi="Times New Roman" w:cs="Times New Roman"/>
              </w:rPr>
              <w:t xml:space="preserve">Risk taking using ROA (RT1),  risk taking using ROE (RT2),  </w:t>
            </w:r>
            <w:r w:rsidRPr="00C32C59">
              <w:rPr>
                <w:rFonts w:ascii="Times New Roman" w:eastAsia="Times New Roman" w:hAnsi="Times New Roman" w:cs="Times New Roman"/>
                <w:sz w:val="24"/>
                <w:szCs w:val="24"/>
              </w:rPr>
              <w:t>insurance company board size (ICBS); insurance company board meetings (ICBM); insurance company board independence (ICNEDs); insurance company audit committee size (ICACS); insurance company size (ICTA); insurance company liquidity (ICL); and dummy variable for each year from 2005 to 2014 (D.Year). Full definitions of these variables are presented above in Table 2.</w:t>
            </w:r>
          </w:p>
          <w:p w14:paraId="731937F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0.01 level.</w:t>
            </w:r>
          </w:p>
          <w:p w14:paraId="2984036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0.05 level.</w:t>
            </w:r>
          </w:p>
          <w:p w14:paraId="48833ACB"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0.10 level.</w:t>
            </w:r>
          </w:p>
        </w:tc>
      </w:tr>
    </w:tbl>
    <w:p w14:paraId="7CC3095C" w14:textId="77777777" w:rsidR="00C32C59" w:rsidRPr="00C32C59" w:rsidRDefault="00C32C59" w:rsidP="00C32C59">
      <w:pPr>
        <w:rPr>
          <w:rFonts w:eastAsia="Calibri"/>
        </w:rPr>
      </w:pPr>
    </w:p>
    <w:p w14:paraId="614B0794" w14:textId="77777777" w:rsidR="00C32C59" w:rsidRPr="00C32C59" w:rsidRDefault="00C32C59" w:rsidP="00C32C59">
      <w:pPr>
        <w:rPr>
          <w:rFonts w:eastAsia="Calibri"/>
        </w:rPr>
      </w:pPr>
      <w:r w:rsidRPr="00C32C59">
        <w:rPr>
          <w:rFonts w:eastAsia="Calibri"/>
        </w:rPr>
        <w:br w:type="page"/>
      </w:r>
    </w:p>
    <w:p w14:paraId="166EAE08" w14:textId="77777777" w:rsidR="00C32C59" w:rsidRPr="00C32C59" w:rsidRDefault="00C32C59" w:rsidP="00C32C59">
      <w:pPr>
        <w:spacing w:line="240" w:lineRule="auto"/>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Table 7:</w:t>
      </w:r>
      <w:r w:rsidRPr="00C32C59">
        <w:rPr>
          <w:rFonts w:ascii="Times New Roman" w:eastAsia="Calibri" w:hAnsi="Times New Roman" w:cs="Times New Roman"/>
          <w:b/>
          <w:bCs/>
          <w:noProof/>
          <w:sz w:val="24"/>
          <w:szCs w:val="24"/>
        </w:rPr>
        <w:t xml:space="preserve"> </w:t>
      </w:r>
      <w:r w:rsidRPr="00C32C59">
        <w:rPr>
          <w:rFonts w:ascii="Times New Roman" w:eastAsia="Calibri" w:hAnsi="Times New Roman" w:cs="Times New Roman"/>
          <w:b/>
          <w:bCs/>
          <w:sz w:val="24"/>
          <w:szCs w:val="24"/>
        </w:rPr>
        <w:t>The impact of internal corporate governance mechanisms on risk taking</w:t>
      </w:r>
    </w:p>
    <w:tbl>
      <w:tblPr>
        <w:tblStyle w:val="TableGrid10"/>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236"/>
        <w:gridCol w:w="756"/>
        <w:gridCol w:w="222"/>
        <w:gridCol w:w="1236"/>
        <w:gridCol w:w="756"/>
        <w:gridCol w:w="222"/>
        <w:gridCol w:w="1236"/>
        <w:gridCol w:w="756"/>
        <w:gridCol w:w="222"/>
        <w:gridCol w:w="1236"/>
        <w:gridCol w:w="756"/>
      </w:tblGrid>
      <w:tr w:rsidR="00C32C59" w:rsidRPr="00C32C59" w14:paraId="57F12A55" w14:textId="77777777" w:rsidTr="001C4D87">
        <w:tc>
          <w:tcPr>
            <w:tcW w:w="1163" w:type="dxa"/>
            <w:tcBorders>
              <w:top w:val="single" w:sz="12" w:space="0" w:color="auto"/>
            </w:tcBorders>
          </w:tcPr>
          <w:p w14:paraId="2F1726A6" w14:textId="77777777" w:rsidR="00C32C59" w:rsidRPr="00C32C59" w:rsidRDefault="00C32C59" w:rsidP="00C32C59">
            <w:pPr>
              <w:jc w:val="both"/>
              <w:rPr>
                <w:rFonts w:ascii="Times New Roman" w:eastAsia="Calibri" w:hAnsi="Times New Roman" w:cs="Times New Roman"/>
                <w:b/>
                <w:bCs/>
                <w:sz w:val="24"/>
                <w:szCs w:val="24"/>
              </w:rPr>
            </w:pPr>
          </w:p>
        </w:tc>
        <w:tc>
          <w:tcPr>
            <w:tcW w:w="4206" w:type="dxa"/>
            <w:gridSpan w:val="5"/>
            <w:tcBorders>
              <w:top w:val="single" w:sz="12" w:space="0" w:color="auto"/>
              <w:bottom w:val="single" w:sz="6" w:space="0" w:color="auto"/>
            </w:tcBorders>
          </w:tcPr>
          <w:p w14:paraId="26327B8F"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Fixed effects</w:t>
            </w:r>
          </w:p>
        </w:tc>
        <w:tc>
          <w:tcPr>
            <w:tcW w:w="222" w:type="dxa"/>
            <w:tcBorders>
              <w:top w:val="single" w:sz="12" w:space="0" w:color="auto"/>
            </w:tcBorders>
          </w:tcPr>
          <w:p w14:paraId="79BADAD6" w14:textId="77777777" w:rsidR="00C32C59" w:rsidRPr="00C32C59" w:rsidRDefault="00C32C59" w:rsidP="00C32C59">
            <w:pPr>
              <w:jc w:val="both"/>
              <w:rPr>
                <w:rFonts w:ascii="Times New Roman" w:eastAsia="Calibri" w:hAnsi="Times New Roman" w:cs="Times New Roman"/>
                <w:b/>
                <w:bCs/>
                <w:sz w:val="24"/>
                <w:szCs w:val="24"/>
              </w:rPr>
            </w:pPr>
          </w:p>
        </w:tc>
        <w:tc>
          <w:tcPr>
            <w:tcW w:w="4206" w:type="dxa"/>
            <w:gridSpan w:val="5"/>
            <w:tcBorders>
              <w:top w:val="single" w:sz="12" w:space="0" w:color="auto"/>
              <w:bottom w:val="single" w:sz="6" w:space="0" w:color="auto"/>
            </w:tcBorders>
          </w:tcPr>
          <w:p w14:paraId="106A454C"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2SLS</w:t>
            </w:r>
          </w:p>
        </w:tc>
      </w:tr>
      <w:tr w:rsidR="00C32C59" w:rsidRPr="00C32C59" w14:paraId="31E5AD6C" w14:textId="77777777" w:rsidTr="001C4D87">
        <w:tc>
          <w:tcPr>
            <w:tcW w:w="1163" w:type="dxa"/>
            <w:vMerge w:val="restart"/>
          </w:tcPr>
          <w:p w14:paraId="59F1E1C8"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Variables</w:t>
            </w:r>
          </w:p>
        </w:tc>
        <w:tc>
          <w:tcPr>
            <w:tcW w:w="1992" w:type="dxa"/>
            <w:gridSpan w:val="2"/>
            <w:tcBorders>
              <w:top w:val="single" w:sz="12" w:space="0" w:color="auto"/>
              <w:bottom w:val="single" w:sz="6" w:space="0" w:color="auto"/>
            </w:tcBorders>
          </w:tcPr>
          <w:p w14:paraId="2F6FACDE"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(1) RT1</w:t>
            </w:r>
          </w:p>
        </w:tc>
        <w:tc>
          <w:tcPr>
            <w:tcW w:w="222" w:type="dxa"/>
            <w:tcBorders>
              <w:top w:val="single" w:sz="12" w:space="0" w:color="auto"/>
              <w:bottom w:val="single" w:sz="6" w:space="0" w:color="auto"/>
            </w:tcBorders>
          </w:tcPr>
          <w:p w14:paraId="6A479A1C" w14:textId="77777777" w:rsidR="00C32C59" w:rsidRPr="00C32C59" w:rsidRDefault="00C32C59" w:rsidP="00C32C59">
            <w:pPr>
              <w:jc w:val="both"/>
              <w:rPr>
                <w:rFonts w:ascii="Times New Roman" w:eastAsia="Calibri" w:hAnsi="Times New Roman" w:cs="Times New Roman"/>
                <w:b/>
                <w:bCs/>
                <w:sz w:val="24"/>
                <w:szCs w:val="24"/>
              </w:rPr>
            </w:pPr>
          </w:p>
        </w:tc>
        <w:tc>
          <w:tcPr>
            <w:tcW w:w="1992" w:type="dxa"/>
            <w:gridSpan w:val="2"/>
            <w:tcBorders>
              <w:top w:val="single" w:sz="12" w:space="0" w:color="auto"/>
              <w:bottom w:val="single" w:sz="6" w:space="0" w:color="auto"/>
            </w:tcBorders>
          </w:tcPr>
          <w:p w14:paraId="57F01FBA"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(2) RT2</w:t>
            </w:r>
          </w:p>
        </w:tc>
        <w:tc>
          <w:tcPr>
            <w:tcW w:w="222" w:type="dxa"/>
          </w:tcPr>
          <w:p w14:paraId="31FE1091" w14:textId="77777777" w:rsidR="00C32C59" w:rsidRPr="00C32C59" w:rsidRDefault="00C32C59" w:rsidP="00C32C59">
            <w:pPr>
              <w:jc w:val="both"/>
              <w:rPr>
                <w:rFonts w:ascii="Times New Roman" w:eastAsia="Calibri" w:hAnsi="Times New Roman" w:cs="Times New Roman"/>
                <w:b/>
                <w:bCs/>
                <w:sz w:val="24"/>
                <w:szCs w:val="24"/>
              </w:rPr>
            </w:pPr>
          </w:p>
        </w:tc>
        <w:tc>
          <w:tcPr>
            <w:tcW w:w="1992" w:type="dxa"/>
            <w:gridSpan w:val="2"/>
            <w:tcBorders>
              <w:top w:val="single" w:sz="12" w:space="0" w:color="auto"/>
              <w:bottom w:val="single" w:sz="6" w:space="0" w:color="auto"/>
            </w:tcBorders>
          </w:tcPr>
          <w:p w14:paraId="7ACE5706"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(3) RT1</w:t>
            </w:r>
          </w:p>
        </w:tc>
        <w:tc>
          <w:tcPr>
            <w:tcW w:w="222" w:type="dxa"/>
            <w:tcBorders>
              <w:top w:val="single" w:sz="12" w:space="0" w:color="auto"/>
              <w:bottom w:val="single" w:sz="6" w:space="0" w:color="auto"/>
            </w:tcBorders>
          </w:tcPr>
          <w:p w14:paraId="58ED84E7" w14:textId="77777777" w:rsidR="00C32C59" w:rsidRPr="00C32C59" w:rsidRDefault="00C32C59" w:rsidP="00C32C59">
            <w:pPr>
              <w:jc w:val="both"/>
              <w:rPr>
                <w:rFonts w:ascii="Times New Roman" w:eastAsia="Calibri" w:hAnsi="Times New Roman" w:cs="Times New Roman"/>
                <w:b/>
                <w:bCs/>
                <w:sz w:val="24"/>
                <w:szCs w:val="24"/>
              </w:rPr>
            </w:pPr>
          </w:p>
        </w:tc>
        <w:tc>
          <w:tcPr>
            <w:tcW w:w="1992" w:type="dxa"/>
            <w:gridSpan w:val="2"/>
            <w:tcBorders>
              <w:top w:val="single" w:sz="12" w:space="0" w:color="auto"/>
              <w:bottom w:val="single" w:sz="6" w:space="0" w:color="auto"/>
            </w:tcBorders>
          </w:tcPr>
          <w:p w14:paraId="2B107859"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(4) RT2</w:t>
            </w:r>
          </w:p>
        </w:tc>
      </w:tr>
      <w:tr w:rsidR="00C32C59" w:rsidRPr="00C32C59" w14:paraId="4BC35A73" w14:textId="77777777" w:rsidTr="001C4D87">
        <w:tc>
          <w:tcPr>
            <w:tcW w:w="1163" w:type="dxa"/>
            <w:vMerge/>
            <w:tcBorders>
              <w:top w:val="single" w:sz="12" w:space="0" w:color="auto"/>
            </w:tcBorders>
          </w:tcPr>
          <w:p w14:paraId="533ADFD3" w14:textId="77777777" w:rsidR="00C32C59" w:rsidRPr="00C32C59" w:rsidRDefault="00C32C59" w:rsidP="00C32C59">
            <w:pPr>
              <w:jc w:val="both"/>
              <w:rPr>
                <w:rFonts w:ascii="Times New Roman" w:eastAsia="Calibri" w:hAnsi="Times New Roman" w:cs="Times New Roman"/>
                <w:b/>
                <w:bCs/>
                <w:sz w:val="24"/>
                <w:szCs w:val="24"/>
              </w:rPr>
            </w:pPr>
          </w:p>
        </w:tc>
        <w:tc>
          <w:tcPr>
            <w:tcW w:w="1236" w:type="dxa"/>
            <w:tcBorders>
              <w:top w:val="single" w:sz="6" w:space="0" w:color="auto"/>
              <w:bottom w:val="single" w:sz="12" w:space="0" w:color="auto"/>
            </w:tcBorders>
          </w:tcPr>
          <w:p w14:paraId="14A98875" w14:textId="77777777" w:rsidR="00C32C59" w:rsidRPr="00C32C59" w:rsidRDefault="00C32C59" w:rsidP="00C32C59">
            <w:pP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 xml:space="preserve">   t</w:t>
            </w:r>
          </w:p>
        </w:tc>
        <w:tc>
          <w:tcPr>
            <w:tcW w:w="756" w:type="dxa"/>
            <w:tcBorders>
              <w:top w:val="single" w:sz="6" w:space="0" w:color="auto"/>
              <w:bottom w:val="single" w:sz="12" w:space="0" w:color="auto"/>
            </w:tcBorders>
          </w:tcPr>
          <w:p w14:paraId="46E4AC12"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P&gt;|t|</w:t>
            </w:r>
          </w:p>
        </w:tc>
        <w:tc>
          <w:tcPr>
            <w:tcW w:w="222" w:type="dxa"/>
            <w:tcBorders>
              <w:top w:val="single" w:sz="6" w:space="0" w:color="auto"/>
              <w:bottom w:val="single" w:sz="12" w:space="0" w:color="auto"/>
            </w:tcBorders>
          </w:tcPr>
          <w:p w14:paraId="4DAA17E3" w14:textId="77777777" w:rsidR="00C32C59" w:rsidRPr="00C32C59" w:rsidRDefault="00C32C59" w:rsidP="00C32C59">
            <w:pPr>
              <w:jc w:val="center"/>
              <w:rPr>
                <w:rFonts w:ascii="Times New Roman" w:eastAsia="Calibri" w:hAnsi="Times New Roman" w:cs="Times New Roman"/>
                <w:b/>
                <w:bCs/>
                <w:sz w:val="24"/>
                <w:szCs w:val="24"/>
              </w:rPr>
            </w:pPr>
          </w:p>
        </w:tc>
        <w:tc>
          <w:tcPr>
            <w:tcW w:w="1236" w:type="dxa"/>
            <w:tcBorders>
              <w:top w:val="single" w:sz="6" w:space="0" w:color="auto"/>
              <w:bottom w:val="single" w:sz="12" w:space="0" w:color="auto"/>
            </w:tcBorders>
          </w:tcPr>
          <w:p w14:paraId="11634825" w14:textId="77777777" w:rsidR="00C32C59" w:rsidRPr="00C32C59" w:rsidRDefault="00C32C59" w:rsidP="00C32C59">
            <w:pP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 xml:space="preserve">   t</w:t>
            </w:r>
          </w:p>
        </w:tc>
        <w:tc>
          <w:tcPr>
            <w:tcW w:w="756" w:type="dxa"/>
            <w:tcBorders>
              <w:top w:val="single" w:sz="6" w:space="0" w:color="auto"/>
              <w:bottom w:val="single" w:sz="12" w:space="0" w:color="auto"/>
            </w:tcBorders>
          </w:tcPr>
          <w:p w14:paraId="28D35D67"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P&gt;|t|</w:t>
            </w:r>
          </w:p>
        </w:tc>
        <w:tc>
          <w:tcPr>
            <w:tcW w:w="222" w:type="dxa"/>
          </w:tcPr>
          <w:p w14:paraId="4FB30777" w14:textId="77777777" w:rsidR="00C32C59" w:rsidRPr="00C32C59" w:rsidRDefault="00C32C59" w:rsidP="00C32C59">
            <w:pPr>
              <w:jc w:val="center"/>
              <w:rPr>
                <w:rFonts w:ascii="Times New Roman" w:eastAsia="Calibri" w:hAnsi="Times New Roman" w:cs="Times New Roman"/>
                <w:b/>
                <w:bCs/>
                <w:sz w:val="24"/>
                <w:szCs w:val="24"/>
              </w:rPr>
            </w:pPr>
          </w:p>
        </w:tc>
        <w:tc>
          <w:tcPr>
            <w:tcW w:w="1236" w:type="dxa"/>
            <w:tcBorders>
              <w:top w:val="single" w:sz="6" w:space="0" w:color="auto"/>
              <w:bottom w:val="single" w:sz="12" w:space="0" w:color="auto"/>
            </w:tcBorders>
          </w:tcPr>
          <w:p w14:paraId="22325246" w14:textId="77777777" w:rsidR="00C32C59" w:rsidRPr="00C32C59" w:rsidRDefault="00C32C59" w:rsidP="00C32C59">
            <w:pP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 xml:space="preserve">   z</w:t>
            </w:r>
          </w:p>
        </w:tc>
        <w:tc>
          <w:tcPr>
            <w:tcW w:w="756" w:type="dxa"/>
            <w:tcBorders>
              <w:top w:val="single" w:sz="6" w:space="0" w:color="auto"/>
              <w:bottom w:val="single" w:sz="12" w:space="0" w:color="auto"/>
            </w:tcBorders>
          </w:tcPr>
          <w:p w14:paraId="7F8B0C6F"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P&gt;|z|</w:t>
            </w:r>
          </w:p>
        </w:tc>
        <w:tc>
          <w:tcPr>
            <w:tcW w:w="222" w:type="dxa"/>
            <w:tcBorders>
              <w:top w:val="single" w:sz="6" w:space="0" w:color="auto"/>
              <w:bottom w:val="single" w:sz="12" w:space="0" w:color="auto"/>
            </w:tcBorders>
          </w:tcPr>
          <w:p w14:paraId="146909B2" w14:textId="77777777" w:rsidR="00C32C59" w:rsidRPr="00C32C59" w:rsidRDefault="00C32C59" w:rsidP="00C32C59">
            <w:pPr>
              <w:jc w:val="center"/>
              <w:rPr>
                <w:rFonts w:ascii="Times New Roman" w:eastAsia="Calibri" w:hAnsi="Times New Roman" w:cs="Times New Roman"/>
                <w:b/>
                <w:bCs/>
                <w:sz w:val="24"/>
                <w:szCs w:val="24"/>
              </w:rPr>
            </w:pPr>
          </w:p>
        </w:tc>
        <w:tc>
          <w:tcPr>
            <w:tcW w:w="1236" w:type="dxa"/>
            <w:tcBorders>
              <w:top w:val="single" w:sz="6" w:space="0" w:color="auto"/>
              <w:bottom w:val="single" w:sz="12" w:space="0" w:color="auto"/>
            </w:tcBorders>
          </w:tcPr>
          <w:p w14:paraId="1CA59F73" w14:textId="77777777" w:rsidR="00C32C59" w:rsidRPr="00C32C59" w:rsidRDefault="00C32C59" w:rsidP="00C32C59">
            <w:pP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 xml:space="preserve">   z</w:t>
            </w:r>
          </w:p>
        </w:tc>
        <w:tc>
          <w:tcPr>
            <w:tcW w:w="756" w:type="dxa"/>
            <w:tcBorders>
              <w:top w:val="single" w:sz="6" w:space="0" w:color="auto"/>
              <w:bottom w:val="single" w:sz="12" w:space="0" w:color="auto"/>
            </w:tcBorders>
          </w:tcPr>
          <w:p w14:paraId="18E2B195" w14:textId="77777777" w:rsidR="00C32C59" w:rsidRPr="00C32C59" w:rsidRDefault="00C32C59" w:rsidP="00C32C59">
            <w:pPr>
              <w:jc w:val="center"/>
              <w:rPr>
                <w:rFonts w:ascii="Times New Roman" w:eastAsia="Calibri" w:hAnsi="Times New Roman" w:cs="Times New Roman"/>
                <w:b/>
                <w:bCs/>
                <w:sz w:val="24"/>
                <w:szCs w:val="24"/>
              </w:rPr>
            </w:pPr>
            <w:r w:rsidRPr="00C32C59">
              <w:rPr>
                <w:rFonts w:ascii="Times New Roman" w:eastAsia="Calibri" w:hAnsi="Times New Roman" w:cs="Times New Roman"/>
                <w:b/>
                <w:bCs/>
                <w:sz w:val="24"/>
                <w:szCs w:val="24"/>
              </w:rPr>
              <w:t>P&gt;|z|</w:t>
            </w:r>
          </w:p>
        </w:tc>
      </w:tr>
      <w:tr w:rsidR="00C32C59" w:rsidRPr="00C32C59" w14:paraId="47C1AD0B" w14:textId="77777777" w:rsidTr="001C4D87">
        <w:tc>
          <w:tcPr>
            <w:tcW w:w="9797" w:type="dxa"/>
            <w:gridSpan w:val="12"/>
            <w:tcBorders>
              <w:top w:val="single" w:sz="12" w:space="0" w:color="auto"/>
              <w:bottom w:val="single" w:sz="12" w:space="0" w:color="auto"/>
            </w:tcBorders>
            <w:vAlign w:val="center"/>
          </w:tcPr>
          <w:p w14:paraId="2071C5E5" w14:textId="77777777" w:rsidR="00C32C59" w:rsidRPr="00C32C59" w:rsidRDefault="00C32C59" w:rsidP="00C32C59">
            <w:pPr>
              <w:rPr>
                <w:rFonts w:ascii="Times New Roman" w:eastAsia="Calibri" w:hAnsi="Times New Roman" w:cs="Times New Roman"/>
                <w:sz w:val="24"/>
                <w:szCs w:val="24"/>
              </w:rPr>
            </w:pPr>
            <w:r w:rsidRPr="00C32C59">
              <w:rPr>
                <w:rFonts w:ascii="Times New Roman" w:eastAsia="Calibri" w:hAnsi="Times New Roman" w:cs="Times New Roman"/>
                <w:sz w:val="24"/>
                <w:szCs w:val="24"/>
              </w:rPr>
              <w:t>Panel A: Independent :</w:t>
            </w:r>
            <w:r w:rsidRPr="00C32C59">
              <w:rPr>
                <w:rFonts w:ascii="Times New Roman" w:eastAsia="Times New Roman" w:hAnsi="Times New Roman" w:cs="Times New Roman"/>
                <w:b/>
                <w:spacing w:val="-10"/>
                <w:kern w:val="28"/>
                <w:sz w:val="24"/>
                <w:szCs w:val="24"/>
                <w:lang w:val="en-US" w:eastAsia="en-GB"/>
              </w:rPr>
              <w:t xml:space="preserve"> </w:t>
            </w:r>
            <w:r w:rsidRPr="00C32C59">
              <w:rPr>
                <w:rFonts w:ascii="Times New Roman" w:eastAsia="Calibri" w:hAnsi="Times New Roman" w:cs="Times New Roman"/>
                <w:b/>
                <w:sz w:val="24"/>
                <w:szCs w:val="24"/>
                <w:lang w:val="en-US"/>
              </w:rPr>
              <w:t>Internal Corporate Governance Mechanisms</w:t>
            </w:r>
          </w:p>
        </w:tc>
      </w:tr>
      <w:tr w:rsidR="00C32C59" w:rsidRPr="00C32C59" w14:paraId="2DD55C74" w14:textId="77777777" w:rsidTr="001C4D87">
        <w:tc>
          <w:tcPr>
            <w:tcW w:w="1163" w:type="dxa"/>
            <w:tcBorders>
              <w:top w:val="single" w:sz="12" w:space="0" w:color="auto"/>
            </w:tcBorders>
            <w:vAlign w:val="center"/>
          </w:tcPr>
          <w:p w14:paraId="6C186A7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ICBS</w:t>
            </w:r>
          </w:p>
        </w:tc>
        <w:tc>
          <w:tcPr>
            <w:tcW w:w="1236" w:type="dxa"/>
            <w:tcBorders>
              <w:top w:val="single" w:sz="12" w:space="0" w:color="auto"/>
            </w:tcBorders>
          </w:tcPr>
          <w:p w14:paraId="7FB85D05"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4.359***</w:t>
            </w:r>
          </w:p>
        </w:tc>
        <w:tc>
          <w:tcPr>
            <w:tcW w:w="756" w:type="dxa"/>
            <w:tcBorders>
              <w:top w:val="single" w:sz="12" w:space="0" w:color="auto"/>
            </w:tcBorders>
          </w:tcPr>
          <w:p w14:paraId="5ED57F47"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222" w:type="dxa"/>
            <w:tcBorders>
              <w:top w:val="single" w:sz="12" w:space="0" w:color="auto"/>
            </w:tcBorders>
          </w:tcPr>
          <w:p w14:paraId="3F80A760"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45A1ECE2"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3.463***</w:t>
            </w:r>
          </w:p>
        </w:tc>
        <w:tc>
          <w:tcPr>
            <w:tcW w:w="756" w:type="dxa"/>
            <w:tcBorders>
              <w:top w:val="single" w:sz="12" w:space="0" w:color="auto"/>
            </w:tcBorders>
          </w:tcPr>
          <w:p w14:paraId="7009803A"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222" w:type="dxa"/>
            <w:tcBorders>
              <w:top w:val="single" w:sz="12" w:space="0" w:color="auto"/>
            </w:tcBorders>
          </w:tcPr>
          <w:p w14:paraId="37892104"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22C45851"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4.025***</w:t>
            </w:r>
          </w:p>
        </w:tc>
        <w:tc>
          <w:tcPr>
            <w:tcW w:w="756" w:type="dxa"/>
            <w:tcBorders>
              <w:top w:val="single" w:sz="12" w:space="0" w:color="auto"/>
            </w:tcBorders>
          </w:tcPr>
          <w:p w14:paraId="617CE84D"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222" w:type="dxa"/>
            <w:tcBorders>
              <w:top w:val="single" w:sz="12" w:space="0" w:color="auto"/>
            </w:tcBorders>
          </w:tcPr>
          <w:p w14:paraId="0FE8B9C0"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6E2AC42D"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4.589***</w:t>
            </w:r>
          </w:p>
        </w:tc>
        <w:tc>
          <w:tcPr>
            <w:tcW w:w="756" w:type="dxa"/>
            <w:tcBorders>
              <w:top w:val="single" w:sz="12" w:space="0" w:color="auto"/>
            </w:tcBorders>
          </w:tcPr>
          <w:p w14:paraId="79B4F2D9"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r>
      <w:tr w:rsidR="00C32C59" w:rsidRPr="00C32C59" w14:paraId="14610FB9" w14:textId="77777777" w:rsidTr="001C4D87">
        <w:tc>
          <w:tcPr>
            <w:tcW w:w="1163" w:type="dxa"/>
            <w:vAlign w:val="center"/>
          </w:tcPr>
          <w:p w14:paraId="6D489E1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ICBM</w:t>
            </w:r>
          </w:p>
        </w:tc>
        <w:tc>
          <w:tcPr>
            <w:tcW w:w="1236" w:type="dxa"/>
          </w:tcPr>
          <w:p w14:paraId="15E5AAEE"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3.615***</w:t>
            </w:r>
          </w:p>
        </w:tc>
        <w:tc>
          <w:tcPr>
            <w:tcW w:w="756" w:type="dxa"/>
          </w:tcPr>
          <w:p w14:paraId="26DB2688"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222" w:type="dxa"/>
          </w:tcPr>
          <w:p w14:paraId="4062007B"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0AB936B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0.82</w:t>
            </w:r>
          </w:p>
        </w:tc>
        <w:tc>
          <w:tcPr>
            <w:tcW w:w="756" w:type="dxa"/>
          </w:tcPr>
          <w:p w14:paraId="7E73ED2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0.414</w:t>
            </w:r>
          </w:p>
        </w:tc>
        <w:tc>
          <w:tcPr>
            <w:tcW w:w="222" w:type="dxa"/>
          </w:tcPr>
          <w:p w14:paraId="405CFA1B"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49F3C609" w14:textId="77777777" w:rsidR="00C32C59" w:rsidRPr="00C32C59" w:rsidRDefault="00C32C59" w:rsidP="00C32C59">
            <w:pP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4.713***</w:t>
            </w:r>
          </w:p>
        </w:tc>
        <w:tc>
          <w:tcPr>
            <w:tcW w:w="756" w:type="dxa"/>
          </w:tcPr>
          <w:p w14:paraId="28011426" w14:textId="77777777" w:rsidR="00C32C59" w:rsidRPr="00C32C59" w:rsidRDefault="00C32C59" w:rsidP="00C32C59">
            <w:pPr>
              <w:jc w:val="center"/>
              <w:rPr>
                <w:rFonts w:ascii="Times New Roman" w:eastAsia="SimSun" w:hAnsi="Times New Roman" w:cs="Times New Roman"/>
                <w:sz w:val="24"/>
                <w:szCs w:val="24"/>
                <w:lang w:eastAsia="zh-CN"/>
              </w:rPr>
            </w:pPr>
            <w:r w:rsidRPr="00C32C59">
              <w:rPr>
                <w:rFonts w:ascii="Times New Roman" w:eastAsia="SimSun" w:hAnsi="Times New Roman" w:cs="Times New Roman"/>
                <w:sz w:val="24"/>
                <w:szCs w:val="24"/>
                <w:lang w:eastAsia="zh-CN"/>
              </w:rPr>
              <w:t>0.000</w:t>
            </w:r>
          </w:p>
        </w:tc>
        <w:tc>
          <w:tcPr>
            <w:tcW w:w="222" w:type="dxa"/>
          </w:tcPr>
          <w:p w14:paraId="4C6EB737"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4E77A8C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1.49</w:t>
            </w:r>
          </w:p>
        </w:tc>
        <w:tc>
          <w:tcPr>
            <w:tcW w:w="756" w:type="dxa"/>
          </w:tcPr>
          <w:p w14:paraId="5F928E1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0.136</w:t>
            </w:r>
          </w:p>
        </w:tc>
      </w:tr>
      <w:tr w:rsidR="00C32C59" w:rsidRPr="00C32C59" w14:paraId="35606B52" w14:textId="77777777" w:rsidTr="001C4D87">
        <w:tc>
          <w:tcPr>
            <w:tcW w:w="1163" w:type="dxa"/>
            <w:vAlign w:val="center"/>
          </w:tcPr>
          <w:p w14:paraId="6AA4F51C"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ICNEDs</w:t>
            </w:r>
          </w:p>
        </w:tc>
        <w:tc>
          <w:tcPr>
            <w:tcW w:w="1236" w:type="dxa"/>
          </w:tcPr>
          <w:p w14:paraId="555C2942"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0.64</w:t>
            </w:r>
          </w:p>
        </w:tc>
        <w:tc>
          <w:tcPr>
            <w:tcW w:w="756" w:type="dxa"/>
          </w:tcPr>
          <w:p w14:paraId="4BA7AD0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0.524</w:t>
            </w:r>
          </w:p>
        </w:tc>
        <w:tc>
          <w:tcPr>
            <w:tcW w:w="222" w:type="dxa"/>
          </w:tcPr>
          <w:p w14:paraId="7AA4EC02"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23FEF11B"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0.26</w:t>
            </w:r>
          </w:p>
        </w:tc>
        <w:tc>
          <w:tcPr>
            <w:tcW w:w="756" w:type="dxa"/>
          </w:tcPr>
          <w:p w14:paraId="06744D5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0.796</w:t>
            </w:r>
          </w:p>
        </w:tc>
        <w:tc>
          <w:tcPr>
            <w:tcW w:w="222" w:type="dxa"/>
          </w:tcPr>
          <w:p w14:paraId="36C79C62"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22C721A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0.55</w:t>
            </w:r>
          </w:p>
        </w:tc>
        <w:tc>
          <w:tcPr>
            <w:tcW w:w="756" w:type="dxa"/>
          </w:tcPr>
          <w:p w14:paraId="4C6323DD"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0.580</w:t>
            </w:r>
          </w:p>
        </w:tc>
        <w:tc>
          <w:tcPr>
            <w:tcW w:w="222" w:type="dxa"/>
          </w:tcPr>
          <w:p w14:paraId="1263BC77"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1741D94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0.30</w:t>
            </w:r>
          </w:p>
        </w:tc>
        <w:tc>
          <w:tcPr>
            <w:tcW w:w="756" w:type="dxa"/>
          </w:tcPr>
          <w:p w14:paraId="54394D8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0.762</w:t>
            </w:r>
          </w:p>
        </w:tc>
      </w:tr>
      <w:tr w:rsidR="00C32C59" w:rsidRPr="00C32C59" w14:paraId="6D9E3912" w14:textId="77777777" w:rsidTr="001C4D87">
        <w:tc>
          <w:tcPr>
            <w:tcW w:w="1163" w:type="dxa"/>
            <w:tcBorders>
              <w:bottom w:val="single" w:sz="12" w:space="0" w:color="auto"/>
            </w:tcBorders>
            <w:vAlign w:val="center"/>
          </w:tcPr>
          <w:p w14:paraId="4F01E78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ICACS</w:t>
            </w:r>
          </w:p>
        </w:tc>
        <w:tc>
          <w:tcPr>
            <w:tcW w:w="1236" w:type="dxa"/>
            <w:tcBorders>
              <w:bottom w:val="single" w:sz="12" w:space="0" w:color="auto"/>
            </w:tcBorders>
          </w:tcPr>
          <w:p w14:paraId="171B1AFB"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0.38</w:t>
            </w:r>
          </w:p>
        </w:tc>
        <w:tc>
          <w:tcPr>
            <w:tcW w:w="756" w:type="dxa"/>
            <w:tcBorders>
              <w:bottom w:val="single" w:sz="12" w:space="0" w:color="auto"/>
            </w:tcBorders>
          </w:tcPr>
          <w:p w14:paraId="05E6BDDE"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0.705</w:t>
            </w:r>
          </w:p>
        </w:tc>
        <w:tc>
          <w:tcPr>
            <w:tcW w:w="222" w:type="dxa"/>
            <w:tcBorders>
              <w:bottom w:val="single" w:sz="12" w:space="0" w:color="auto"/>
            </w:tcBorders>
          </w:tcPr>
          <w:p w14:paraId="000EA759"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4D36AF90"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0.36</w:t>
            </w:r>
          </w:p>
        </w:tc>
        <w:tc>
          <w:tcPr>
            <w:tcW w:w="756" w:type="dxa"/>
            <w:tcBorders>
              <w:bottom w:val="single" w:sz="12" w:space="0" w:color="auto"/>
            </w:tcBorders>
          </w:tcPr>
          <w:p w14:paraId="45FA03ED"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0.719</w:t>
            </w:r>
          </w:p>
        </w:tc>
        <w:tc>
          <w:tcPr>
            <w:tcW w:w="222" w:type="dxa"/>
            <w:tcBorders>
              <w:bottom w:val="single" w:sz="12" w:space="0" w:color="auto"/>
            </w:tcBorders>
          </w:tcPr>
          <w:p w14:paraId="23756FB2"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6B4AB5E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0.32</w:t>
            </w:r>
          </w:p>
        </w:tc>
        <w:tc>
          <w:tcPr>
            <w:tcW w:w="756" w:type="dxa"/>
            <w:tcBorders>
              <w:bottom w:val="single" w:sz="12" w:space="0" w:color="auto"/>
            </w:tcBorders>
          </w:tcPr>
          <w:p w14:paraId="2C3198F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0.748</w:t>
            </w:r>
          </w:p>
        </w:tc>
        <w:tc>
          <w:tcPr>
            <w:tcW w:w="222" w:type="dxa"/>
            <w:tcBorders>
              <w:bottom w:val="single" w:sz="12" w:space="0" w:color="auto"/>
            </w:tcBorders>
          </w:tcPr>
          <w:p w14:paraId="05C6162C"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1B4D52AE"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0.50</w:t>
            </w:r>
          </w:p>
        </w:tc>
        <w:tc>
          <w:tcPr>
            <w:tcW w:w="756" w:type="dxa"/>
            <w:tcBorders>
              <w:bottom w:val="single" w:sz="12" w:space="0" w:color="auto"/>
            </w:tcBorders>
          </w:tcPr>
          <w:p w14:paraId="006995A3"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0.618</w:t>
            </w:r>
          </w:p>
        </w:tc>
      </w:tr>
      <w:tr w:rsidR="00C32C59" w:rsidRPr="00C32C59" w14:paraId="2C034AE2" w14:textId="77777777" w:rsidTr="001C4D87">
        <w:tc>
          <w:tcPr>
            <w:tcW w:w="9797" w:type="dxa"/>
            <w:gridSpan w:val="12"/>
            <w:tcBorders>
              <w:top w:val="single" w:sz="12" w:space="0" w:color="auto"/>
              <w:bottom w:val="single" w:sz="12" w:space="0" w:color="auto"/>
            </w:tcBorders>
            <w:vAlign w:val="center"/>
          </w:tcPr>
          <w:p w14:paraId="6A0063D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Panel B: Control variables</w:t>
            </w:r>
          </w:p>
        </w:tc>
      </w:tr>
      <w:tr w:rsidR="00C32C59" w:rsidRPr="00C32C59" w14:paraId="7EA44981" w14:textId="77777777" w:rsidTr="001C4D87">
        <w:tc>
          <w:tcPr>
            <w:tcW w:w="1163" w:type="dxa"/>
            <w:tcBorders>
              <w:top w:val="single" w:sz="12" w:space="0" w:color="auto"/>
            </w:tcBorders>
            <w:vAlign w:val="center"/>
          </w:tcPr>
          <w:p w14:paraId="155C8BC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ICTA</w:t>
            </w:r>
          </w:p>
        </w:tc>
        <w:tc>
          <w:tcPr>
            <w:tcW w:w="1236" w:type="dxa"/>
            <w:tcBorders>
              <w:top w:val="single" w:sz="12" w:space="0" w:color="auto"/>
            </w:tcBorders>
          </w:tcPr>
          <w:p w14:paraId="1A6B3CAB"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11.39***</w:t>
            </w:r>
          </w:p>
        </w:tc>
        <w:tc>
          <w:tcPr>
            <w:tcW w:w="756" w:type="dxa"/>
            <w:tcBorders>
              <w:top w:val="single" w:sz="12" w:space="0" w:color="auto"/>
            </w:tcBorders>
          </w:tcPr>
          <w:p w14:paraId="1F032AC3"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0.000</w:t>
            </w:r>
          </w:p>
        </w:tc>
        <w:tc>
          <w:tcPr>
            <w:tcW w:w="222" w:type="dxa"/>
            <w:tcBorders>
              <w:top w:val="single" w:sz="12" w:space="0" w:color="auto"/>
            </w:tcBorders>
          </w:tcPr>
          <w:p w14:paraId="578C4EFC"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3CBEF2B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11.99***</w:t>
            </w:r>
          </w:p>
        </w:tc>
        <w:tc>
          <w:tcPr>
            <w:tcW w:w="756" w:type="dxa"/>
            <w:tcBorders>
              <w:top w:val="single" w:sz="12" w:space="0" w:color="auto"/>
            </w:tcBorders>
          </w:tcPr>
          <w:p w14:paraId="04720FCE"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0.000</w:t>
            </w:r>
          </w:p>
        </w:tc>
        <w:tc>
          <w:tcPr>
            <w:tcW w:w="222" w:type="dxa"/>
            <w:tcBorders>
              <w:top w:val="single" w:sz="12" w:space="0" w:color="auto"/>
            </w:tcBorders>
          </w:tcPr>
          <w:p w14:paraId="26D50397"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54F782B5"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10.32***</w:t>
            </w:r>
          </w:p>
        </w:tc>
        <w:tc>
          <w:tcPr>
            <w:tcW w:w="756" w:type="dxa"/>
            <w:tcBorders>
              <w:top w:val="single" w:sz="12" w:space="0" w:color="auto"/>
            </w:tcBorders>
          </w:tcPr>
          <w:p w14:paraId="365E4534"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0.000</w:t>
            </w:r>
          </w:p>
        </w:tc>
        <w:tc>
          <w:tcPr>
            <w:tcW w:w="222" w:type="dxa"/>
            <w:tcBorders>
              <w:top w:val="single" w:sz="12" w:space="0" w:color="auto"/>
            </w:tcBorders>
          </w:tcPr>
          <w:p w14:paraId="5991A17F"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top w:val="single" w:sz="12" w:space="0" w:color="auto"/>
            </w:tcBorders>
          </w:tcPr>
          <w:p w14:paraId="42ED7B8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11.74***</w:t>
            </w:r>
          </w:p>
        </w:tc>
        <w:tc>
          <w:tcPr>
            <w:tcW w:w="756" w:type="dxa"/>
            <w:tcBorders>
              <w:top w:val="single" w:sz="12" w:space="0" w:color="auto"/>
            </w:tcBorders>
          </w:tcPr>
          <w:p w14:paraId="2BA89D3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0.000</w:t>
            </w:r>
          </w:p>
        </w:tc>
      </w:tr>
      <w:tr w:rsidR="00C32C59" w:rsidRPr="00C32C59" w14:paraId="1EE7266E" w14:textId="77777777" w:rsidTr="001C4D87">
        <w:tc>
          <w:tcPr>
            <w:tcW w:w="1163" w:type="dxa"/>
            <w:vAlign w:val="center"/>
          </w:tcPr>
          <w:p w14:paraId="7FA4C3BC"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ICL</w:t>
            </w:r>
          </w:p>
        </w:tc>
        <w:tc>
          <w:tcPr>
            <w:tcW w:w="1236" w:type="dxa"/>
          </w:tcPr>
          <w:p w14:paraId="6EF5F676"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-1.02</w:t>
            </w:r>
          </w:p>
        </w:tc>
        <w:tc>
          <w:tcPr>
            <w:tcW w:w="756" w:type="dxa"/>
          </w:tcPr>
          <w:p w14:paraId="6CFCEDBF"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0.310</w:t>
            </w:r>
          </w:p>
        </w:tc>
        <w:tc>
          <w:tcPr>
            <w:tcW w:w="222" w:type="dxa"/>
          </w:tcPr>
          <w:p w14:paraId="3E39B358"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46A213A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-0.87</w:t>
            </w:r>
          </w:p>
        </w:tc>
        <w:tc>
          <w:tcPr>
            <w:tcW w:w="756" w:type="dxa"/>
          </w:tcPr>
          <w:p w14:paraId="52D8E1F5"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0.386</w:t>
            </w:r>
          </w:p>
        </w:tc>
        <w:tc>
          <w:tcPr>
            <w:tcW w:w="222" w:type="dxa"/>
          </w:tcPr>
          <w:p w14:paraId="65614A3F"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606A2F5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-1.19</w:t>
            </w:r>
          </w:p>
        </w:tc>
        <w:tc>
          <w:tcPr>
            <w:tcW w:w="756" w:type="dxa"/>
          </w:tcPr>
          <w:p w14:paraId="64A748B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0.234</w:t>
            </w:r>
          </w:p>
        </w:tc>
        <w:tc>
          <w:tcPr>
            <w:tcW w:w="222" w:type="dxa"/>
          </w:tcPr>
          <w:p w14:paraId="009D7717"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33EE6255"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-0.99</w:t>
            </w:r>
          </w:p>
        </w:tc>
        <w:tc>
          <w:tcPr>
            <w:tcW w:w="756" w:type="dxa"/>
          </w:tcPr>
          <w:p w14:paraId="5B3F1A7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0.322</w:t>
            </w:r>
          </w:p>
        </w:tc>
      </w:tr>
      <w:tr w:rsidR="00C32C59" w:rsidRPr="00C32C59" w14:paraId="487EEED1" w14:textId="77777777" w:rsidTr="001C4D87">
        <w:tc>
          <w:tcPr>
            <w:tcW w:w="1163" w:type="dxa"/>
            <w:vAlign w:val="center"/>
          </w:tcPr>
          <w:p w14:paraId="24BA080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Constant</w:t>
            </w:r>
          </w:p>
        </w:tc>
        <w:tc>
          <w:tcPr>
            <w:tcW w:w="1236" w:type="dxa"/>
          </w:tcPr>
          <w:p w14:paraId="0FD1D12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2.40**</w:t>
            </w:r>
          </w:p>
        </w:tc>
        <w:tc>
          <w:tcPr>
            <w:tcW w:w="756" w:type="dxa"/>
          </w:tcPr>
          <w:p w14:paraId="7F508C64"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0.019</w:t>
            </w:r>
          </w:p>
        </w:tc>
        <w:tc>
          <w:tcPr>
            <w:tcW w:w="222" w:type="dxa"/>
          </w:tcPr>
          <w:p w14:paraId="5026DB61"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7DBAE63C"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2.04**</w:t>
            </w:r>
          </w:p>
        </w:tc>
        <w:tc>
          <w:tcPr>
            <w:tcW w:w="756" w:type="dxa"/>
          </w:tcPr>
          <w:p w14:paraId="061F8F60"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0.044</w:t>
            </w:r>
          </w:p>
        </w:tc>
        <w:tc>
          <w:tcPr>
            <w:tcW w:w="222" w:type="dxa"/>
          </w:tcPr>
          <w:p w14:paraId="03CC07DB"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455615F4"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2.39**</w:t>
            </w:r>
          </w:p>
        </w:tc>
        <w:tc>
          <w:tcPr>
            <w:tcW w:w="756" w:type="dxa"/>
          </w:tcPr>
          <w:p w14:paraId="129510BA"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0.017</w:t>
            </w:r>
          </w:p>
        </w:tc>
        <w:tc>
          <w:tcPr>
            <w:tcW w:w="222" w:type="dxa"/>
          </w:tcPr>
          <w:p w14:paraId="7BAF764D"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155A53CC"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2.17**</w:t>
            </w:r>
          </w:p>
        </w:tc>
        <w:tc>
          <w:tcPr>
            <w:tcW w:w="756" w:type="dxa"/>
          </w:tcPr>
          <w:p w14:paraId="454D7B45"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0.030</w:t>
            </w:r>
          </w:p>
        </w:tc>
      </w:tr>
      <w:tr w:rsidR="00C32C59" w:rsidRPr="00C32C59" w14:paraId="290C501A" w14:textId="77777777" w:rsidTr="001C4D87">
        <w:tc>
          <w:tcPr>
            <w:tcW w:w="1163" w:type="dxa"/>
            <w:vAlign w:val="center"/>
          </w:tcPr>
          <w:p w14:paraId="489C9F3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Fixed effect</w:t>
            </w:r>
          </w:p>
        </w:tc>
        <w:tc>
          <w:tcPr>
            <w:tcW w:w="1236" w:type="dxa"/>
            <w:vAlign w:val="center"/>
          </w:tcPr>
          <w:p w14:paraId="3B94F246"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Year</w:t>
            </w:r>
          </w:p>
        </w:tc>
        <w:tc>
          <w:tcPr>
            <w:tcW w:w="756" w:type="dxa"/>
          </w:tcPr>
          <w:p w14:paraId="5C1F337B"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3406DD89"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066DA12C"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Year</w:t>
            </w:r>
          </w:p>
        </w:tc>
        <w:tc>
          <w:tcPr>
            <w:tcW w:w="756" w:type="dxa"/>
          </w:tcPr>
          <w:p w14:paraId="36CCC4A4"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68A08F22"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729FF718"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Year</w:t>
            </w:r>
          </w:p>
        </w:tc>
        <w:tc>
          <w:tcPr>
            <w:tcW w:w="756" w:type="dxa"/>
          </w:tcPr>
          <w:p w14:paraId="7DD75B8F"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49E0894A"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45FFBDF7"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Year</w:t>
            </w:r>
          </w:p>
        </w:tc>
        <w:tc>
          <w:tcPr>
            <w:tcW w:w="756" w:type="dxa"/>
          </w:tcPr>
          <w:p w14:paraId="7F277DA6" w14:textId="77777777" w:rsidR="00C32C59" w:rsidRPr="00C32C59" w:rsidRDefault="00C32C59" w:rsidP="00C32C59">
            <w:pPr>
              <w:jc w:val="both"/>
              <w:rPr>
                <w:rFonts w:ascii="Times New Roman" w:eastAsia="Times New Roman" w:hAnsi="Times New Roman" w:cs="Times New Roman"/>
                <w:sz w:val="24"/>
                <w:szCs w:val="24"/>
              </w:rPr>
            </w:pPr>
          </w:p>
        </w:tc>
      </w:tr>
      <w:tr w:rsidR="00C32C59" w:rsidRPr="00C32C59" w14:paraId="410EE86C" w14:textId="77777777" w:rsidTr="001C4D87">
        <w:tc>
          <w:tcPr>
            <w:tcW w:w="1163" w:type="dxa"/>
            <w:vAlign w:val="center"/>
          </w:tcPr>
          <w:p w14:paraId="5869C69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clustering</w:t>
            </w:r>
          </w:p>
        </w:tc>
        <w:tc>
          <w:tcPr>
            <w:tcW w:w="1236" w:type="dxa"/>
            <w:vAlign w:val="center"/>
          </w:tcPr>
          <w:p w14:paraId="6CF48431"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Firm</w:t>
            </w:r>
          </w:p>
        </w:tc>
        <w:tc>
          <w:tcPr>
            <w:tcW w:w="756" w:type="dxa"/>
          </w:tcPr>
          <w:p w14:paraId="7B8036DF"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00C5F896"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45DE3170"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Firm</w:t>
            </w:r>
          </w:p>
        </w:tc>
        <w:tc>
          <w:tcPr>
            <w:tcW w:w="756" w:type="dxa"/>
          </w:tcPr>
          <w:p w14:paraId="781B7033"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4FAC4A04"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1FA04E1A"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Firm</w:t>
            </w:r>
          </w:p>
        </w:tc>
        <w:tc>
          <w:tcPr>
            <w:tcW w:w="756" w:type="dxa"/>
          </w:tcPr>
          <w:p w14:paraId="63E0FC55"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493D2E42"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vAlign w:val="center"/>
          </w:tcPr>
          <w:p w14:paraId="4B246A99" w14:textId="77777777" w:rsidR="00C32C59" w:rsidRPr="00C32C59" w:rsidRDefault="00C32C59" w:rsidP="00C32C59">
            <w:pPr>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Firm</w:t>
            </w:r>
          </w:p>
        </w:tc>
        <w:tc>
          <w:tcPr>
            <w:tcW w:w="756" w:type="dxa"/>
          </w:tcPr>
          <w:p w14:paraId="4F1A5A81" w14:textId="77777777" w:rsidR="00C32C59" w:rsidRPr="00C32C59" w:rsidRDefault="00C32C59" w:rsidP="00C32C59">
            <w:pPr>
              <w:jc w:val="both"/>
              <w:rPr>
                <w:rFonts w:ascii="Times New Roman" w:eastAsia="Times New Roman" w:hAnsi="Times New Roman" w:cs="Times New Roman"/>
                <w:sz w:val="24"/>
                <w:szCs w:val="24"/>
              </w:rPr>
            </w:pPr>
          </w:p>
        </w:tc>
      </w:tr>
      <w:tr w:rsidR="00C32C59" w:rsidRPr="00C32C59" w14:paraId="50ED1165" w14:textId="77777777" w:rsidTr="001C4D87">
        <w:tc>
          <w:tcPr>
            <w:tcW w:w="1163" w:type="dxa"/>
            <w:vAlign w:val="center"/>
          </w:tcPr>
          <w:p w14:paraId="73F73DBD" w14:textId="77777777" w:rsidR="00C32C59" w:rsidRPr="00C32C59" w:rsidRDefault="00C32C59" w:rsidP="00C32C59">
            <w:pPr>
              <w:jc w:val="both"/>
              <w:rPr>
                <w:rFonts w:ascii="Times New Roman" w:eastAsia="Times New Roman" w:hAnsi="Times New Roman" w:cs="Times New Roman"/>
                <w:sz w:val="24"/>
                <w:szCs w:val="24"/>
                <w:vertAlign w:val="superscript"/>
              </w:rPr>
            </w:pPr>
            <w:r w:rsidRPr="00C32C59">
              <w:rPr>
                <w:rFonts w:ascii="Times New Roman" w:eastAsia="Times New Roman" w:hAnsi="Times New Roman" w:cs="Times New Roman"/>
                <w:sz w:val="24"/>
                <w:szCs w:val="24"/>
              </w:rPr>
              <w:t>F value (χ</w:t>
            </w:r>
            <w:r w:rsidRPr="00C32C59">
              <w:rPr>
                <w:rFonts w:ascii="Times New Roman" w:eastAsia="Times New Roman" w:hAnsi="Times New Roman" w:cs="Times New Roman"/>
                <w:sz w:val="24"/>
                <w:szCs w:val="24"/>
                <w:vertAlign w:val="superscript"/>
              </w:rPr>
              <w:t>2)</w:t>
            </w:r>
          </w:p>
        </w:tc>
        <w:tc>
          <w:tcPr>
            <w:tcW w:w="1236" w:type="dxa"/>
          </w:tcPr>
          <w:p w14:paraId="6F0878F0"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23.24</w:t>
            </w:r>
          </w:p>
        </w:tc>
        <w:tc>
          <w:tcPr>
            <w:tcW w:w="756" w:type="dxa"/>
          </w:tcPr>
          <w:p w14:paraId="33148400"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3518D4BC"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14A5F6E2"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25.42</w:t>
            </w:r>
          </w:p>
        </w:tc>
        <w:tc>
          <w:tcPr>
            <w:tcW w:w="756" w:type="dxa"/>
          </w:tcPr>
          <w:p w14:paraId="3DFCF3A0"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2C1B0B75"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2493422D"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115.37</w:t>
            </w:r>
          </w:p>
        </w:tc>
        <w:tc>
          <w:tcPr>
            <w:tcW w:w="756" w:type="dxa"/>
          </w:tcPr>
          <w:p w14:paraId="405E7471"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Pr>
          <w:p w14:paraId="02A5E075"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Pr>
          <w:p w14:paraId="30A08DF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145.76</w:t>
            </w:r>
          </w:p>
        </w:tc>
        <w:tc>
          <w:tcPr>
            <w:tcW w:w="756" w:type="dxa"/>
          </w:tcPr>
          <w:p w14:paraId="1A73360B" w14:textId="77777777" w:rsidR="00C32C59" w:rsidRPr="00C32C59" w:rsidRDefault="00C32C59" w:rsidP="00C32C59">
            <w:pPr>
              <w:jc w:val="both"/>
              <w:rPr>
                <w:rFonts w:ascii="Times New Roman" w:eastAsia="Times New Roman" w:hAnsi="Times New Roman" w:cs="Times New Roman"/>
                <w:sz w:val="24"/>
                <w:szCs w:val="24"/>
              </w:rPr>
            </w:pPr>
          </w:p>
        </w:tc>
      </w:tr>
      <w:tr w:rsidR="00C32C59" w:rsidRPr="00C32C59" w14:paraId="4B0D6652" w14:textId="77777777" w:rsidTr="001C4D87">
        <w:tc>
          <w:tcPr>
            <w:tcW w:w="1163" w:type="dxa"/>
            <w:tcBorders>
              <w:bottom w:val="single" w:sz="12" w:space="0" w:color="auto"/>
            </w:tcBorders>
            <w:vAlign w:val="center"/>
          </w:tcPr>
          <w:p w14:paraId="31C141E2"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R</w:t>
            </w:r>
            <w:r w:rsidRPr="00C32C59">
              <w:rPr>
                <w:rFonts w:ascii="Times New Roman" w:eastAsia="Times New Roman" w:hAnsi="Times New Roman" w:cs="Times New Roman"/>
                <w:sz w:val="24"/>
                <w:szCs w:val="24"/>
                <w:vertAlign w:val="superscript"/>
              </w:rPr>
              <w:t>2</w:t>
            </w:r>
          </w:p>
        </w:tc>
        <w:tc>
          <w:tcPr>
            <w:tcW w:w="1236" w:type="dxa"/>
            <w:tcBorders>
              <w:bottom w:val="single" w:sz="12" w:space="0" w:color="auto"/>
            </w:tcBorders>
          </w:tcPr>
          <w:p w14:paraId="5E094E0C"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0.5872***</w:t>
            </w:r>
          </w:p>
        </w:tc>
        <w:tc>
          <w:tcPr>
            <w:tcW w:w="756" w:type="dxa"/>
            <w:tcBorders>
              <w:bottom w:val="single" w:sz="12" w:space="0" w:color="auto"/>
            </w:tcBorders>
          </w:tcPr>
          <w:p w14:paraId="2603FF1F"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Borders>
              <w:bottom w:val="single" w:sz="12" w:space="0" w:color="auto"/>
            </w:tcBorders>
          </w:tcPr>
          <w:p w14:paraId="025F1D29"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15EE59A8"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0.6088***</w:t>
            </w:r>
          </w:p>
        </w:tc>
        <w:tc>
          <w:tcPr>
            <w:tcW w:w="756" w:type="dxa"/>
            <w:tcBorders>
              <w:bottom w:val="single" w:sz="12" w:space="0" w:color="auto"/>
            </w:tcBorders>
          </w:tcPr>
          <w:p w14:paraId="73F23881"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Borders>
              <w:bottom w:val="single" w:sz="12" w:space="0" w:color="auto"/>
            </w:tcBorders>
          </w:tcPr>
          <w:p w14:paraId="2E6E9FBB"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64F28DF1"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0.5829***</w:t>
            </w:r>
          </w:p>
        </w:tc>
        <w:tc>
          <w:tcPr>
            <w:tcW w:w="756" w:type="dxa"/>
            <w:tcBorders>
              <w:bottom w:val="single" w:sz="12" w:space="0" w:color="auto"/>
            </w:tcBorders>
          </w:tcPr>
          <w:p w14:paraId="483C3B8E" w14:textId="77777777" w:rsidR="00C32C59" w:rsidRPr="00C32C59" w:rsidRDefault="00C32C59" w:rsidP="00C32C59">
            <w:pPr>
              <w:jc w:val="both"/>
              <w:rPr>
                <w:rFonts w:ascii="Times New Roman" w:eastAsia="Times New Roman" w:hAnsi="Times New Roman" w:cs="Times New Roman"/>
                <w:sz w:val="24"/>
                <w:szCs w:val="24"/>
              </w:rPr>
            </w:pPr>
          </w:p>
        </w:tc>
        <w:tc>
          <w:tcPr>
            <w:tcW w:w="222" w:type="dxa"/>
            <w:tcBorders>
              <w:bottom w:val="single" w:sz="12" w:space="0" w:color="auto"/>
            </w:tcBorders>
          </w:tcPr>
          <w:p w14:paraId="49C58ABB" w14:textId="77777777" w:rsidR="00C32C59" w:rsidRPr="00C32C59" w:rsidRDefault="00C32C59" w:rsidP="00C32C59">
            <w:pPr>
              <w:jc w:val="both"/>
              <w:rPr>
                <w:rFonts w:ascii="Times New Roman" w:eastAsia="Times New Roman" w:hAnsi="Times New Roman" w:cs="Times New Roman"/>
                <w:sz w:val="24"/>
                <w:szCs w:val="24"/>
              </w:rPr>
            </w:pPr>
          </w:p>
        </w:tc>
        <w:tc>
          <w:tcPr>
            <w:tcW w:w="1236" w:type="dxa"/>
            <w:tcBorders>
              <w:bottom w:val="single" w:sz="12" w:space="0" w:color="auto"/>
            </w:tcBorders>
          </w:tcPr>
          <w:p w14:paraId="3A680119"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0.6069***</w:t>
            </w:r>
          </w:p>
        </w:tc>
        <w:tc>
          <w:tcPr>
            <w:tcW w:w="756" w:type="dxa"/>
            <w:tcBorders>
              <w:bottom w:val="single" w:sz="12" w:space="0" w:color="auto"/>
            </w:tcBorders>
          </w:tcPr>
          <w:p w14:paraId="42FEFBC4" w14:textId="77777777" w:rsidR="00C32C59" w:rsidRPr="00C32C59" w:rsidRDefault="00C32C59" w:rsidP="00C32C59">
            <w:pPr>
              <w:jc w:val="both"/>
              <w:rPr>
                <w:rFonts w:ascii="Times New Roman" w:eastAsia="Times New Roman" w:hAnsi="Times New Roman" w:cs="Times New Roman"/>
                <w:sz w:val="24"/>
                <w:szCs w:val="24"/>
              </w:rPr>
            </w:pPr>
          </w:p>
        </w:tc>
      </w:tr>
      <w:tr w:rsidR="00C32C59" w:rsidRPr="00C32C59" w14:paraId="32775857" w14:textId="77777777" w:rsidTr="001C4D87">
        <w:tc>
          <w:tcPr>
            <w:tcW w:w="9797" w:type="dxa"/>
            <w:gridSpan w:val="12"/>
            <w:tcBorders>
              <w:top w:val="single" w:sz="12" w:space="0" w:color="auto"/>
            </w:tcBorders>
          </w:tcPr>
          <w:p w14:paraId="5C1B22A4"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xml:space="preserve">Notes: Variables are defined as follows: </w:t>
            </w:r>
            <w:r w:rsidRPr="00C32C59">
              <w:rPr>
                <w:rFonts w:ascii="Times New Roman" w:eastAsia="Times New Roman" w:hAnsi="Times New Roman" w:cs="Times New Roman"/>
              </w:rPr>
              <w:t xml:space="preserve">Risk taking using ROA (RT1);  risk taking using ROE (RT2); </w:t>
            </w:r>
            <w:r w:rsidRPr="00C32C59">
              <w:rPr>
                <w:rFonts w:ascii="Times New Roman" w:eastAsia="Times New Roman" w:hAnsi="Times New Roman" w:cs="Times New Roman"/>
                <w:sz w:val="24"/>
                <w:szCs w:val="24"/>
              </w:rPr>
              <w:t>insurance company board size (ICBS); insurance company board meetings (ICBM); insurance company board independence (ICNEDs); insurance company audit committee size (ICACS); insurance company size (ICTA); insurance company liquidity (ICL); and dummy variable for each year from 2005 to 2014 (D.Year). Full definitions of these variables are presented above in Table 2.</w:t>
            </w:r>
          </w:p>
          <w:p w14:paraId="180CD90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0.01 level.</w:t>
            </w:r>
          </w:p>
          <w:p w14:paraId="3FEEA727" w14:textId="77777777" w:rsidR="00C32C59" w:rsidRPr="00C32C59" w:rsidRDefault="00C32C59" w:rsidP="00C32C59">
            <w:pPr>
              <w:jc w:val="both"/>
              <w:rPr>
                <w:rFonts w:ascii="Times New Roman" w:eastAsia="Times New Roman" w:hAnsi="Times New Roman" w:cs="Times New Roman"/>
                <w:sz w:val="24"/>
                <w:szCs w:val="24"/>
              </w:rPr>
            </w:pPr>
            <w:r w:rsidRPr="00C32C59">
              <w:rPr>
                <w:rFonts w:ascii="Times New Roman" w:eastAsia="Times New Roman" w:hAnsi="Times New Roman" w:cs="Times New Roman"/>
                <w:sz w:val="24"/>
                <w:szCs w:val="24"/>
              </w:rPr>
              <w:t>**   Significant at the 0.05 level.</w:t>
            </w:r>
          </w:p>
          <w:p w14:paraId="418F5331" w14:textId="77777777" w:rsidR="00C32C59" w:rsidRPr="00C32C59" w:rsidRDefault="00C32C59" w:rsidP="00C32C59">
            <w:pPr>
              <w:jc w:val="both"/>
              <w:rPr>
                <w:rFonts w:ascii="Times New Roman" w:eastAsia="Calibri" w:hAnsi="Times New Roman" w:cs="Times New Roman"/>
                <w:b/>
                <w:bCs/>
                <w:sz w:val="24"/>
                <w:szCs w:val="24"/>
              </w:rPr>
            </w:pPr>
            <w:r w:rsidRPr="00C32C59">
              <w:rPr>
                <w:rFonts w:ascii="Times New Roman" w:eastAsia="Times New Roman" w:hAnsi="Times New Roman" w:cs="Times New Roman"/>
                <w:sz w:val="24"/>
                <w:szCs w:val="24"/>
              </w:rPr>
              <w:t>*     Significant at the 0.10 level.</w:t>
            </w:r>
          </w:p>
        </w:tc>
      </w:tr>
    </w:tbl>
    <w:p w14:paraId="2784DDC5" w14:textId="77777777" w:rsidR="00C32C59" w:rsidRPr="00240589" w:rsidRDefault="00C32C59" w:rsidP="00C32C59">
      <w:pPr>
        <w:spacing w:after="0" w:line="240" w:lineRule="auto"/>
        <w:jc w:val="both"/>
        <w:rPr>
          <w:rFonts w:ascii="Times New Roman" w:eastAsia="Calibri" w:hAnsi="Times New Roman" w:cs="Times New Roman"/>
          <w:noProof/>
          <w:sz w:val="24"/>
          <w:szCs w:val="24"/>
        </w:rPr>
      </w:pPr>
    </w:p>
    <w:sectPr w:rsidR="00C32C59" w:rsidRPr="00240589" w:rsidSect="00476369">
      <w:footerReference w:type="default" r:id="rId27"/>
      <w:footerReference w:type="first" r:id="rId28"/>
      <w:endnotePr>
        <w:numFmt w:val="decimal"/>
      </w:endnotePr>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01AD" w14:textId="77777777" w:rsidR="007D02B2" w:rsidRDefault="007D02B2" w:rsidP="00A271A8">
      <w:pPr>
        <w:spacing w:after="0" w:line="240" w:lineRule="auto"/>
      </w:pPr>
      <w:r>
        <w:separator/>
      </w:r>
    </w:p>
  </w:endnote>
  <w:endnote w:type="continuationSeparator" w:id="0">
    <w:p w14:paraId="1C3A42D9" w14:textId="77777777" w:rsidR="007D02B2" w:rsidRDefault="007D02B2" w:rsidP="00A2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51154"/>
      <w:docPartObj>
        <w:docPartGallery w:val="Page Numbers (Bottom of Page)"/>
        <w:docPartUnique/>
      </w:docPartObj>
    </w:sdtPr>
    <w:sdtEndPr>
      <w:rPr>
        <w:noProof/>
      </w:rPr>
    </w:sdtEndPr>
    <w:sdtContent>
      <w:p w14:paraId="534010D1" w14:textId="40478C5B" w:rsidR="009065D3" w:rsidRDefault="009065D3">
        <w:pPr>
          <w:pStyle w:val="Footer"/>
          <w:jc w:val="center"/>
        </w:pPr>
        <w:r>
          <w:fldChar w:fldCharType="begin"/>
        </w:r>
        <w:r>
          <w:instrText xml:space="preserve"> PAGE   \* MERGEFORMAT </w:instrText>
        </w:r>
        <w:r>
          <w:fldChar w:fldCharType="separate"/>
        </w:r>
        <w:r w:rsidR="00657D02">
          <w:rPr>
            <w:noProof/>
          </w:rPr>
          <w:t>1</w:t>
        </w:r>
        <w:r>
          <w:rPr>
            <w:noProof/>
          </w:rPr>
          <w:fldChar w:fldCharType="end"/>
        </w:r>
      </w:p>
    </w:sdtContent>
  </w:sdt>
  <w:p w14:paraId="198E8E0A" w14:textId="77777777" w:rsidR="009065D3" w:rsidRDefault="0090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25747"/>
      <w:docPartObj>
        <w:docPartGallery w:val="Page Numbers (Bottom of Page)"/>
        <w:docPartUnique/>
      </w:docPartObj>
    </w:sdtPr>
    <w:sdtEndPr>
      <w:rPr>
        <w:noProof/>
        <w:sz w:val="20"/>
        <w:szCs w:val="20"/>
      </w:rPr>
    </w:sdtEndPr>
    <w:sdtContent>
      <w:p w14:paraId="4E6E83FA" w14:textId="23D31399" w:rsidR="009065D3" w:rsidRPr="00640722" w:rsidRDefault="009065D3">
        <w:pPr>
          <w:pStyle w:val="Footer1"/>
          <w:jc w:val="center"/>
          <w:rPr>
            <w:sz w:val="20"/>
            <w:szCs w:val="20"/>
          </w:rPr>
        </w:pPr>
        <w:r w:rsidRPr="00640722">
          <w:rPr>
            <w:sz w:val="20"/>
            <w:szCs w:val="20"/>
          </w:rPr>
          <w:fldChar w:fldCharType="begin"/>
        </w:r>
        <w:r w:rsidRPr="00640722">
          <w:rPr>
            <w:sz w:val="20"/>
            <w:szCs w:val="20"/>
          </w:rPr>
          <w:instrText xml:space="preserve"> PAGE   \* MERGEFORMAT </w:instrText>
        </w:r>
        <w:r w:rsidRPr="00640722">
          <w:rPr>
            <w:sz w:val="20"/>
            <w:szCs w:val="20"/>
          </w:rPr>
          <w:fldChar w:fldCharType="separate"/>
        </w:r>
        <w:r w:rsidR="00E71038">
          <w:rPr>
            <w:noProof/>
            <w:sz w:val="20"/>
            <w:szCs w:val="20"/>
          </w:rPr>
          <w:t>26</w:t>
        </w:r>
        <w:r w:rsidRPr="00640722">
          <w:rPr>
            <w:noProof/>
            <w:sz w:val="20"/>
            <w:szCs w:val="20"/>
          </w:rPr>
          <w:fldChar w:fldCharType="end"/>
        </w:r>
      </w:p>
    </w:sdtContent>
  </w:sdt>
  <w:p w14:paraId="00C9EAE3" w14:textId="77777777" w:rsidR="009065D3" w:rsidRDefault="009065D3">
    <w:pPr>
      <w:pStyle w:val="Footer1"/>
    </w:pPr>
  </w:p>
  <w:p w14:paraId="5D44AA81" w14:textId="77777777" w:rsidR="009065D3" w:rsidRDefault="009065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901450"/>
      <w:docPartObj>
        <w:docPartGallery w:val="Page Numbers (Bottom of Page)"/>
        <w:docPartUnique/>
      </w:docPartObj>
    </w:sdtPr>
    <w:sdtEndPr>
      <w:rPr>
        <w:noProof/>
        <w:sz w:val="20"/>
        <w:szCs w:val="20"/>
      </w:rPr>
    </w:sdtEndPr>
    <w:sdtContent>
      <w:p w14:paraId="01374E17" w14:textId="2A538ACC" w:rsidR="009065D3" w:rsidRPr="00640722" w:rsidRDefault="009065D3">
        <w:pPr>
          <w:pStyle w:val="Footer1"/>
          <w:jc w:val="center"/>
          <w:rPr>
            <w:sz w:val="20"/>
            <w:szCs w:val="20"/>
          </w:rPr>
        </w:pPr>
        <w:r w:rsidRPr="00640722">
          <w:rPr>
            <w:sz w:val="20"/>
            <w:szCs w:val="20"/>
          </w:rPr>
          <w:fldChar w:fldCharType="begin"/>
        </w:r>
        <w:r w:rsidRPr="00640722">
          <w:rPr>
            <w:sz w:val="20"/>
            <w:szCs w:val="20"/>
          </w:rPr>
          <w:instrText xml:space="preserve"> PAGE   \* MERGEFORMAT </w:instrText>
        </w:r>
        <w:r w:rsidRPr="00640722">
          <w:rPr>
            <w:sz w:val="20"/>
            <w:szCs w:val="20"/>
          </w:rPr>
          <w:fldChar w:fldCharType="separate"/>
        </w:r>
        <w:r w:rsidR="00E71038">
          <w:rPr>
            <w:noProof/>
            <w:sz w:val="20"/>
            <w:szCs w:val="20"/>
          </w:rPr>
          <w:t>25</w:t>
        </w:r>
        <w:r w:rsidRPr="00640722">
          <w:rPr>
            <w:noProof/>
            <w:sz w:val="20"/>
            <w:szCs w:val="20"/>
          </w:rPr>
          <w:fldChar w:fldCharType="end"/>
        </w:r>
      </w:p>
    </w:sdtContent>
  </w:sdt>
  <w:p w14:paraId="41BB67C0" w14:textId="77777777" w:rsidR="009065D3" w:rsidRDefault="009065D3">
    <w:pPr>
      <w:pStyle w:val="Footer1"/>
    </w:pPr>
  </w:p>
  <w:p w14:paraId="4D880EB6" w14:textId="77777777" w:rsidR="009065D3" w:rsidRDefault="009065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46F1" w14:textId="77777777" w:rsidR="007D02B2" w:rsidRDefault="007D02B2" w:rsidP="00A271A8">
      <w:pPr>
        <w:spacing w:after="0" w:line="240" w:lineRule="auto"/>
      </w:pPr>
      <w:r>
        <w:separator/>
      </w:r>
    </w:p>
  </w:footnote>
  <w:footnote w:type="continuationSeparator" w:id="0">
    <w:p w14:paraId="6FA3B3F3" w14:textId="77777777" w:rsidR="007D02B2" w:rsidRDefault="007D02B2" w:rsidP="00A27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D9E"/>
    <w:multiLevelType w:val="hybridMultilevel"/>
    <w:tmpl w:val="71E4BF1A"/>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F58B0"/>
    <w:multiLevelType w:val="hybridMultilevel"/>
    <w:tmpl w:val="7D42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7270D"/>
    <w:multiLevelType w:val="hybridMultilevel"/>
    <w:tmpl w:val="8F3C804C"/>
    <w:lvl w:ilvl="0" w:tplc="10086EDC">
      <w:start w:val="4"/>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95459"/>
    <w:multiLevelType w:val="hybridMultilevel"/>
    <w:tmpl w:val="2DA4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66260"/>
    <w:multiLevelType w:val="hybridMultilevel"/>
    <w:tmpl w:val="2DEC26F8"/>
    <w:lvl w:ilvl="0" w:tplc="F4C858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87902"/>
    <w:multiLevelType w:val="multilevel"/>
    <w:tmpl w:val="946A3928"/>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6402E2"/>
    <w:multiLevelType w:val="multilevel"/>
    <w:tmpl w:val="2E4EEC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D15035F"/>
    <w:multiLevelType w:val="hybridMultilevel"/>
    <w:tmpl w:val="221631CC"/>
    <w:lvl w:ilvl="0" w:tplc="A47E004C">
      <w:start w:val="1"/>
      <w:numFmt w:val="bullet"/>
      <w:lvlText w:val=""/>
      <w:lvlJc w:val="left"/>
      <w:pPr>
        <w:tabs>
          <w:tab w:val="num" w:pos="720"/>
        </w:tabs>
        <w:ind w:left="720" w:hanging="360"/>
      </w:pPr>
      <w:rPr>
        <w:rFonts w:ascii="Wingdings" w:hAnsi="Wingdings" w:hint="default"/>
      </w:rPr>
    </w:lvl>
    <w:lvl w:ilvl="1" w:tplc="B01A455E" w:tentative="1">
      <w:start w:val="1"/>
      <w:numFmt w:val="bullet"/>
      <w:lvlText w:val=""/>
      <w:lvlJc w:val="left"/>
      <w:pPr>
        <w:tabs>
          <w:tab w:val="num" w:pos="1440"/>
        </w:tabs>
        <w:ind w:left="1440" w:hanging="360"/>
      </w:pPr>
      <w:rPr>
        <w:rFonts w:ascii="Wingdings" w:hAnsi="Wingdings" w:hint="default"/>
      </w:rPr>
    </w:lvl>
    <w:lvl w:ilvl="2" w:tplc="A8C653CC" w:tentative="1">
      <w:start w:val="1"/>
      <w:numFmt w:val="bullet"/>
      <w:lvlText w:val=""/>
      <w:lvlJc w:val="left"/>
      <w:pPr>
        <w:tabs>
          <w:tab w:val="num" w:pos="2160"/>
        </w:tabs>
        <w:ind w:left="2160" w:hanging="360"/>
      </w:pPr>
      <w:rPr>
        <w:rFonts w:ascii="Wingdings" w:hAnsi="Wingdings" w:hint="default"/>
      </w:rPr>
    </w:lvl>
    <w:lvl w:ilvl="3" w:tplc="4858A7A0" w:tentative="1">
      <w:start w:val="1"/>
      <w:numFmt w:val="bullet"/>
      <w:lvlText w:val=""/>
      <w:lvlJc w:val="left"/>
      <w:pPr>
        <w:tabs>
          <w:tab w:val="num" w:pos="2880"/>
        </w:tabs>
        <w:ind w:left="2880" w:hanging="360"/>
      </w:pPr>
      <w:rPr>
        <w:rFonts w:ascii="Wingdings" w:hAnsi="Wingdings" w:hint="default"/>
      </w:rPr>
    </w:lvl>
    <w:lvl w:ilvl="4" w:tplc="2A6CFBC2" w:tentative="1">
      <w:start w:val="1"/>
      <w:numFmt w:val="bullet"/>
      <w:lvlText w:val=""/>
      <w:lvlJc w:val="left"/>
      <w:pPr>
        <w:tabs>
          <w:tab w:val="num" w:pos="3600"/>
        </w:tabs>
        <w:ind w:left="3600" w:hanging="360"/>
      </w:pPr>
      <w:rPr>
        <w:rFonts w:ascii="Wingdings" w:hAnsi="Wingdings" w:hint="default"/>
      </w:rPr>
    </w:lvl>
    <w:lvl w:ilvl="5" w:tplc="0B30AE68" w:tentative="1">
      <w:start w:val="1"/>
      <w:numFmt w:val="bullet"/>
      <w:lvlText w:val=""/>
      <w:lvlJc w:val="left"/>
      <w:pPr>
        <w:tabs>
          <w:tab w:val="num" w:pos="4320"/>
        </w:tabs>
        <w:ind w:left="4320" w:hanging="360"/>
      </w:pPr>
      <w:rPr>
        <w:rFonts w:ascii="Wingdings" w:hAnsi="Wingdings" w:hint="default"/>
      </w:rPr>
    </w:lvl>
    <w:lvl w:ilvl="6" w:tplc="6E7AD378" w:tentative="1">
      <w:start w:val="1"/>
      <w:numFmt w:val="bullet"/>
      <w:lvlText w:val=""/>
      <w:lvlJc w:val="left"/>
      <w:pPr>
        <w:tabs>
          <w:tab w:val="num" w:pos="5040"/>
        </w:tabs>
        <w:ind w:left="5040" w:hanging="360"/>
      </w:pPr>
      <w:rPr>
        <w:rFonts w:ascii="Wingdings" w:hAnsi="Wingdings" w:hint="default"/>
      </w:rPr>
    </w:lvl>
    <w:lvl w:ilvl="7" w:tplc="39B8DBA0" w:tentative="1">
      <w:start w:val="1"/>
      <w:numFmt w:val="bullet"/>
      <w:lvlText w:val=""/>
      <w:lvlJc w:val="left"/>
      <w:pPr>
        <w:tabs>
          <w:tab w:val="num" w:pos="5760"/>
        </w:tabs>
        <w:ind w:left="5760" w:hanging="360"/>
      </w:pPr>
      <w:rPr>
        <w:rFonts w:ascii="Wingdings" w:hAnsi="Wingdings" w:hint="default"/>
      </w:rPr>
    </w:lvl>
    <w:lvl w:ilvl="8" w:tplc="1EB466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81EDF"/>
    <w:multiLevelType w:val="hybridMultilevel"/>
    <w:tmpl w:val="2E1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A1FD8"/>
    <w:multiLevelType w:val="hybridMultilevel"/>
    <w:tmpl w:val="56A46410"/>
    <w:lvl w:ilvl="0" w:tplc="02B64B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A4CB0"/>
    <w:multiLevelType w:val="multilevel"/>
    <w:tmpl w:val="F3BAE71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6A0AD3"/>
    <w:multiLevelType w:val="multilevel"/>
    <w:tmpl w:val="2640B0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F379C2"/>
    <w:multiLevelType w:val="hybridMultilevel"/>
    <w:tmpl w:val="D0468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5A4ECE"/>
    <w:multiLevelType w:val="multilevel"/>
    <w:tmpl w:val="021C68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B44241B"/>
    <w:multiLevelType w:val="hybridMultilevel"/>
    <w:tmpl w:val="432AF498"/>
    <w:lvl w:ilvl="0" w:tplc="D7F46D0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D0D13"/>
    <w:multiLevelType w:val="multilevel"/>
    <w:tmpl w:val="B5760A9A"/>
    <w:lvl w:ilvl="0">
      <w:start w:val="2"/>
      <w:numFmt w:val="decimal"/>
      <w:lvlText w:val="%1."/>
      <w:lvlJc w:val="left"/>
      <w:pPr>
        <w:ind w:left="555" w:hanging="555"/>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424193"/>
    <w:multiLevelType w:val="hybridMultilevel"/>
    <w:tmpl w:val="2F86B48E"/>
    <w:lvl w:ilvl="0" w:tplc="9272C4CA">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CD06D5C"/>
    <w:multiLevelType w:val="multilevel"/>
    <w:tmpl w:val="089483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5140A9"/>
    <w:multiLevelType w:val="hybridMultilevel"/>
    <w:tmpl w:val="56A46410"/>
    <w:lvl w:ilvl="0" w:tplc="02B64B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321E0"/>
    <w:multiLevelType w:val="hybridMultilevel"/>
    <w:tmpl w:val="081674FE"/>
    <w:lvl w:ilvl="0" w:tplc="749E40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F58788E"/>
    <w:multiLevelType w:val="multilevel"/>
    <w:tmpl w:val="851046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2C70AA"/>
    <w:multiLevelType w:val="hybridMultilevel"/>
    <w:tmpl w:val="201EA9A8"/>
    <w:lvl w:ilvl="0" w:tplc="48BCEA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F045080"/>
    <w:multiLevelType w:val="multilevel"/>
    <w:tmpl w:val="CDD4F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236092"/>
    <w:multiLevelType w:val="multilevel"/>
    <w:tmpl w:val="E544FA1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331442"/>
    <w:multiLevelType w:val="hybridMultilevel"/>
    <w:tmpl w:val="B258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05E49"/>
    <w:multiLevelType w:val="multilevel"/>
    <w:tmpl w:val="D91ED8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55C1D2B"/>
    <w:multiLevelType w:val="hybridMultilevel"/>
    <w:tmpl w:val="3D52DA2C"/>
    <w:lvl w:ilvl="0" w:tplc="5972E3C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5034D"/>
    <w:multiLevelType w:val="hybridMultilevel"/>
    <w:tmpl w:val="08F613EE"/>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27F45"/>
    <w:multiLevelType w:val="hybridMultilevel"/>
    <w:tmpl w:val="A87E708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7681EED"/>
    <w:multiLevelType w:val="multilevel"/>
    <w:tmpl w:val="3A8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240596"/>
    <w:multiLevelType w:val="hybridMultilevel"/>
    <w:tmpl w:val="51C0C66A"/>
    <w:lvl w:ilvl="0" w:tplc="BAE217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C65649"/>
    <w:multiLevelType w:val="multilevel"/>
    <w:tmpl w:val="D96A6F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B7A3CEB"/>
    <w:multiLevelType w:val="hybridMultilevel"/>
    <w:tmpl w:val="5AE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2734A"/>
    <w:multiLevelType w:val="hybridMultilevel"/>
    <w:tmpl w:val="2F86B48E"/>
    <w:lvl w:ilvl="0" w:tplc="9272C4CA">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54226CCA"/>
    <w:multiLevelType w:val="multilevel"/>
    <w:tmpl w:val="8FFC4AA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2101EA"/>
    <w:multiLevelType w:val="multilevel"/>
    <w:tmpl w:val="1D1E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3D6763"/>
    <w:multiLevelType w:val="multilevel"/>
    <w:tmpl w:val="089EE6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4304AE2"/>
    <w:multiLevelType w:val="multilevel"/>
    <w:tmpl w:val="5E925A48"/>
    <w:lvl w:ilvl="0">
      <w:start w:val="1"/>
      <w:numFmt w:val="decimal"/>
      <w:lvlText w:val="%1."/>
      <w:lvlJc w:val="left"/>
      <w:pPr>
        <w:ind w:left="720" w:hanging="360"/>
      </w:pPr>
    </w:lvl>
    <w:lvl w:ilvl="1">
      <w:start w:val="3"/>
      <w:numFmt w:val="decimal"/>
      <w:isLgl/>
      <w:lvlText w:val="%1.%2."/>
      <w:lvlJc w:val="left"/>
      <w:pPr>
        <w:ind w:left="1008" w:hanging="648"/>
      </w:pPr>
      <w:rPr>
        <w:rFonts w:asciiTheme="majorBidi" w:hAnsiTheme="majorBidi" w:cstheme="majorBidi" w:hint="default"/>
        <w:sz w:val="28"/>
      </w:rPr>
    </w:lvl>
    <w:lvl w:ilvl="2">
      <w:start w:val="1"/>
      <w:numFmt w:val="decimal"/>
      <w:isLgl/>
      <w:lvlText w:val="%1.%2.%3."/>
      <w:lvlJc w:val="left"/>
      <w:pPr>
        <w:ind w:left="1080" w:hanging="720"/>
      </w:pPr>
      <w:rPr>
        <w:rFonts w:asciiTheme="majorBidi" w:hAnsiTheme="majorBidi" w:cstheme="majorBidi" w:hint="default"/>
        <w:sz w:val="28"/>
      </w:rPr>
    </w:lvl>
    <w:lvl w:ilvl="3">
      <w:start w:val="1"/>
      <w:numFmt w:val="decimal"/>
      <w:isLgl/>
      <w:lvlText w:val="%1.%2.%3.%4."/>
      <w:lvlJc w:val="left"/>
      <w:pPr>
        <w:ind w:left="1080" w:hanging="720"/>
      </w:pPr>
      <w:rPr>
        <w:rFonts w:asciiTheme="majorBidi" w:hAnsiTheme="majorBidi" w:cstheme="majorBidi" w:hint="default"/>
        <w:sz w:val="28"/>
      </w:rPr>
    </w:lvl>
    <w:lvl w:ilvl="4">
      <w:start w:val="1"/>
      <w:numFmt w:val="decimal"/>
      <w:isLgl/>
      <w:lvlText w:val="%1.%2.%3.%4.%5."/>
      <w:lvlJc w:val="left"/>
      <w:pPr>
        <w:ind w:left="1440" w:hanging="1080"/>
      </w:pPr>
      <w:rPr>
        <w:rFonts w:asciiTheme="majorBidi" w:hAnsiTheme="majorBidi" w:cstheme="majorBidi" w:hint="default"/>
        <w:sz w:val="28"/>
      </w:rPr>
    </w:lvl>
    <w:lvl w:ilvl="5">
      <w:start w:val="1"/>
      <w:numFmt w:val="decimal"/>
      <w:isLgl/>
      <w:lvlText w:val="%1.%2.%3.%4.%5.%6."/>
      <w:lvlJc w:val="left"/>
      <w:pPr>
        <w:ind w:left="1440" w:hanging="1080"/>
      </w:pPr>
      <w:rPr>
        <w:rFonts w:asciiTheme="majorBidi" w:hAnsiTheme="majorBidi" w:cstheme="majorBidi" w:hint="default"/>
        <w:sz w:val="28"/>
      </w:rPr>
    </w:lvl>
    <w:lvl w:ilvl="6">
      <w:start w:val="1"/>
      <w:numFmt w:val="decimal"/>
      <w:isLgl/>
      <w:lvlText w:val="%1.%2.%3.%4.%5.%6.%7."/>
      <w:lvlJc w:val="left"/>
      <w:pPr>
        <w:ind w:left="1800" w:hanging="1440"/>
      </w:pPr>
      <w:rPr>
        <w:rFonts w:asciiTheme="majorBidi" w:hAnsiTheme="majorBidi" w:cstheme="majorBidi" w:hint="default"/>
        <w:sz w:val="28"/>
      </w:rPr>
    </w:lvl>
    <w:lvl w:ilvl="7">
      <w:start w:val="1"/>
      <w:numFmt w:val="decimal"/>
      <w:isLgl/>
      <w:lvlText w:val="%1.%2.%3.%4.%5.%6.%7.%8."/>
      <w:lvlJc w:val="left"/>
      <w:pPr>
        <w:ind w:left="1800" w:hanging="1440"/>
      </w:pPr>
      <w:rPr>
        <w:rFonts w:asciiTheme="majorBidi" w:hAnsiTheme="majorBidi" w:cstheme="majorBidi" w:hint="default"/>
        <w:sz w:val="28"/>
      </w:rPr>
    </w:lvl>
    <w:lvl w:ilvl="8">
      <w:start w:val="1"/>
      <w:numFmt w:val="decimal"/>
      <w:isLgl/>
      <w:lvlText w:val="%1.%2.%3.%4.%5.%6.%7.%8.%9."/>
      <w:lvlJc w:val="left"/>
      <w:pPr>
        <w:ind w:left="2160" w:hanging="1800"/>
      </w:pPr>
      <w:rPr>
        <w:rFonts w:asciiTheme="majorBidi" w:hAnsiTheme="majorBidi" w:cstheme="majorBidi" w:hint="default"/>
        <w:sz w:val="28"/>
      </w:rPr>
    </w:lvl>
  </w:abstractNum>
  <w:abstractNum w:abstractNumId="38" w15:restartNumberingAfterBreak="0">
    <w:nsid w:val="65721989"/>
    <w:multiLevelType w:val="hybridMultilevel"/>
    <w:tmpl w:val="A920DFD4"/>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AF2F88"/>
    <w:multiLevelType w:val="hybridMultilevel"/>
    <w:tmpl w:val="E32A4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5B34B8"/>
    <w:multiLevelType w:val="multilevel"/>
    <w:tmpl w:val="5ABE9E88"/>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8F1230F"/>
    <w:multiLevelType w:val="hybridMultilevel"/>
    <w:tmpl w:val="48D80646"/>
    <w:lvl w:ilvl="0" w:tplc="26201F9C">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7359F"/>
    <w:multiLevelType w:val="hybridMultilevel"/>
    <w:tmpl w:val="8CF65AF6"/>
    <w:lvl w:ilvl="0" w:tplc="FE884F66">
      <w:start w:val="1"/>
      <w:numFmt w:val="bullet"/>
      <w:lvlText w:val=""/>
      <w:lvlJc w:val="left"/>
      <w:pPr>
        <w:tabs>
          <w:tab w:val="num" w:pos="720"/>
        </w:tabs>
        <w:ind w:left="720" w:hanging="360"/>
      </w:pPr>
      <w:rPr>
        <w:rFonts w:ascii="Wingdings" w:hAnsi="Wingdings" w:hint="default"/>
      </w:rPr>
    </w:lvl>
    <w:lvl w:ilvl="1" w:tplc="6290A4CA" w:tentative="1">
      <w:start w:val="1"/>
      <w:numFmt w:val="bullet"/>
      <w:lvlText w:val=""/>
      <w:lvlJc w:val="left"/>
      <w:pPr>
        <w:tabs>
          <w:tab w:val="num" w:pos="1440"/>
        </w:tabs>
        <w:ind w:left="1440" w:hanging="360"/>
      </w:pPr>
      <w:rPr>
        <w:rFonts w:ascii="Wingdings" w:hAnsi="Wingdings" w:hint="default"/>
      </w:rPr>
    </w:lvl>
    <w:lvl w:ilvl="2" w:tplc="545A5C2C" w:tentative="1">
      <w:start w:val="1"/>
      <w:numFmt w:val="bullet"/>
      <w:lvlText w:val=""/>
      <w:lvlJc w:val="left"/>
      <w:pPr>
        <w:tabs>
          <w:tab w:val="num" w:pos="2160"/>
        </w:tabs>
        <w:ind w:left="2160" w:hanging="360"/>
      </w:pPr>
      <w:rPr>
        <w:rFonts w:ascii="Wingdings" w:hAnsi="Wingdings" w:hint="default"/>
      </w:rPr>
    </w:lvl>
    <w:lvl w:ilvl="3" w:tplc="7D140392" w:tentative="1">
      <w:start w:val="1"/>
      <w:numFmt w:val="bullet"/>
      <w:lvlText w:val=""/>
      <w:lvlJc w:val="left"/>
      <w:pPr>
        <w:tabs>
          <w:tab w:val="num" w:pos="2880"/>
        </w:tabs>
        <w:ind w:left="2880" w:hanging="360"/>
      </w:pPr>
      <w:rPr>
        <w:rFonts w:ascii="Wingdings" w:hAnsi="Wingdings" w:hint="default"/>
      </w:rPr>
    </w:lvl>
    <w:lvl w:ilvl="4" w:tplc="4EDA5A7A" w:tentative="1">
      <w:start w:val="1"/>
      <w:numFmt w:val="bullet"/>
      <w:lvlText w:val=""/>
      <w:lvlJc w:val="left"/>
      <w:pPr>
        <w:tabs>
          <w:tab w:val="num" w:pos="3600"/>
        </w:tabs>
        <w:ind w:left="3600" w:hanging="360"/>
      </w:pPr>
      <w:rPr>
        <w:rFonts w:ascii="Wingdings" w:hAnsi="Wingdings" w:hint="default"/>
      </w:rPr>
    </w:lvl>
    <w:lvl w:ilvl="5" w:tplc="96606D74" w:tentative="1">
      <w:start w:val="1"/>
      <w:numFmt w:val="bullet"/>
      <w:lvlText w:val=""/>
      <w:lvlJc w:val="left"/>
      <w:pPr>
        <w:tabs>
          <w:tab w:val="num" w:pos="4320"/>
        </w:tabs>
        <w:ind w:left="4320" w:hanging="360"/>
      </w:pPr>
      <w:rPr>
        <w:rFonts w:ascii="Wingdings" w:hAnsi="Wingdings" w:hint="default"/>
      </w:rPr>
    </w:lvl>
    <w:lvl w:ilvl="6" w:tplc="8210492E" w:tentative="1">
      <w:start w:val="1"/>
      <w:numFmt w:val="bullet"/>
      <w:lvlText w:val=""/>
      <w:lvlJc w:val="left"/>
      <w:pPr>
        <w:tabs>
          <w:tab w:val="num" w:pos="5040"/>
        </w:tabs>
        <w:ind w:left="5040" w:hanging="360"/>
      </w:pPr>
      <w:rPr>
        <w:rFonts w:ascii="Wingdings" w:hAnsi="Wingdings" w:hint="default"/>
      </w:rPr>
    </w:lvl>
    <w:lvl w:ilvl="7" w:tplc="EA7AD4AC" w:tentative="1">
      <w:start w:val="1"/>
      <w:numFmt w:val="bullet"/>
      <w:lvlText w:val=""/>
      <w:lvlJc w:val="left"/>
      <w:pPr>
        <w:tabs>
          <w:tab w:val="num" w:pos="5760"/>
        </w:tabs>
        <w:ind w:left="5760" w:hanging="360"/>
      </w:pPr>
      <w:rPr>
        <w:rFonts w:ascii="Wingdings" w:hAnsi="Wingdings" w:hint="default"/>
      </w:rPr>
    </w:lvl>
    <w:lvl w:ilvl="8" w:tplc="741016C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B5D96"/>
    <w:multiLevelType w:val="multilevel"/>
    <w:tmpl w:val="2E4EEC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75A14C2"/>
    <w:multiLevelType w:val="multilevel"/>
    <w:tmpl w:val="4E36F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EC2487"/>
    <w:multiLevelType w:val="hybridMultilevel"/>
    <w:tmpl w:val="1DFA807A"/>
    <w:lvl w:ilvl="0" w:tplc="6A943CAA">
      <w:start w:val="1"/>
      <w:numFmt w:val="bullet"/>
      <w:lvlText w:val="•"/>
      <w:lvlJc w:val="left"/>
      <w:pPr>
        <w:tabs>
          <w:tab w:val="num" w:pos="720"/>
        </w:tabs>
        <w:ind w:left="720" w:hanging="360"/>
      </w:pPr>
      <w:rPr>
        <w:rFonts w:ascii="Times New Roman" w:hAnsi="Times New Roman" w:hint="default"/>
      </w:rPr>
    </w:lvl>
    <w:lvl w:ilvl="1" w:tplc="DA4C4308" w:tentative="1">
      <w:start w:val="1"/>
      <w:numFmt w:val="bullet"/>
      <w:lvlText w:val="•"/>
      <w:lvlJc w:val="left"/>
      <w:pPr>
        <w:tabs>
          <w:tab w:val="num" w:pos="1440"/>
        </w:tabs>
        <w:ind w:left="1440" w:hanging="360"/>
      </w:pPr>
      <w:rPr>
        <w:rFonts w:ascii="Times New Roman" w:hAnsi="Times New Roman" w:hint="default"/>
      </w:rPr>
    </w:lvl>
    <w:lvl w:ilvl="2" w:tplc="1430BC48" w:tentative="1">
      <w:start w:val="1"/>
      <w:numFmt w:val="bullet"/>
      <w:lvlText w:val="•"/>
      <w:lvlJc w:val="left"/>
      <w:pPr>
        <w:tabs>
          <w:tab w:val="num" w:pos="2160"/>
        </w:tabs>
        <w:ind w:left="2160" w:hanging="360"/>
      </w:pPr>
      <w:rPr>
        <w:rFonts w:ascii="Times New Roman" w:hAnsi="Times New Roman" w:hint="default"/>
      </w:rPr>
    </w:lvl>
    <w:lvl w:ilvl="3" w:tplc="A3741988" w:tentative="1">
      <w:start w:val="1"/>
      <w:numFmt w:val="bullet"/>
      <w:lvlText w:val="•"/>
      <w:lvlJc w:val="left"/>
      <w:pPr>
        <w:tabs>
          <w:tab w:val="num" w:pos="2880"/>
        </w:tabs>
        <w:ind w:left="2880" w:hanging="360"/>
      </w:pPr>
      <w:rPr>
        <w:rFonts w:ascii="Times New Roman" w:hAnsi="Times New Roman" w:hint="default"/>
      </w:rPr>
    </w:lvl>
    <w:lvl w:ilvl="4" w:tplc="C7F6C864" w:tentative="1">
      <w:start w:val="1"/>
      <w:numFmt w:val="bullet"/>
      <w:lvlText w:val="•"/>
      <w:lvlJc w:val="left"/>
      <w:pPr>
        <w:tabs>
          <w:tab w:val="num" w:pos="3600"/>
        </w:tabs>
        <w:ind w:left="3600" w:hanging="360"/>
      </w:pPr>
      <w:rPr>
        <w:rFonts w:ascii="Times New Roman" w:hAnsi="Times New Roman" w:hint="default"/>
      </w:rPr>
    </w:lvl>
    <w:lvl w:ilvl="5" w:tplc="2D7AF05C" w:tentative="1">
      <w:start w:val="1"/>
      <w:numFmt w:val="bullet"/>
      <w:lvlText w:val="•"/>
      <w:lvlJc w:val="left"/>
      <w:pPr>
        <w:tabs>
          <w:tab w:val="num" w:pos="4320"/>
        </w:tabs>
        <w:ind w:left="4320" w:hanging="360"/>
      </w:pPr>
      <w:rPr>
        <w:rFonts w:ascii="Times New Roman" w:hAnsi="Times New Roman" w:hint="default"/>
      </w:rPr>
    </w:lvl>
    <w:lvl w:ilvl="6" w:tplc="A06A8ACA" w:tentative="1">
      <w:start w:val="1"/>
      <w:numFmt w:val="bullet"/>
      <w:lvlText w:val="•"/>
      <w:lvlJc w:val="left"/>
      <w:pPr>
        <w:tabs>
          <w:tab w:val="num" w:pos="5040"/>
        </w:tabs>
        <w:ind w:left="5040" w:hanging="360"/>
      </w:pPr>
      <w:rPr>
        <w:rFonts w:ascii="Times New Roman" w:hAnsi="Times New Roman" w:hint="default"/>
      </w:rPr>
    </w:lvl>
    <w:lvl w:ilvl="7" w:tplc="CDF8618C" w:tentative="1">
      <w:start w:val="1"/>
      <w:numFmt w:val="bullet"/>
      <w:lvlText w:val="•"/>
      <w:lvlJc w:val="left"/>
      <w:pPr>
        <w:tabs>
          <w:tab w:val="num" w:pos="5760"/>
        </w:tabs>
        <w:ind w:left="5760" w:hanging="360"/>
      </w:pPr>
      <w:rPr>
        <w:rFonts w:ascii="Times New Roman" w:hAnsi="Times New Roman" w:hint="default"/>
      </w:rPr>
    </w:lvl>
    <w:lvl w:ilvl="8" w:tplc="9F54FF4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F26CB2"/>
    <w:multiLevelType w:val="hybridMultilevel"/>
    <w:tmpl w:val="08F613EE"/>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2"/>
  </w:num>
  <w:num w:numId="3">
    <w:abstractNumId w:val="20"/>
  </w:num>
  <w:num w:numId="4">
    <w:abstractNumId w:val="11"/>
  </w:num>
  <w:num w:numId="5">
    <w:abstractNumId w:val="8"/>
  </w:num>
  <w:num w:numId="6">
    <w:abstractNumId w:val="42"/>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9"/>
  </w:num>
  <w:num w:numId="11">
    <w:abstractNumId w:val="30"/>
  </w:num>
  <w:num w:numId="12">
    <w:abstractNumId w:val="43"/>
  </w:num>
  <w:num w:numId="13">
    <w:abstractNumId w:val="6"/>
  </w:num>
  <w:num w:numId="14">
    <w:abstractNumId w:val="16"/>
  </w:num>
  <w:num w:numId="15">
    <w:abstractNumId w:val="33"/>
  </w:num>
  <w:num w:numId="16">
    <w:abstractNumId w:val="21"/>
  </w:num>
  <w:num w:numId="17">
    <w:abstractNumId w:val="46"/>
  </w:num>
  <w:num w:numId="18">
    <w:abstractNumId w:val="27"/>
  </w:num>
  <w:num w:numId="19">
    <w:abstractNumId w:val="0"/>
  </w:num>
  <w:num w:numId="20">
    <w:abstractNumId w:val="38"/>
  </w:num>
  <w:num w:numId="21">
    <w:abstractNumId w:val="45"/>
  </w:num>
  <w:num w:numId="22">
    <w:abstractNumId w:val="39"/>
  </w:num>
  <w:num w:numId="23">
    <w:abstractNumId w:val="3"/>
  </w:num>
  <w:num w:numId="24">
    <w:abstractNumId w:val="35"/>
  </w:num>
  <w:num w:numId="25">
    <w:abstractNumId w:val="36"/>
  </w:num>
  <w:num w:numId="26">
    <w:abstractNumId w:val="29"/>
  </w:num>
  <w:num w:numId="27">
    <w:abstractNumId w:val="23"/>
  </w:num>
  <w:num w:numId="28">
    <w:abstractNumId w:val="1"/>
  </w:num>
  <w:num w:numId="29">
    <w:abstractNumId w:val="26"/>
  </w:num>
  <w:num w:numId="30">
    <w:abstractNumId w:val="22"/>
  </w:num>
  <w:num w:numId="31">
    <w:abstractNumId w:val="12"/>
  </w:num>
  <w:num w:numId="32">
    <w:abstractNumId w:val="24"/>
  </w:num>
  <w:num w:numId="33">
    <w:abstractNumId w:val="13"/>
  </w:num>
  <w:num w:numId="34">
    <w:abstractNumId w:val="10"/>
  </w:num>
  <w:num w:numId="35">
    <w:abstractNumId w:val="5"/>
  </w:num>
  <w:num w:numId="36">
    <w:abstractNumId w:val="4"/>
  </w:num>
  <w:num w:numId="37">
    <w:abstractNumId w:val="17"/>
  </w:num>
  <w:num w:numId="38">
    <w:abstractNumId w:val="34"/>
  </w:num>
  <w:num w:numId="39">
    <w:abstractNumId w:val="40"/>
  </w:num>
  <w:num w:numId="40">
    <w:abstractNumId w:val="31"/>
  </w:num>
  <w:num w:numId="41">
    <w:abstractNumId w:val="15"/>
  </w:num>
  <w:num w:numId="42">
    <w:abstractNumId w:val="2"/>
  </w:num>
  <w:num w:numId="43">
    <w:abstractNumId w:val="25"/>
  </w:num>
  <w:num w:numId="44">
    <w:abstractNumId w:val="28"/>
  </w:num>
  <w:num w:numId="45">
    <w:abstractNumId w:val="37"/>
  </w:num>
  <w:num w:numId="46">
    <w:abstractNumId w:val="14"/>
  </w:num>
  <w:num w:numId="47">
    <w:abstractNumId w:val="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en-US" w:vendorID="64" w:dllVersion="131078" w:nlCheck="1" w:checkStyle="1"/>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xffaaevppfp1e50wgpfxs8pwda290z0az0&quot;&gt;credit ratings&lt;record-ids&gt;&lt;item&gt;5&lt;/item&gt;&lt;item&gt;6&lt;/item&gt;&lt;item&gt;7&lt;/item&gt;&lt;item&gt;8&lt;/item&gt;&lt;item&gt;10&lt;/item&gt;&lt;item&gt;15&lt;/item&gt;&lt;item&gt;16&lt;/item&gt;&lt;item&gt;17&lt;/item&gt;&lt;item&gt;18&lt;/item&gt;&lt;item&gt;23&lt;/item&gt;&lt;item&gt;38&lt;/item&gt;&lt;item&gt;46&lt;/item&gt;&lt;item&gt;52&lt;/item&gt;&lt;item&gt;54&lt;/item&gt;&lt;item&gt;55&lt;/item&gt;&lt;item&gt;61&lt;/item&gt;&lt;item&gt;64&lt;/item&gt;&lt;item&gt;65&lt;/item&gt;&lt;item&gt;77&lt;/item&gt;&lt;item&gt;81&lt;/item&gt;&lt;item&gt;82&lt;/item&gt;&lt;item&gt;90&lt;/item&gt;&lt;item&gt;91&lt;/item&gt;&lt;item&gt;92&lt;/item&gt;&lt;item&gt;94&lt;/item&gt;&lt;item&gt;113&lt;/item&gt;&lt;item&gt;119&lt;/item&gt;&lt;item&gt;120&lt;/item&gt;&lt;item&gt;122&lt;/item&gt;&lt;item&gt;124&lt;/item&gt;&lt;item&gt;132&lt;/item&gt;&lt;item&gt;134&lt;/item&gt;&lt;item&gt;137&lt;/item&gt;&lt;item&gt;138&lt;/item&gt;&lt;item&gt;140&lt;/item&gt;&lt;item&gt;144&lt;/item&gt;&lt;item&gt;157&lt;/item&gt;&lt;item&gt;162&lt;/item&gt;&lt;item&gt;163&lt;/item&gt;&lt;item&gt;164&lt;/item&gt;&lt;item&gt;165&lt;/item&gt;&lt;item&gt;168&lt;/item&gt;&lt;item&gt;172&lt;/item&gt;&lt;item&gt;175&lt;/item&gt;&lt;item&gt;194&lt;/item&gt;&lt;item&gt;197&lt;/item&gt;&lt;item&gt;200&lt;/item&gt;&lt;item&gt;202&lt;/item&gt;&lt;item&gt;203&lt;/item&gt;&lt;item&gt;205&lt;/item&gt;&lt;item&gt;212&lt;/item&gt;&lt;item&gt;219&lt;/item&gt;&lt;item&gt;227&lt;/item&gt;&lt;item&gt;229&lt;/item&gt;&lt;item&gt;231&lt;/item&gt;&lt;item&gt;232&lt;/item&gt;&lt;item&gt;233&lt;/item&gt;&lt;item&gt;236&lt;/item&gt;&lt;item&gt;251&lt;/item&gt;&lt;item&gt;253&lt;/item&gt;&lt;item&gt;261&lt;/item&gt;&lt;item&gt;266&lt;/item&gt;&lt;item&gt;269&lt;/item&gt;&lt;item&gt;280&lt;/item&gt;&lt;item&gt;288&lt;/item&gt;&lt;item&gt;298&lt;/item&gt;&lt;item&gt;303&lt;/item&gt;&lt;item&gt;307&lt;/item&gt;&lt;item&gt;308&lt;/item&gt;&lt;item&gt;309&lt;/item&gt;&lt;item&gt;316&lt;/item&gt;&lt;item&gt;319&lt;/item&gt;&lt;item&gt;325&lt;/item&gt;&lt;item&gt;332&lt;/item&gt;&lt;item&gt;335&lt;/item&gt;&lt;item&gt;337&lt;/item&gt;&lt;item&gt;345&lt;/item&gt;&lt;item&gt;348&lt;/item&gt;&lt;item&gt;351&lt;/item&gt;&lt;item&gt;352&lt;/item&gt;&lt;item&gt;354&lt;/item&gt;&lt;item&gt;364&lt;/item&gt;&lt;item&gt;386&lt;/item&gt;&lt;item&gt;388&lt;/item&gt;&lt;item&gt;394&lt;/item&gt;&lt;item&gt;397&lt;/item&gt;&lt;item&gt;409&lt;/item&gt;&lt;item&gt;424&lt;/item&gt;&lt;item&gt;426&lt;/item&gt;&lt;item&gt;429&lt;/item&gt;&lt;item&gt;433&lt;/item&gt;&lt;item&gt;434&lt;/item&gt;&lt;item&gt;439&lt;/item&gt;&lt;item&gt;441&lt;/item&gt;&lt;item&gt;442&lt;/item&gt;&lt;item&gt;455&lt;/item&gt;&lt;item&gt;462&lt;/item&gt;&lt;item&gt;467&lt;/item&gt;&lt;item&gt;468&lt;/item&gt;&lt;item&gt;469&lt;/item&gt;&lt;item&gt;470&lt;/item&gt;&lt;item&gt;472&lt;/item&gt;&lt;item&gt;473&lt;/item&gt;&lt;item&gt;475&lt;/item&gt;&lt;item&gt;503&lt;/item&gt;&lt;item&gt;524&lt;/item&gt;&lt;item&gt;530&lt;/item&gt;&lt;item&gt;683&lt;/item&gt;&lt;item&gt;684&lt;/item&gt;&lt;item&gt;685&lt;/item&gt;&lt;item&gt;705&lt;/item&gt;&lt;item&gt;706&lt;/item&gt;&lt;item&gt;708&lt;/item&gt;&lt;item&gt;720&lt;/item&gt;&lt;item&gt;721&lt;/item&gt;&lt;item&gt;723&lt;/item&gt;&lt;item&gt;724&lt;/item&gt;&lt;item&gt;725&lt;/item&gt;&lt;item&gt;728&lt;/item&gt;&lt;item&gt;731&lt;/item&gt;&lt;item&gt;732&lt;/item&gt;&lt;item&gt;733&lt;/item&gt;&lt;item&gt;734&lt;/item&gt;&lt;item&gt;735&lt;/item&gt;&lt;item&gt;736&lt;/item&gt;&lt;item&gt;737&lt;/item&gt;&lt;item&gt;738&lt;/item&gt;&lt;item&gt;739&lt;/item&gt;&lt;item&gt;740&lt;/item&gt;&lt;item&gt;760&lt;/item&gt;&lt;item&gt;807&lt;/item&gt;&lt;item&gt;808&lt;/item&gt;&lt;item&gt;809&lt;/item&gt;&lt;item&gt;810&lt;/item&gt;&lt;item&gt;811&lt;/item&gt;&lt;item&gt;812&lt;/item&gt;&lt;item&gt;813&lt;/item&gt;&lt;item&gt;816&lt;/item&gt;&lt;item&gt;817&lt;/item&gt;&lt;item&gt;818&lt;/item&gt;&lt;item&gt;819&lt;/item&gt;&lt;item&gt;820&lt;/item&gt;&lt;item&gt;823&lt;/item&gt;&lt;item&gt;824&lt;/item&gt;&lt;item&gt;826&lt;/item&gt;&lt;/record-ids&gt;&lt;/item&gt;&lt;/Libraries&gt;"/>
  </w:docVars>
  <w:rsids>
    <w:rsidRoot w:val="003012D6"/>
    <w:rsid w:val="0000000D"/>
    <w:rsid w:val="000004A2"/>
    <w:rsid w:val="0000175C"/>
    <w:rsid w:val="00002B74"/>
    <w:rsid w:val="00006B65"/>
    <w:rsid w:val="000113BE"/>
    <w:rsid w:val="00013727"/>
    <w:rsid w:val="00015979"/>
    <w:rsid w:val="0002023F"/>
    <w:rsid w:val="00025C77"/>
    <w:rsid w:val="000262A9"/>
    <w:rsid w:val="0002661D"/>
    <w:rsid w:val="00031B78"/>
    <w:rsid w:val="0003301E"/>
    <w:rsid w:val="000332C5"/>
    <w:rsid w:val="000335F1"/>
    <w:rsid w:val="00034FC9"/>
    <w:rsid w:val="00035535"/>
    <w:rsid w:val="00041F19"/>
    <w:rsid w:val="000426E2"/>
    <w:rsid w:val="000436B6"/>
    <w:rsid w:val="000440F5"/>
    <w:rsid w:val="00044115"/>
    <w:rsid w:val="00045F5D"/>
    <w:rsid w:val="00046483"/>
    <w:rsid w:val="00052681"/>
    <w:rsid w:val="000530AD"/>
    <w:rsid w:val="000618FB"/>
    <w:rsid w:val="0006285D"/>
    <w:rsid w:val="00070016"/>
    <w:rsid w:val="000719B5"/>
    <w:rsid w:val="00071F66"/>
    <w:rsid w:val="00072092"/>
    <w:rsid w:val="00072AB8"/>
    <w:rsid w:val="00074AEE"/>
    <w:rsid w:val="00075E2E"/>
    <w:rsid w:val="00075E3B"/>
    <w:rsid w:val="00075F8B"/>
    <w:rsid w:val="00080D9B"/>
    <w:rsid w:val="000822F9"/>
    <w:rsid w:val="00084FEA"/>
    <w:rsid w:val="00091C70"/>
    <w:rsid w:val="00094309"/>
    <w:rsid w:val="00094B0F"/>
    <w:rsid w:val="0009614C"/>
    <w:rsid w:val="000971CC"/>
    <w:rsid w:val="000A2383"/>
    <w:rsid w:val="000A39F7"/>
    <w:rsid w:val="000A3E7A"/>
    <w:rsid w:val="000A5B71"/>
    <w:rsid w:val="000A5D3D"/>
    <w:rsid w:val="000A6FF0"/>
    <w:rsid w:val="000B234C"/>
    <w:rsid w:val="000B291C"/>
    <w:rsid w:val="000B29F1"/>
    <w:rsid w:val="000B2AA4"/>
    <w:rsid w:val="000B5732"/>
    <w:rsid w:val="000B6091"/>
    <w:rsid w:val="000B70B5"/>
    <w:rsid w:val="000C06C1"/>
    <w:rsid w:val="000C1BDF"/>
    <w:rsid w:val="000C2AA7"/>
    <w:rsid w:val="000C2CF9"/>
    <w:rsid w:val="000C3FC8"/>
    <w:rsid w:val="000C47BC"/>
    <w:rsid w:val="000C6795"/>
    <w:rsid w:val="000D02BD"/>
    <w:rsid w:val="000D32C1"/>
    <w:rsid w:val="000D4503"/>
    <w:rsid w:val="000D4FCB"/>
    <w:rsid w:val="000D6CAD"/>
    <w:rsid w:val="000D75C5"/>
    <w:rsid w:val="000E0274"/>
    <w:rsid w:val="000E0275"/>
    <w:rsid w:val="000E20A2"/>
    <w:rsid w:val="000E27BE"/>
    <w:rsid w:val="000E460D"/>
    <w:rsid w:val="000E4BDE"/>
    <w:rsid w:val="000F0BFB"/>
    <w:rsid w:val="000F0EEC"/>
    <w:rsid w:val="000F34F9"/>
    <w:rsid w:val="000F47F5"/>
    <w:rsid w:val="000F4DAB"/>
    <w:rsid w:val="000F521E"/>
    <w:rsid w:val="000F6652"/>
    <w:rsid w:val="000F7815"/>
    <w:rsid w:val="000F7C2A"/>
    <w:rsid w:val="0010108C"/>
    <w:rsid w:val="00101497"/>
    <w:rsid w:val="00106CBD"/>
    <w:rsid w:val="00107786"/>
    <w:rsid w:val="00111B3B"/>
    <w:rsid w:val="00111B7D"/>
    <w:rsid w:val="00112245"/>
    <w:rsid w:val="00112A9E"/>
    <w:rsid w:val="00112DAA"/>
    <w:rsid w:val="001141AE"/>
    <w:rsid w:val="001142DD"/>
    <w:rsid w:val="00115261"/>
    <w:rsid w:val="00116A1A"/>
    <w:rsid w:val="001170FE"/>
    <w:rsid w:val="00120877"/>
    <w:rsid w:val="00127AA6"/>
    <w:rsid w:val="00130C86"/>
    <w:rsid w:val="00131955"/>
    <w:rsid w:val="00132E45"/>
    <w:rsid w:val="00134DD8"/>
    <w:rsid w:val="00136C80"/>
    <w:rsid w:val="001378AA"/>
    <w:rsid w:val="00143291"/>
    <w:rsid w:val="0014697D"/>
    <w:rsid w:val="00146B2D"/>
    <w:rsid w:val="00150138"/>
    <w:rsid w:val="00150818"/>
    <w:rsid w:val="001515AA"/>
    <w:rsid w:val="00154319"/>
    <w:rsid w:val="001550D1"/>
    <w:rsid w:val="00155637"/>
    <w:rsid w:val="00155D89"/>
    <w:rsid w:val="00156502"/>
    <w:rsid w:val="00157D72"/>
    <w:rsid w:val="00160D4F"/>
    <w:rsid w:val="00161CC6"/>
    <w:rsid w:val="001644C6"/>
    <w:rsid w:val="0016598A"/>
    <w:rsid w:val="00167AB5"/>
    <w:rsid w:val="00171B7C"/>
    <w:rsid w:val="00172F6E"/>
    <w:rsid w:val="00173B1A"/>
    <w:rsid w:val="00174288"/>
    <w:rsid w:val="00176B7D"/>
    <w:rsid w:val="00177FCA"/>
    <w:rsid w:val="001806C0"/>
    <w:rsid w:val="00180C39"/>
    <w:rsid w:val="00180E54"/>
    <w:rsid w:val="00180EBA"/>
    <w:rsid w:val="001838DB"/>
    <w:rsid w:val="001912D1"/>
    <w:rsid w:val="00195738"/>
    <w:rsid w:val="001959E8"/>
    <w:rsid w:val="001A011A"/>
    <w:rsid w:val="001A1151"/>
    <w:rsid w:val="001A1512"/>
    <w:rsid w:val="001A375D"/>
    <w:rsid w:val="001A5623"/>
    <w:rsid w:val="001A7C85"/>
    <w:rsid w:val="001A7D90"/>
    <w:rsid w:val="001B08D9"/>
    <w:rsid w:val="001B0999"/>
    <w:rsid w:val="001B0E66"/>
    <w:rsid w:val="001B19BE"/>
    <w:rsid w:val="001B30B1"/>
    <w:rsid w:val="001B363F"/>
    <w:rsid w:val="001B3D89"/>
    <w:rsid w:val="001B7168"/>
    <w:rsid w:val="001C0823"/>
    <w:rsid w:val="001C2792"/>
    <w:rsid w:val="001C4D87"/>
    <w:rsid w:val="001D0A25"/>
    <w:rsid w:val="001D2F2A"/>
    <w:rsid w:val="001D4CD0"/>
    <w:rsid w:val="001D6888"/>
    <w:rsid w:val="001D68B3"/>
    <w:rsid w:val="001D769D"/>
    <w:rsid w:val="001E28B6"/>
    <w:rsid w:val="001E3814"/>
    <w:rsid w:val="001E3CF0"/>
    <w:rsid w:val="001E42F4"/>
    <w:rsid w:val="001E4CA7"/>
    <w:rsid w:val="001E7439"/>
    <w:rsid w:val="001F5FD6"/>
    <w:rsid w:val="001F6B68"/>
    <w:rsid w:val="00201C99"/>
    <w:rsid w:val="0020247A"/>
    <w:rsid w:val="00202A83"/>
    <w:rsid w:val="00203EDC"/>
    <w:rsid w:val="0020599F"/>
    <w:rsid w:val="00206C05"/>
    <w:rsid w:val="00210628"/>
    <w:rsid w:val="00211570"/>
    <w:rsid w:val="00213C45"/>
    <w:rsid w:val="00215246"/>
    <w:rsid w:val="002153DA"/>
    <w:rsid w:val="00215D28"/>
    <w:rsid w:val="002174A0"/>
    <w:rsid w:val="0022152F"/>
    <w:rsid w:val="00223360"/>
    <w:rsid w:val="00223F93"/>
    <w:rsid w:val="00225341"/>
    <w:rsid w:val="00226F7F"/>
    <w:rsid w:val="00227B29"/>
    <w:rsid w:val="00232BC8"/>
    <w:rsid w:val="0023550A"/>
    <w:rsid w:val="00237EBE"/>
    <w:rsid w:val="00240589"/>
    <w:rsid w:val="00241B2C"/>
    <w:rsid w:val="00243A81"/>
    <w:rsid w:val="00243B9D"/>
    <w:rsid w:val="00243E8B"/>
    <w:rsid w:val="0024448B"/>
    <w:rsid w:val="00245A19"/>
    <w:rsid w:val="00246572"/>
    <w:rsid w:val="00247A43"/>
    <w:rsid w:val="00250F46"/>
    <w:rsid w:val="00251793"/>
    <w:rsid w:val="00252FCD"/>
    <w:rsid w:val="0025475A"/>
    <w:rsid w:val="00265563"/>
    <w:rsid w:val="002664F2"/>
    <w:rsid w:val="00266E67"/>
    <w:rsid w:val="00267437"/>
    <w:rsid w:val="002703E1"/>
    <w:rsid w:val="00272D70"/>
    <w:rsid w:val="00273E6D"/>
    <w:rsid w:val="002745A9"/>
    <w:rsid w:val="00276C46"/>
    <w:rsid w:val="00277E5B"/>
    <w:rsid w:val="00283ECC"/>
    <w:rsid w:val="002918A1"/>
    <w:rsid w:val="00291D74"/>
    <w:rsid w:val="0029225E"/>
    <w:rsid w:val="002932AF"/>
    <w:rsid w:val="0029511C"/>
    <w:rsid w:val="00295ACB"/>
    <w:rsid w:val="00296280"/>
    <w:rsid w:val="00296855"/>
    <w:rsid w:val="00297523"/>
    <w:rsid w:val="002A5B41"/>
    <w:rsid w:val="002B0CBF"/>
    <w:rsid w:val="002B0D25"/>
    <w:rsid w:val="002B4D0A"/>
    <w:rsid w:val="002B579C"/>
    <w:rsid w:val="002B60BA"/>
    <w:rsid w:val="002C05DD"/>
    <w:rsid w:val="002C0C9A"/>
    <w:rsid w:val="002C2817"/>
    <w:rsid w:val="002D0760"/>
    <w:rsid w:val="002D2044"/>
    <w:rsid w:val="002D2C73"/>
    <w:rsid w:val="002D41EA"/>
    <w:rsid w:val="002D429C"/>
    <w:rsid w:val="002D65F5"/>
    <w:rsid w:val="002E2A29"/>
    <w:rsid w:val="002E3F66"/>
    <w:rsid w:val="002E4DE5"/>
    <w:rsid w:val="002E54C9"/>
    <w:rsid w:val="002E6783"/>
    <w:rsid w:val="002F1027"/>
    <w:rsid w:val="002F1A00"/>
    <w:rsid w:val="002F2061"/>
    <w:rsid w:val="002F54CA"/>
    <w:rsid w:val="002F7BF6"/>
    <w:rsid w:val="00300106"/>
    <w:rsid w:val="003012D6"/>
    <w:rsid w:val="00302E4C"/>
    <w:rsid w:val="00306EEE"/>
    <w:rsid w:val="00307220"/>
    <w:rsid w:val="00310D2C"/>
    <w:rsid w:val="00312CD6"/>
    <w:rsid w:val="00313D3B"/>
    <w:rsid w:val="00316F19"/>
    <w:rsid w:val="0032092F"/>
    <w:rsid w:val="00321268"/>
    <w:rsid w:val="00321A5B"/>
    <w:rsid w:val="003227D5"/>
    <w:rsid w:val="00323E52"/>
    <w:rsid w:val="00324B79"/>
    <w:rsid w:val="00324D2E"/>
    <w:rsid w:val="00327E48"/>
    <w:rsid w:val="00333BEF"/>
    <w:rsid w:val="00335D1E"/>
    <w:rsid w:val="00336A2B"/>
    <w:rsid w:val="003402BE"/>
    <w:rsid w:val="003415A0"/>
    <w:rsid w:val="00342F85"/>
    <w:rsid w:val="0035037E"/>
    <w:rsid w:val="0035127A"/>
    <w:rsid w:val="00351A76"/>
    <w:rsid w:val="00353535"/>
    <w:rsid w:val="00354867"/>
    <w:rsid w:val="00357827"/>
    <w:rsid w:val="00360B96"/>
    <w:rsid w:val="00362E1C"/>
    <w:rsid w:val="00364AB1"/>
    <w:rsid w:val="00373A23"/>
    <w:rsid w:val="00373F93"/>
    <w:rsid w:val="003749A8"/>
    <w:rsid w:val="00374C3F"/>
    <w:rsid w:val="00374DBE"/>
    <w:rsid w:val="00377E35"/>
    <w:rsid w:val="00381A50"/>
    <w:rsid w:val="00381BFB"/>
    <w:rsid w:val="0038297C"/>
    <w:rsid w:val="003839D3"/>
    <w:rsid w:val="00383A1F"/>
    <w:rsid w:val="00385086"/>
    <w:rsid w:val="0038616C"/>
    <w:rsid w:val="00387F68"/>
    <w:rsid w:val="003918CF"/>
    <w:rsid w:val="00391B26"/>
    <w:rsid w:val="00395FD1"/>
    <w:rsid w:val="003A04ED"/>
    <w:rsid w:val="003A0567"/>
    <w:rsid w:val="003A0AA0"/>
    <w:rsid w:val="003A1F77"/>
    <w:rsid w:val="003A74BF"/>
    <w:rsid w:val="003B105E"/>
    <w:rsid w:val="003B3D19"/>
    <w:rsid w:val="003B4269"/>
    <w:rsid w:val="003B44A2"/>
    <w:rsid w:val="003B4C39"/>
    <w:rsid w:val="003B6E33"/>
    <w:rsid w:val="003C026A"/>
    <w:rsid w:val="003C1992"/>
    <w:rsid w:val="003C69F5"/>
    <w:rsid w:val="003D0346"/>
    <w:rsid w:val="003D17D6"/>
    <w:rsid w:val="003D423B"/>
    <w:rsid w:val="003D4859"/>
    <w:rsid w:val="003D4D30"/>
    <w:rsid w:val="003D63B0"/>
    <w:rsid w:val="003D6A1A"/>
    <w:rsid w:val="003D6AF1"/>
    <w:rsid w:val="003E0E93"/>
    <w:rsid w:val="003E251C"/>
    <w:rsid w:val="003E2581"/>
    <w:rsid w:val="003E4F22"/>
    <w:rsid w:val="003E655A"/>
    <w:rsid w:val="003E74AA"/>
    <w:rsid w:val="003E782A"/>
    <w:rsid w:val="003F0F85"/>
    <w:rsid w:val="003F3413"/>
    <w:rsid w:val="003F55E7"/>
    <w:rsid w:val="003F57CE"/>
    <w:rsid w:val="003F7D33"/>
    <w:rsid w:val="00401C71"/>
    <w:rsid w:val="00401EA0"/>
    <w:rsid w:val="0040293B"/>
    <w:rsid w:val="00403769"/>
    <w:rsid w:val="00405601"/>
    <w:rsid w:val="0040604D"/>
    <w:rsid w:val="00407A34"/>
    <w:rsid w:val="00407F9E"/>
    <w:rsid w:val="00412EE3"/>
    <w:rsid w:val="00415CD5"/>
    <w:rsid w:val="00420133"/>
    <w:rsid w:val="00423E60"/>
    <w:rsid w:val="00423FA9"/>
    <w:rsid w:val="00424B88"/>
    <w:rsid w:val="004251C1"/>
    <w:rsid w:val="00425558"/>
    <w:rsid w:val="004257A5"/>
    <w:rsid w:val="00434736"/>
    <w:rsid w:val="00436F83"/>
    <w:rsid w:val="0043765C"/>
    <w:rsid w:val="00437C0B"/>
    <w:rsid w:val="0044080B"/>
    <w:rsid w:val="00442D2F"/>
    <w:rsid w:val="004440B6"/>
    <w:rsid w:val="00445EBC"/>
    <w:rsid w:val="00452AAA"/>
    <w:rsid w:val="004542EF"/>
    <w:rsid w:val="004561C1"/>
    <w:rsid w:val="004610E6"/>
    <w:rsid w:val="00462650"/>
    <w:rsid w:val="0046333F"/>
    <w:rsid w:val="00464D62"/>
    <w:rsid w:val="00466D03"/>
    <w:rsid w:val="004708F6"/>
    <w:rsid w:val="00471060"/>
    <w:rsid w:val="00472FAF"/>
    <w:rsid w:val="00473138"/>
    <w:rsid w:val="00473AE7"/>
    <w:rsid w:val="00475734"/>
    <w:rsid w:val="00476369"/>
    <w:rsid w:val="0047742B"/>
    <w:rsid w:val="0047782F"/>
    <w:rsid w:val="00477E40"/>
    <w:rsid w:val="00477F75"/>
    <w:rsid w:val="00484FCD"/>
    <w:rsid w:val="00486D96"/>
    <w:rsid w:val="00486DBC"/>
    <w:rsid w:val="0048766B"/>
    <w:rsid w:val="00487D6F"/>
    <w:rsid w:val="004922E6"/>
    <w:rsid w:val="0049264E"/>
    <w:rsid w:val="0049393C"/>
    <w:rsid w:val="00497485"/>
    <w:rsid w:val="00497E2D"/>
    <w:rsid w:val="004A39D9"/>
    <w:rsid w:val="004A4182"/>
    <w:rsid w:val="004A6E56"/>
    <w:rsid w:val="004A75A8"/>
    <w:rsid w:val="004A7D5A"/>
    <w:rsid w:val="004B2B87"/>
    <w:rsid w:val="004B4B02"/>
    <w:rsid w:val="004B60E2"/>
    <w:rsid w:val="004B6433"/>
    <w:rsid w:val="004B73A5"/>
    <w:rsid w:val="004B78EA"/>
    <w:rsid w:val="004C3EF9"/>
    <w:rsid w:val="004C4FAF"/>
    <w:rsid w:val="004C7254"/>
    <w:rsid w:val="004C76ED"/>
    <w:rsid w:val="004D18BD"/>
    <w:rsid w:val="004D23FD"/>
    <w:rsid w:val="004E610A"/>
    <w:rsid w:val="004E7411"/>
    <w:rsid w:val="004F08CF"/>
    <w:rsid w:val="004F09CC"/>
    <w:rsid w:val="004F0DC5"/>
    <w:rsid w:val="004F3290"/>
    <w:rsid w:val="004F7A56"/>
    <w:rsid w:val="005040D4"/>
    <w:rsid w:val="005041F3"/>
    <w:rsid w:val="005120B8"/>
    <w:rsid w:val="00514946"/>
    <w:rsid w:val="005211E0"/>
    <w:rsid w:val="00521A14"/>
    <w:rsid w:val="00521A65"/>
    <w:rsid w:val="0052241F"/>
    <w:rsid w:val="00523FE0"/>
    <w:rsid w:val="005248DA"/>
    <w:rsid w:val="00525A50"/>
    <w:rsid w:val="00525B27"/>
    <w:rsid w:val="00525BAA"/>
    <w:rsid w:val="005264D9"/>
    <w:rsid w:val="005268A9"/>
    <w:rsid w:val="00526A6A"/>
    <w:rsid w:val="00530346"/>
    <w:rsid w:val="0053314D"/>
    <w:rsid w:val="00533C17"/>
    <w:rsid w:val="00534A3A"/>
    <w:rsid w:val="00535A3F"/>
    <w:rsid w:val="00535CDE"/>
    <w:rsid w:val="00537509"/>
    <w:rsid w:val="00537D47"/>
    <w:rsid w:val="00540A26"/>
    <w:rsid w:val="00542A2B"/>
    <w:rsid w:val="0054431A"/>
    <w:rsid w:val="005450C8"/>
    <w:rsid w:val="005512E6"/>
    <w:rsid w:val="00554366"/>
    <w:rsid w:val="00555B56"/>
    <w:rsid w:val="005578B9"/>
    <w:rsid w:val="0056431B"/>
    <w:rsid w:val="0057122C"/>
    <w:rsid w:val="005746FC"/>
    <w:rsid w:val="00574FE8"/>
    <w:rsid w:val="00575863"/>
    <w:rsid w:val="00577D76"/>
    <w:rsid w:val="005832EE"/>
    <w:rsid w:val="0058419A"/>
    <w:rsid w:val="00585582"/>
    <w:rsid w:val="00590157"/>
    <w:rsid w:val="00593C90"/>
    <w:rsid w:val="005945B5"/>
    <w:rsid w:val="00594CE9"/>
    <w:rsid w:val="00596D27"/>
    <w:rsid w:val="00597168"/>
    <w:rsid w:val="0059757F"/>
    <w:rsid w:val="005A02B1"/>
    <w:rsid w:val="005A299F"/>
    <w:rsid w:val="005A2DC4"/>
    <w:rsid w:val="005A32E4"/>
    <w:rsid w:val="005A6BC7"/>
    <w:rsid w:val="005A6FED"/>
    <w:rsid w:val="005A7C46"/>
    <w:rsid w:val="005B0378"/>
    <w:rsid w:val="005B14B3"/>
    <w:rsid w:val="005B3775"/>
    <w:rsid w:val="005B5427"/>
    <w:rsid w:val="005B54E7"/>
    <w:rsid w:val="005C2CD0"/>
    <w:rsid w:val="005C3198"/>
    <w:rsid w:val="005C4D73"/>
    <w:rsid w:val="005C529B"/>
    <w:rsid w:val="005C668A"/>
    <w:rsid w:val="005D0545"/>
    <w:rsid w:val="005D0F10"/>
    <w:rsid w:val="005D624B"/>
    <w:rsid w:val="005D6F88"/>
    <w:rsid w:val="005E00DD"/>
    <w:rsid w:val="005E05A7"/>
    <w:rsid w:val="005E24ED"/>
    <w:rsid w:val="005E66EC"/>
    <w:rsid w:val="005E78DD"/>
    <w:rsid w:val="005F2012"/>
    <w:rsid w:val="005F2D51"/>
    <w:rsid w:val="00601D9E"/>
    <w:rsid w:val="00602DEF"/>
    <w:rsid w:val="006031D9"/>
    <w:rsid w:val="00606594"/>
    <w:rsid w:val="006124A1"/>
    <w:rsid w:val="00612767"/>
    <w:rsid w:val="00612ABD"/>
    <w:rsid w:val="00613126"/>
    <w:rsid w:val="00614807"/>
    <w:rsid w:val="006149B6"/>
    <w:rsid w:val="00616936"/>
    <w:rsid w:val="00616BAE"/>
    <w:rsid w:val="0061730B"/>
    <w:rsid w:val="00620A51"/>
    <w:rsid w:val="0062348B"/>
    <w:rsid w:val="00625D31"/>
    <w:rsid w:val="00633F50"/>
    <w:rsid w:val="00635826"/>
    <w:rsid w:val="0063631A"/>
    <w:rsid w:val="00641482"/>
    <w:rsid w:val="006455DA"/>
    <w:rsid w:val="006459AE"/>
    <w:rsid w:val="00647A7D"/>
    <w:rsid w:val="00650BF5"/>
    <w:rsid w:val="00650CF5"/>
    <w:rsid w:val="00651777"/>
    <w:rsid w:val="00652D6E"/>
    <w:rsid w:val="0065344E"/>
    <w:rsid w:val="00653992"/>
    <w:rsid w:val="006540B6"/>
    <w:rsid w:val="00655CED"/>
    <w:rsid w:val="00656342"/>
    <w:rsid w:val="006571E5"/>
    <w:rsid w:val="00657D02"/>
    <w:rsid w:val="00661A09"/>
    <w:rsid w:val="00666847"/>
    <w:rsid w:val="00670BBD"/>
    <w:rsid w:val="00671D74"/>
    <w:rsid w:val="00672C8E"/>
    <w:rsid w:val="00673ADF"/>
    <w:rsid w:val="00674362"/>
    <w:rsid w:val="00675AD2"/>
    <w:rsid w:val="006763AB"/>
    <w:rsid w:val="006802BC"/>
    <w:rsid w:val="00684EC3"/>
    <w:rsid w:val="00685AB8"/>
    <w:rsid w:val="00686CE5"/>
    <w:rsid w:val="00687EA6"/>
    <w:rsid w:val="00692475"/>
    <w:rsid w:val="00692942"/>
    <w:rsid w:val="0069697A"/>
    <w:rsid w:val="006A53A9"/>
    <w:rsid w:val="006A650C"/>
    <w:rsid w:val="006B3C92"/>
    <w:rsid w:val="006B743A"/>
    <w:rsid w:val="006C02C6"/>
    <w:rsid w:val="006C1AFA"/>
    <w:rsid w:val="006C26E1"/>
    <w:rsid w:val="006C58B3"/>
    <w:rsid w:val="006D0154"/>
    <w:rsid w:val="006D1D56"/>
    <w:rsid w:val="006D253E"/>
    <w:rsid w:val="006D26FB"/>
    <w:rsid w:val="006D4DB4"/>
    <w:rsid w:val="006D4E85"/>
    <w:rsid w:val="006D582E"/>
    <w:rsid w:val="006D5C54"/>
    <w:rsid w:val="006E0618"/>
    <w:rsid w:val="006E25F7"/>
    <w:rsid w:val="006E450A"/>
    <w:rsid w:val="006E4DBB"/>
    <w:rsid w:val="006E5C2E"/>
    <w:rsid w:val="006E668E"/>
    <w:rsid w:val="006F0867"/>
    <w:rsid w:val="006F0E6C"/>
    <w:rsid w:val="006F5C24"/>
    <w:rsid w:val="007031BF"/>
    <w:rsid w:val="00705416"/>
    <w:rsid w:val="007100E1"/>
    <w:rsid w:val="00711D66"/>
    <w:rsid w:val="00715430"/>
    <w:rsid w:val="0071712A"/>
    <w:rsid w:val="00721BB1"/>
    <w:rsid w:val="00721E1A"/>
    <w:rsid w:val="00727C1B"/>
    <w:rsid w:val="007332CB"/>
    <w:rsid w:val="00733C27"/>
    <w:rsid w:val="007340F8"/>
    <w:rsid w:val="00734A31"/>
    <w:rsid w:val="00736122"/>
    <w:rsid w:val="00743616"/>
    <w:rsid w:val="00743DE3"/>
    <w:rsid w:val="00752042"/>
    <w:rsid w:val="0075683D"/>
    <w:rsid w:val="00756A7B"/>
    <w:rsid w:val="00757425"/>
    <w:rsid w:val="007579C3"/>
    <w:rsid w:val="00760FEE"/>
    <w:rsid w:val="00763CA4"/>
    <w:rsid w:val="00764FB9"/>
    <w:rsid w:val="00770479"/>
    <w:rsid w:val="007704F7"/>
    <w:rsid w:val="00771183"/>
    <w:rsid w:val="0077271F"/>
    <w:rsid w:val="00773305"/>
    <w:rsid w:val="00773A4C"/>
    <w:rsid w:val="00777311"/>
    <w:rsid w:val="0077740E"/>
    <w:rsid w:val="00780CC0"/>
    <w:rsid w:val="00786CC8"/>
    <w:rsid w:val="00787701"/>
    <w:rsid w:val="007909FC"/>
    <w:rsid w:val="00793161"/>
    <w:rsid w:val="00797314"/>
    <w:rsid w:val="007A5804"/>
    <w:rsid w:val="007A6FF5"/>
    <w:rsid w:val="007A7422"/>
    <w:rsid w:val="007B081D"/>
    <w:rsid w:val="007B0A39"/>
    <w:rsid w:val="007B24EF"/>
    <w:rsid w:val="007B32E7"/>
    <w:rsid w:val="007B52D8"/>
    <w:rsid w:val="007B7E2B"/>
    <w:rsid w:val="007C0030"/>
    <w:rsid w:val="007C00FD"/>
    <w:rsid w:val="007C1072"/>
    <w:rsid w:val="007C2E4F"/>
    <w:rsid w:val="007C37AA"/>
    <w:rsid w:val="007C3A5D"/>
    <w:rsid w:val="007C3BC6"/>
    <w:rsid w:val="007C5C40"/>
    <w:rsid w:val="007C76F0"/>
    <w:rsid w:val="007C7BD2"/>
    <w:rsid w:val="007D02B2"/>
    <w:rsid w:val="007D226E"/>
    <w:rsid w:val="007D2808"/>
    <w:rsid w:val="007D2B5F"/>
    <w:rsid w:val="007D543A"/>
    <w:rsid w:val="007D578A"/>
    <w:rsid w:val="007D7E9D"/>
    <w:rsid w:val="007E263D"/>
    <w:rsid w:val="007E4433"/>
    <w:rsid w:val="007E72CE"/>
    <w:rsid w:val="007E72D6"/>
    <w:rsid w:val="007E7572"/>
    <w:rsid w:val="007E7E1E"/>
    <w:rsid w:val="007F2722"/>
    <w:rsid w:val="007F3499"/>
    <w:rsid w:val="00800C55"/>
    <w:rsid w:val="00800E9D"/>
    <w:rsid w:val="008030A4"/>
    <w:rsid w:val="00803F59"/>
    <w:rsid w:val="0080658C"/>
    <w:rsid w:val="0080695B"/>
    <w:rsid w:val="0080793D"/>
    <w:rsid w:val="00810B81"/>
    <w:rsid w:val="008110E2"/>
    <w:rsid w:val="00812356"/>
    <w:rsid w:val="00813DF5"/>
    <w:rsid w:val="00814811"/>
    <w:rsid w:val="00816D95"/>
    <w:rsid w:val="008207E1"/>
    <w:rsid w:val="00821E07"/>
    <w:rsid w:val="008230D1"/>
    <w:rsid w:val="00823B6E"/>
    <w:rsid w:val="0082415F"/>
    <w:rsid w:val="00825D79"/>
    <w:rsid w:val="00830C75"/>
    <w:rsid w:val="00831CDF"/>
    <w:rsid w:val="008321A2"/>
    <w:rsid w:val="00832650"/>
    <w:rsid w:val="0083323A"/>
    <w:rsid w:val="00840908"/>
    <w:rsid w:val="00843F80"/>
    <w:rsid w:val="008440D2"/>
    <w:rsid w:val="00846E45"/>
    <w:rsid w:val="00851F06"/>
    <w:rsid w:val="00852874"/>
    <w:rsid w:val="008529E9"/>
    <w:rsid w:val="00853E0C"/>
    <w:rsid w:val="0085556F"/>
    <w:rsid w:val="00855FC1"/>
    <w:rsid w:val="00856126"/>
    <w:rsid w:val="008566A6"/>
    <w:rsid w:val="0085787B"/>
    <w:rsid w:val="008634FD"/>
    <w:rsid w:val="0086408E"/>
    <w:rsid w:val="00867722"/>
    <w:rsid w:val="00867CC1"/>
    <w:rsid w:val="00870FA5"/>
    <w:rsid w:val="008717A3"/>
    <w:rsid w:val="0087263F"/>
    <w:rsid w:val="00881547"/>
    <w:rsid w:val="00882067"/>
    <w:rsid w:val="00884538"/>
    <w:rsid w:val="00886A29"/>
    <w:rsid w:val="008908D5"/>
    <w:rsid w:val="0089099A"/>
    <w:rsid w:val="00892D6A"/>
    <w:rsid w:val="008945C5"/>
    <w:rsid w:val="008A0CD6"/>
    <w:rsid w:val="008A11C5"/>
    <w:rsid w:val="008A4BEA"/>
    <w:rsid w:val="008A52F4"/>
    <w:rsid w:val="008A66D1"/>
    <w:rsid w:val="008A6856"/>
    <w:rsid w:val="008B0155"/>
    <w:rsid w:val="008B088A"/>
    <w:rsid w:val="008B2FDC"/>
    <w:rsid w:val="008B3718"/>
    <w:rsid w:val="008C1925"/>
    <w:rsid w:val="008C605C"/>
    <w:rsid w:val="008D1A65"/>
    <w:rsid w:val="008D2DDB"/>
    <w:rsid w:val="008D30EC"/>
    <w:rsid w:val="008D4639"/>
    <w:rsid w:val="008D4C76"/>
    <w:rsid w:val="008D5154"/>
    <w:rsid w:val="008D5E98"/>
    <w:rsid w:val="008E0372"/>
    <w:rsid w:val="008E0F79"/>
    <w:rsid w:val="008E1977"/>
    <w:rsid w:val="008E2CC0"/>
    <w:rsid w:val="008E5CB9"/>
    <w:rsid w:val="008E665B"/>
    <w:rsid w:val="008F026C"/>
    <w:rsid w:val="008F40A4"/>
    <w:rsid w:val="008F495E"/>
    <w:rsid w:val="009016BB"/>
    <w:rsid w:val="00901A76"/>
    <w:rsid w:val="00901B01"/>
    <w:rsid w:val="00903C3E"/>
    <w:rsid w:val="009065D3"/>
    <w:rsid w:val="00907272"/>
    <w:rsid w:val="00911CA5"/>
    <w:rsid w:val="00912845"/>
    <w:rsid w:val="009147C3"/>
    <w:rsid w:val="00915814"/>
    <w:rsid w:val="0091696C"/>
    <w:rsid w:val="00917A18"/>
    <w:rsid w:val="00922496"/>
    <w:rsid w:val="00923E02"/>
    <w:rsid w:val="00934B86"/>
    <w:rsid w:val="00935389"/>
    <w:rsid w:val="00935BE8"/>
    <w:rsid w:val="00935E5D"/>
    <w:rsid w:val="00936341"/>
    <w:rsid w:val="009364E2"/>
    <w:rsid w:val="00937309"/>
    <w:rsid w:val="00942674"/>
    <w:rsid w:val="00942AFA"/>
    <w:rsid w:val="0094360B"/>
    <w:rsid w:val="00943952"/>
    <w:rsid w:val="00946F43"/>
    <w:rsid w:val="009474B7"/>
    <w:rsid w:val="009559F9"/>
    <w:rsid w:val="00957375"/>
    <w:rsid w:val="009610EF"/>
    <w:rsid w:val="00962116"/>
    <w:rsid w:val="00962945"/>
    <w:rsid w:val="00963500"/>
    <w:rsid w:val="00963546"/>
    <w:rsid w:val="00964560"/>
    <w:rsid w:val="00966816"/>
    <w:rsid w:val="00970621"/>
    <w:rsid w:val="00970C83"/>
    <w:rsid w:val="00974F77"/>
    <w:rsid w:val="00982105"/>
    <w:rsid w:val="00982991"/>
    <w:rsid w:val="00984E26"/>
    <w:rsid w:val="00985CF7"/>
    <w:rsid w:val="00987168"/>
    <w:rsid w:val="00992083"/>
    <w:rsid w:val="009944F0"/>
    <w:rsid w:val="00997C53"/>
    <w:rsid w:val="009A08E4"/>
    <w:rsid w:val="009A0BBF"/>
    <w:rsid w:val="009A119F"/>
    <w:rsid w:val="009A454D"/>
    <w:rsid w:val="009A4BD2"/>
    <w:rsid w:val="009A51B6"/>
    <w:rsid w:val="009A576A"/>
    <w:rsid w:val="009A74B0"/>
    <w:rsid w:val="009B14E2"/>
    <w:rsid w:val="009B193D"/>
    <w:rsid w:val="009B670C"/>
    <w:rsid w:val="009C2500"/>
    <w:rsid w:val="009C294B"/>
    <w:rsid w:val="009C3A30"/>
    <w:rsid w:val="009C4C30"/>
    <w:rsid w:val="009C52B1"/>
    <w:rsid w:val="009C57D8"/>
    <w:rsid w:val="009C5F25"/>
    <w:rsid w:val="009D17DD"/>
    <w:rsid w:val="009D208C"/>
    <w:rsid w:val="009D5595"/>
    <w:rsid w:val="009D5658"/>
    <w:rsid w:val="009D5A51"/>
    <w:rsid w:val="009D72A7"/>
    <w:rsid w:val="009E1166"/>
    <w:rsid w:val="009E202F"/>
    <w:rsid w:val="009E2B7F"/>
    <w:rsid w:val="009E329E"/>
    <w:rsid w:val="009E592D"/>
    <w:rsid w:val="009E706A"/>
    <w:rsid w:val="009E74ED"/>
    <w:rsid w:val="009E7CF1"/>
    <w:rsid w:val="009F157B"/>
    <w:rsid w:val="009F396E"/>
    <w:rsid w:val="009F3AE6"/>
    <w:rsid w:val="009F5269"/>
    <w:rsid w:val="009F5B7A"/>
    <w:rsid w:val="009F6844"/>
    <w:rsid w:val="009F6D28"/>
    <w:rsid w:val="009F7FB2"/>
    <w:rsid w:val="00A011E5"/>
    <w:rsid w:val="00A021DB"/>
    <w:rsid w:val="00A02A68"/>
    <w:rsid w:val="00A03512"/>
    <w:rsid w:val="00A06453"/>
    <w:rsid w:val="00A0665C"/>
    <w:rsid w:val="00A07017"/>
    <w:rsid w:val="00A07D27"/>
    <w:rsid w:val="00A10344"/>
    <w:rsid w:val="00A10635"/>
    <w:rsid w:val="00A10C9A"/>
    <w:rsid w:val="00A158C8"/>
    <w:rsid w:val="00A24051"/>
    <w:rsid w:val="00A265ED"/>
    <w:rsid w:val="00A26891"/>
    <w:rsid w:val="00A26B28"/>
    <w:rsid w:val="00A271A8"/>
    <w:rsid w:val="00A30711"/>
    <w:rsid w:val="00A34354"/>
    <w:rsid w:val="00A354F8"/>
    <w:rsid w:val="00A35C2E"/>
    <w:rsid w:val="00A36D75"/>
    <w:rsid w:val="00A37684"/>
    <w:rsid w:val="00A37914"/>
    <w:rsid w:val="00A41B19"/>
    <w:rsid w:val="00A41CA0"/>
    <w:rsid w:val="00A434F4"/>
    <w:rsid w:val="00A4354F"/>
    <w:rsid w:val="00A443C3"/>
    <w:rsid w:val="00A46858"/>
    <w:rsid w:val="00A47533"/>
    <w:rsid w:val="00A52106"/>
    <w:rsid w:val="00A54931"/>
    <w:rsid w:val="00A5523E"/>
    <w:rsid w:val="00A55F8D"/>
    <w:rsid w:val="00A57978"/>
    <w:rsid w:val="00A57FD6"/>
    <w:rsid w:val="00A60620"/>
    <w:rsid w:val="00A609FD"/>
    <w:rsid w:val="00A615BF"/>
    <w:rsid w:val="00A63361"/>
    <w:rsid w:val="00A63A44"/>
    <w:rsid w:val="00A67474"/>
    <w:rsid w:val="00A7405F"/>
    <w:rsid w:val="00A7486B"/>
    <w:rsid w:val="00A7673A"/>
    <w:rsid w:val="00A76AC5"/>
    <w:rsid w:val="00A76B5B"/>
    <w:rsid w:val="00A77E04"/>
    <w:rsid w:val="00A80A80"/>
    <w:rsid w:val="00A81AA2"/>
    <w:rsid w:val="00A823B5"/>
    <w:rsid w:val="00A82EAC"/>
    <w:rsid w:val="00A8395E"/>
    <w:rsid w:val="00A8586F"/>
    <w:rsid w:val="00A9047C"/>
    <w:rsid w:val="00A90D7B"/>
    <w:rsid w:val="00A91243"/>
    <w:rsid w:val="00A918E3"/>
    <w:rsid w:val="00A91F82"/>
    <w:rsid w:val="00A939F6"/>
    <w:rsid w:val="00A93FAE"/>
    <w:rsid w:val="00A950CB"/>
    <w:rsid w:val="00A95DAD"/>
    <w:rsid w:val="00A97083"/>
    <w:rsid w:val="00AA005F"/>
    <w:rsid w:val="00AA14B5"/>
    <w:rsid w:val="00AA4F79"/>
    <w:rsid w:val="00AB22A4"/>
    <w:rsid w:val="00AB2F1E"/>
    <w:rsid w:val="00AB6011"/>
    <w:rsid w:val="00AC004D"/>
    <w:rsid w:val="00AC0443"/>
    <w:rsid w:val="00AC0C69"/>
    <w:rsid w:val="00AC0E40"/>
    <w:rsid w:val="00AC1E2E"/>
    <w:rsid w:val="00AC4325"/>
    <w:rsid w:val="00AC5C06"/>
    <w:rsid w:val="00AC6533"/>
    <w:rsid w:val="00AD6D0C"/>
    <w:rsid w:val="00AD738A"/>
    <w:rsid w:val="00AE31FF"/>
    <w:rsid w:val="00AE5586"/>
    <w:rsid w:val="00AF0423"/>
    <w:rsid w:val="00AF4D38"/>
    <w:rsid w:val="00AF555E"/>
    <w:rsid w:val="00AF5DE8"/>
    <w:rsid w:val="00AF678C"/>
    <w:rsid w:val="00B00DCC"/>
    <w:rsid w:val="00B017CB"/>
    <w:rsid w:val="00B0360E"/>
    <w:rsid w:val="00B03724"/>
    <w:rsid w:val="00B06150"/>
    <w:rsid w:val="00B06E19"/>
    <w:rsid w:val="00B1010B"/>
    <w:rsid w:val="00B114C1"/>
    <w:rsid w:val="00B208D5"/>
    <w:rsid w:val="00B24A14"/>
    <w:rsid w:val="00B30E69"/>
    <w:rsid w:val="00B33E64"/>
    <w:rsid w:val="00B357AE"/>
    <w:rsid w:val="00B44DE3"/>
    <w:rsid w:val="00B4597F"/>
    <w:rsid w:val="00B46323"/>
    <w:rsid w:val="00B468D1"/>
    <w:rsid w:val="00B473D1"/>
    <w:rsid w:val="00B55305"/>
    <w:rsid w:val="00B569BB"/>
    <w:rsid w:val="00B571F8"/>
    <w:rsid w:val="00B57901"/>
    <w:rsid w:val="00B60A3F"/>
    <w:rsid w:val="00B64FC8"/>
    <w:rsid w:val="00B65AED"/>
    <w:rsid w:val="00B71CC4"/>
    <w:rsid w:val="00B72325"/>
    <w:rsid w:val="00B7362F"/>
    <w:rsid w:val="00B75079"/>
    <w:rsid w:val="00B7615F"/>
    <w:rsid w:val="00B765A2"/>
    <w:rsid w:val="00B76CA0"/>
    <w:rsid w:val="00B80284"/>
    <w:rsid w:val="00B802BF"/>
    <w:rsid w:val="00B83069"/>
    <w:rsid w:val="00B83581"/>
    <w:rsid w:val="00B87787"/>
    <w:rsid w:val="00B92231"/>
    <w:rsid w:val="00B92790"/>
    <w:rsid w:val="00B9288D"/>
    <w:rsid w:val="00B97BF2"/>
    <w:rsid w:val="00BA05D3"/>
    <w:rsid w:val="00BA302A"/>
    <w:rsid w:val="00BA4F1C"/>
    <w:rsid w:val="00BA5A2F"/>
    <w:rsid w:val="00BA6BB4"/>
    <w:rsid w:val="00BA7C84"/>
    <w:rsid w:val="00BB0631"/>
    <w:rsid w:val="00BB1EAA"/>
    <w:rsid w:val="00BB6F71"/>
    <w:rsid w:val="00BB76F9"/>
    <w:rsid w:val="00BC124D"/>
    <w:rsid w:val="00BC191C"/>
    <w:rsid w:val="00BC214F"/>
    <w:rsid w:val="00BC4DB5"/>
    <w:rsid w:val="00BD43A8"/>
    <w:rsid w:val="00BD79C2"/>
    <w:rsid w:val="00BE1D55"/>
    <w:rsid w:val="00BE21B3"/>
    <w:rsid w:val="00BE4D88"/>
    <w:rsid w:val="00BE5AA0"/>
    <w:rsid w:val="00BE6555"/>
    <w:rsid w:val="00BE7B55"/>
    <w:rsid w:val="00BF01F9"/>
    <w:rsid w:val="00BF1397"/>
    <w:rsid w:val="00BF3C91"/>
    <w:rsid w:val="00BF690C"/>
    <w:rsid w:val="00BF70A4"/>
    <w:rsid w:val="00C00CCA"/>
    <w:rsid w:val="00C00E72"/>
    <w:rsid w:val="00C0145B"/>
    <w:rsid w:val="00C01730"/>
    <w:rsid w:val="00C03C79"/>
    <w:rsid w:val="00C05695"/>
    <w:rsid w:val="00C06703"/>
    <w:rsid w:val="00C06D89"/>
    <w:rsid w:val="00C06E4D"/>
    <w:rsid w:val="00C11D66"/>
    <w:rsid w:val="00C12396"/>
    <w:rsid w:val="00C13B78"/>
    <w:rsid w:val="00C1559C"/>
    <w:rsid w:val="00C216F4"/>
    <w:rsid w:val="00C218AA"/>
    <w:rsid w:val="00C27B40"/>
    <w:rsid w:val="00C27E0C"/>
    <w:rsid w:val="00C32C59"/>
    <w:rsid w:val="00C335B1"/>
    <w:rsid w:val="00C3652B"/>
    <w:rsid w:val="00C3773A"/>
    <w:rsid w:val="00C40E16"/>
    <w:rsid w:val="00C426DF"/>
    <w:rsid w:val="00C42782"/>
    <w:rsid w:val="00C45AA8"/>
    <w:rsid w:val="00C46BFF"/>
    <w:rsid w:val="00C46E13"/>
    <w:rsid w:val="00C47B4D"/>
    <w:rsid w:val="00C51F7A"/>
    <w:rsid w:val="00C526FB"/>
    <w:rsid w:val="00C53CDE"/>
    <w:rsid w:val="00C6012D"/>
    <w:rsid w:val="00C60494"/>
    <w:rsid w:val="00C633A1"/>
    <w:rsid w:val="00C64CF4"/>
    <w:rsid w:val="00C66252"/>
    <w:rsid w:val="00C71362"/>
    <w:rsid w:val="00C769BF"/>
    <w:rsid w:val="00C81A69"/>
    <w:rsid w:val="00C829B4"/>
    <w:rsid w:val="00C832FB"/>
    <w:rsid w:val="00C83CA0"/>
    <w:rsid w:val="00C86463"/>
    <w:rsid w:val="00C87C19"/>
    <w:rsid w:val="00C911B3"/>
    <w:rsid w:val="00C94499"/>
    <w:rsid w:val="00CA0157"/>
    <w:rsid w:val="00CA0ED1"/>
    <w:rsid w:val="00CA0FEC"/>
    <w:rsid w:val="00CA3664"/>
    <w:rsid w:val="00CA48BF"/>
    <w:rsid w:val="00CA5425"/>
    <w:rsid w:val="00CA7935"/>
    <w:rsid w:val="00CB0894"/>
    <w:rsid w:val="00CB6B05"/>
    <w:rsid w:val="00CB7F08"/>
    <w:rsid w:val="00CC0096"/>
    <w:rsid w:val="00CC4FBC"/>
    <w:rsid w:val="00CD033D"/>
    <w:rsid w:val="00CD05A9"/>
    <w:rsid w:val="00CD1614"/>
    <w:rsid w:val="00CD39E4"/>
    <w:rsid w:val="00CD52EB"/>
    <w:rsid w:val="00CD52FB"/>
    <w:rsid w:val="00CE2015"/>
    <w:rsid w:val="00CE21C1"/>
    <w:rsid w:val="00CE5A52"/>
    <w:rsid w:val="00CE6EB4"/>
    <w:rsid w:val="00CF1780"/>
    <w:rsid w:val="00CF44AE"/>
    <w:rsid w:val="00CF67AB"/>
    <w:rsid w:val="00CF6858"/>
    <w:rsid w:val="00CF78C2"/>
    <w:rsid w:val="00D006CE"/>
    <w:rsid w:val="00D0159F"/>
    <w:rsid w:val="00D033A4"/>
    <w:rsid w:val="00D068AB"/>
    <w:rsid w:val="00D07E3B"/>
    <w:rsid w:val="00D15653"/>
    <w:rsid w:val="00D15B6A"/>
    <w:rsid w:val="00D15FB7"/>
    <w:rsid w:val="00D16C28"/>
    <w:rsid w:val="00D17C7B"/>
    <w:rsid w:val="00D20AB4"/>
    <w:rsid w:val="00D214BA"/>
    <w:rsid w:val="00D2243F"/>
    <w:rsid w:val="00D25B34"/>
    <w:rsid w:val="00D26B5B"/>
    <w:rsid w:val="00D2739F"/>
    <w:rsid w:val="00D278EA"/>
    <w:rsid w:val="00D30A6D"/>
    <w:rsid w:val="00D31893"/>
    <w:rsid w:val="00D33200"/>
    <w:rsid w:val="00D332C2"/>
    <w:rsid w:val="00D35AB2"/>
    <w:rsid w:val="00D36DC1"/>
    <w:rsid w:val="00D3711C"/>
    <w:rsid w:val="00D41D86"/>
    <w:rsid w:val="00D42C30"/>
    <w:rsid w:val="00D430BE"/>
    <w:rsid w:val="00D45D71"/>
    <w:rsid w:val="00D52657"/>
    <w:rsid w:val="00D52F35"/>
    <w:rsid w:val="00D53395"/>
    <w:rsid w:val="00D540A4"/>
    <w:rsid w:val="00D545A7"/>
    <w:rsid w:val="00D5529F"/>
    <w:rsid w:val="00D62741"/>
    <w:rsid w:val="00D63A52"/>
    <w:rsid w:val="00D63D06"/>
    <w:rsid w:val="00D66D4F"/>
    <w:rsid w:val="00D67291"/>
    <w:rsid w:val="00D6730D"/>
    <w:rsid w:val="00D709A5"/>
    <w:rsid w:val="00D711E4"/>
    <w:rsid w:val="00D72120"/>
    <w:rsid w:val="00D7415A"/>
    <w:rsid w:val="00D7492B"/>
    <w:rsid w:val="00D7501F"/>
    <w:rsid w:val="00D776E0"/>
    <w:rsid w:val="00D77942"/>
    <w:rsid w:val="00D829A8"/>
    <w:rsid w:val="00D83DD9"/>
    <w:rsid w:val="00D83E70"/>
    <w:rsid w:val="00D8530F"/>
    <w:rsid w:val="00D865AD"/>
    <w:rsid w:val="00D9378F"/>
    <w:rsid w:val="00D93DA9"/>
    <w:rsid w:val="00D9757D"/>
    <w:rsid w:val="00DA0E5B"/>
    <w:rsid w:val="00DA1266"/>
    <w:rsid w:val="00DA2ACB"/>
    <w:rsid w:val="00DA5814"/>
    <w:rsid w:val="00DA6B3D"/>
    <w:rsid w:val="00DA6C52"/>
    <w:rsid w:val="00DB11FE"/>
    <w:rsid w:val="00DB27F6"/>
    <w:rsid w:val="00DB2834"/>
    <w:rsid w:val="00DB3025"/>
    <w:rsid w:val="00DB3E6A"/>
    <w:rsid w:val="00DB5E87"/>
    <w:rsid w:val="00DC3D4E"/>
    <w:rsid w:val="00DC6402"/>
    <w:rsid w:val="00DC734E"/>
    <w:rsid w:val="00DD329C"/>
    <w:rsid w:val="00DD46D5"/>
    <w:rsid w:val="00DD4B77"/>
    <w:rsid w:val="00DE388C"/>
    <w:rsid w:val="00DE3CD4"/>
    <w:rsid w:val="00DE41DC"/>
    <w:rsid w:val="00DE439D"/>
    <w:rsid w:val="00DE5EDC"/>
    <w:rsid w:val="00DE64A9"/>
    <w:rsid w:val="00DF131C"/>
    <w:rsid w:val="00DF1BE7"/>
    <w:rsid w:val="00DF2B4A"/>
    <w:rsid w:val="00DF2F94"/>
    <w:rsid w:val="00DF358A"/>
    <w:rsid w:val="00DF3643"/>
    <w:rsid w:val="00DF4380"/>
    <w:rsid w:val="00DF54B0"/>
    <w:rsid w:val="00DF6221"/>
    <w:rsid w:val="00E02429"/>
    <w:rsid w:val="00E05659"/>
    <w:rsid w:val="00E0689E"/>
    <w:rsid w:val="00E073BD"/>
    <w:rsid w:val="00E07AAF"/>
    <w:rsid w:val="00E10D4B"/>
    <w:rsid w:val="00E121B8"/>
    <w:rsid w:val="00E15899"/>
    <w:rsid w:val="00E17573"/>
    <w:rsid w:val="00E17698"/>
    <w:rsid w:val="00E201E6"/>
    <w:rsid w:val="00E20517"/>
    <w:rsid w:val="00E2076D"/>
    <w:rsid w:val="00E24350"/>
    <w:rsid w:val="00E24473"/>
    <w:rsid w:val="00E24AA0"/>
    <w:rsid w:val="00E25618"/>
    <w:rsid w:val="00E3027B"/>
    <w:rsid w:val="00E309E9"/>
    <w:rsid w:val="00E30C19"/>
    <w:rsid w:val="00E30F53"/>
    <w:rsid w:val="00E329B5"/>
    <w:rsid w:val="00E34882"/>
    <w:rsid w:val="00E36FEC"/>
    <w:rsid w:val="00E37D87"/>
    <w:rsid w:val="00E40748"/>
    <w:rsid w:val="00E4127D"/>
    <w:rsid w:val="00E41976"/>
    <w:rsid w:val="00E430D5"/>
    <w:rsid w:val="00E44D52"/>
    <w:rsid w:val="00E44DAC"/>
    <w:rsid w:val="00E4634F"/>
    <w:rsid w:val="00E4724E"/>
    <w:rsid w:val="00E50DB1"/>
    <w:rsid w:val="00E56C41"/>
    <w:rsid w:val="00E574C7"/>
    <w:rsid w:val="00E57F46"/>
    <w:rsid w:val="00E61674"/>
    <w:rsid w:val="00E61A21"/>
    <w:rsid w:val="00E61DEA"/>
    <w:rsid w:val="00E62186"/>
    <w:rsid w:val="00E63E24"/>
    <w:rsid w:val="00E6771B"/>
    <w:rsid w:val="00E7042B"/>
    <w:rsid w:val="00E70541"/>
    <w:rsid w:val="00E71038"/>
    <w:rsid w:val="00E72F73"/>
    <w:rsid w:val="00E73038"/>
    <w:rsid w:val="00E74B54"/>
    <w:rsid w:val="00E75E3E"/>
    <w:rsid w:val="00E83DE6"/>
    <w:rsid w:val="00E84CFA"/>
    <w:rsid w:val="00E858D0"/>
    <w:rsid w:val="00E85F1D"/>
    <w:rsid w:val="00E87657"/>
    <w:rsid w:val="00E90DF7"/>
    <w:rsid w:val="00E92707"/>
    <w:rsid w:val="00E93B98"/>
    <w:rsid w:val="00E97D08"/>
    <w:rsid w:val="00EA1F8B"/>
    <w:rsid w:val="00EA68D3"/>
    <w:rsid w:val="00EB36C5"/>
    <w:rsid w:val="00EB5CC4"/>
    <w:rsid w:val="00EB5E1F"/>
    <w:rsid w:val="00EB633E"/>
    <w:rsid w:val="00EB6EFB"/>
    <w:rsid w:val="00EB7F1C"/>
    <w:rsid w:val="00EC0C76"/>
    <w:rsid w:val="00EC1450"/>
    <w:rsid w:val="00EC501D"/>
    <w:rsid w:val="00EC5C6F"/>
    <w:rsid w:val="00EC650A"/>
    <w:rsid w:val="00EC67F0"/>
    <w:rsid w:val="00EC7D0D"/>
    <w:rsid w:val="00ED64F4"/>
    <w:rsid w:val="00EE0BAA"/>
    <w:rsid w:val="00EE4601"/>
    <w:rsid w:val="00EE5F73"/>
    <w:rsid w:val="00EE6302"/>
    <w:rsid w:val="00EE7115"/>
    <w:rsid w:val="00EE7D32"/>
    <w:rsid w:val="00EE7FBF"/>
    <w:rsid w:val="00EF107D"/>
    <w:rsid w:val="00EF2867"/>
    <w:rsid w:val="00EF4744"/>
    <w:rsid w:val="00EF4B68"/>
    <w:rsid w:val="00EF5F3E"/>
    <w:rsid w:val="00EF69EC"/>
    <w:rsid w:val="00F045DE"/>
    <w:rsid w:val="00F075FE"/>
    <w:rsid w:val="00F07AD0"/>
    <w:rsid w:val="00F11506"/>
    <w:rsid w:val="00F11643"/>
    <w:rsid w:val="00F11BC5"/>
    <w:rsid w:val="00F13DCB"/>
    <w:rsid w:val="00F15250"/>
    <w:rsid w:val="00F15D22"/>
    <w:rsid w:val="00F164FD"/>
    <w:rsid w:val="00F17B40"/>
    <w:rsid w:val="00F207F7"/>
    <w:rsid w:val="00F21779"/>
    <w:rsid w:val="00F21A31"/>
    <w:rsid w:val="00F21BD6"/>
    <w:rsid w:val="00F21C26"/>
    <w:rsid w:val="00F22EBD"/>
    <w:rsid w:val="00F26DF2"/>
    <w:rsid w:val="00F271F6"/>
    <w:rsid w:val="00F307D8"/>
    <w:rsid w:val="00F3259A"/>
    <w:rsid w:val="00F33B86"/>
    <w:rsid w:val="00F3426B"/>
    <w:rsid w:val="00F34E93"/>
    <w:rsid w:val="00F364CC"/>
    <w:rsid w:val="00F369AD"/>
    <w:rsid w:val="00F4280A"/>
    <w:rsid w:val="00F45880"/>
    <w:rsid w:val="00F46C11"/>
    <w:rsid w:val="00F503CE"/>
    <w:rsid w:val="00F5144F"/>
    <w:rsid w:val="00F51523"/>
    <w:rsid w:val="00F53ED4"/>
    <w:rsid w:val="00F53F4F"/>
    <w:rsid w:val="00F54666"/>
    <w:rsid w:val="00F5596C"/>
    <w:rsid w:val="00F55EE0"/>
    <w:rsid w:val="00F578A1"/>
    <w:rsid w:val="00F60CB7"/>
    <w:rsid w:val="00F62A2A"/>
    <w:rsid w:val="00F63706"/>
    <w:rsid w:val="00F64B13"/>
    <w:rsid w:val="00F64BE1"/>
    <w:rsid w:val="00F651C6"/>
    <w:rsid w:val="00F67468"/>
    <w:rsid w:val="00F71C13"/>
    <w:rsid w:val="00F72F51"/>
    <w:rsid w:val="00F73770"/>
    <w:rsid w:val="00F76C48"/>
    <w:rsid w:val="00F81B65"/>
    <w:rsid w:val="00F90905"/>
    <w:rsid w:val="00F9093A"/>
    <w:rsid w:val="00F93087"/>
    <w:rsid w:val="00F935E2"/>
    <w:rsid w:val="00F937F7"/>
    <w:rsid w:val="00F95388"/>
    <w:rsid w:val="00F96153"/>
    <w:rsid w:val="00F961CE"/>
    <w:rsid w:val="00F963A3"/>
    <w:rsid w:val="00F96C91"/>
    <w:rsid w:val="00FA4890"/>
    <w:rsid w:val="00FA5928"/>
    <w:rsid w:val="00FA7843"/>
    <w:rsid w:val="00FA7A47"/>
    <w:rsid w:val="00FB407B"/>
    <w:rsid w:val="00FB594F"/>
    <w:rsid w:val="00FB5E8E"/>
    <w:rsid w:val="00FB6283"/>
    <w:rsid w:val="00FC0B31"/>
    <w:rsid w:val="00FC10EA"/>
    <w:rsid w:val="00FC1738"/>
    <w:rsid w:val="00FC2A87"/>
    <w:rsid w:val="00FC31D8"/>
    <w:rsid w:val="00FC3414"/>
    <w:rsid w:val="00FC394D"/>
    <w:rsid w:val="00FC5A03"/>
    <w:rsid w:val="00FD0900"/>
    <w:rsid w:val="00FD2134"/>
    <w:rsid w:val="00FD2EB4"/>
    <w:rsid w:val="00FD61B1"/>
    <w:rsid w:val="00FD6330"/>
    <w:rsid w:val="00FD7BAE"/>
    <w:rsid w:val="00FD7E6B"/>
    <w:rsid w:val="00FE2EE7"/>
    <w:rsid w:val="00FE691F"/>
    <w:rsid w:val="00FE6D60"/>
    <w:rsid w:val="00FE720C"/>
    <w:rsid w:val="00FE73C1"/>
    <w:rsid w:val="00FF1DCD"/>
    <w:rsid w:val="00FF63D3"/>
    <w:rsid w:val="00FF6D1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34C92A"/>
  <w15:docId w15:val="{31B6CE97-9A96-4AA0-BB69-E025AC7A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69"/>
  </w:style>
  <w:style w:type="paragraph" w:styleId="Heading1">
    <w:name w:val="heading 1"/>
    <w:basedOn w:val="Normal"/>
    <w:next w:val="Normal"/>
    <w:link w:val="Heading1Char"/>
    <w:autoRedefine/>
    <w:uiPriority w:val="9"/>
    <w:qFormat/>
    <w:rsid w:val="005578B9"/>
    <w:pPr>
      <w:keepNext/>
      <w:keepLines/>
      <w:numPr>
        <w:numId w:val="27"/>
      </w:numPr>
      <w:spacing w:before="240" w:after="0" w:line="480" w:lineRule="auto"/>
      <w:ind w:left="426"/>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D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A34"/>
    <w:pPr>
      <w:keepNext/>
      <w:keepLines/>
      <w:spacing w:before="200" w:after="0"/>
      <w:outlineLvl w:val="2"/>
    </w:pPr>
    <w:rPr>
      <w:rFonts w:ascii="Times New Roman" w:eastAsiaTheme="majorEastAsia" w:hAnsi="Times New Roman" w:cstheme="majorBidi"/>
      <w:b/>
      <w:bCs/>
      <w:color w:val="4F81BD" w:themeColor="accent1"/>
      <w:sz w:val="20"/>
    </w:rPr>
  </w:style>
  <w:style w:type="paragraph" w:styleId="Heading4">
    <w:name w:val="heading 4"/>
    <w:basedOn w:val="Normal"/>
    <w:next w:val="Normal"/>
    <w:link w:val="Heading4Char"/>
    <w:uiPriority w:val="9"/>
    <w:unhideWhenUsed/>
    <w:qFormat/>
    <w:rsid w:val="009F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9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29B4"/>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C829B4"/>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C829B4"/>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C829B4"/>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07A34"/>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407A34"/>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5578B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D2B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7A34"/>
    <w:rPr>
      <w:rFonts w:ascii="Times New Roman" w:eastAsiaTheme="majorEastAsia" w:hAnsi="Times New Roman" w:cstheme="majorBidi"/>
      <w:b/>
      <w:bCs/>
      <w:color w:val="4F81BD" w:themeColor="accent1"/>
      <w:sz w:val="20"/>
    </w:rPr>
  </w:style>
  <w:style w:type="character" w:customStyle="1" w:styleId="Heading4Char">
    <w:name w:val="Heading 4 Char"/>
    <w:basedOn w:val="DefaultParagraphFont"/>
    <w:link w:val="Heading4"/>
    <w:uiPriority w:val="9"/>
    <w:rsid w:val="009F7FB2"/>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407A34"/>
  </w:style>
  <w:style w:type="paragraph" w:customStyle="1" w:styleId="Heading11">
    <w:name w:val="Heading 11"/>
    <w:basedOn w:val="Normal"/>
    <w:next w:val="Normal"/>
    <w:uiPriority w:val="9"/>
    <w:qFormat/>
    <w:rsid w:val="00407A34"/>
    <w:pPr>
      <w:keepNext/>
      <w:keepLines/>
      <w:spacing w:before="240" w:after="0" w:line="259" w:lineRule="auto"/>
      <w:outlineLvl w:val="0"/>
    </w:pPr>
    <w:rPr>
      <w:rFonts w:ascii="Times New Roman" w:eastAsia="Times New Roman" w:hAnsi="Times New Roman" w:cs="Times New Roman"/>
      <w:b/>
      <w:color w:val="000000"/>
      <w:sz w:val="24"/>
      <w:szCs w:val="32"/>
    </w:rPr>
  </w:style>
  <w:style w:type="paragraph" w:customStyle="1" w:styleId="Heading21">
    <w:name w:val="Heading 21"/>
    <w:basedOn w:val="Normal"/>
    <w:next w:val="Normal"/>
    <w:uiPriority w:val="9"/>
    <w:unhideWhenUsed/>
    <w:qFormat/>
    <w:rsid w:val="00407A34"/>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407A34"/>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NoList11">
    <w:name w:val="No List11"/>
    <w:next w:val="NoList"/>
    <w:uiPriority w:val="99"/>
    <w:semiHidden/>
    <w:unhideWhenUsed/>
    <w:rsid w:val="00407A34"/>
  </w:style>
  <w:style w:type="paragraph" w:customStyle="1" w:styleId="Title1">
    <w:name w:val="Title1"/>
    <w:basedOn w:val="Normal"/>
    <w:next w:val="Normal"/>
    <w:autoRedefine/>
    <w:uiPriority w:val="10"/>
    <w:qFormat/>
    <w:rsid w:val="00407A34"/>
    <w:pPr>
      <w:spacing w:after="0" w:line="480" w:lineRule="auto"/>
      <w:contextualSpacing/>
      <w:jc w:val="center"/>
    </w:pPr>
    <w:rPr>
      <w:rFonts w:ascii="Times New Roman" w:eastAsia="Times New Roman" w:hAnsi="Times New Roman" w:cs="Times New Roman"/>
      <w:color w:val="000000"/>
      <w:spacing w:val="-10"/>
      <w:kern w:val="28"/>
      <w:sz w:val="32"/>
      <w:szCs w:val="56"/>
      <w:lang w:eastAsia="en-GB"/>
    </w:rPr>
  </w:style>
  <w:style w:type="paragraph" w:customStyle="1" w:styleId="ListParagraph1">
    <w:name w:val="List Paragraph1"/>
    <w:basedOn w:val="Normal"/>
    <w:next w:val="ListParagraph"/>
    <w:uiPriority w:val="34"/>
    <w:qFormat/>
    <w:rsid w:val="00407A34"/>
    <w:pPr>
      <w:spacing w:after="160" w:line="259" w:lineRule="auto"/>
      <w:ind w:left="720"/>
      <w:contextualSpacing/>
    </w:pPr>
    <w:rPr>
      <w:rFonts w:ascii="Calibri" w:hAnsi="Calibri"/>
      <w:sz w:val="24"/>
    </w:rPr>
  </w:style>
  <w:style w:type="paragraph" w:customStyle="1" w:styleId="Default">
    <w:name w:val="Default"/>
    <w:rsid w:val="00407A34"/>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407A3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A3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customStyle="1" w:styleId="TableGrid11">
    <w:name w:val="Table Grid11"/>
    <w:basedOn w:val="TableNormal"/>
    <w:next w:val="TableGrid"/>
    <w:rsid w:val="00407A3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407A3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07A34"/>
  </w:style>
  <w:style w:type="character" w:styleId="PageNumber">
    <w:name w:val="page number"/>
    <w:basedOn w:val="DefaultParagraphFont"/>
    <w:rsid w:val="00407A34"/>
  </w:style>
  <w:style w:type="character" w:styleId="Hyperlink">
    <w:name w:val="Hyperlink"/>
    <w:basedOn w:val="DefaultParagraphFont"/>
    <w:unhideWhenUsed/>
    <w:rsid w:val="00407A34"/>
    <w:rPr>
      <w:color w:val="0000FF"/>
      <w:u w:val="single"/>
    </w:rPr>
  </w:style>
  <w:style w:type="character" w:customStyle="1" w:styleId="apple-converted-space">
    <w:name w:val="apple-converted-space"/>
    <w:basedOn w:val="DefaultParagraphFont"/>
    <w:rsid w:val="00407A34"/>
  </w:style>
  <w:style w:type="paragraph" w:styleId="FootnoteText">
    <w:name w:val="footnote text"/>
    <w:basedOn w:val="Normal"/>
    <w:link w:val="FootnoteTextChar"/>
    <w:rsid w:val="00407A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07A3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07A34"/>
    <w:rPr>
      <w:vertAlign w:val="superscript"/>
    </w:rPr>
  </w:style>
  <w:style w:type="paragraph" w:customStyle="1" w:styleId="Header1">
    <w:name w:val="Header1"/>
    <w:basedOn w:val="Normal"/>
    <w:next w:val="Header"/>
    <w:link w:val="HeaderChar"/>
    <w:uiPriority w:val="99"/>
    <w:unhideWhenUsed/>
    <w:rsid w:val="00407A34"/>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07A34"/>
  </w:style>
  <w:style w:type="character" w:customStyle="1" w:styleId="creators">
    <w:name w:val="creators"/>
    <w:basedOn w:val="DefaultParagraphFont"/>
    <w:rsid w:val="00407A34"/>
  </w:style>
  <w:style w:type="character" w:customStyle="1" w:styleId="personname">
    <w:name w:val="person_name"/>
    <w:basedOn w:val="DefaultParagraphFont"/>
    <w:rsid w:val="00407A34"/>
  </w:style>
  <w:style w:type="character" w:customStyle="1" w:styleId="Date1">
    <w:name w:val="Date1"/>
    <w:basedOn w:val="DefaultParagraphFont"/>
    <w:rsid w:val="00407A34"/>
  </w:style>
  <w:style w:type="character" w:styleId="Emphasis">
    <w:name w:val="Emphasis"/>
    <w:basedOn w:val="DefaultParagraphFont"/>
    <w:uiPriority w:val="20"/>
    <w:qFormat/>
    <w:rsid w:val="00407A34"/>
    <w:rPr>
      <w:i/>
      <w:iCs/>
    </w:rPr>
  </w:style>
  <w:style w:type="character" w:customStyle="1" w:styleId="placeofpub">
    <w:name w:val="place_of_pub"/>
    <w:basedOn w:val="DefaultParagraphFont"/>
    <w:rsid w:val="00407A34"/>
  </w:style>
  <w:style w:type="character" w:customStyle="1" w:styleId="publisher">
    <w:name w:val="publisher"/>
    <w:basedOn w:val="DefaultParagraphFont"/>
    <w:rsid w:val="00407A34"/>
  </w:style>
  <w:style w:type="numbering" w:customStyle="1" w:styleId="NoList111">
    <w:name w:val="No List111"/>
    <w:next w:val="NoList"/>
    <w:uiPriority w:val="99"/>
    <w:semiHidden/>
    <w:unhideWhenUsed/>
    <w:rsid w:val="00407A34"/>
  </w:style>
  <w:style w:type="paragraph" w:customStyle="1" w:styleId="EndNoteBibliographyTitle">
    <w:name w:val="EndNote Bibliography Title"/>
    <w:basedOn w:val="Normal"/>
    <w:link w:val="EndNoteBibliographyTitleChar"/>
    <w:rsid w:val="00407A34"/>
    <w:pPr>
      <w:spacing w:after="0"/>
      <w:jc w:val="center"/>
    </w:pPr>
    <w:rPr>
      <w:rFonts w:ascii="Times New Roman" w:hAnsi="Times New Roman" w:cs="Times New Roman"/>
      <w:noProof/>
      <w:sz w:val="16"/>
      <w:lang w:val="en-US"/>
    </w:rPr>
  </w:style>
  <w:style w:type="character" w:customStyle="1" w:styleId="EndNoteBibliographyTitleChar">
    <w:name w:val="EndNote Bibliography Title Char"/>
    <w:basedOn w:val="DefaultParagraphFont"/>
    <w:link w:val="EndNoteBibliographyTitle"/>
    <w:rsid w:val="00407A34"/>
    <w:rPr>
      <w:rFonts w:ascii="Times New Roman" w:hAnsi="Times New Roman" w:cs="Times New Roman"/>
      <w:noProof/>
      <w:sz w:val="16"/>
      <w:lang w:val="en-US"/>
    </w:rPr>
  </w:style>
  <w:style w:type="paragraph" w:customStyle="1" w:styleId="EndNoteBibliography">
    <w:name w:val="EndNote Bibliography"/>
    <w:basedOn w:val="Normal"/>
    <w:link w:val="EndNoteBibliographyChar"/>
    <w:rsid w:val="00407A34"/>
    <w:pPr>
      <w:spacing w:line="240" w:lineRule="auto"/>
    </w:pPr>
    <w:rPr>
      <w:rFonts w:ascii="Times New Roman" w:hAnsi="Times New Roman" w:cs="Times New Roman"/>
      <w:noProof/>
      <w:sz w:val="16"/>
      <w:lang w:val="en-US"/>
    </w:rPr>
  </w:style>
  <w:style w:type="character" w:customStyle="1" w:styleId="EndNoteBibliographyChar">
    <w:name w:val="EndNote Bibliography Char"/>
    <w:basedOn w:val="DefaultParagraphFont"/>
    <w:link w:val="EndNoteBibliography"/>
    <w:rsid w:val="00407A34"/>
    <w:rPr>
      <w:rFonts w:ascii="Times New Roman" w:hAnsi="Times New Roman" w:cs="Times New Roman"/>
      <w:noProof/>
      <w:sz w:val="16"/>
      <w:lang w:val="en-US"/>
    </w:rPr>
  </w:style>
  <w:style w:type="paragraph" w:customStyle="1" w:styleId="BalloonText1">
    <w:name w:val="Balloon Text1"/>
    <w:basedOn w:val="Normal"/>
    <w:next w:val="BalloonText"/>
    <w:link w:val="BalloonTextChar"/>
    <w:uiPriority w:val="99"/>
    <w:semiHidden/>
    <w:unhideWhenUsed/>
    <w:rsid w:val="004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07A34"/>
    <w:rPr>
      <w:rFonts w:ascii="Tahoma" w:hAnsi="Tahoma" w:cs="Tahoma"/>
      <w:sz w:val="16"/>
      <w:szCs w:val="16"/>
    </w:rPr>
  </w:style>
  <w:style w:type="numbering" w:customStyle="1" w:styleId="NoList1111">
    <w:name w:val="No List1111"/>
    <w:next w:val="NoList"/>
    <w:uiPriority w:val="99"/>
    <w:semiHidden/>
    <w:unhideWhenUsed/>
    <w:rsid w:val="00407A34"/>
  </w:style>
  <w:style w:type="table" w:customStyle="1" w:styleId="TableGrid2">
    <w:name w:val="Table Grid2"/>
    <w:basedOn w:val="TableNormal"/>
    <w:next w:val="TableGrid"/>
    <w:rsid w:val="00407A3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407A34"/>
    <w:rPr>
      <w:rFonts w:ascii="Cambria" w:eastAsia="Times New Roman" w:hAnsi="Cambria" w:cs="Times New Roman"/>
      <w:color w:val="17365D"/>
      <w:spacing w:val="5"/>
      <w:kern w:val="28"/>
      <w:sz w:val="52"/>
      <w:szCs w:val="52"/>
    </w:rPr>
  </w:style>
  <w:style w:type="character" w:customStyle="1" w:styleId="Heading1Char1">
    <w:name w:val="Heading 1 Char1"/>
    <w:basedOn w:val="DefaultParagraphFont"/>
    <w:uiPriority w:val="9"/>
    <w:rsid w:val="00407A34"/>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407A34"/>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07A34"/>
    <w:rPr>
      <w:rFonts w:ascii="Cambria" w:eastAsia="Times New Roman" w:hAnsi="Cambria" w:cs="Times New Roman"/>
      <w:b/>
      <w:bCs/>
      <w:color w:val="4F81BD"/>
    </w:rPr>
  </w:style>
  <w:style w:type="character" w:customStyle="1" w:styleId="interref">
    <w:name w:val="interref"/>
    <w:basedOn w:val="DefaultParagraphFont"/>
    <w:rsid w:val="00407A34"/>
  </w:style>
  <w:style w:type="character" w:customStyle="1" w:styleId="FollowedHyperlink1">
    <w:name w:val="FollowedHyperlink1"/>
    <w:basedOn w:val="DefaultParagraphFont"/>
    <w:uiPriority w:val="99"/>
    <w:semiHidden/>
    <w:unhideWhenUsed/>
    <w:rsid w:val="00407A34"/>
    <w:rPr>
      <w:color w:val="800080"/>
      <w:u w:val="single"/>
    </w:rPr>
  </w:style>
  <w:style w:type="character" w:customStyle="1" w:styleId="current-selection">
    <w:name w:val="current-selection"/>
    <w:basedOn w:val="DefaultParagraphFont"/>
    <w:rsid w:val="00407A34"/>
  </w:style>
  <w:style w:type="character" w:customStyle="1" w:styleId="a">
    <w:name w:val="_"/>
    <w:basedOn w:val="DefaultParagraphFont"/>
    <w:rsid w:val="00407A34"/>
  </w:style>
  <w:style w:type="character" w:customStyle="1" w:styleId="enhanced-reference">
    <w:name w:val="enhanced-reference"/>
    <w:basedOn w:val="DefaultParagraphFont"/>
    <w:rsid w:val="00407A34"/>
  </w:style>
  <w:style w:type="paragraph" w:customStyle="1" w:styleId="svarticle">
    <w:name w:val="svarticle"/>
    <w:basedOn w:val="Normal"/>
    <w:rsid w:val="00407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4">
    <w:name w:val="fs4"/>
    <w:basedOn w:val="DefaultParagraphFont"/>
    <w:rsid w:val="00407A34"/>
  </w:style>
  <w:style w:type="character" w:customStyle="1" w:styleId="ls17">
    <w:name w:val="ls17"/>
    <w:basedOn w:val="DefaultParagraphFont"/>
    <w:rsid w:val="00407A34"/>
  </w:style>
  <w:style w:type="character" w:styleId="Strong">
    <w:name w:val="Strong"/>
    <w:basedOn w:val="DefaultParagraphFont"/>
    <w:uiPriority w:val="22"/>
    <w:qFormat/>
    <w:rsid w:val="00407A34"/>
    <w:rPr>
      <w:b/>
      <w:bCs/>
    </w:rPr>
  </w:style>
  <w:style w:type="paragraph" w:styleId="Caption">
    <w:name w:val="caption"/>
    <w:basedOn w:val="Normal"/>
    <w:next w:val="Normal"/>
    <w:uiPriority w:val="35"/>
    <w:qFormat/>
    <w:rsid w:val="00407A34"/>
    <w:pPr>
      <w:spacing w:after="0" w:line="240" w:lineRule="auto"/>
    </w:pPr>
    <w:rPr>
      <w:rFonts w:ascii="Times New Roman" w:eastAsia="SimSun" w:hAnsi="Times New Roman" w:cs="Times New Roman"/>
      <w:b/>
      <w:bCs/>
      <w:sz w:val="20"/>
      <w:szCs w:val="20"/>
      <w:lang w:val="en-US" w:eastAsia="zh-CN"/>
    </w:rPr>
  </w:style>
  <w:style w:type="character" w:styleId="CommentReference">
    <w:name w:val="annotation reference"/>
    <w:basedOn w:val="DefaultParagraphFont"/>
    <w:uiPriority w:val="99"/>
    <w:semiHidden/>
    <w:unhideWhenUsed/>
    <w:rsid w:val="00407A34"/>
    <w:rPr>
      <w:sz w:val="16"/>
      <w:szCs w:val="16"/>
    </w:rPr>
  </w:style>
  <w:style w:type="paragraph" w:customStyle="1" w:styleId="CommentText1">
    <w:name w:val="Comment Text1"/>
    <w:basedOn w:val="Normal"/>
    <w:next w:val="CommentText"/>
    <w:link w:val="CommentTextChar"/>
    <w:uiPriority w:val="99"/>
    <w:semiHidden/>
    <w:unhideWhenUsed/>
    <w:rsid w:val="00407A34"/>
    <w:pPr>
      <w:spacing w:line="240" w:lineRule="auto"/>
    </w:pPr>
    <w:rPr>
      <w:sz w:val="20"/>
      <w:szCs w:val="20"/>
    </w:rPr>
  </w:style>
  <w:style w:type="character" w:customStyle="1" w:styleId="CommentTextChar">
    <w:name w:val="Comment Text Char"/>
    <w:basedOn w:val="DefaultParagraphFont"/>
    <w:link w:val="CommentText1"/>
    <w:uiPriority w:val="99"/>
    <w:semiHidden/>
    <w:rsid w:val="00407A34"/>
    <w:rPr>
      <w:sz w:val="20"/>
      <w:szCs w:val="20"/>
    </w:rPr>
  </w:style>
  <w:style w:type="paragraph" w:customStyle="1" w:styleId="CommentSubject1">
    <w:name w:val="Comment Subject1"/>
    <w:basedOn w:val="CommentText"/>
    <w:next w:val="CommentText"/>
    <w:uiPriority w:val="99"/>
    <w:semiHidden/>
    <w:unhideWhenUsed/>
    <w:rsid w:val="00407A34"/>
    <w:rPr>
      <w:b/>
      <w:bCs/>
    </w:rPr>
  </w:style>
  <w:style w:type="character" w:customStyle="1" w:styleId="CommentSubjectChar">
    <w:name w:val="Comment Subject Char"/>
    <w:basedOn w:val="CommentTextChar"/>
    <w:link w:val="CommentSubject"/>
    <w:uiPriority w:val="99"/>
    <w:semiHidden/>
    <w:rsid w:val="00407A34"/>
    <w:rPr>
      <w:b/>
      <w:bCs/>
      <w:sz w:val="20"/>
      <w:szCs w:val="20"/>
    </w:rPr>
  </w:style>
  <w:style w:type="character" w:customStyle="1" w:styleId="FollowedHyperlink2">
    <w:name w:val="FollowedHyperlink2"/>
    <w:basedOn w:val="DefaultParagraphFont"/>
    <w:uiPriority w:val="99"/>
    <w:semiHidden/>
    <w:unhideWhenUsed/>
    <w:rsid w:val="00407A34"/>
    <w:rPr>
      <w:color w:val="954F72"/>
      <w:u w:val="single"/>
    </w:rPr>
  </w:style>
  <w:style w:type="character" w:customStyle="1" w:styleId="Heading1Char2">
    <w:name w:val="Heading 1 Char2"/>
    <w:basedOn w:val="DefaultParagraphFont"/>
    <w:uiPriority w:val="9"/>
    <w:rsid w:val="00407A3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uiPriority w:val="9"/>
    <w:semiHidden/>
    <w:rsid w:val="00407A3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uiPriority w:val="9"/>
    <w:semiHidden/>
    <w:rsid w:val="00407A34"/>
    <w:rPr>
      <w:rFonts w:asciiTheme="majorHAnsi" w:eastAsiaTheme="majorEastAsia" w:hAnsiTheme="majorHAnsi" w:cstheme="majorBidi"/>
      <w:b/>
      <w:bCs/>
      <w:color w:val="4F81BD" w:themeColor="accent1"/>
    </w:rPr>
  </w:style>
  <w:style w:type="character" w:customStyle="1" w:styleId="TitleChar2">
    <w:name w:val="Title Char2"/>
    <w:basedOn w:val="DefaultParagraphFont"/>
    <w:uiPriority w:val="10"/>
    <w:rsid w:val="00407A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7A34"/>
    <w:pPr>
      <w:ind w:left="720"/>
      <w:contextualSpacing/>
    </w:pPr>
  </w:style>
  <w:style w:type="table" w:styleId="TableGrid">
    <w:name w:val="Table Grid"/>
    <w:basedOn w:val="TableNormal"/>
    <w:rsid w:val="0040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407A3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07A34"/>
  </w:style>
  <w:style w:type="paragraph" w:styleId="Header">
    <w:name w:val="header"/>
    <w:basedOn w:val="Normal"/>
    <w:link w:val="HeaderChar1"/>
    <w:uiPriority w:val="99"/>
    <w:unhideWhenUsed/>
    <w:rsid w:val="00407A3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07A34"/>
  </w:style>
  <w:style w:type="paragraph" w:styleId="BalloonText">
    <w:name w:val="Balloon Text"/>
    <w:basedOn w:val="Normal"/>
    <w:link w:val="BalloonTextChar1"/>
    <w:uiPriority w:val="99"/>
    <w:semiHidden/>
    <w:unhideWhenUsed/>
    <w:rsid w:val="00407A3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07A34"/>
    <w:rPr>
      <w:rFonts w:ascii="Tahoma" w:hAnsi="Tahoma" w:cs="Tahoma"/>
      <w:sz w:val="16"/>
      <w:szCs w:val="16"/>
    </w:rPr>
  </w:style>
  <w:style w:type="paragraph" w:styleId="CommentText">
    <w:name w:val="annotation text"/>
    <w:basedOn w:val="Normal"/>
    <w:link w:val="CommentTextChar1"/>
    <w:uiPriority w:val="99"/>
    <w:semiHidden/>
    <w:unhideWhenUsed/>
    <w:rsid w:val="00407A34"/>
    <w:pPr>
      <w:spacing w:line="240" w:lineRule="auto"/>
    </w:pPr>
    <w:rPr>
      <w:sz w:val="20"/>
      <w:szCs w:val="20"/>
    </w:rPr>
  </w:style>
  <w:style w:type="character" w:customStyle="1" w:styleId="CommentTextChar1">
    <w:name w:val="Comment Text Char1"/>
    <w:basedOn w:val="DefaultParagraphFont"/>
    <w:link w:val="CommentText"/>
    <w:uiPriority w:val="99"/>
    <w:semiHidden/>
    <w:rsid w:val="00407A34"/>
    <w:rPr>
      <w:sz w:val="20"/>
      <w:szCs w:val="20"/>
    </w:rPr>
  </w:style>
  <w:style w:type="paragraph" w:styleId="CommentSubject">
    <w:name w:val="annotation subject"/>
    <w:basedOn w:val="CommentText"/>
    <w:next w:val="CommentText"/>
    <w:link w:val="CommentSubjectChar"/>
    <w:uiPriority w:val="99"/>
    <w:semiHidden/>
    <w:unhideWhenUsed/>
    <w:rsid w:val="00407A34"/>
    <w:rPr>
      <w:b/>
      <w:bCs/>
    </w:rPr>
  </w:style>
  <w:style w:type="character" w:customStyle="1" w:styleId="CommentSubjectChar1">
    <w:name w:val="Comment Subject Char1"/>
    <w:basedOn w:val="CommentTextChar1"/>
    <w:uiPriority w:val="99"/>
    <w:semiHidden/>
    <w:rsid w:val="00407A34"/>
    <w:rPr>
      <w:b/>
      <w:bCs/>
      <w:sz w:val="20"/>
      <w:szCs w:val="20"/>
    </w:rPr>
  </w:style>
  <w:style w:type="character" w:styleId="FollowedHyperlink">
    <w:name w:val="FollowedHyperlink"/>
    <w:basedOn w:val="DefaultParagraphFont"/>
    <w:uiPriority w:val="99"/>
    <w:semiHidden/>
    <w:unhideWhenUsed/>
    <w:rsid w:val="00407A34"/>
    <w:rPr>
      <w:color w:val="800080" w:themeColor="followedHyperlink"/>
      <w:u w:val="single"/>
    </w:rPr>
  </w:style>
  <w:style w:type="character" w:customStyle="1" w:styleId="Heading5Char">
    <w:name w:val="Heading 5 Char"/>
    <w:basedOn w:val="DefaultParagraphFont"/>
    <w:link w:val="Heading5"/>
    <w:uiPriority w:val="9"/>
    <w:rsid w:val="00CD39E4"/>
    <w:rPr>
      <w:rFonts w:asciiTheme="majorHAnsi" w:eastAsiaTheme="majorEastAsia" w:hAnsiTheme="majorHAnsi" w:cstheme="majorBidi"/>
      <w:color w:val="365F91" w:themeColor="accent1" w:themeShade="BF"/>
    </w:rPr>
  </w:style>
  <w:style w:type="paragraph" w:styleId="Revision">
    <w:name w:val="Revision"/>
    <w:hidden/>
    <w:uiPriority w:val="99"/>
    <w:semiHidden/>
    <w:rsid w:val="001E42F4"/>
    <w:pPr>
      <w:spacing w:after="0" w:line="240" w:lineRule="auto"/>
    </w:pPr>
  </w:style>
  <w:style w:type="table" w:customStyle="1" w:styleId="TableGrid3">
    <w:name w:val="Table Grid3"/>
    <w:basedOn w:val="TableNormal"/>
    <w:next w:val="TableGrid"/>
    <w:uiPriority w:val="59"/>
    <w:rsid w:val="00AE31F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26A6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26A6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unhideWhenUsed/>
    <w:qFormat/>
    <w:rsid w:val="00C829B4"/>
    <w:pPr>
      <w:keepNext/>
      <w:keepLines/>
      <w:spacing w:before="40" w:after="0" w:line="256" w:lineRule="auto"/>
      <w:ind w:left="1152" w:hanging="1152"/>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C829B4"/>
    <w:pPr>
      <w:keepNext/>
      <w:keepLines/>
      <w:spacing w:before="40" w:after="0" w:line="256" w:lineRule="auto"/>
      <w:ind w:left="1296" w:hanging="1296"/>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C829B4"/>
    <w:pPr>
      <w:keepNext/>
      <w:keepLines/>
      <w:spacing w:before="40" w:after="0" w:line="256" w:lineRule="auto"/>
      <w:ind w:left="1440" w:hanging="14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C829B4"/>
    <w:pPr>
      <w:keepNext/>
      <w:keepLines/>
      <w:spacing w:before="40" w:after="0" w:line="256" w:lineRule="auto"/>
      <w:ind w:left="1584" w:hanging="1584"/>
      <w:outlineLvl w:val="8"/>
    </w:pPr>
    <w:rPr>
      <w:rFonts w:ascii="Calibri Light" w:eastAsia="Times New Roman" w:hAnsi="Calibri Light" w:cs="Times New Roman"/>
      <w:i/>
      <w:iCs/>
      <w:color w:val="272727"/>
      <w:sz w:val="21"/>
      <w:szCs w:val="21"/>
    </w:rPr>
  </w:style>
  <w:style w:type="numbering" w:customStyle="1" w:styleId="NoList2">
    <w:name w:val="No List2"/>
    <w:next w:val="NoList"/>
    <w:uiPriority w:val="99"/>
    <w:semiHidden/>
    <w:unhideWhenUsed/>
    <w:rsid w:val="00C829B4"/>
  </w:style>
  <w:style w:type="character" w:customStyle="1" w:styleId="Heading6Char">
    <w:name w:val="Heading 6 Char"/>
    <w:basedOn w:val="DefaultParagraphFont"/>
    <w:link w:val="Heading6"/>
    <w:uiPriority w:val="9"/>
    <w:rsid w:val="00C829B4"/>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C829B4"/>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C829B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C829B4"/>
    <w:rPr>
      <w:rFonts w:ascii="Calibri Light" w:eastAsia="Times New Roman" w:hAnsi="Calibri Light" w:cs="Times New Roman"/>
      <w:i/>
      <w:iCs/>
      <w:color w:val="272727"/>
      <w:sz w:val="21"/>
      <w:szCs w:val="21"/>
    </w:rPr>
  </w:style>
  <w:style w:type="paragraph" w:customStyle="1" w:styleId="msonormal0">
    <w:name w:val="msonormal"/>
    <w:basedOn w:val="Normal"/>
    <w:rsid w:val="00C82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829B4"/>
    <w:pPr>
      <w:spacing w:after="0" w:line="240" w:lineRule="auto"/>
    </w:pPr>
  </w:style>
  <w:style w:type="paragraph" w:customStyle="1" w:styleId="Heading41">
    <w:name w:val="Heading 41"/>
    <w:basedOn w:val="Normal"/>
    <w:next w:val="Normal"/>
    <w:uiPriority w:val="9"/>
    <w:qFormat/>
    <w:rsid w:val="00C829B4"/>
    <w:pPr>
      <w:keepNext/>
      <w:keepLines/>
      <w:spacing w:before="40" w:after="0" w:line="256" w:lineRule="auto"/>
      <w:ind w:left="864" w:hanging="864"/>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qFormat/>
    <w:rsid w:val="00C829B4"/>
    <w:pPr>
      <w:keepNext/>
      <w:keepLines/>
      <w:spacing w:before="40" w:after="0" w:line="256" w:lineRule="auto"/>
      <w:ind w:left="1008" w:hanging="1008"/>
      <w:outlineLvl w:val="4"/>
    </w:pPr>
    <w:rPr>
      <w:rFonts w:ascii="Calibri Light" w:eastAsia="Times New Roman" w:hAnsi="Calibri Light" w:cs="Times New Roman"/>
      <w:color w:val="2E74B5"/>
    </w:rPr>
  </w:style>
  <w:style w:type="table" w:customStyle="1" w:styleId="TableGrid4">
    <w:name w:val="Table Grid4"/>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semiHidden/>
    <w:unhideWhenUsed/>
    <w:rsid w:val="00C829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
    <w:name w:val="Light Grid11"/>
    <w:basedOn w:val="TableNormal"/>
    <w:uiPriority w:val="62"/>
    <w:rsid w:val="00C829B4"/>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
    <w:name w:val="Table Grid13"/>
    <w:basedOn w:val="TableNormal"/>
    <w:next w:val="TableGrid"/>
    <w:uiPriority w:val="39"/>
    <w:rsid w:val="00C829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829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829B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829B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829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C829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82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9B4"/>
    <w:rPr>
      <w:sz w:val="20"/>
      <w:szCs w:val="20"/>
    </w:rPr>
  </w:style>
  <w:style w:type="character" w:styleId="EndnoteReference">
    <w:name w:val="endnote reference"/>
    <w:basedOn w:val="DefaultParagraphFont"/>
    <w:uiPriority w:val="99"/>
    <w:semiHidden/>
    <w:unhideWhenUsed/>
    <w:rsid w:val="00C829B4"/>
    <w:rPr>
      <w:vertAlign w:val="superscript"/>
    </w:rPr>
  </w:style>
  <w:style w:type="table" w:customStyle="1" w:styleId="TableGrid31">
    <w:name w:val="Table Grid31"/>
    <w:basedOn w:val="TableNormal"/>
    <w:next w:val="TableGrid"/>
    <w:uiPriority w:val="59"/>
    <w:rsid w:val="00C829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C829B4"/>
    <w:pPr>
      <w:numPr>
        <w:numId w:val="0"/>
      </w:numPr>
      <w:spacing w:before="480" w:line="276" w:lineRule="auto"/>
      <w:outlineLvl w:val="9"/>
    </w:pPr>
    <w:rPr>
      <w:rFonts w:ascii="Calibri Light" w:hAnsi="Calibri Light"/>
      <w:color w:val="2E74B5"/>
      <w:sz w:val="28"/>
      <w:lang w:val="en-US" w:eastAsia="ja-JP"/>
    </w:rPr>
  </w:style>
  <w:style w:type="paragraph" w:styleId="TOC1">
    <w:name w:val="toc 1"/>
    <w:basedOn w:val="Normal"/>
    <w:next w:val="Normal"/>
    <w:autoRedefine/>
    <w:uiPriority w:val="39"/>
    <w:unhideWhenUsed/>
    <w:rsid w:val="00C829B4"/>
    <w:pPr>
      <w:tabs>
        <w:tab w:val="right" w:leader="dot" w:pos="9016"/>
      </w:tabs>
      <w:spacing w:after="100"/>
    </w:pPr>
  </w:style>
  <w:style w:type="paragraph" w:styleId="TOC2">
    <w:name w:val="toc 2"/>
    <w:basedOn w:val="Normal"/>
    <w:next w:val="Normal"/>
    <w:autoRedefine/>
    <w:uiPriority w:val="39"/>
    <w:unhideWhenUsed/>
    <w:rsid w:val="00C829B4"/>
    <w:pPr>
      <w:spacing w:after="100"/>
      <w:ind w:left="220"/>
    </w:pPr>
  </w:style>
  <w:style w:type="paragraph" w:styleId="TOC3">
    <w:name w:val="toc 3"/>
    <w:basedOn w:val="Normal"/>
    <w:next w:val="Normal"/>
    <w:autoRedefine/>
    <w:uiPriority w:val="39"/>
    <w:unhideWhenUsed/>
    <w:rsid w:val="00C829B4"/>
    <w:pPr>
      <w:spacing w:after="100"/>
      <w:ind w:left="440"/>
    </w:pPr>
  </w:style>
  <w:style w:type="paragraph" w:styleId="TableofFigures">
    <w:name w:val="table of figures"/>
    <w:basedOn w:val="Normal"/>
    <w:next w:val="Normal"/>
    <w:uiPriority w:val="99"/>
    <w:unhideWhenUsed/>
    <w:rsid w:val="00C829B4"/>
    <w:pPr>
      <w:spacing w:after="0"/>
    </w:pPr>
  </w:style>
  <w:style w:type="table" w:customStyle="1" w:styleId="TableGrid5">
    <w:name w:val="Table Grid5"/>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829B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C829B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829B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C829B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829B4"/>
    <w:rPr>
      <w:rFonts w:asciiTheme="majorHAnsi" w:eastAsiaTheme="majorEastAsia" w:hAnsiTheme="majorHAnsi" w:cstheme="majorBidi"/>
      <w:i/>
      <w:iCs/>
      <w:color w:val="272727" w:themeColor="text1" w:themeTint="D8"/>
      <w:sz w:val="21"/>
      <w:szCs w:val="21"/>
    </w:rPr>
  </w:style>
  <w:style w:type="table" w:styleId="LightGrid">
    <w:name w:val="Light Grid"/>
    <w:basedOn w:val="TableNormal"/>
    <w:uiPriority w:val="62"/>
    <w:semiHidden/>
    <w:unhideWhenUsed/>
    <w:rsid w:val="00C829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4B73A5"/>
    <w:rPr>
      <w:color w:val="808080"/>
    </w:rPr>
  </w:style>
  <w:style w:type="numbering" w:customStyle="1" w:styleId="NoList3">
    <w:name w:val="No List3"/>
    <w:next w:val="NoList"/>
    <w:uiPriority w:val="99"/>
    <w:semiHidden/>
    <w:unhideWhenUsed/>
    <w:rsid w:val="00C32C59"/>
  </w:style>
  <w:style w:type="numbering" w:customStyle="1" w:styleId="NoList12">
    <w:name w:val="No List12"/>
    <w:next w:val="NoList"/>
    <w:uiPriority w:val="99"/>
    <w:semiHidden/>
    <w:unhideWhenUsed/>
    <w:rsid w:val="00C32C59"/>
  </w:style>
  <w:style w:type="numbering" w:customStyle="1" w:styleId="NoList112">
    <w:name w:val="No List112"/>
    <w:next w:val="NoList"/>
    <w:uiPriority w:val="99"/>
    <w:semiHidden/>
    <w:unhideWhenUsed/>
    <w:rsid w:val="00C32C59"/>
  </w:style>
  <w:style w:type="numbering" w:customStyle="1" w:styleId="NoList1112">
    <w:name w:val="No List1112"/>
    <w:next w:val="NoList"/>
    <w:uiPriority w:val="99"/>
    <w:semiHidden/>
    <w:unhideWhenUsed/>
    <w:rsid w:val="00C32C59"/>
  </w:style>
  <w:style w:type="table" w:customStyle="1" w:styleId="TableGrid14">
    <w:name w:val="Table Grid14"/>
    <w:basedOn w:val="TableNormal"/>
    <w:next w:val="TableGrid"/>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32C59"/>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32C59"/>
  </w:style>
  <w:style w:type="numbering" w:customStyle="1" w:styleId="NoList111111">
    <w:name w:val="No List111111"/>
    <w:next w:val="NoList"/>
    <w:uiPriority w:val="99"/>
    <w:semiHidden/>
    <w:unhideWhenUsed/>
    <w:rsid w:val="00C32C59"/>
  </w:style>
  <w:style w:type="table" w:customStyle="1" w:styleId="TableGrid23">
    <w:name w:val="Table Grid23"/>
    <w:basedOn w:val="TableNormal"/>
    <w:next w:val="TableGrid"/>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3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3">
    <w:name w:val="FollowedHyperlink3"/>
    <w:basedOn w:val="DefaultParagraphFont"/>
    <w:uiPriority w:val="99"/>
    <w:semiHidden/>
    <w:unhideWhenUsed/>
    <w:rsid w:val="00C32C59"/>
    <w:rPr>
      <w:color w:val="800080"/>
      <w:u w:val="single"/>
    </w:rPr>
  </w:style>
  <w:style w:type="table" w:customStyle="1" w:styleId="TableGrid32">
    <w:name w:val="Table Grid32"/>
    <w:basedOn w:val="TableNormal"/>
    <w:next w:val="TableGrid"/>
    <w:uiPriority w:val="5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2C59"/>
  </w:style>
  <w:style w:type="table" w:customStyle="1" w:styleId="TableGrid41">
    <w:name w:val="Table Grid4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next w:val="LightGrid"/>
    <w:uiPriority w:val="62"/>
    <w:semiHidden/>
    <w:unhideWhenUsed/>
    <w:rsid w:val="00C32C5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
    <w:name w:val="Light Grid111"/>
    <w:basedOn w:val="TableNormal"/>
    <w:uiPriority w:val="62"/>
    <w:rsid w:val="00C32C59"/>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1">
    <w:name w:val="Table Grid131"/>
    <w:basedOn w:val="TableNormal"/>
    <w:next w:val="TableGrid"/>
    <w:uiPriority w:val="3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32C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32C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3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32C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next w:val="LightGrid"/>
    <w:uiPriority w:val="62"/>
    <w:semiHidden/>
    <w:unhideWhenUsed/>
    <w:rsid w:val="00C32C5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itleChar3">
    <w:name w:val="Title Char3"/>
    <w:basedOn w:val="DefaultParagraphFont"/>
    <w:uiPriority w:val="10"/>
    <w:rsid w:val="00C32C59"/>
    <w:rPr>
      <w:rFonts w:ascii="Calibri Light" w:eastAsia="Times New Roman" w:hAnsi="Calibri Light" w:cs="Times New Roman"/>
      <w:spacing w:val="-10"/>
      <w:kern w:val="28"/>
      <w:sz w:val="56"/>
      <w:szCs w:val="56"/>
    </w:rPr>
  </w:style>
  <w:style w:type="character" w:customStyle="1" w:styleId="Heading1Char3">
    <w:name w:val="Heading 1 Char3"/>
    <w:basedOn w:val="DefaultParagraphFont"/>
    <w:uiPriority w:val="9"/>
    <w:rsid w:val="00C32C59"/>
    <w:rPr>
      <w:rFonts w:ascii="Calibri Light" w:eastAsia="Times New Roman" w:hAnsi="Calibri Light" w:cs="Times New Roman"/>
      <w:color w:val="2E74B5"/>
      <w:sz w:val="32"/>
      <w:szCs w:val="32"/>
    </w:rPr>
  </w:style>
  <w:style w:type="character" w:customStyle="1" w:styleId="Heading2Char3">
    <w:name w:val="Heading 2 Char3"/>
    <w:basedOn w:val="DefaultParagraphFont"/>
    <w:uiPriority w:val="9"/>
    <w:semiHidden/>
    <w:rsid w:val="00C32C59"/>
    <w:rPr>
      <w:rFonts w:ascii="Calibri Light" w:eastAsia="Times New Roman" w:hAnsi="Calibri Light" w:cs="Times New Roman"/>
      <w:color w:val="2E74B5"/>
      <w:sz w:val="26"/>
      <w:szCs w:val="26"/>
    </w:rPr>
  </w:style>
  <w:style w:type="character" w:customStyle="1" w:styleId="Heading3Char3">
    <w:name w:val="Heading 3 Char3"/>
    <w:basedOn w:val="DefaultParagraphFont"/>
    <w:uiPriority w:val="9"/>
    <w:semiHidden/>
    <w:rsid w:val="00C32C59"/>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C32C59"/>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C32C59"/>
    <w:rPr>
      <w:rFonts w:ascii="Calibri Light" w:eastAsia="Times New Roman" w:hAnsi="Calibri Light" w:cs="Times New Roman"/>
      <w:color w:val="2E74B5"/>
    </w:rPr>
  </w:style>
  <w:style w:type="table" w:customStyle="1" w:styleId="LightGrid3">
    <w:name w:val="Light Grid3"/>
    <w:basedOn w:val="TableNormal"/>
    <w:next w:val="LightGrid"/>
    <w:uiPriority w:val="62"/>
    <w:semiHidden/>
    <w:unhideWhenUsed/>
    <w:rsid w:val="00C32C59"/>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399">
      <w:bodyDiv w:val="1"/>
      <w:marLeft w:val="0"/>
      <w:marRight w:val="0"/>
      <w:marTop w:val="0"/>
      <w:marBottom w:val="0"/>
      <w:divBdr>
        <w:top w:val="none" w:sz="0" w:space="0" w:color="auto"/>
        <w:left w:val="none" w:sz="0" w:space="0" w:color="auto"/>
        <w:bottom w:val="none" w:sz="0" w:space="0" w:color="auto"/>
        <w:right w:val="none" w:sz="0" w:space="0" w:color="auto"/>
      </w:divBdr>
    </w:div>
    <w:div w:id="595942508">
      <w:bodyDiv w:val="1"/>
      <w:marLeft w:val="0"/>
      <w:marRight w:val="0"/>
      <w:marTop w:val="0"/>
      <w:marBottom w:val="0"/>
      <w:divBdr>
        <w:top w:val="none" w:sz="0" w:space="0" w:color="auto"/>
        <w:left w:val="none" w:sz="0" w:space="0" w:color="auto"/>
        <w:bottom w:val="none" w:sz="0" w:space="0" w:color="auto"/>
        <w:right w:val="none" w:sz="0" w:space="0" w:color="auto"/>
      </w:divBdr>
    </w:div>
    <w:div w:id="688337042">
      <w:bodyDiv w:val="1"/>
      <w:marLeft w:val="0"/>
      <w:marRight w:val="0"/>
      <w:marTop w:val="0"/>
      <w:marBottom w:val="0"/>
      <w:divBdr>
        <w:top w:val="none" w:sz="0" w:space="0" w:color="auto"/>
        <w:left w:val="none" w:sz="0" w:space="0" w:color="auto"/>
        <w:bottom w:val="none" w:sz="0" w:space="0" w:color="auto"/>
        <w:right w:val="none" w:sz="0" w:space="0" w:color="auto"/>
      </w:divBdr>
    </w:div>
    <w:div w:id="709037540">
      <w:bodyDiv w:val="1"/>
      <w:marLeft w:val="0"/>
      <w:marRight w:val="0"/>
      <w:marTop w:val="0"/>
      <w:marBottom w:val="0"/>
      <w:divBdr>
        <w:top w:val="none" w:sz="0" w:space="0" w:color="auto"/>
        <w:left w:val="none" w:sz="0" w:space="0" w:color="auto"/>
        <w:bottom w:val="none" w:sz="0" w:space="0" w:color="auto"/>
        <w:right w:val="none" w:sz="0" w:space="0" w:color="auto"/>
      </w:divBdr>
    </w:div>
    <w:div w:id="1351369615">
      <w:bodyDiv w:val="1"/>
      <w:marLeft w:val="0"/>
      <w:marRight w:val="0"/>
      <w:marTop w:val="0"/>
      <w:marBottom w:val="0"/>
      <w:divBdr>
        <w:top w:val="none" w:sz="0" w:space="0" w:color="auto"/>
        <w:left w:val="none" w:sz="0" w:space="0" w:color="auto"/>
        <w:bottom w:val="none" w:sz="0" w:space="0" w:color="auto"/>
        <w:right w:val="none" w:sz="0" w:space="0" w:color="auto"/>
      </w:divBdr>
    </w:div>
    <w:div w:id="1381586109">
      <w:bodyDiv w:val="1"/>
      <w:marLeft w:val="0"/>
      <w:marRight w:val="0"/>
      <w:marTop w:val="0"/>
      <w:marBottom w:val="0"/>
      <w:divBdr>
        <w:top w:val="none" w:sz="0" w:space="0" w:color="auto"/>
        <w:left w:val="none" w:sz="0" w:space="0" w:color="auto"/>
        <w:bottom w:val="none" w:sz="0" w:space="0" w:color="auto"/>
        <w:right w:val="none" w:sz="0" w:space="0" w:color="auto"/>
      </w:divBdr>
    </w:div>
    <w:div w:id="1535536961">
      <w:bodyDiv w:val="1"/>
      <w:marLeft w:val="0"/>
      <w:marRight w:val="0"/>
      <w:marTop w:val="0"/>
      <w:marBottom w:val="0"/>
      <w:divBdr>
        <w:top w:val="none" w:sz="0" w:space="0" w:color="auto"/>
        <w:left w:val="none" w:sz="0" w:space="0" w:color="auto"/>
        <w:bottom w:val="none" w:sz="0" w:space="0" w:color="auto"/>
        <w:right w:val="none" w:sz="0" w:space="0" w:color="auto"/>
      </w:divBdr>
    </w:div>
    <w:div w:id="1559783135">
      <w:bodyDiv w:val="1"/>
      <w:marLeft w:val="0"/>
      <w:marRight w:val="0"/>
      <w:marTop w:val="0"/>
      <w:marBottom w:val="0"/>
      <w:divBdr>
        <w:top w:val="none" w:sz="0" w:space="0" w:color="auto"/>
        <w:left w:val="none" w:sz="0" w:space="0" w:color="auto"/>
        <w:bottom w:val="none" w:sz="0" w:space="0" w:color="auto"/>
        <w:right w:val="none" w:sz="0" w:space="0" w:color="auto"/>
      </w:divBdr>
    </w:div>
    <w:div w:id="1764446777">
      <w:bodyDiv w:val="1"/>
      <w:marLeft w:val="0"/>
      <w:marRight w:val="0"/>
      <w:marTop w:val="0"/>
      <w:marBottom w:val="0"/>
      <w:divBdr>
        <w:top w:val="none" w:sz="0" w:space="0" w:color="auto"/>
        <w:left w:val="none" w:sz="0" w:space="0" w:color="auto"/>
        <w:bottom w:val="none" w:sz="0" w:space="0" w:color="auto"/>
        <w:right w:val="none" w:sz="0" w:space="0" w:color="auto"/>
      </w:divBdr>
    </w:div>
    <w:div w:id="1795440957">
      <w:bodyDiv w:val="1"/>
      <w:marLeft w:val="0"/>
      <w:marRight w:val="0"/>
      <w:marTop w:val="0"/>
      <w:marBottom w:val="0"/>
      <w:divBdr>
        <w:top w:val="none" w:sz="0" w:space="0" w:color="auto"/>
        <w:left w:val="none" w:sz="0" w:space="0" w:color="auto"/>
        <w:bottom w:val="none" w:sz="0" w:space="0" w:color="auto"/>
        <w:right w:val="none" w:sz="0" w:space="0" w:color="auto"/>
      </w:divBdr>
      <w:divsChild>
        <w:div w:id="683090074">
          <w:marLeft w:val="0"/>
          <w:marRight w:val="0"/>
          <w:marTop w:val="0"/>
          <w:marBottom w:val="0"/>
          <w:divBdr>
            <w:top w:val="none" w:sz="0" w:space="0" w:color="auto"/>
            <w:left w:val="none" w:sz="0" w:space="0" w:color="auto"/>
            <w:bottom w:val="none" w:sz="0" w:space="0" w:color="auto"/>
            <w:right w:val="none" w:sz="0" w:space="0" w:color="auto"/>
          </w:divBdr>
        </w:div>
        <w:div w:id="740254479">
          <w:marLeft w:val="-300"/>
          <w:marRight w:val="0"/>
          <w:marTop w:val="0"/>
          <w:marBottom w:val="0"/>
          <w:divBdr>
            <w:top w:val="none" w:sz="0" w:space="0" w:color="auto"/>
            <w:left w:val="none" w:sz="0" w:space="0" w:color="auto"/>
            <w:bottom w:val="none" w:sz="0" w:space="0" w:color="auto"/>
            <w:right w:val="none" w:sz="0" w:space="0" w:color="auto"/>
          </w:divBdr>
          <w:divsChild>
            <w:div w:id="1573468038">
              <w:marLeft w:val="300"/>
              <w:marRight w:val="0"/>
              <w:marTop w:val="0"/>
              <w:marBottom w:val="225"/>
              <w:divBdr>
                <w:top w:val="none" w:sz="0" w:space="0" w:color="auto"/>
                <w:left w:val="none" w:sz="0" w:space="0" w:color="auto"/>
                <w:bottom w:val="none" w:sz="0" w:space="0" w:color="auto"/>
                <w:right w:val="none" w:sz="0" w:space="0" w:color="auto"/>
              </w:divBdr>
              <w:divsChild>
                <w:div w:id="1263144913">
                  <w:marLeft w:val="0"/>
                  <w:marRight w:val="0"/>
                  <w:marTop w:val="0"/>
                  <w:marBottom w:val="300"/>
                  <w:divBdr>
                    <w:top w:val="single" w:sz="18" w:space="0" w:color="auto"/>
                    <w:left w:val="none" w:sz="0" w:space="0" w:color="auto"/>
                    <w:bottom w:val="none" w:sz="0" w:space="0" w:color="auto"/>
                    <w:right w:val="none" w:sz="0" w:space="0" w:color="auto"/>
                  </w:divBdr>
                </w:div>
              </w:divsChild>
            </w:div>
          </w:divsChild>
        </w:div>
      </w:divsChild>
    </w:div>
    <w:div w:id="2087069951">
      <w:bodyDiv w:val="1"/>
      <w:marLeft w:val="0"/>
      <w:marRight w:val="0"/>
      <w:marTop w:val="0"/>
      <w:marBottom w:val="0"/>
      <w:divBdr>
        <w:top w:val="none" w:sz="0" w:space="0" w:color="auto"/>
        <w:left w:val="none" w:sz="0" w:space="0" w:color="auto"/>
        <w:bottom w:val="none" w:sz="0" w:space="0" w:color="auto"/>
        <w:right w:val="none" w:sz="0" w:space="0" w:color="auto"/>
      </w:divBdr>
      <w:divsChild>
        <w:div w:id="1143232685">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elamer@gmail.com" TargetMode="External"/><Relationship Id="rId13" Type="http://schemas.openxmlformats.org/officeDocument/2006/relationships/hyperlink" Target="https://doi.org/10.1108/IJOES-07-2018-0103"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ismailr218@gmail.com" TargetMode="External"/><Relationship Id="rId17" Type="http://schemas.openxmlformats.org/officeDocument/2006/relationships/oleObject" Target="embeddings/oleObject2.bin"/><Relationship Id="rId25" Type="http://schemas.openxmlformats.org/officeDocument/2006/relationships/hyperlink" Target="http://www.oecd.org/corporate/"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ntim@soton.ac.uk" TargetMode="External"/><Relationship Id="rId24" Type="http://schemas.openxmlformats.org/officeDocument/2006/relationships/hyperlink" Target="http://www.frc.org.uk/"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10" Type="http://schemas.openxmlformats.org/officeDocument/2006/relationships/hyperlink" Target="mailto:aalhares@yahoo.co.uk"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ahmed.a.elamer@gmail.com"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8FF1-1EF8-4131-81A3-EBE90A8C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10412</Words>
  <Characters>59352</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u1574148</dc:creator>
  <cp:lastModifiedBy>Edwards L.</cp:lastModifiedBy>
  <cp:revision>2</cp:revision>
  <cp:lastPrinted>2018-03-12T20:46:00Z</cp:lastPrinted>
  <dcterms:created xsi:type="dcterms:W3CDTF">2018-12-11T10:45:00Z</dcterms:created>
  <dcterms:modified xsi:type="dcterms:W3CDTF">2018-12-11T10:45:00Z</dcterms:modified>
</cp:coreProperties>
</file>