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9D195" w14:textId="42932928" w:rsidR="002D16A0" w:rsidRPr="00D40526" w:rsidRDefault="00BC29D9" w:rsidP="002D16A0">
      <w:pPr>
        <w:pStyle w:val="Title2"/>
        <w:rPr>
          <w:b w:val="0"/>
          <w:color w:val="000000" w:themeColor="text1"/>
        </w:rPr>
      </w:pPr>
      <w:r w:rsidRPr="00D40526">
        <w:rPr>
          <w:color w:val="000000" w:themeColor="text1"/>
        </w:rPr>
        <w:t xml:space="preserve">A thermostat-consistent fully coupled molecular dynamics – </w:t>
      </w:r>
      <w:proofErr w:type="spellStart"/>
      <w:r w:rsidRPr="00D40526">
        <w:rPr>
          <w:color w:val="000000" w:themeColor="text1"/>
        </w:rPr>
        <w:t>generalised</w:t>
      </w:r>
      <w:proofErr w:type="spellEnd"/>
      <w:r w:rsidRPr="00D40526">
        <w:rPr>
          <w:color w:val="000000" w:themeColor="text1"/>
        </w:rPr>
        <w:t xml:space="preserve"> fluctuating hydrodynamics model for non-equilibrium flows </w:t>
      </w:r>
    </w:p>
    <w:p w14:paraId="71BA3FD4" w14:textId="77777777" w:rsidR="002D16A0" w:rsidRPr="00D40526" w:rsidRDefault="002D16A0" w:rsidP="002D16A0">
      <w:pPr>
        <w:pStyle w:val="Tableofcontents"/>
        <w:rPr>
          <w:color w:val="000000" w:themeColor="text1"/>
        </w:rPr>
      </w:pPr>
    </w:p>
    <w:p w14:paraId="112FAE37" w14:textId="0EE3BD96" w:rsidR="002D16A0" w:rsidRPr="00D40526" w:rsidRDefault="00BC29D9" w:rsidP="002D16A0">
      <w:pPr>
        <w:pStyle w:val="AuthorsFull"/>
        <w:rPr>
          <w:color w:val="000000" w:themeColor="text1"/>
        </w:rPr>
      </w:pPr>
      <w:r w:rsidRPr="00D40526">
        <w:rPr>
          <w:color w:val="000000" w:themeColor="text1"/>
        </w:rPr>
        <w:t xml:space="preserve">Xinjian Liu, Ivan Korotkin, </w:t>
      </w:r>
      <w:proofErr w:type="spellStart"/>
      <w:r w:rsidRPr="00D40526">
        <w:rPr>
          <w:color w:val="000000" w:themeColor="text1"/>
        </w:rPr>
        <w:t>Zhonghao</w:t>
      </w:r>
      <w:proofErr w:type="spellEnd"/>
      <w:r w:rsidRPr="00D40526">
        <w:rPr>
          <w:color w:val="000000" w:themeColor="text1"/>
        </w:rPr>
        <w:t xml:space="preserve"> Rao, Sergey </w:t>
      </w:r>
      <w:proofErr w:type="spellStart"/>
      <w:r w:rsidRPr="00D40526">
        <w:rPr>
          <w:color w:val="000000" w:themeColor="text1"/>
        </w:rPr>
        <w:t>Karabasov</w:t>
      </w:r>
      <w:proofErr w:type="spellEnd"/>
      <w:r w:rsidRPr="00D40526">
        <w:rPr>
          <w:color w:val="000000" w:themeColor="text1"/>
        </w:rPr>
        <w:t>*</w:t>
      </w:r>
    </w:p>
    <w:p w14:paraId="6D3B33BE" w14:textId="77777777" w:rsidR="002D16A0" w:rsidRPr="00D40526" w:rsidRDefault="002D16A0" w:rsidP="002D16A0">
      <w:pPr>
        <w:pStyle w:val="Tableofcontents"/>
        <w:rPr>
          <w:color w:val="000000" w:themeColor="text1"/>
        </w:rPr>
      </w:pPr>
    </w:p>
    <w:p w14:paraId="4D8089E1" w14:textId="34B4A514" w:rsidR="007B7A09" w:rsidRPr="00D40526" w:rsidRDefault="00BC29D9" w:rsidP="007B7A09">
      <w:pPr>
        <w:pStyle w:val="Addresses"/>
        <w:rPr>
          <w:color w:val="000000" w:themeColor="text1"/>
        </w:rPr>
      </w:pPr>
      <w:r w:rsidRPr="00D40526">
        <w:rPr>
          <w:color w:val="000000" w:themeColor="text1"/>
        </w:rPr>
        <w:t>X</w:t>
      </w:r>
      <w:r w:rsidR="007B7A09" w:rsidRPr="00D40526">
        <w:rPr>
          <w:color w:val="000000" w:themeColor="text1"/>
        </w:rPr>
        <w:t xml:space="preserve">. </w:t>
      </w:r>
      <w:r w:rsidRPr="00D40526">
        <w:rPr>
          <w:color w:val="000000" w:themeColor="text1"/>
        </w:rPr>
        <w:t>Liu</w:t>
      </w:r>
      <w:r w:rsidR="007B7A09" w:rsidRPr="00D40526">
        <w:rPr>
          <w:color w:val="000000" w:themeColor="text1"/>
        </w:rPr>
        <w:t xml:space="preserve">, </w:t>
      </w:r>
      <w:r w:rsidRPr="00D40526">
        <w:rPr>
          <w:color w:val="000000" w:themeColor="text1"/>
        </w:rPr>
        <w:t>Z. Rao</w:t>
      </w:r>
      <w:r w:rsidR="007B7A09" w:rsidRPr="00D40526">
        <w:rPr>
          <w:color w:val="000000" w:themeColor="text1"/>
        </w:rPr>
        <w:t xml:space="preserve">. </w:t>
      </w:r>
    </w:p>
    <w:p w14:paraId="5CBAE562" w14:textId="66A2A85A" w:rsidR="00C56CD4" w:rsidRPr="00D40526" w:rsidRDefault="00BC29D9" w:rsidP="007B7A09">
      <w:pPr>
        <w:pStyle w:val="Addresses"/>
        <w:rPr>
          <w:color w:val="000000" w:themeColor="text1"/>
        </w:rPr>
      </w:pPr>
      <w:r w:rsidRPr="00D40526">
        <w:rPr>
          <w:color w:val="000000" w:themeColor="text1"/>
        </w:rPr>
        <w:t>School of Electrical and Power Engineering, China University of Mining and Technology, Xuzhou, 221116, China</w:t>
      </w:r>
      <w:r w:rsidR="007B7A09" w:rsidRPr="00D40526">
        <w:rPr>
          <w:color w:val="000000" w:themeColor="text1"/>
        </w:rPr>
        <w:br/>
      </w:r>
    </w:p>
    <w:p w14:paraId="08FEBABE" w14:textId="112DB14E" w:rsidR="007B7A09" w:rsidRPr="00D40526" w:rsidRDefault="00195667" w:rsidP="00BC29D9">
      <w:pPr>
        <w:pStyle w:val="Addresses"/>
        <w:rPr>
          <w:color w:val="000000" w:themeColor="text1"/>
        </w:rPr>
      </w:pPr>
      <w:r w:rsidRPr="00D40526">
        <w:rPr>
          <w:color w:val="000000" w:themeColor="text1"/>
        </w:rPr>
        <w:t xml:space="preserve">X. Liu, </w:t>
      </w:r>
      <w:r w:rsidR="00BC29D9" w:rsidRPr="00D40526">
        <w:rPr>
          <w:color w:val="000000" w:themeColor="text1"/>
        </w:rPr>
        <w:t>S</w:t>
      </w:r>
      <w:r w:rsidR="007B7A09" w:rsidRPr="00D40526">
        <w:rPr>
          <w:color w:val="000000" w:themeColor="text1"/>
        </w:rPr>
        <w:t xml:space="preserve">. </w:t>
      </w:r>
      <w:proofErr w:type="spellStart"/>
      <w:r w:rsidR="00BC29D9" w:rsidRPr="00D40526">
        <w:rPr>
          <w:color w:val="000000" w:themeColor="text1"/>
        </w:rPr>
        <w:t>Karabasov</w:t>
      </w:r>
      <w:proofErr w:type="spellEnd"/>
      <w:r w:rsidR="007B7A09" w:rsidRPr="00D40526">
        <w:rPr>
          <w:color w:val="000000" w:themeColor="text1"/>
        </w:rPr>
        <w:br/>
      </w:r>
      <w:r w:rsidR="00BC29D9" w:rsidRPr="00D40526">
        <w:rPr>
          <w:color w:val="000000" w:themeColor="text1"/>
        </w:rPr>
        <w:t>The School of Engineering and Materials Science, Queen Mary University of London, Mile End Road, E1 4NS London, United Kingdom</w:t>
      </w:r>
    </w:p>
    <w:p w14:paraId="2F4ED235" w14:textId="5B55C48C" w:rsidR="002D16A0" w:rsidRPr="00D40526" w:rsidRDefault="00BC29D9" w:rsidP="002D16A0">
      <w:pPr>
        <w:rPr>
          <w:color w:val="000000" w:themeColor="text1"/>
          <w:lang w:val="en-US"/>
        </w:rPr>
      </w:pPr>
      <w:r w:rsidRPr="00393433">
        <w:rPr>
          <w:color w:val="000000" w:themeColor="text1"/>
          <w:lang w:val="en-GB"/>
        </w:rPr>
        <w:t>E-mail: s.karabasov@qmul.ac.uk</w:t>
      </w:r>
    </w:p>
    <w:p w14:paraId="4113FFC4" w14:textId="13FD285D" w:rsidR="00BC29D9" w:rsidRPr="00D40526" w:rsidRDefault="00BC29D9" w:rsidP="00901D14">
      <w:pPr>
        <w:rPr>
          <w:bCs/>
          <w:color w:val="000000" w:themeColor="text1"/>
          <w:lang w:val="en-US"/>
        </w:rPr>
      </w:pPr>
    </w:p>
    <w:p w14:paraId="594AEF1D" w14:textId="77777777" w:rsidR="00195667" w:rsidRPr="00D40526" w:rsidRDefault="00195667" w:rsidP="00195667">
      <w:pPr>
        <w:pStyle w:val="Addresses"/>
        <w:rPr>
          <w:color w:val="000000" w:themeColor="text1"/>
        </w:rPr>
      </w:pPr>
      <w:r w:rsidRPr="00D40526">
        <w:rPr>
          <w:rFonts w:eastAsiaTheme="minorEastAsia" w:hint="eastAsia"/>
          <w:color w:val="000000" w:themeColor="text1"/>
          <w:lang w:eastAsia="zh-CN"/>
        </w:rPr>
        <w:t>I</w:t>
      </w:r>
      <w:r w:rsidRPr="00D40526">
        <w:rPr>
          <w:rFonts w:eastAsiaTheme="minorEastAsia"/>
          <w:color w:val="000000" w:themeColor="text1"/>
          <w:lang w:eastAsia="zh-CN"/>
        </w:rPr>
        <w:t>.</w:t>
      </w:r>
      <w:r w:rsidRPr="00D40526">
        <w:rPr>
          <w:color w:val="000000" w:themeColor="text1"/>
        </w:rPr>
        <w:t xml:space="preserve"> Korotkin</w:t>
      </w:r>
    </w:p>
    <w:p w14:paraId="2AC40992" w14:textId="77777777" w:rsidR="00195667" w:rsidRPr="00D40526" w:rsidRDefault="00195667" w:rsidP="00195667">
      <w:pPr>
        <w:pStyle w:val="Addresses"/>
        <w:rPr>
          <w:rFonts w:eastAsiaTheme="minorEastAsia"/>
          <w:color w:val="000000" w:themeColor="text1"/>
          <w:lang w:eastAsia="zh-CN"/>
        </w:rPr>
      </w:pPr>
      <w:r w:rsidRPr="00D40526">
        <w:rPr>
          <w:rFonts w:eastAsiaTheme="minorEastAsia"/>
          <w:color w:val="000000" w:themeColor="text1"/>
          <w:lang w:eastAsia="zh-CN"/>
        </w:rPr>
        <w:t>Mathematical Sciences, University of Southampton, University Rd., SO17 1BJ, United Kingdom</w:t>
      </w:r>
    </w:p>
    <w:p w14:paraId="72023227" w14:textId="77777777" w:rsidR="00195667" w:rsidRPr="00D40526" w:rsidRDefault="00195667" w:rsidP="00901D14">
      <w:pPr>
        <w:rPr>
          <w:bCs/>
          <w:color w:val="000000" w:themeColor="text1"/>
          <w:lang w:val="en-US"/>
        </w:rPr>
      </w:pPr>
    </w:p>
    <w:p w14:paraId="7DE30428" w14:textId="3460E315" w:rsidR="00901D14" w:rsidRPr="00D40526" w:rsidRDefault="00901D14" w:rsidP="0055680A">
      <w:pPr>
        <w:rPr>
          <w:color w:val="000000" w:themeColor="text1"/>
          <w:lang w:val="en-US"/>
        </w:rPr>
      </w:pPr>
      <w:r w:rsidRPr="00D40526">
        <w:rPr>
          <w:bCs/>
          <w:color w:val="000000" w:themeColor="text1"/>
          <w:lang w:val="en-US"/>
        </w:rPr>
        <w:t>Keywords:</w:t>
      </w:r>
      <w:r w:rsidR="00050E60" w:rsidRPr="00D40526">
        <w:rPr>
          <w:bCs/>
          <w:color w:val="000000" w:themeColor="text1"/>
          <w:lang w:val="en-US"/>
        </w:rPr>
        <w:t xml:space="preserve"> </w:t>
      </w:r>
      <w:r w:rsidR="0055680A" w:rsidRPr="00D40526">
        <w:rPr>
          <w:bCs/>
          <w:color w:val="000000" w:themeColor="text1"/>
          <w:lang w:val="en-US"/>
        </w:rPr>
        <w:t>hybrid molecular dynamics-continuum hydrodynamics methods, molecular dynamics, multiscale modeling, linearization, non-equilibrium</w:t>
      </w:r>
    </w:p>
    <w:p w14:paraId="0923689F" w14:textId="77777777" w:rsidR="00004A23" w:rsidRPr="00D40526" w:rsidRDefault="00004A23" w:rsidP="00004A23">
      <w:pPr>
        <w:rPr>
          <w:color w:val="000000" w:themeColor="text1"/>
          <w:lang w:val="en-US"/>
        </w:rPr>
      </w:pPr>
    </w:p>
    <w:p w14:paraId="4D80973E" w14:textId="1D1FBFBE" w:rsidR="00662DCE" w:rsidRPr="00D40526" w:rsidRDefault="00B17F98" w:rsidP="00B17F98">
      <w:pPr>
        <w:jc w:val="both"/>
        <w:rPr>
          <w:color w:val="000000" w:themeColor="text1"/>
          <w:lang w:val="en-US"/>
        </w:rPr>
      </w:pPr>
      <w:r w:rsidRPr="00D40526">
        <w:rPr>
          <w:color w:val="000000" w:themeColor="text1"/>
          <w:lang w:val="en-US"/>
        </w:rPr>
        <w:t xml:space="preserve">The thermostat-consistent fully coupled molecular dynamics – </w:t>
      </w:r>
      <w:proofErr w:type="spellStart"/>
      <w:r w:rsidRPr="00D40526">
        <w:rPr>
          <w:color w:val="000000" w:themeColor="text1"/>
          <w:lang w:val="en-US"/>
        </w:rPr>
        <w:t>generalised</w:t>
      </w:r>
      <w:proofErr w:type="spellEnd"/>
      <w:r w:rsidRPr="00D40526">
        <w:rPr>
          <w:color w:val="000000" w:themeColor="text1"/>
          <w:lang w:val="en-US"/>
        </w:rPr>
        <w:t xml:space="preserve"> fluctuating hydrodynamics method is developed for non-equilibrium water flow simulations. The model allows for strong coupling between the atomistic and the continuum hydrodynamics representations of water and shows an improved stability in comparison with the previous formulations of similar multiscale methods. Numerical results are demonstrated for a periodic </w:t>
      </w:r>
      <w:proofErr w:type="gramStart"/>
      <w:r w:rsidRPr="00D40526">
        <w:rPr>
          <w:color w:val="000000" w:themeColor="text1"/>
          <w:lang w:val="en-US"/>
        </w:rPr>
        <w:t>nano-scale</w:t>
      </w:r>
      <w:proofErr w:type="gramEnd"/>
      <w:r w:rsidRPr="00D40526">
        <w:rPr>
          <w:color w:val="000000" w:themeColor="text1"/>
          <w:lang w:val="en-US"/>
        </w:rPr>
        <w:t xml:space="preserve"> Poiseuille flow problem with SPC/E water. The computed time-averaged velocity profiles are compared with the analytical solution, and the thermal velocity fluctuations are well reproduced in comparison with the Equilibrium Molecular Dynamics (EMD) simulation. Several options to account for the long-range </w:t>
      </w:r>
      <w:proofErr w:type="gramStart"/>
      <w:r w:rsidRPr="00D40526">
        <w:rPr>
          <w:color w:val="000000" w:themeColor="text1"/>
          <w:lang w:val="en-US"/>
        </w:rPr>
        <w:t>electrostatics</w:t>
      </w:r>
      <w:proofErr w:type="gramEnd"/>
      <w:r w:rsidRPr="00D40526">
        <w:rPr>
          <w:color w:val="000000" w:themeColor="text1"/>
          <w:lang w:val="en-US"/>
        </w:rPr>
        <w:t xml:space="preserve"> interactions available in GROMACS are incorporated in the model and compared. It is demonstrated that the suggested non-equilibrium multiscale model is a factor of 4 to 18 faster in comparison with the standard all-atom equilibrium molecular dynamics model for the same computational domain size.</w:t>
      </w:r>
    </w:p>
    <w:p w14:paraId="1DA27FB2" w14:textId="77777777" w:rsidR="00B17F98" w:rsidRPr="00D40526" w:rsidRDefault="00B17F98" w:rsidP="00004A23">
      <w:pPr>
        <w:rPr>
          <w:color w:val="000000" w:themeColor="text1"/>
          <w:lang w:val="en-US"/>
        </w:rPr>
      </w:pPr>
    </w:p>
    <w:p w14:paraId="59370DE6" w14:textId="77777777" w:rsidR="002D16A0" w:rsidRPr="00D40526" w:rsidRDefault="002D16A0" w:rsidP="007D063F">
      <w:pPr>
        <w:pStyle w:val="Head1"/>
        <w:rPr>
          <w:color w:val="000000" w:themeColor="text1"/>
        </w:rPr>
      </w:pPr>
      <w:r w:rsidRPr="00D40526">
        <w:rPr>
          <w:color w:val="000000" w:themeColor="text1"/>
        </w:rPr>
        <w:t>1. Introduction</w:t>
      </w:r>
    </w:p>
    <w:p w14:paraId="71928640" w14:textId="77777777"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eastAsia="zh-CN"/>
        </w:rPr>
        <w:t xml:space="preserve">One of the popular categories of multiscale methods for atomistic-scale resolving simulations of non-equilibrium liquid flows is based on the idea of dividing the computational domain into an overlapping region of the continuum Navier-Stokes equations and the molecular dynamics region following the pioneering work of </w:t>
      </w:r>
      <w:r w:rsidRPr="00393433">
        <w:rPr>
          <w:color w:val="000000" w:themeColor="text1"/>
          <w:lang w:val="en-GB"/>
        </w:rPr>
        <w:t xml:space="preserve">O’Connell and Thompson </w:t>
      </w:r>
      <w:r w:rsidRPr="00D40526">
        <w:rPr>
          <w:color w:val="000000" w:themeColor="text1"/>
        </w:rPr>
        <w:fldChar w:fldCharType="begin"/>
      </w:r>
      <w:r w:rsidRPr="00393433">
        <w:rPr>
          <w:color w:val="000000" w:themeColor="text1"/>
          <w:lang w:val="en-GB"/>
        </w:rPr>
        <w:instrText xml:space="preserve"> ADDIN EN.CITE &lt;EndNote&gt;&lt;Cite&gt;&lt;Author&gt;O’connell&lt;/Author&gt;&lt;Year&gt;1995&lt;/Year&gt;&lt;RecNum&gt;1&lt;/RecNum&gt;&lt;DisplayText&gt;&lt;style face="superscript"&gt;[1]&lt;/style&gt;&lt;/DisplayText&gt;&lt;record&gt;&lt;rec-number&gt;1&lt;/rec-number&gt;&lt;foreign-keys&gt;&lt;key app="EN" db-id="2few9s5xuzd0fkexrp852fpetz5dda0wzve0" timestamp="1628862251"&gt;1&lt;/key&gt;&lt;/foreign-keys&gt;&lt;ref-type name="Journal Article"&gt;17&lt;/ref-type&gt;&lt;contributors&gt;&lt;authors&gt;&lt;author&gt;O’connell, Sean T&lt;/author&gt;&lt;author&gt;Thompson, Peter A&lt;/author&gt;&lt;/authors&gt;&lt;/contributors&gt;&lt;titles&gt;&lt;title&gt;Molecular dynamics–continuum hybrid computations: a tool for studying complex fluid flows&lt;/title&gt;&lt;secondary-title&gt;Phys. Rev. E&lt;/secondary-title&gt;&lt;/titles&gt;&lt;periodical&gt;&lt;full-title&gt;Phys. Rev. E&lt;/full-title&gt;&lt;/periodical&gt;&lt;pages&gt;R5792&lt;/pages&gt;&lt;volume&gt;52&lt;/volume&gt;&lt;number&gt;6&lt;/number&gt;&lt;dates&gt;&lt;year&gt;1995&lt;/year&gt;&lt;/dates&gt;&lt;urls&gt;&lt;/urls&gt;&lt;/record&gt;&lt;/Cite&gt;&lt;/EndNote&gt;</w:instrText>
      </w:r>
      <w:r w:rsidRPr="00D40526">
        <w:rPr>
          <w:color w:val="000000" w:themeColor="text1"/>
        </w:rPr>
        <w:fldChar w:fldCharType="separate"/>
      </w:r>
      <w:r w:rsidRPr="00393433">
        <w:rPr>
          <w:noProof/>
          <w:color w:val="000000" w:themeColor="text1"/>
          <w:vertAlign w:val="superscript"/>
          <w:lang w:val="en-GB"/>
        </w:rPr>
        <w:t>[1]</w:t>
      </w:r>
      <w:r w:rsidRPr="00D40526">
        <w:rPr>
          <w:color w:val="000000" w:themeColor="text1"/>
        </w:rPr>
        <w:fldChar w:fldCharType="end"/>
      </w:r>
      <w:r w:rsidRPr="00393433">
        <w:rPr>
          <w:color w:val="000000" w:themeColor="text1"/>
          <w:lang w:val="en-GB"/>
        </w:rPr>
        <w:t xml:space="preserve">. In further models, more accurate continuum models of dense liquids were used such as the Landau-Lifshitz Fluctuating Hydrodynamics (LL-FH) equations </w:t>
      </w:r>
      <w:r w:rsidRPr="00D40526">
        <w:rPr>
          <w:color w:val="000000" w:themeColor="text1"/>
        </w:rPr>
        <w:fldChar w:fldCharType="begin"/>
      </w:r>
      <w:r w:rsidRPr="00393433">
        <w:rPr>
          <w:color w:val="000000" w:themeColor="text1"/>
          <w:lang w:val="en-GB"/>
        </w:rPr>
        <w:instrText xml:space="preserve"> ADDIN EN.CITE &lt;EndNote&gt;&lt;Cite&gt;&lt;Author&gt;Landau&lt;/Author&gt;&lt;Year&gt;1980&lt;/Year&gt;&lt;RecNum&gt;2&lt;/RecNum&gt;&lt;DisplayText&gt;&lt;style face="superscript"&gt;[2]&lt;/style&gt;&lt;/DisplayText&gt;&lt;record&gt;&lt;rec-number&gt;2&lt;/rec-number&gt;&lt;foreign-keys&gt;&lt;key app="EN" db-id="2few9s5xuzd0fkexrp852fpetz5dda0wzve0" timestamp="1628862251"&gt;2&lt;/key&gt;&lt;/foreign-keys&gt;&lt;ref-type name="Book"&gt;6&lt;/ref-type&gt;&lt;contributors&gt;&lt;authors&gt;&lt;author&gt;Landau, Lev D&lt;/author&gt;&lt;author&gt;Lifshitz, Evgeny M&lt;/author&gt;&lt;/authors&gt;&lt;/contributors&gt;&lt;titles&gt;&lt;title&gt;Statistical Physics , Part 1&lt;/title&gt;&lt;/titles&gt;&lt;volume&gt;5&lt;/volume&gt;&lt;dates&gt;&lt;year&gt;1980&lt;/year&gt;&lt;/dates&gt;&lt;publisher&gt;Elsevier, Amsterdam&lt;/publisher&gt;&lt;isbn&gt;0080570461&lt;/isbn&gt;&lt;urls&gt;&lt;/urls&gt;&lt;/record&gt;&lt;/Cite&gt;&lt;/EndNote&gt;</w:instrText>
      </w:r>
      <w:r w:rsidRPr="00D40526">
        <w:rPr>
          <w:color w:val="000000" w:themeColor="text1"/>
        </w:rPr>
        <w:fldChar w:fldCharType="separate"/>
      </w:r>
      <w:r w:rsidRPr="00393433">
        <w:rPr>
          <w:noProof/>
          <w:color w:val="000000" w:themeColor="text1"/>
          <w:vertAlign w:val="superscript"/>
          <w:lang w:val="en-GB"/>
        </w:rPr>
        <w:t>[2]</w:t>
      </w:r>
      <w:r w:rsidRPr="00D40526">
        <w:rPr>
          <w:color w:val="000000" w:themeColor="text1"/>
        </w:rPr>
        <w:fldChar w:fldCharType="end"/>
      </w:r>
      <w:r w:rsidRPr="00393433">
        <w:rPr>
          <w:color w:val="000000" w:themeColor="text1"/>
          <w:lang w:val="en-GB"/>
        </w:rPr>
        <w:t xml:space="preserve">, which also preserve thermal fluctuations thereby enabling more consistent coupling with molecular dynamics </w:t>
      </w:r>
      <w:r w:rsidRPr="00D40526">
        <w:rPr>
          <w:color w:val="000000" w:themeColor="text1"/>
        </w:rPr>
        <w:fldChar w:fldCharType="begin">
          <w:fldData xml:space="preserve">PEVuZE5vdGU+PENpdGU+PEF1dGhvcj5EZSBGYWJyaXRpaXM8L0F1dGhvcj48WWVhcj4yMDA2PC9Z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</w:fldData>
        </w:fldChar>
      </w:r>
      <w:r w:rsidRPr="00393433">
        <w:rPr>
          <w:color w:val="000000" w:themeColor="text1"/>
          <w:lang w:val="en-GB"/>
        </w:rPr>
        <w:instrText xml:space="preserve"> ADDIN EN.CITE </w:instrText>
      </w:r>
      <w:r w:rsidRPr="00D40526">
        <w:rPr>
          <w:color w:val="000000" w:themeColor="text1"/>
        </w:rPr>
        <w:fldChar w:fldCharType="begin">
          <w:fldData xml:space="preserve">PEVuZE5vdGU+PENpdGU+PEF1dGhvcj5EZSBGYWJyaXRpaXM8L0F1dGhvcj48WWVhcj4yMDA2PC9Z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</w:fldData>
        </w:fldChar>
      </w:r>
      <w:r w:rsidRPr="00393433">
        <w:rPr>
          <w:color w:val="000000" w:themeColor="text1"/>
          <w:lang w:val="en-GB"/>
        </w:rPr>
        <w:instrText xml:space="preserve"> ADDIN EN.CITE.DATA </w:instrText>
      </w:r>
      <w:r w:rsidRPr="00D40526">
        <w:rPr>
          <w:color w:val="000000" w:themeColor="text1"/>
        </w:rPr>
      </w:r>
      <w:r w:rsidRPr="00D40526">
        <w:rPr>
          <w:color w:val="000000" w:themeColor="text1"/>
        </w:rPr>
        <w:fldChar w:fldCharType="end"/>
      </w:r>
      <w:r w:rsidRPr="00D40526">
        <w:rPr>
          <w:color w:val="000000" w:themeColor="text1"/>
        </w:rPr>
      </w:r>
      <w:r w:rsidRPr="00D40526">
        <w:rPr>
          <w:color w:val="000000" w:themeColor="text1"/>
        </w:rPr>
        <w:fldChar w:fldCharType="separate"/>
      </w:r>
      <w:r w:rsidRPr="00393433">
        <w:rPr>
          <w:noProof/>
          <w:color w:val="000000" w:themeColor="text1"/>
          <w:vertAlign w:val="superscript"/>
          <w:lang w:val="en-GB"/>
        </w:rPr>
        <w:t>[3-5]</w:t>
      </w:r>
      <w:r w:rsidRPr="00D40526">
        <w:rPr>
          <w:color w:val="000000" w:themeColor="text1"/>
        </w:rPr>
        <w:fldChar w:fldCharType="end"/>
      </w:r>
      <w:r w:rsidRPr="00393433">
        <w:rPr>
          <w:color w:val="000000" w:themeColor="text1"/>
          <w:lang w:val="en-GB"/>
        </w:rPr>
        <w:t xml:space="preserve">. A finite overlap (buffer) region between the models of different resolutions is beneficial for a smooth </w:t>
      </w:r>
      <w:r w:rsidRPr="00393433">
        <w:rPr>
          <w:color w:val="000000" w:themeColor="text1"/>
          <w:lang w:val="en-GB"/>
        </w:rPr>
        <w:lastRenderedPageBreak/>
        <w:t xml:space="preserve">transition between the continuum and atomistic parts of the model </w:t>
      </w:r>
      <w:r w:rsidRPr="00393433">
        <w:rPr>
          <w:color w:val="000000" w:themeColor="text1"/>
          <w:lang w:val="en-GB" w:eastAsia="zh-CN"/>
        </w:rPr>
        <w:t>to</w:t>
      </w:r>
      <w:r w:rsidRPr="00393433">
        <w:rPr>
          <w:color w:val="000000" w:themeColor="text1"/>
          <w:lang w:val="en-GB"/>
        </w:rPr>
        <w:t xml:space="preserve"> </w:t>
      </w:r>
      <w:r w:rsidRPr="00393433">
        <w:rPr>
          <w:rFonts w:hint="eastAsia"/>
          <w:color w:val="000000" w:themeColor="text1"/>
          <w:lang w:val="en-GB" w:eastAsia="zh-CN"/>
        </w:rPr>
        <w:t>avoid</w:t>
      </w:r>
      <w:r w:rsidRPr="00393433">
        <w:rPr>
          <w:color w:val="000000" w:themeColor="text1"/>
          <w:lang w:val="en-GB"/>
        </w:rPr>
        <w:t xml:space="preserve"> </w:t>
      </w:r>
      <w:r w:rsidRPr="00393433">
        <w:rPr>
          <w:rFonts w:hint="eastAsia"/>
          <w:color w:val="000000" w:themeColor="text1"/>
          <w:lang w:val="en-GB" w:eastAsia="zh-CN"/>
        </w:rPr>
        <w:t>sharp</w:t>
      </w:r>
      <w:r w:rsidRPr="00393433">
        <w:rPr>
          <w:color w:val="000000" w:themeColor="text1"/>
          <w:lang w:val="en-GB" w:eastAsia="zh-CN"/>
        </w:rPr>
        <w:t xml:space="preserve"> </w:t>
      </w:r>
      <w:r w:rsidRPr="00393433">
        <w:rPr>
          <w:rFonts w:hint="eastAsia"/>
          <w:color w:val="000000" w:themeColor="text1"/>
          <w:lang w:val="en-GB" w:eastAsia="zh-CN"/>
        </w:rPr>
        <w:t>oscillations</w:t>
      </w:r>
      <w:r w:rsidRPr="00393433">
        <w:rPr>
          <w:color w:val="000000" w:themeColor="text1"/>
          <w:lang w:val="en-GB"/>
        </w:rPr>
        <w:t xml:space="preserve"> </w:t>
      </w:r>
      <w:r w:rsidRPr="00D40526">
        <w:rPr>
          <w:color w:val="000000" w:themeColor="text1"/>
        </w:rPr>
        <w:fldChar w:fldCharType="begin"/>
      </w:r>
      <w:r w:rsidRPr="00393433">
        <w:rPr>
          <w:color w:val="000000" w:themeColor="text1"/>
          <w:lang w:val="en-GB"/>
        </w:rPr>
        <w:instrText xml:space="preserve"> ADDIN EN.CITE &lt;EndNote&gt;&lt;Cite&gt;&lt;Author&gt;Nie&lt;/Author&gt;&lt;Year&gt;2004&lt;/Year&gt;&lt;RecNum&gt;6&lt;/RecNum&gt;&lt;DisplayText&gt;&lt;style face="superscript"&gt;[6]&lt;/style&gt;&lt;/DisplayText&gt;&lt;record&gt;&lt;rec-number&gt;6&lt;/rec-number&gt;&lt;foreign-keys&gt;&lt;key app="EN" db-id="2few9s5xuzd0fkexrp852fpetz5dda0wzve0" timestamp="1628862252"&gt;6&lt;/key&gt;&lt;/foreign-keys&gt;&lt;ref-type name="Journal Article"&gt;17&lt;/ref-type&gt;&lt;contributors&gt;&lt;authors&gt;&lt;author&gt;Nie, XB&lt;/author&gt;&lt;author&gt;Chen, SY&lt;/author&gt;&lt;author&gt;Robbins, MarkO&lt;/author&gt;&lt;/authors&gt;&lt;/contributors&gt;&lt;titles&gt;&lt;title&gt;A continuum and molecular dynamics hybrid method for micro-and nano-fluid flow&lt;/title&gt;&lt;secondary-title&gt;J. Fluid Mech.&lt;/secondary-title&gt;&lt;/titles&gt;&lt;periodical&gt;&lt;full-title&gt;J. Fluid Mech.&lt;/full-title&gt;&lt;/periodical&gt;&lt;pages&gt;55&lt;/pages&gt;&lt;volume&gt;500&lt;/volume&gt;&lt;dates&gt;&lt;year&gt;2004&lt;/year&gt;&lt;/dates&gt;&lt;isbn&gt;0022-1120&lt;/isbn&gt;&lt;urls&gt;&lt;/urls&gt;&lt;/record&gt;&lt;/Cite&gt;&lt;/EndNote&gt;</w:instrText>
      </w:r>
      <w:r w:rsidRPr="00D40526">
        <w:rPr>
          <w:color w:val="000000" w:themeColor="text1"/>
        </w:rPr>
        <w:fldChar w:fldCharType="separate"/>
      </w:r>
      <w:r w:rsidRPr="00393433">
        <w:rPr>
          <w:noProof/>
          <w:color w:val="000000" w:themeColor="text1"/>
          <w:vertAlign w:val="superscript"/>
          <w:lang w:val="en-GB"/>
        </w:rPr>
        <w:t>[6]</w:t>
      </w:r>
      <w:r w:rsidRPr="00D40526">
        <w:rPr>
          <w:color w:val="000000" w:themeColor="text1"/>
        </w:rPr>
        <w:fldChar w:fldCharType="end"/>
      </w:r>
      <w:r w:rsidRPr="00393433">
        <w:rPr>
          <w:color w:val="000000" w:themeColor="text1"/>
          <w:lang w:val="en-GB"/>
        </w:rPr>
        <w:t xml:space="preserve">. </w:t>
      </w:r>
      <w:r w:rsidRPr="00D40526">
        <w:rPr>
          <w:color w:val="000000" w:themeColor="text1"/>
        </w:rPr>
        <w:t xml:space="preserve">In multi-particle methods </w:t>
      </w:r>
      <w:r w:rsidRPr="00D40526">
        <w:rPr>
          <w:color w:val="000000" w:themeColor="text1"/>
        </w:rPr>
        <w:fldChar w:fldCharType="begin"/>
      </w:r>
      <w:r w:rsidRPr="00D40526">
        <w:rPr>
          <w:color w:val="000000" w:themeColor="text1"/>
        </w:rPr>
        <w:instrText xml:space="preserve"> ADDIN EN.CITE &lt;EndNote&gt;&lt;Cite&gt;&lt;Author&gt;Praprotnik&lt;/Author&gt;&lt;Year&gt;2005&lt;/Year&gt;&lt;RecNum&gt;7&lt;/RecNum&gt;&lt;DisplayText&gt;&lt;style face="superscript"&gt;[7-8]&lt;/style&gt;&lt;/DisplayText&gt;&lt;record&gt;&lt;rec-number&gt;7&lt;/rec-number&gt;&lt;foreign-keys&gt;&lt;key app="EN" db-id="2few9s5xuzd0fkexrp852fpetz5dda0wzve0" timestamp="1628862252"&gt;7&lt;/key&gt;&lt;/foreign-keys&gt;&lt;ref-type name="Journal Article"&gt;17&lt;/ref-type&gt;&lt;contributors&gt;&lt;authors&gt;&lt;author&gt;Praprotnik, Matej&lt;/author&gt;&lt;author&gt;Delle Site, Luigi&lt;/author&gt;&lt;author&gt;Kremer, Kurt&lt;/author&gt;&lt;/authors&gt;&lt;/contributors&gt;&lt;titles&gt;&lt;title&gt;Adaptive resolution molecular-dynamics simulation: Changing the degrees of freedom on the fly&lt;/title&gt;&lt;secondary-title&gt;J. Chem. Phys.&lt;/secondary-title&gt;&lt;/titles&gt;&lt;periodical&gt;&lt;full-title&gt;J. Chem. Phys.&lt;/full-title&gt;&lt;/periodical&gt;&lt;pages&gt;224106&lt;/pages&gt;&lt;volume&gt;123&lt;/volume&gt;&lt;number&gt;22&lt;/number&gt;&lt;dates&gt;&lt;year&gt;2005&lt;/year&gt;&lt;/dates&gt;&lt;isbn&gt;0021-9606&lt;/isbn&gt;&lt;urls&gt;&lt;/urls&gt;&lt;/record&gt;&lt;/Cite&gt;&lt;Cite&gt;&lt;Author&gt;Delgado-Buscalioni&lt;/Author&gt;&lt;Year&gt;2008&lt;/Year&gt;&lt;RecNum&gt;8&lt;/RecNum&gt;&lt;record&gt;&lt;rec-number&gt;8&lt;/rec-number&gt;&lt;foreign-keys&gt;&lt;key app="EN" db-id="2few9s5xuzd0fkexrp852fpetz5dda0wzve0" timestamp="1628862252"&gt;8&lt;/key&gt;&lt;/foreign-keys&gt;&lt;ref-type name="Journal Article"&gt;17&lt;/ref-type&gt;&lt;contributors&gt;&lt;authors&gt;&lt;author&gt;Delgado-Buscalioni, Rafael&lt;/author&gt;&lt;author&gt;Kremer, Kurt&lt;/author&gt;&lt;author&gt;Praprotnik, Matej&lt;/author&gt;&lt;/authors&gt;&lt;/contributors&gt;&lt;titles&gt;&lt;title&gt;Concurrent triple-scale simulation of molecular liquids&lt;/title&gt;&lt;secondary-title&gt;J. Chem. Phys.&lt;/secondary-title&gt;&lt;/titles&gt;&lt;periodical&gt;&lt;full-title&gt;J. Chem. Phys.&lt;/full-title&gt;&lt;/periodical&gt;&lt;pages&gt;114110&lt;/pages&gt;&lt;volume&gt;128&lt;/volume&gt;&lt;number&gt;11&lt;/number&gt;&lt;dates&gt;&lt;year&gt;2008&lt;/year&gt;&lt;/dates&gt;&lt;isbn&gt;0021-9606&lt;/isbn&gt;&lt;urls&gt;&lt;/urls&gt;&lt;/record&gt;&lt;/Cite&gt;&lt;/EndNote&gt;</w:instrText>
      </w:r>
      <w:r w:rsidRPr="00D40526">
        <w:rPr>
          <w:color w:val="000000" w:themeColor="text1"/>
        </w:rPr>
        <w:fldChar w:fldCharType="separate"/>
      </w:r>
      <w:r w:rsidRPr="00D40526">
        <w:rPr>
          <w:noProof/>
          <w:color w:val="000000" w:themeColor="text1"/>
          <w:vertAlign w:val="superscript"/>
        </w:rPr>
        <w:t>[7-8]</w:t>
      </w:r>
      <w:r w:rsidRPr="00D40526">
        <w:rPr>
          <w:color w:val="000000" w:themeColor="text1"/>
        </w:rPr>
        <w:fldChar w:fldCharType="end"/>
      </w:r>
      <w:r w:rsidRPr="00D40526">
        <w:rPr>
          <w:color w:val="000000" w:themeColor="text1"/>
        </w:rPr>
        <w:t xml:space="preserve">, such buffer region also contains a multi-resolution region where discrete particles transition from the fully atomistic to a coarse-grained representation. </w:t>
      </w:r>
      <w:r w:rsidRPr="00393433">
        <w:rPr>
          <w:color w:val="000000" w:themeColor="text1"/>
          <w:lang w:val="en-GB"/>
        </w:rPr>
        <w:t>Consequently, the coarse-grained particles are coupled with the continuum flow models which lead to a micro-meso-macro scale formulation</w:t>
      </w:r>
      <w:r w:rsidRPr="00D40526">
        <w:rPr>
          <w:color w:val="000000" w:themeColor="text1"/>
        </w:rPr>
        <w:fldChar w:fldCharType="begin"/>
      </w:r>
      <w:r w:rsidRPr="00393433">
        <w:rPr>
          <w:color w:val="000000" w:themeColor="text1"/>
          <w:lang w:val="en-GB"/>
        </w:rPr>
        <w:instrText xml:space="preserve"> ADDIN EN.CITE &lt;EndNote&gt;&lt;Cite&gt;&lt;Author&gt;Delgado-Buscalioni&lt;/Author&gt;&lt;Year&gt;2008&lt;/Year&gt;&lt;RecNum&gt;8&lt;/RecNum&gt;&lt;DisplayText&gt;&lt;style face="superscript"&gt;[8-9]&lt;/style&gt;&lt;/DisplayText&gt;&lt;record&gt;&lt;rec-number&gt;8&lt;/rec-number&gt;&lt;foreign-keys&gt;&lt;key app="EN" db-id="2few9s5xuzd0fkexrp852fpetz5dda0wzve0" timestamp="1628862252"&gt;8&lt;/key&gt;&lt;/foreign-keys&gt;&lt;ref-type name="Journal Article"&gt;17&lt;/ref-type&gt;&lt;contributors&gt;&lt;authors&gt;&lt;author&gt;Delgado-Buscalioni, Rafael&lt;/author&gt;&lt;author&gt;Kremer, Kurt&lt;/author&gt;&lt;author&gt;Praprotnik, Matej&lt;/author&gt;&lt;/authors&gt;&lt;/contributors&gt;&lt;titles&gt;&lt;title&gt;Concurrent triple-scale simulation of molecular liquids&lt;/title&gt;&lt;secondary-title&gt;J. Chem. Phys.&lt;/secondary-title&gt;&lt;/titles&gt;&lt;periodical&gt;&lt;full-title&gt;J. Chem. Phys.&lt;/full-title&gt;&lt;/periodical&gt;&lt;pages&gt;114110&lt;/pages&gt;&lt;volume&gt;128&lt;/volume&gt;&lt;number&gt;11&lt;/number&gt;&lt;dates&gt;&lt;year&gt;2008&lt;/year&gt;&lt;/dates&gt;&lt;isbn&gt;0021-9606&lt;/isbn&gt;&lt;urls&gt;&lt;/urls&gt;&lt;/record&gt;&lt;/Cite&gt;&lt;Cite&gt;&lt;Author&gt;Delle Site&lt;/Author&gt;&lt;Year&gt;2020&lt;/Year&gt;&lt;RecNum&gt;9&lt;/RecNum&gt;&lt;record&gt;&lt;rec-number&gt;9&lt;/rec-number&gt;&lt;foreign-keys&gt;&lt;key app="EN" db-id="2few9s5xuzd0fkexrp852fpetz5dda0wzve0" timestamp="1628862252"&gt;9&lt;/key&gt;&lt;/foreign-keys&gt;&lt;ref-type name="Journal Article"&gt;17&lt;/ref-type&gt;&lt;contributors&gt;&lt;authors&gt;&lt;author&gt;Delle Site, Luigi&lt;/author&gt;&lt;author&gt;Praprotnik, Matej&lt;/author&gt;&lt;author&gt;Bell, John B.&lt;/author&gt;&lt;author&gt;Klein, Rupert&lt;/author&gt;&lt;/authors&gt;&lt;/contributors&gt;&lt;titles&gt;&lt;title&gt;Particle-Continuum Coupling and its Scaling R</w:instrText>
      </w:r>
      <w:r w:rsidRPr="00D40526">
        <w:rPr>
          <w:color w:val="000000" w:themeColor="text1"/>
        </w:rPr>
        <w:instrText>egimes: Theory and Applications&lt;/title&gt;&lt;secondary-title&gt;Adv. Theory Simul.&lt;/secondary-title&gt;&lt;/titles&gt;&lt;periodical&gt;&lt;full-title&gt;Adv. Theory Simul.&lt;/full-title&gt;&lt;/periodical&gt;&lt;pages&gt;1900232&lt;/pages&gt;&lt;volume&gt;3&lt;/volume&gt;&lt;number&gt;5&lt;/number&gt;&lt;dates&gt;&lt;year&gt;2020&lt;/year&gt;&lt;/dates&gt;&lt;isbn&gt;25130390&lt;/isbn&gt;&lt;urls&gt;&lt;/urls&gt;&lt;electronic-resource-num&gt;10.1002/adts.201900232&lt;/electronic-resource-num&gt;&lt;/record&gt;&lt;/Cite&gt;&lt;/EndNote&gt;</w:instrText>
      </w:r>
      <w:r w:rsidRPr="00D40526">
        <w:rPr>
          <w:color w:val="000000" w:themeColor="text1"/>
        </w:rPr>
        <w:fldChar w:fldCharType="separate"/>
      </w:r>
      <w:r w:rsidRPr="00D40526">
        <w:rPr>
          <w:noProof/>
          <w:color w:val="000000" w:themeColor="text1"/>
          <w:vertAlign w:val="superscript"/>
        </w:rPr>
        <w:t>[8-9]</w:t>
      </w:r>
      <w:r w:rsidRPr="00D40526">
        <w:rPr>
          <w:color w:val="000000" w:themeColor="text1"/>
        </w:rPr>
        <w:fldChar w:fldCharType="end"/>
      </w:r>
      <w:r w:rsidRPr="00D40526">
        <w:rPr>
          <w:color w:val="000000" w:themeColor="text1"/>
        </w:rPr>
        <w:t xml:space="preserve">. </w:t>
      </w:r>
      <w:r w:rsidRPr="00393433">
        <w:rPr>
          <w:color w:val="000000" w:themeColor="text1"/>
          <w:lang w:val="en-GB"/>
        </w:rPr>
        <w:t xml:space="preserve">For multi-resolution fluid dynamics modelling, the coupling between the models of different resolution should respect conservation of both the mass and the linear momentum. To automatically satisfy these conservation laws, the two-phase analogy multiscale method was suggested in </w:t>
      </w:r>
      <w:r w:rsidRPr="00D40526">
        <w:rPr>
          <w:color w:val="000000" w:themeColor="text1"/>
          <w:vertAlign w:val="superscript"/>
        </w:rPr>
        <w:fldChar w:fldCharType="begin"/>
      </w:r>
      <w:r w:rsidRPr="00393433">
        <w:rPr>
          <w:color w:val="000000" w:themeColor="text1"/>
          <w:vertAlign w:val="superscript"/>
          <w:lang w:val="en-GB"/>
        </w:rPr>
        <w:instrText xml:space="preserve"> ADDIN EN.CITE &lt;EndNote&gt;&lt;Cite&gt;&lt;Author&gt;Markesteijn&lt;/Author&gt;&lt;Year&gt;2014&lt;/Year&gt;&lt;RecNum&gt;10&lt;/RecNum&gt;&lt;DisplayText&gt;&lt;style face="superscript"&gt;[10-11]&lt;/style&gt;&lt;/DisplayText&gt;&lt;record&gt;&lt;rec-number&gt;10&lt;/rec-number&gt;&lt;foreign-keys&gt;&lt;key app="EN" db-id="2few9s5xuzd0fkexrp852fpetz5dda0wzve0" timestamp="1628862252"&gt;10&lt;/key&gt;&lt;/foreign-keys&gt;&lt;ref-type name="Journal Article"&gt;17&lt;/ref-type&gt;&lt;contributors&gt;&lt;authors&gt;&lt;author&gt;Markesteijn, A. P.&lt;/author&gt;&lt;author&gt;Karabasov, S. A.&lt;/author&gt;&lt;author&gt;Glotov, V. Yu&lt;/author&gt;&lt;author&gt;Goloviznin, V. M.&lt;/author&gt;&lt;/authors&gt;&lt;/contributors&gt;&lt;titles&gt;&lt;title&gt;A new non-linear two-time-level Central Leapfrog scheme in staggered conservation–flux variables for fluctuating hydrodynamics equations with GPU implementation&lt;/title&gt;&lt;secondary-title&gt;Comput. Methods Appl. Mech. Eng.&lt;/secondary-title&gt;&lt;/titles&gt;&lt;periodical&gt;&lt;full-title&gt;Comput. Methods Appl. Mech. Eng.&lt;/full-title&gt;&lt;/periodical&gt;&lt;pages&gt;29-53&lt;/pages&gt;&lt;volume&gt;281&lt;/volume&gt;&lt;dates&gt;&lt;year&gt;2014&lt;/year&gt;&lt;/dates&gt;&lt;isbn&gt;00457825&lt;/isbn&gt;&lt;urls&gt;&lt;/urls&gt;&lt;electronic-resource-num&gt;10.1016/j.cma.2014.07.027&lt;/electronic-resource-num&gt;&lt;/record&gt;&lt;/Cite&gt;&lt;Cite&gt;&lt;Author&gt;Pavlov&lt;/Author&gt;&lt;Year&gt;2014&lt;/Year&gt;&lt;RecNum&gt;11&lt;/RecNum&gt;&lt;record&gt;&lt;rec-number&gt;11&lt;/rec-number&gt;&lt;foreign-keys&gt;&lt;key app="EN" db-id="2few9s5xuzd0fkexrp852fpetz5dda0wzve0" timestamp="1628862252"&gt;11&lt;/key&gt;&lt;/foreign-keys&gt;&lt;ref-type name="Journal Article"&gt;17&lt;/ref-type&gt;&lt;contributors&gt;&lt;authors&gt;&lt;author&gt;Pavlov, Evgen&lt;/</w:instrText>
      </w:r>
      <w:r w:rsidRPr="00D40526">
        <w:rPr>
          <w:color w:val="000000" w:themeColor="text1"/>
          <w:vertAlign w:val="superscript"/>
        </w:rPr>
        <w:instrText>author&gt;&lt;author&gt;Taiji, Makoto&lt;/author&gt;&lt;author&gt;Scukins, Arturs&lt;/author&gt;&lt;author&gt;Markesteijn, Anton&lt;/author&gt;&lt;author&gt;Karabasov, Sergey&lt;/author&gt;&lt;author&gt;Nerukh, Dmitry&lt;/author&gt;&lt;/authors&gt;&lt;/contributors&gt;&lt;titles&gt;&lt;title&gt;Visualising and controlling the flow in biomolecular systems at and between multiple scales: from atoms to hydrodynamics at different locations in time and space&lt;/title&gt;&lt;secondary-title&gt;Faraday Discuss.&lt;/secondary-title&gt;&lt;/titles&gt;&lt;periodical&gt;&lt;full-title&gt;Faraday Discuss.&lt;/full-title&gt;&lt;/periodical&gt;&lt;pages&gt;285-302&lt;/pages&gt;&lt;volume&gt;169&lt;/volume&gt;&lt;dates&gt;&lt;year&gt;2014&lt;/year&gt;&lt;/dates&gt;&lt;urls&gt;&lt;/urls&gt;&lt;/record&gt;&lt;/Cite&gt;&lt;/EndNote&gt;</w:instrText>
      </w:r>
      <w:r w:rsidRPr="00D40526">
        <w:rPr>
          <w:color w:val="000000" w:themeColor="text1"/>
          <w:vertAlign w:val="superscript"/>
        </w:rPr>
        <w:fldChar w:fldCharType="separate"/>
      </w:r>
      <w:r w:rsidRPr="00D40526">
        <w:rPr>
          <w:noProof/>
          <w:color w:val="000000" w:themeColor="text1"/>
          <w:vertAlign w:val="superscript"/>
        </w:rPr>
        <w:t>[10-11]</w:t>
      </w:r>
      <w:r w:rsidRPr="00D40526">
        <w:rPr>
          <w:color w:val="000000" w:themeColor="text1"/>
          <w:vertAlign w:val="superscript"/>
        </w:rPr>
        <w:fldChar w:fldCharType="end"/>
      </w:r>
      <w:r w:rsidRPr="00D40526">
        <w:rPr>
          <w:color w:val="000000" w:themeColor="text1"/>
        </w:rPr>
        <w:t xml:space="preserve">, which considered the continuum and atomistic representations of a liquid as phases of a nominally two-phase flow. </w:t>
      </w:r>
      <w:r w:rsidRPr="00393433">
        <w:rPr>
          <w:color w:val="000000" w:themeColor="text1"/>
          <w:lang w:val="en-GB"/>
        </w:rPr>
        <w:t xml:space="preserve">The phases </w:t>
      </w:r>
      <w:proofErr w:type="gramStart"/>
      <w:r w:rsidRPr="00393433">
        <w:rPr>
          <w:color w:val="000000" w:themeColor="text1"/>
          <w:lang w:val="en-GB"/>
        </w:rPr>
        <w:t>are allowed to</w:t>
      </w:r>
      <w:proofErr w:type="gramEnd"/>
      <w:r w:rsidRPr="00393433">
        <w:rPr>
          <w:color w:val="000000" w:themeColor="text1"/>
          <w:lang w:val="en-GB"/>
        </w:rPr>
        <w:t xml:space="preserve"> transition one to another in accordance with a concentration field, a user-defined function that determines which parts of the computational domain need to be modelled at molecular dynamics resolution, and which do not. The continuum phase is governed by the LL-FH-type equations integrated over control volumes, which are smoothly replaced by the averaged fields obtained from the molecular </w:t>
      </w:r>
      <w:proofErr w:type="gramStart"/>
      <w:r w:rsidRPr="00393433">
        <w:rPr>
          <w:color w:val="000000" w:themeColor="text1"/>
          <w:lang w:val="en-GB"/>
        </w:rPr>
        <w:t>dynamics</w:t>
      </w:r>
      <w:proofErr w:type="gramEnd"/>
      <w:r w:rsidRPr="00393433">
        <w:rPr>
          <w:color w:val="000000" w:themeColor="text1"/>
          <w:lang w:val="en-GB"/>
        </w:rPr>
        <w:t xml:space="preserve"> equations in the region of atomistic resolution of the multiscale model. To avoid separation of the two phases in the buffer region, forcing functions are introduced in the molecular </w:t>
      </w:r>
      <w:proofErr w:type="gramStart"/>
      <w:r w:rsidRPr="00393433">
        <w:rPr>
          <w:color w:val="000000" w:themeColor="text1"/>
          <w:lang w:val="en-GB"/>
        </w:rPr>
        <w:t>dynamics</w:t>
      </w:r>
      <w:proofErr w:type="gramEnd"/>
      <w:r w:rsidRPr="00393433">
        <w:rPr>
          <w:color w:val="000000" w:themeColor="text1"/>
          <w:lang w:val="en-GB"/>
        </w:rPr>
        <w:t xml:space="preserve"> equations, which correspond to the equivalent source and sink terms in the control volume averaged mass and momentum equations. The latter equations are more complex in comparison with the LL-FH model. Hence, in a number of cases, where the effect of the molecular phase on the continuum part of the model could be included in the calibration of the constitutive relations of the continuum model, such as the equation of state, a one-way coupled model case was used. Such one-way coupled model accounted for the continuum flow effect on microscopic particles </w:t>
      </w:r>
      <w:r w:rsidRPr="00393433">
        <w:rPr>
          <w:rFonts w:hint="eastAsia"/>
          <w:color w:val="000000" w:themeColor="text1"/>
          <w:lang w:val="en-GB" w:eastAsia="zh-CN"/>
        </w:rPr>
        <w:t>while</w:t>
      </w:r>
      <w:r w:rsidRPr="00393433">
        <w:rPr>
          <w:color w:val="000000" w:themeColor="text1"/>
          <w:lang w:val="en-GB"/>
        </w:rPr>
        <w:t xml:space="preserve"> </w:t>
      </w:r>
      <w:r w:rsidRPr="00393433">
        <w:rPr>
          <w:rFonts w:hint="eastAsia"/>
          <w:color w:val="000000" w:themeColor="text1"/>
          <w:lang w:val="en-GB" w:eastAsia="zh-CN"/>
        </w:rPr>
        <w:t>ignoring</w:t>
      </w:r>
      <w:r w:rsidRPr="00393433">
        <w:rPr>
          <w:color w:val="000000" w:themeColor="text1"/>
          <w:lang w:val="en-GB"/>
        </w:rPr>
        <w:t xml:space="preserve"> the feedback </w:t>
      </w:r>
      <w:r w:rsidRPr="00D40526">
        <w:rPr>
          <w:color w:val="000000" w:themeColor="text1"/>
        </w:rPr>
        <w:fldChar w:fldCharType="begin">
          <w:fldData xml:space="preserve">PEVuZE5vdGU+PENpdGU+PEF1dGhvcj5Lb3JvdGtpbjwvQXV0aG9yPjxZZWFyPjIwMTY8L1llYXI+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</w:fldData>
        </w:fldChar>
      </w:r>
      <w:r w:rsidRPr="00393433">
        <w:rPr>
          <w:color w:val="000000" w:themeColor="text1"/>
          <w:lang w:val="en-GB"/>
        </w:rPr>
        <w:instrText xml:space="preserve"> ADDIN EN.CITE </w:instrText>
      </w:r>
      <w:r w:rsidRPr="00D40526">
        <w:rPr>
          <w:color w:val="000000" w:themeColor="text1"/>
        </w:rPr>
        <w:fldChar w:fldCharType="begin">
          <w:fldData xml:space="preserve">PEVuZE5vdGU+PENpdGU+PEF1dGhvcj5Lb3JvdGtpbjwvQXV0aG9yPjxZZWFyPjIwMTY8L1llYXI+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</w:fldData>
        </w:fldChar>
      </w:r>
      <w:r w:rsidRPr="00393433">
        <w:rPr>
          <w:color w:val="000000" w:themeColor="text1"/>
          <w:lang w:val="en-GB"/>
        </w:rPr>
        <w:instrText xml:space="preserve"> ADDIN EN.CITE.DATA </w:instrText>
      </w:r>
      <w:r w:rsidRPr="00D40526">
        <w:rPr>
          <w:color w:val="000000" w:themeColor="text1"/>
        </w:rPr>
      </w:r>
      <w:r w:rsidRPr="00D40526">
        <w:rPr>
          <w:color w:val="000000" w:themeColor="text1"/>
        </w:rPr>
        <w:fldChar w:fldCharType="end"/>
      </w:r>
      <w:r w:rsidRPr="00D40526">
        <w:rPr>
          <w:color w:val="000000" w:themeColor="text1"/>
        </w:rPr>
      </w:r>
      <w:r w:rsidRPr="00D40526">
        <w:rPr>
          <w:color w:val="000000" w:themeColor="text1"/>
        </w:rPr>
        <w:fldChar w:fldCharType="separate"/>
      </w:r>
      <w:r w:rsidRPr="00393433">
        <w:rPr>
          <w:noProof/>
          <w:color w:val="000000" w:themeColor="text1"/>
          <w:vertAlign w:val="superscript"/>
          <w:lang w:val="en-GB"/>
        </w:rPr>
        <w:t>[12-14]</w:t>
      </w:r>
      <w:r w:rsidRPr="00D40526">
        <w:rPr>
          <w:color w:val="000000" w:themeColor="text1"/>
        </w:rPr>
        <w:fldChar w:fldCharType="end"/>
      </w:r>
      <w:r w:rsidRPr="00393433">
        <w:rPr>
          <w:color w:val="000000" w:themeColor="text1"/>
          <w:lang w:val="en-GB"/>
        </w:rPr>
        <w:t xml:space="preserve">. Despite the relative simplicity, the one-way-coupled approach performs well for a range of problems including the diffusion of peptides in cross flow </w:t>
      </w:r>
      <w:r w:rsidRPr="00D40526">
        <w:rPr>
          <w:color w:val="000000" w:themeColor="text1"/>
        </w:rPr>
        <w:fldChar w:fldCharType="begin"/>
      </w:r>
      <w:r w:rsidRPr="00393433">
        <w:rPr>
          <w:color w:val="000000" w:themeColor="text1"/>
          <w:lang w:val="en-GB"/>
        </w:rPr>
        <w:instrText xml:space="preserve"> ADDIN EN.CITE &lt;EndNote&gt;&lt;Cite&gt;&lt;Author&gt;Hu&lt;/Author&gt;&lt;Year&gt;2019&lt;/Year&gt;&lt;RecNum&gt;15&lt;/RecNum&gt;&lt;DisplayText&gt;&lt;style face="superscript"&gt;[15-16]&lt;/style&gt;&lt;/DisplayText&gt;&lt;record&gt;&lt;rec-number&gt;15&lt;/rec-number&gt;&lt;foreign-keys&gt;&lt;key app="EN" db-id="2few9s5xuzd0fkexrp852fpetz5dda0wzve0" timestamp="1628862252"&gt;15&lt;/key&gt;&lt;/foreign-keys&gt;&lt;ref-type name="Journal Article"&gt;17&lt;/ref-type&gt;&lt;contributors&gt;&lt;authors&gt;&lt;author&gt;Hu, J&lt;/author&gt;&lt;author&gt;Korotkin, IA&lt;/author&gt;&lt;author&gt;Karabasov, SA&lt;/author&gt;&lt;/authors&gt;&lt;/contributors&gt;&lt;titles&gt;&lt;title&gt;Hybrid multiscale simulation reveals focusing of a diffusing peptide molecule by parallel shear flow in water&lt;/title&gt;&lt;secondary-title&gt;J. Mol. Liq.&lt;/secondary-title&gt;&lt;/titles&gt;&lt;periodical&gt;&lt;full-title&gt;J. Mol. Liq.&lt;/full-title&gt;&lt;/periodical&gt;&lt;pages&gt;285-297&lt;/pages&gt;&lt;volume&gt;280&lt;/volume&gt;&lt;dates&gt;&lt;year&gt;2019&lt;/year&gt;&lt;/dates&gt;&lt;isbn&gt;0167-7322&lt;/isbn&gt;&lt;urls&gt;&lt;/urls&gt;&lt;/record&gt;&lt;/Cite&gt;&lt;Cite&gt;&lt;Author&gt;Li&lt;/Author&gt;&lt;Year&gt;2021&lt;/Year&gt;&lt;RecNum&gt;16&lt;/RecNum&gt;&lt;record&gt;&lt;rec-number&gt;16&lt;/rec-number&gt;&lt;foreign-keys&gt;&lt;key app="EN" db-id="2few9s5xuzd0fkexrp852fpetz5dda0wzve0" timestamp="1628862252"&gt;16&lt;/key&gt;&lt;/foreign-keys&gt;&lt;ref-type name="Journal Article"&gt;17&lt;/ref-type&gt;&lt;contributors&gt;&lt;authors&gt;&lt;author&gt;Li, Fan&lt;/author&gt;&lt;author&gt;Korotkin, Ivan&lt;/author&gt;&lt;author&gt;Farafonov, Vladimir&lt;/author&gt;&lt;author&gt;Karabasov, Sergey A.&lt;/author&gt;&lt;/authors&gt;&lt;/contributors&gt;&lt;titles&gt;&lt;title&gt;Lateral migration of peptides in transve</w:instrText>
      </w:r>
      <w:r w:rsidRPr="00D40526">
        <w:rPr>
          <w:color w:val="000000" w:themeColor="text1"/>
        </w:rPr>
        <w:instrText>rsely sheared flows in water: An atomistic-scale-resolving simulation&lt;/title&gt;&lt;secondary-title&gt;J. Mol. Liq.&lt;/secondary-title&gt;&lt;/titles&gt;&lt;periodical&gt;&lt;full-title&gt;J. Mol. Liq.&lt;/full-title&gt;&lt;/periodical&gt;&lt;pages&gt;116111&lt;/pages&gt;&lt;volume&gt;337&lt;/volume&gt;&lt;keywords&gt;&lt;keyword&gt;Hybrid Fluctuating Hydrodynamics - Molecular Dynamics model&lt;/keyword&gt;&lt;keyword&gt;Diffusion&lt;/keyword&gt;&lt;keyword&gt;Poiseuille&lt;/keyword&gt;&lt;keyword&gt;Flow protein&lt;/keyword&gt;&lt;/keywords&gt;&lt;dates&gt;&lt;year&gt;2021&lt;/year&gt;&lt;pub-dates&gt;&lt;date&gt;2021/09/01/&lt;/date&gt;&lt;/pub-dates&gt;&lt;/dates&gt;&lt;isbn&gt;0167-7322&lt;/isbn&gt;&lt;urls&gt;&lt;related-urls&gt;&lt;url&gt;https://www.sciencedirect.com/science/article/pii/S0167732221008382&lt;/url&gt;&lt;/related-urls&gt;&lt;/urls&gt;&lt;/record&gt;&lt;/Cite&gt;&lt;/EndNote&gt;</w:instrText>
      </w:r>
      <w:r w:rsidRPr="00D40526">
        <w:rPr>
          <w:color w:val="000000" w:themeColor="text1"/>
        </w:rPr>
        <w:fldChar w:fldCharType="separate"/>
      </w:r>
      <w:r w:rsidRPr="00D40526">
        <w:rPr>
          <w:noProof/>
          <w:color w:val="000000" w:themeColor="text1"/>
          <w:vertAlign w:val="superscript"/>
        </w:rPr>
        <w:t>[15-16]</w:t>
      </w:r>
      <w:r w:rsidRPr="00D40526">
        <w:rPr>
          <w:color w:val="000000" w:themeColor="text1"/>
        </w:rPr>
        <w:fldChar w:fldCharType="end"/>
      </w:r>
      <w:r w:rsidRPr="00D40526">
        <w:rPr>
          <w:color w:val="000000" w:themeColor="text1"/>
        </w:rPr>
        <w:t xml:space="preserve">, oscillations of a PCV2 virus capsid in water </w:t>
      </w:r>
      <w:r w:rsidRPr="00D40526">
        <w:rPr>
          <w:color w:val="000000" w:themeColor="text1"/>
        </w:rPr>
        <w:fldChar w:fldCharType="begin"/>
      </w:r>
      <w:r w:rsidRPr="00D40526">
        <w:rPr>
          <w:color w:val="000000" w:themeColor="text1"/>
        </w:rPr>
        <w:instrText xml:space="preserve"> ADDIN EN.CITE &lt;EndNote&gt;&lt;Cite&gt;&lt;Author&gt;Tarasova&lt;/Author&gt;&lt;Year&gt;2017&lt;/Year&gt;&lt;RecNum&gt;17&lt;/RecNum&gt;&lt;DisplayText&gt;&lt;style face="superscript"&gt;[17]&lt;/style&gt;&lt;/DisplayText&gt;&lt;record&gt;&lt;rec-number&gt;17&lt;/rec-number&gt;&lt;foreign-keys&gt;&lt;key app="EN" db-id="2few9s5xuzd0fkexrp852fpetz5dda0wzve0" timestamp="1628862252"&gt;17&lt;/key&gt;&lt;/foreign-keys&gt;&lt;ref-type name="Journal Article"&gt;17&lt;/ref-type&gt;&lt;contributors&gt;&lt;authors&gt;&lt;author&gt;Tarasova, Elvira&lt;/author&gt;&lt;author&gt;Korotkin, Ivan&lt;/author&gt;&lt;author&gt;Farafonov, Vladimir&lt;/author&gt;&lt;author&gt;Karabasov, Sergey&lt;/author&gt;&lt;author&gt;Nerukh, Dmitry&lt;/author&gt;&lt;/authors&gt;&lt;/contributors&gt;&lt;titles&gt;&lt;title&gt;Complete virus capsid at all-atom resolution: Simulations using molecular dynamics and hybrid molecular dynamics/hydrodynamics methods reveal semipermeable membrane function&lt;/title&gt;&lt;secondary-title&gt;J. Mol. Liq.&lt;/secondary-title&gt;&lt;/titles&gt;&lt;periodical&gt;&lt;full-title&gt;J. Mol. Liq.&lt;/full-title&gt;&lt;/periodical&gt;&lt;pages&gt;109-114&lt;/pages&gt;&lt;volume&gt;245&lt;/volume&gt;&lt;dates&gt;&lt;year&gt;2017&lt;/year&gt;&lt;/dates&gt;&lt;isbn&gt;0167-7322&lt;/isbn&gt;&lt;urls&gt;&lt;/urls&gt;&lt;/record&gt;&lt;/Cite&gt;&lt;/EndNote&gt;</w:instrText>
      </w:r>
      <w:r w:rsidRPr="00D40526">
        <w:rPr>
          <w:color w:val="000000" w:themeColor="text1"/>
        </w:rPr>
        <w:fldChar w:fldCharType="separate"/>
      </w:r>
      <w:r w:rsidRPr="00D40526">
        <w:rPr>
          <w:noProof/>
          <w:color w:val="000000" w:themeColor="text1"/>
          <w:vertAlign w:val="superscript"/>
        </w:rPr>
        <w:t>[17]</w:t>
      </w:r>
      <w:r w:rsidRPr="00D40526">
        <w:rPr>
          <w:color w:val="000000" w:themeColor="text1"/>
        </w:rPr>
        <w:fldChar w:fldCharType="end"/>
      </w:r>
      <w:r w:rsidRPr="00D40526">
        <w:rPr>
          <w:color w:val="000000" w:themeColor="text1"/>
        </w:rPr>
        <w:t xml:space="preserve">, and the nano-confined water effects in a High-Speed Atomic Force Microscope experiment </w:t>
      </w:r>
      <w:r w:rsidRPr="00D40526">
        <w:rPr>
          <w:color w:val="000000" w:themeColor="text1"/>
        </w:rPr>
        <w:fldChar w:fldCharType="begin"/>
      </w:r>
      <w:r w:rsidRPr="00D40526">
        <w:rPr>
          <w:color w:val="000000" w:themeColor="text1"/>
        </w:rPr>
        <w:instrText xml:space="preserve"> ADDIN EN.CITE &lt;EndNote&gt;&lt;Cite&gt;&lt;Author&gt;Li&lt;/Author&gt;&lt;Year&gt;2020&lt;/Year&gt;&lt;RecNum&gt;18&lt;/RecNum&gt;&lt;DisplayText&gt;&lt;style face="superscript"&gt;[18]&lt;/style&gt;&lt;/DisplayText&gt;&lt;record&gt;&lt;rec-number&gt;18&lt;/rec-number&gt;&lt;foreign-keys&gt;&lt;key app="EN" db-id="2few9s5xuzd0fkexrp852fpetz5dda0wzve0" timestamp="1628862252"&gt;18&lt;/key&gt;&lt;/foreign-keys&gt;&lt;ref-type name="Journal Article"&gt;17&lt;/ref-type&gt;&lt;contributors&gt;&lt;authors&gt;&lt;author&gt;Li, Fan&lt;/author&gt;&lt;author&gt;Korotkin, Ivan&lt;/author&gt;&lt;author&gt;Taiji, Makoto&lt;/author&gt;&lt;author&gt;Karabasov, Sergey&lt;/author&gt;&lt;/authors&gt;&lt;/contributors&gt;&lt;titles&gt;&lt;title&gt;A multi-scale and multi-physics Atomic Force Microscopy model for force calculations at atomistic resolution and realistic flow conditions&lt;/title&gt;&lt;/titles&gt;&lt;volume&gt;DOI: 10.13140/RG.2.2.14247.57763&lt;/volume&gt;&lt;dates&gt;&lt;year&gt;2020&lt;/year&gt;&lt;/dates&gt;&lt;urls&gt;&lt;/urls&gt;&lt;electronic-resource-num&gt;10.13140/RG.2.2.14247.57763&lt;/electronic-resource-num&gt;&lt;/record&gt;&lt;/Cite&gt;&lt;/EndNote&gt;</w:instrText>
      </w:r>
      <w:r w:rsidRPr="00D40526">
        <w:rPr>
          <w:color w:val="000000" w:themeColor="text1"/>
        </w:rPr>
        <w:fldChar w:fldCharType="separate"/>
      </w:r>
      <w:r w:rsidRPr="00D40526">
        <w:rPr>
          <w:noProof/>
          <w:color w:val="000000" w:themeColor="text1"/>
          <w:vertAlign w:val="superscript"/>
        </w:rPr>
        <w:t>[18]</w:t>
      </w:r>
      <w:r w:rsidRPr="00D40526">
        <w:rPr>
          <w:color w:val="000000" w:themeColor="text1"/>
        </w:rPr>
        <w:fldChar w:fldCharType="end"/>
      </w:r>
      <w:r w:rsidRPr="00D40526">
        <w:rPr>
          <w:color w:val="000000" w:themeColor="text1"/>
        </w:rPr>
        <w:t xml:space="preserve">. </w:t>
      </w:r>
      <w:r w:rsidRPr="00393433">
        <w:rPr>
          <w:color w:val="000000" w:themeColor="text1"/>
          <w:lang w:val="en-GB"/>
        </w:rPr>
        <w:t xml:space="preserve">However, to achieve the full potential of the </w:t>
      </w:r>
      <w:r w:rsidRPr="00393433">
        <w:rPr>
          <w:color w:val="000000" w:themeColor="text1"/>
          <w:lang w:val="en-GB"/>
        </w:rPr>
        <w:lastRenderedPageBreak/>
        <w:t xml:space="preserve">hybrid multiscale method in terms of accuracy and computational performance, the two-way coupling of the phases is needed. To do so efficiently, the governing equations of the two-phase flow analogy model </w:t>
      </w:r>
      <w:r w:rsidRPr="00D40526">
        <w:rPr>
          <w:color w:val="000000" w:themeColor="text1"/>
        </w:rPr>
        <w:fldChar w:fldCharType="begin"/>
      </w:r>
      <w:r w:rsidRPr="00393433">
        <w:rPr>
          <w:color w:val="000000" w:themeColor="text1"/>
          <w:lang w:val="en-GB"/>
        </w:rPr>
        <w:instrText xml:space="preserve"> ADDIN EN.CITE &lt;EndNote&gt;&lt;Cite&gt;&lt;Author&gt;Scukins&lt;/Author&gt;&lt;Year&gt;2015&lt;/Year&gt;&lt;RecNum&gt;19&lt;/RecNum&gt;&lt;DisplayText&gt;&lt;style face="superscript"&gt;[19]&lt;/style&gt;&lt;/DisplayText&gt;&lt;record&gt;&lt;rec-number&gt;19&lt;/rec-number&gt;&lt;foreign-keys&gt;&lt;key app="EN" db-id="2few9s5xuzd0fkexrp852fpetz5dda0wzve0" timestamp="1628862252"&gt;19&lt;/key&gt;&lt;/foreign-keys&gt;&lt;ref-type name="Journal Article"&gt;17&lt;/ref-type&gt;&lt;contributors&gt;&lt;authors&gt;&lt;author&gt;Scukins, Arturs&lt;/author&gt;&lt;author&gt;Nerukh, Dmitry&lt;/author&gt;&lt;author&gt;Pavlov, Evgen&lt;/author&gt;&lt;author&gt;Karabasov, Sergey&lt;/author&gt;&lt;author&gt;Markesteijn, Anton&lt;/author&gt;&lt;/authors&gt;&lt;/contributors&gt;&lt;titles&gt;&lt;title&gt;Multiscale molecular dynamics/hydrodynamics implementation of two dimensional “Mercedes Benz” water model&lt;/title&gt;&lt;secondary-title&gt;Eur. Phys. J.: Spec. Top.&lt;/secondary-title&gt;&lt;/titles&gt;&lt;periodical&gt;&lt;full-title&gt;Eur. Phys. J.: Spec. Top.&lt;/full-title&gt;&lt;/periodical&gt;&lt;pages&gt;2217-2238&lt;/pages&gt;&lt;volume&gt;224&lt;/volume&gt;&lt;number&gt;12&lt;/number&gt;&lt;dates&gt;&lt;year&gt;2015&lt;/year&gt;&lt;/dates&gt;&lt;isbn&gt;1951-6401&lt;/isbn&gt;&lt;urls&gt;&lt;/urls&gt;&lt;/record&gt;&lt;/Cite&gt;&lt;/EndNote&gt;</w:instrText>
      </w:r>
      <w:r w:rsidRPr="00D40526">
        <w:rPr>
          <w:color w:val="000000" w:themeColor="text1"/>
        </w:rPr>
        <w:fldChar w:fldCharType="separate"/>
      </w:r>
      <w:r w:rsidRPr="00393433">
        <w:rPr>
          <w:noProof/>
          <w:color w:val="000000" w:themeColor="text1"/>
          <w:vertAlign w:val="superscript"/>
          <w:lang w:val="en-GB"/>
        </w:rPr>
        <w:t>[19]</w:t>
      </w:r>
      <w:r w:rsidRPr="00D40526">
        <w:rPr>
          <w:color w:val="000000" w:themeColor="text1"/>
        </w:rPr>
        <w:fldChar w:fldCharType="end"/>
      </w:r>
      <w:r w:rsidRPr="00393433">
        <w:rPr>
          <w:color w:val="000000" w:themeColor="text1"/>
          <w:lang w:val="en-GB"/>
        </w:rPr>
        <w:t xml:space="preserve"> were rearranged to the single set of Generalised Landau-Lifshitz Fluctuating Hydrodynamics equations (GLL-FH), implemented in GROMACS </w:t>
      </w:r>
      <w:r w:rsidRPr="00D40526">
        <w:rPr>
          <w:color w:val="000000" w:themeColor="text1"/>
        </w:rPr>
        <w:fldChar w:fldCharType="begin"/>
      </w:r>
      <w:r w:rsidRPr="00393433">
        <w:rPr>
          <w:color w:val="000000" w:themeColor="text1"/>
          <w:lang w:val="en-GB"/>
        </w:rPr>
        <w:instrText xml:space="preserve"> ADDIN EN.CITE &lt;EndNote&gt;&lt;Cite&gt;&lt;Author&gt;Van Der Spoel&lt;/Author&gt;&lt;Year&gt;2005&lt;/Year&gt;&lt;RecNum&gt;20&lt;/RecNum&gt;&lt;DisplayText&gt;&lt;style face="superscript"&gt;[20]&lt;/style&gt;&lt;/DisplayText&gt;&lt;record&gt;&lt;rec-number&gt;20&lt;/rec-number&gt;&lt;foreign-keys&gt;&lt;key app="EN" db-id="2few9s5xuzd0fkexrp852fpetz5dda0wzve0" timestamp="16</w:instrText>
      </w:r>
      <w:r w:rsidRPr="00D40526">
        <w:rPr>
          <w:color w:val="000000" w:themeColor="text1"/>
        </w:rPr>
        <w:instrText>28862252"&gt;20&lt;/key&gt;&lt;/foreign-keys&gt;&lt;ref-type name="Journal Article"&gt;17&lt;/ref-type&gt;&lt;contributors&gt;&lt;authors&gt;&lt;author&gt;Van Der Spoel, David&lt;/author&gt;&lt;author&gt;Lindahl, Erik&lt;/author&gt;&lt;author&gt;Hess, Berk&lt;/author&gt;&lt;author&gt;Groenhof, Gerrit&lt;/author&gt;&lt;author&gt;Mark, Alan E&lt;/author&gt;&lt;author&gt;Berendsen, Herman JC&lt;/author&gt;&lt;/authors&gt;&lt;/contributors&gt;&lt;titles&gt;&lt;title&gt;GROMACS: fast, flexible, and free&lt;/title&gt;&lt;secondary-title&gt;J. Comput. Chem.&lt;/secondary-title&gt;&lt;/titles&gt;&lt;periodical&gt;&lt;full-title&gt;J. Comput. Chem.&lt;/full-title&gt;&lt;/periodical&gt;&lt;pages&gt;1701-1718&lt;/pages&gt;&lt;volume&gt;26&lt;/volume&gt;&lt;number&gt;16&lt;/number&gt;&lt;dates&gt;&lt;year&gt;2005&lt;/year&gt;&lt;/dates&gt;&lt;isbn&gt;0192-8651&lt;/isbn&gt;&lt;urls&gt;&lt;/urls&gt;&lt;/record&gt;&lt;/Cite&gt;&lt;/EndNote&gt;</w:instrText>
      </w:r>
      <w:r w:rsidRPr="00D40526">
        <w:rPr>
          <w:color w:val="000000" w:themeColor="text1"/>
        </w:rPr>
        <w:fldChar w:fldCharType="separate"/>
      </w:r>
      <w:r w:rsidRPr="00D40526">
        <w:rPr>
          <w:noProof/>
          <w:color w:val="000000" w:themeColor="text1"/>
          <w:vertAlign w:val="superscript"/>
        </w:rPr>
        <w:t>[20]</w:t>
      </w:r>
      <w:r w:rsidRPr="00D40526">
        <w:rPr>
          <w:color w:val="000000" w:themeColor="text1"/>
        </w:rPr>
        <w:fldChar w:fldCharType="end"/>
      </w:r>
      <w:r w:rsidRPr="00D40526">
        <w:rPr>
          <w:color w:val="000000" w:themeColor="text1"/>
        </w:rPr>
        <w:t xml:space="preserve">, and applied for liquid argon simulations </w:t>
      </w:r>
      <w:r w:rsidRPr="00D40526">
        <w:rPr>
          <w:color w:val="000000" w:themeColor="text1"/>
        </w:rPr>
        <w:fldChar w:fldCharType="begin"/>
      </w:r>
      <w:r w:rsidRPr="00D40526">
        <w:rPr>
          <w:color w:val="000000" w:themeColor="text1"/>
        </w:rPr>
        <w:instrText xml:space="preserve"> ADDIN EN.CITE &lt;EndNote&gt;&lt;Cite&gt;&lt;Author&gt;Korotkin&lt;/Author&gt;&lt;Year&gt;2018&lt;/Year&gt;&lt;RecNum&gt;21&lt;/RecNum&gt;&lt;DisplayText&gt;&lt;style face="superscript"&gt;[21]&lt;/style&gt;&lt;/DisplayText&gt;&lt;record&gt;&lt;rec-number&gt;21&lt;/rec-number&gt;&lt;foreign-keys&gt;&lt;key app="EN" db-id="2few9s5xuzd0fkexrp852fpetz5dda0wzve0" timestamp="1628862252"&gt;21&lt;/key&gt;&lt;/foreign-keys&gt;&lt;ref-type name="Journal Article"&gt;17&lt;/ref-type&gt;&lt;contributors&gt;&lt;authors&gt;&lt;author&gt;Korotkin, IA&lt;/author&gt;&lt;author&gt;Karabasov, SA&lt;/author&gt;&lt;/authors&gt;&lt;/contributors&gt;&lt;titles&gt;&lt;title&gt;A Generalised Landau-Lifshitz Fluctuating Hydrodynamics model for concurrent simulations of liquids at atomistic and continuum resolution&lt;/title&gt;&lt;secondary-title&gt;J. Chem. Phys.&lt;/secondary-title&gt;&lt;/titles&gt;&lt;periodical&gt;&lt;full-title&gt;J. Chem. Phys.&lt;/full-title&gt;&lt;/periodical&gt;&lt;pages&gt;244101&lt;/pages&gt;&lt;volume&gt;149&lt;/volume&gt;&lt;number&gt;24&lt;/number&gt;&lt;dates&gt;&lt;year&gt;2018&lt;/year&gt;&lt;/dates&gt;&lt;isbn&gt;0021-9606&lt;/isbn&gt;&lt;urls&gt;&lt;/urls&gt;&lt;/record&gt;&lt;/Cite&gt;&lt;/EndNote&gt;</w:instrText>
      </w:r>
      <w:r w:rsidRPr="00D40526">
        <w:rPr>
          <w:color w:val="000000" w:themeColor="text1"/>
        </w:rPr>
        <w:fldChar w:fldCharType="separate"/>
      </w:r>
      <w:r w:rsidRPr="00D40526">
        <w:rPr>
          <w:noProof/>
          <w:color w:val="000000" w:themeColor="text1"/>
          <w:vertAlign w:val="superscript"/>
        </w:rPr>
        <w:t>[21]</w:t>
      </w:r>
      <w:r w:rsidRPr="00D40526">
        <w:rPr>
          <w:color w:val="000000" w:themeColor="text1"/>
        </w:rPr>
        <w:fldChar w:fldCharType="end"/>
      </w:r>
      <w:r w:rsidRPr="00D40526">
        <w:rPr>
          <w:color w:val="000000" w:themeColor="text1"/>
        </w:rPr>
        <w:t xml:space="preserve">. </w:t>
      </w:r>
      <w:r w:rsidRPr="00393433">
        <w:rPr>
          <w:color w:val="000000" w:themeColor="text1"/>
          <w:lang w:val="en-GB"/>
        </w:rPr>
        <w:t>In comparison with the standard LL-FH model, the GLL-FH equations are mathematically equivalent to the control-volume averaged molecular dynamics equations and reduce to the standard LL-FH equations for the pure continuum hydrodynamics phase. To extend the original model to more complex liquids such as water, the two-way coupled GLL-FH model was further extended to the local thermostat equations in R</w:t>
      </w:r>
      <w:r w:rsidRPr="00393433">
        <w:rPr>
          <w:rFonts w:hint="eastAsia"/>
          <w:color w:val="000000" w:themeColor="text1"/>
          <w:lang w:val="en-GB" w:eastAsia="zh-CN"/>
        </w:rPr>
        <w:t>ef</w:t>
      </w:r>
      <w:r w:rsidRPr="00393433">
        <w:rPr>
          <w:color w:val="000000" w:themeColor="text1"/>
          <w:lang w:val="en-GB"/>
        </w:rPr>
        <w:t>.</w:t>
      </w:r>
      <w:r w:rsidRPr="00D40526">
        <w:rPr>
          <w:color w:val="000000" w:themeColor="text1"/>
        </w:rPr>
        <w:fldChar w:fldCharType="begin"/>
      </w:r>
      <w:r w:rsidRPr="00393433">
        <w:rPr>
          <w:color w:val="000000" w:themeColor="text1"/>
          <w:lang w:val="en-GB"/>
        </w:rPr>
        <w:instrText xml:space="preserve"> ADDIN EN.CITE &lt;EndNote&gt;&lt;Cite&gt;&lt;Author&gt;Liu&lt;/Author&gt;&lt;Year&gt;2021&lt;/Year&gt;&lt;RecNum&gt;22&lt;/RecNum&gt;&lt;DisplayText&gt;&lt;style face="superscript"&gt;[22]&lt;/style&gt;&lt;/DisplayText&gt;&lt;record&gt;&lt;rec-number&gt;22&lt;/rec-number&gt;&lt;foreign-keys&gt;&lt;key app="EN" db-id="2few9s5xuzd0fkexrp852fpetz5dda0wzve0" timestamp="1628862252"&gt;22&lt;/key&gt;&lt;/foreign-keys&gt;&lt;ref-type name="Journal Article"&gt;17&lt;/ref-type&gt;&lt;contributors&gt;&lt;authors&gt;&lt;author&gt;Liu, Xinjian&lt;/author&gt;&lt;author&gt;Korotkin, Ivan&lt;/author&gt;&lt;author&gt;Rao, Zhonghao&lt;/author&gt;&lt;author&gt;Karabasov, Sergey&lt;/author&gt;&lt;/authors&gt;&lt;/contributors&gt;&lt;titles&gt;&lt;title&gt;A Thermostat-Consistent Fully Coupled Molecular Dynamics—Generalized Fluctuating Hydrodynamics Model&lt;/title&gt;&lt;secondary-title&gt;Adv. Theory Simul.&lt;/secondary-title&gt;&lt;/titles&gt;&lt;periodical&gt;&lt;full-title&gt;Adv. Theory Simul.&lt;/full-title&gt;&lt;/periodical&gt;&lt;pages&gt;2000209&lt;/pages&gt;&lt;volume&gt;4&lt;/volume&gt;&lt;number&gt;4&lt;/number&gt;&lt;dates&gt;&lt;year&gt;2021&lt;/year&gt;&lt;/dates&gt;&lt;isbn&gt;2513-0390&lt;/isbn&gt;&lt;urls&gt;&lt;related-urls&gt;&lt;url&gt;https://onlinelibrary.wiley.com/doi/abs/10.1002/adts.202000209&lt;/url&gt;&lt;/related-urls&gt;&lt;/urls&gt;&lt;/record&gt;&lt;/Cite&gt;&lt;/EndNote&gt;</w:instrText>
      </w:r>
      <w:r w:rsidRPr="00D40526">
        <w:rPr>
          <w:color w:val="000000" w:themeColor="text1"/>
        </w:rPr>
        <w:fldChar w:fldCharType="separate"/>
      </w:r>
      <w:r w:rsidRPr="00D40526">
        <w:rPr>
          <w:noProof/>
          <w:color w:val="000000" w:themeColor="text1"/>
        </w:rPr>
        <w:t>[22]</w:t>
      </w:r>
      <w:r w:rsidRPr="00D40526">
        <w:rPr>
          <w:color w:val="000000" w:themeColor="text1"/>
        </w:rPr>
        <w:fldChar w:fldCharType="end"/>
      </w:r>
      <w:r w:rsidRPr="00D40526">
        <w:rPr>
          <w:color w:val="000000" w:themeColor="text1"/>
        </w:rPr>
        <w:t xml:space="preserve">, where the thermostat-consistent fully coupled molecular dynamics – generalised fluctuating hydrodynamics model of SPC/E water was developed. </w:t>
      </w:r>
      <w:r w:rsidRPr="00393433">
        <w:rPr>
          <w:color w:val="000000" w:themeColor="text1"/>
          <w:lang w:val="en-GB"/>
        </w:rPr>
        <w:t>Because of the simple Langevin thermostat used, which does not preserve the linear momentum of macroscopic flow, the implementation was limited to water fluctuations in equilibrium conditions. Hence, the present work is devoted to extending the model to non-uniform flow by using a new linearisation approach, which also allows one to couple the suggested method with an external macroscopic flow model (such as Fluid-Structure-Interaction in the future). To achieve this goal, a more stable approximation of the source terms of the GLL-FH equations is developed and several formulations for simulating long-range electrostatic interactions available in GROMACS are implemented.</w:t>
      </w:r>
    </w:p>
    <w:p w14:paraId="1D352B74" w14:textId="77777777" w:rsidR="00EA15F8" w:rsidRPr="00D40526" w:rsidRDefault="00EA15F8" w:rsidP="007D063F">
      <w:pPr>
        <w:pStyle w:val="Head1"/>
        <w:rPr>
          <w:color w:val="000000" w:themeColor="text1"/>
        </w:rPr>
      </w:pPr>
      <w:r w:rsidRPr="00D40526">
        <w:rPr>
          <w:color w:val="000000" w:themeColor="text1"/>
        </w:rPr>
        <w:t>2. Method</w:t>
      </w:r>
    </w:p>
    <w:p w14:paraId="1BD0D1B1" w14:textId="77777777" w:rsidR="00EA15F8" w:rsidRPr="00D40526" w:rsidRDefault="00EA15F8" w:rsidP="007D063F">
      <w:pPr>
        <w:pStyle w:val="Head1"/>
        <w:rPr>
          <w:color w:val="000000" w:themeColor="text1"/>
        </w:rPr>
      </w:pPr>
      <w:r w:rsidRPr="00D40526">
        <w:rPr>
          <w:color w:val="000000" w:themeColor="text1"/>
        </w:rPr>
        <w:t xml:space="preserve">2.1 Two-phase flow analogy equations and the </w:t>
      </w:r>
      <w:proofErr w:type="spellStart"/>
      <w:r w:rsidRPr="00D40526">
        <w:rPr>
          <w:color w:val="000000" w:themeColor="text1"/>
        </w:rPr>
        <w:t>Generalised</w:t>
      </w:r>
      <w:proofErr w:type="spellEnd"/>
      <w:r w:rsidRPr="00D40526">
        <w:rPr>
          <w:color w:val="000000" w:themeColor="text1"/>
        </w:rPr>
        <w:t xml:space="preserve"> Landau-</w:t>
      </w:r>
      <w:proofErr w:type="spellStart"/>
      <w:r w:rsidRPr="00D40526">
        <w:rPr>
          <w:color w:val="000000" w:themeColor="text1"/>
        </w:rPr>
        <w:t>Lifshitz</w:t>
      </w:r>
      <w:proofErr w:type="spellEnd"/>
      <w:r w:rsidRPr="00D40526">
        <w:rPr>
          <w:color w:val="000000" w:themeColor="text1"/>
        </w:rPr>
        <w:t xml:space="preserve"> Fluctuating Hydrodynamics model</w:t>
      </w:r>
    </w:p>
    <w:p w14:paraId="350930E5" w14:textId="77777777"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rPr>
        <w:t>Following Ref.</w:t>
      </w:r>
      <w:r w:rsidRPr="00D40526">
        <w:rPr>
          <w:color w:val="000000" w:themeColor="text1"/>
        </w:rPr>
        <w:fldChar w:fldCharType="begin"/>
      </w:r>
      <w:r w:rsidRPr="00393433">
        <w:rPr>
          <w:color w:val="000000" w:themeColor="text1"/>
          <w:lang w:val="en-GB"/>
        </w:rPr>
        <w:instrText xml:space="preserve"> ADDIN EN.CITE &lt;EndNote&gt;&lt;Cite&gt;&lt;Author&gt;Markesteijn&lt;/Author&gt;&lt;Year&gt;2014&lt;/Year&gt;&lt;RecNum&gt;10&lt;/RecNum&gt;&lt;DisplayText&gt;&lt;style face="superscript"&gt;[10]&lt;/style&gt;&lt;/DisplayText&gt;&lt;record&gt;&lt;rec-number&gt;10&lt;/rec-number&gt;&lt;foreign-keys&gt;&lt;key app="EN" db-id="2few9s5xuzd0fkexrp852fpetz5dda0wzve0" timestamp="1628862252"&gt;10&lt;/key&gt;&lt;/foreign-keys&gt;&lt;ref-type name="Journal Article"&gt;17&lt;/ref-type&gt;&lt;contributors&gt;&lt;authors&gt;&lt;author&gt;Markesteijn, A. P.&lt;/author&gt;&lt;author&gt;Karabasov, S. A.&lt;/author&gt;&lt;author&gt;Glotov, V. Yu&lt;/author&gt;&lt;author&gt;Goloviznin, V. M.&lt;/author&gt;&lt;/authors&gt;&lt;/contributors&gt;&lt;titles&gt;&lt;title&gt;A new non-linear two-time-level Central Leapfrog scheme in staggered conservation–flux variables for fluctuating hydrodynamics equations with GPU implementation&lt;/title&gt;&lt;secondary-title&gt;Comput. Methods Appl. Mech. Eng.&lt;/secondary-title&gt;&lt;/titles&gt;&lt;periodical&gt;&lt;full-title&gt;Comput. Methods Appl. Mech. Eng.&lt;/full-title&gt;&lt;/periodical&gt;&lt;pages&gt;29-53&lt;/pages&gt;&lt;volume&gt;281&lt;/volume&gt;&lt;dates&gt;&lt;year&gt;2014&lt;/year&gt;&lt;/dates&gt;&lt;isbn&gt;00457825&lt;/isbn&gt;&lt;urls&gt;&lt;/urls&gt;&lt;electronic-resource-num&gt;10.1016/j.cma.2014.07.027&lt;/electronic-resource-num&gt;&lt;/record&gt;&lt;/Cite&gt;&lt;/EndNote&gt;</w:instrText>
      </w:r>
      <w:r w:rsidRPr="00D40526">
        <w:rPr>
          <w:color w:val="000000" w:themeColor="text1"/>
        </w:rPr>
        <w:fldChar w:fldCharType="separate"/>
      </w:r>
      <w:r w:rsidRPr="00393433">
        <w:rPr>
          <w:noProof/>
          <w:color w:val="000000" w:themeColor="text1"/>
          <w:lang w:val="en-GB"/>
        </w:rPr>
        <w:t>[10]</w:t>
      </w:r>
      <w:r w:rsidRPr="00D40526">
        <w:rPr>
          <w:color w:val="000000" w:themeColor="text1"/>
        </w:rPr>
        <w:fldChar w:fldCharType="end"/>
      </w:r>
      <w:r w:rsidRPr="00393433">
        <w:rPr>
          <w:rFonts w:eastAsia="SimSun"/>
          <w:color w:val="000000" w:themeColor="text1"/>
          <w:lang w:val="en-GB"/>
        </w:rPr>
        <w:t>, the equations of conservation of mass (1</w:t>
      </w:r>
      <w:proofErr w:type="gramStart"/>
      <w:r w:rsidRPr="00393433">
        <w:rPr>
          <w:rFonts w:eastAsia="SimSun"/>
          <w:color w:val="000000" w:themeColor="text1"/>
          <w:lang w:val="en-GB"/>
        </w:rPr>
        <w:t>),(</w:t>
      </w:r>
      <w:proofErr w:type="gramEnd"/>
      <w:r w:rsidRPr="00393433">
        <w:rPr>
          <w:rFonts w:eastAsia="SimSun"/>
          <w:color w:val="000000" w:themeColor="text1"/>
          <w:lang w:val="en-GB"/>
        </w:rPr>
        <w:t>2) and momentum (3),(4) of the two-phase flow representative of SPC/E water are considered, where a</w:t>
      </w:r>
      <w:r w:rsidRPr="00393433">
        <w:rPr>
          <w:color w:val="000000" w:themeColor="text1"/>
          <w:lang w:val="en-GB" w:eastAsia="zh-CN"/>
        </w:rPr>
        <w:t xml:space="preserve"> user-defined </w:t>
      </w:r>
      <w:r w:rsidRPr="00393433">
        <w:rPr>
          <w:rFonts w:eastAsia="SimSun"/>
          <w:color w:val="000000" w:themeColor="text1"/>
          <w:lang w:val="en-GB"/>
        </w:rPr>
        <w:t xml:space="preserve">concentration function </w:t>
      </w:r>
      <w:r w:rsidRPr="00393433">
        <w:rPr>
          <w:i/>
          <w:iCs/>
          <w:color w:val="000000" w:themeColor="text1"/>
          <w:lang w:val="en-GB"/>
        </w:rPr>
        <w:t>s</w:t>
      </w:r>
      <w:r w:rsidRPr="00393433">
        <w:rPr>
          <w:color w:val="000000" w:themeColor="text1"/>
          <w:lang w:val="en-GB" w:eastAsia="zh-CN"/>
        </w:rPr>
        <w:t xml:space="preserve"> is introduced. The latter function enables the</w:t>
      </w:r>
      <w:r w:rsidRPr="00393433">
        <w:rPr>
          <w:color w:val="000000" w:themeColor="text1"/>
          <w:lang w:val="en-GB"/>
        </w:rPr>
        <w:t xml:space="preserve"> smooth transition of </w:t>
      </w:r>
      <w:r w:rsidRPr="00393433">
        <w:rPr>
          <w:color w:val="000000" w:themeColor="text1"/>
          <w:lang w:val="en-GB" w:eastAsia="zh-CN"/>
        </w:rPr>
        <w:t>model resolution</w:t>
      </w:r>
      <w:r w:rsidRPr="00393433">
        <w:rPr>
          <w:color w:val="000000" w:themeColor="text1"/>
          <w:lang w:val="en-GB"/>
        </w:rPr>
        <w:t xml:space="preserve"> from the pure molecular dynamics zone (</w:t>
      </w:r>
      <w:r w:rsidRPr="00393433">
        <w:rPr>
          <w:i/>
          <w:iCs/>
          <w:color w:val="000000" w:themeColor="text1"/>
          <w:lang w:val="en-GB"/>
        </w:rPr>
        <w:t xml:space="preserve">s </w:t>
      </w:r>
      <w:r w:rsidRPr="00393433">
        <w:rPr>
          <w:color w:val="000000" w:themeColor="text1"/>
          <w:lang w:val="en-GB"/>
        </w:rPr>
        <w:t>= 0) to the pure continuum zone (</w:t>
      </w:r>
      <w:r w:rsidRPr="00393433">
        <w:rPr>
          <w:i/>
          <w:iCs/>
          <w:color w:val="000000" w:themeColor="text1"/>
          <w:lang w:val="en-GB"/>
        </w:rPr>
        <w:t xml:space="preserve">s </w:t>
      </w:r>
      <w:r w:rsidRPr="00393433">
        <w:rPr>
          <w:color w:val="000000" w:themeColor="text1"/>
          <w:lang w:val="en-GB"/>
        </w:rPr>
        <w:lastRenderedPageBreak/>
        <w:t xml:space="preserve">= 1). In the intermediate buffer region (0 &lt; </w:t>
      </w:r>
      <w:r w:rsidRPr="00393433">
        <w:rPr>
          <w:i/>
          <w:iCs/>
          <w:color w:val="000000" w:themeColor="text1"/>
          <w:lang w:val="en-GB"/>
        </w:rPr>
        <w:t xml:space="preserve">s </w:t>
      </w:r>
      <w:r w:rsidRPr="00393433">
        <w:rPr>
          <w:color w:val="000000" w:themeColor="text1"/>
          <w:lang w:val="en-GB"/>
        </w:rPr>
        <w:t xml:space="preserve">&lt; 1), the two phases co-exist, which gives rise to the exchange (source/sink) terms on the right-hand-side of the phase equations: </w:t>
      </w:r>
    </w:p>
    <w:p w14:paraId="3CA58082"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0"/>
          <w:sz w:val="22"/>
        </w:rPr>
        <w:object w:dxaOrig="3240" w:dyaOrig="700" w14:anchorId="15EDB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36.75pt" o:ole="">
            <v:imagedata r:id="rId11" o:title=""/>
          </v:shape>
          <o:OLEObject Type="Embed" ProgID="Equation.DSMT4" ShapeID="_x0000_i1025" DrawAspect="Content" ObjectID="_1701512124" r:id="rId12"/>
        </w:object>
      </w:r>
      <w:r w:rsidRPr="00D40526">
        <w:rPr>
          <w:rFonts w:cs="Times New Roman"/>
          <w:color w:val="000000" w:themeColor="text1"/>
          <w:sz w:val="22"/>
        </w:rPr>
        <w:tab/>
      </w:r>
      <w:r w:rsidRPr="00D40526">
        <w:rPr>
          <w:rFonts w:cs="Times New Roman"/>
          <w:color w:val="000000" w:themeColor="text1"/>
          <w:sz w:val="22"/>
        </w:rPr>
        <w:tab/>
        <w:t>(1)</w:t>
      </w:r>
    </w:p>
    <w:p w14:paraId="343FC15C"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sz w:val="22"/>
        </w:rPr>
        <w:object w:dxaOrig="5920" w:dyaOrig="760" w14:anchorId="5C982E01">
          <v:shape id="_x0000_i1026" type="#_x0000_t75" style="width:297pt;height:38.25pt" o:ole="">
            <v:imagedata r:id="rId13" o:title=""/>
          </v:shape>
          <o:OLEObject Type="Embed" ProgID="Equation.DSMT4" ShapeID="_x0000_i1026" DrawAspect="Content" ObjectID="_1701512125" r:id="rId14"/>
        </w:object>
      </w:r>
      <w:r w:rsidRPr="00D40526">
        <w:rPr>
          <w:rFonts w:cs="Times New Roman"/>
          <w:color w:val="000000" w:themeColor="text1"/>
          <w:sz w:val="22"/>
        </w:rPr>
        <w:tab/>
      </w:r>
      <w:r w:rsidRPr="00D40526">
        <w:rPr>
          <w:rFonts w:cs="Times New Roman"/>
          <w:color w:val="000000" w:themeColor="text1"/>
          <w:sz w:val="22"/>
          <w:lang w:eastAsia="zh-CN"/>
        </w:rPr>
        <w:t>(2)</w:t>
      </w:r>
    </w:p>
    <w:p w14:paraId="0CE9C0DD"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0"/>
          <w:sz w:val="22"/>
        </w:rPr>
        <w:object w:dxaOrig="4520" w:dyaOrig="700" w14:anchorId="5529BAD9">
          <v:shape id="_x0000_i1027" type="#_x0000_t75" style="width:224.25pt;height:36.75pt" o:ole="">
            <v:imagedata r:id="rId15" o:title=""/>
          </v:shape>
          <o:OLEObject Type="Embed" ProgID="Equation.DSMT4" ShapeID="_x0000_i1027" DrawAspect="Content" ObjectID="_1701512126" r:id="rId16"/>
        </w:object>
      </w:r>
      <w:r w:rsidRPr="00D40526">
        <w:rPr>
          <w:rFonts w:cs="Times New Roman"/>
          <w:color w:val="000000" w:themeColor="text1"/>
          <w:sz w:val="22"/>
        </w:rPr>
        <w:tab/>
      </w:r>
      <w:r w:rsidRPr="00D40526">
        <w:rPr>
          <w:rFonts w:cs="Times New Roman"/>
          <w:color w:val="000000" w:themeColor="text1"/>
          <w:sz w:val="22"/>
        </w:rPr>
        <w:tab/>
        <w:t>(3)</w:t>
      </w:r>
    </w:p>
    <w:p w14:paraId="7E989AF9"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rPr>
        <w:object w:dxaOrig="8460" w:dyaOrig="760" w14:anchorId="3CF1F28B">
          <v:shape id="_x0000_i1028" type="#_x0000_t75" style="width:423.75pt;height:36.75pt" o:ole="">
            <v:imagedata r:id="rId17" o:title=""/>
          </v:shape>
          <o:OLEObject Type="Embed" ProgID="Equation.DSMT4" ShapeID="_x0000_i1028" DrawAspect="Content" ObjectID="_1701512127" r:id="rId18"/>
        </w:object>
      </w:r>
      <w:r w:rsidRPr="00D40526">
        <w:rPr>
          <w:rFonts w:cs="Times New Roman"/>
          <w:color w:val="000000" w:themeColor="text1"/>
          <w:sz w:val="22"/>
        </w:rPr>
        <w:tab/>
        <w:t>(4)</w:t>
      </w:r>
    </w:p>
    <w:p w14:paraId="3F7E479B" w14:textId="2E6084F4" w:rsidR="00EA15F8" w:rsidRPr="00393433" w:rsidRDefault="00EA15F8" w:rsidP="00EA15F8">
      <w:pPr>
        <w:widowControl w:val="0"/>
        <w:autoSpaceDE w:val="0"/>
        <w:autoSpaceDN w:val="0"/>
        <w:adjustRightInd w:val="0"/>
        <w:spacing w:line="480" w:lineRule="auto"/>
        <w:jc w:val="both"/>
        <w:rPr>
          <w:color w:val="000000" w:themeColor="text1"/>
          <w:lang w:val="en-GB"/>
        </w:rPr>
      </w:pPr>
      <w:r w:rsidRPr="00D40526">
        <w:rPr>
          <w:color w:val="000000" w:themeColor="text1"/>
          <w:lang w:val="en-US" w:eastAsia="zh-CN"/>
        </w:rPr>
        <w:t>Here</w:t>
      </w:r>
      <w:r w:rsidRPr="00D40526">
        <w:rPr>
          <w:i/>
          <w:iCs/>
          <w:color w:val="000000" w:themeColor="text1"/>
          <w:lang w:val="en-US" w:eastAsia="zh-CN"/>
        </w:rPr>
        <w:t xml:space="preserve"> i</w:t>
      </w:r>
      <w:r w:rsidRPr="00D40526">
        <w:rPr>
          <w:color w:val="000000" w:themeColor="text1"/>
          <w:lang w:val="en-US" w:eastAsia="zh-CN"/>
        </w:rPr>
        <w:t xml:space="preserve">=1, 2, 3 denotes </w:t>
      </w:r>
      <w:r w:rsidRPr="00D40526">
        <w:rPr>
          <w:i/>
          <w:iCs/>
          <w:color w:val="000000" w:themeColor="text1"/>
          <w:lang w:val="en-US" w:eastAsia="zh-CN"/>
        </w:rPr>
        <w:t>x</w:t>
      </w:r>
      <w:r w:rsidRPr="00D40526">
        <w:rPr>
          <w:color w:val="000000" w:themeColor="text1"/>
          <w:lang w:val="en-US" w:eastAsia="zh-CN"/>
        </w:rPr>
        <w:t xml:space="preserve">, </w:t>
      </w:r>
      <w:r w:rsidRPr="00D40526">
        <w:rPr>
          <w:i/>
          <w:iCs/>
          <w:color w:val="000000" w:themeColor="text1"/>
          <w:lang w:val="en-US" w:eastAsia="zh-CN"/>
        </w:rPr>
        <w:t>y</w:t>
      </w:r>
      <w:r w:rsidRPr="00D40526">
        <w:rPr>
          <w:color w:val="000000" w:themeColor="text1"/>
          <w:lang w:val="en-US" w:eastAsia="zh-CN"/>
        </w:rPr>
        <w:t xml:space="preserve"> and </w:t>
      </w:r>
      <w:r w:rsidRPr="00D40526">
        <w:rPr>
          <w:i/>
          <w:iCs/>
          <w:color w:val="000000" w:themeColor="text1"/>
          <w:lang w:val="en-US" w:eastAsia="zh-CN"/>
        </w:rPr>
        <w:t>z</w:t>
      </w:r>
      <w:r w:rsidRPr="00D40526">
        <w:rPr>
          <w:color w:val="000000" w:themeColor="text1"/>
          <w:lang w:val="en-US" w:eastAsia="zh-CN"/>
        </w:rPr>
        <w:t xml:space="preserve"> components, variables with and without sub-index </w:t>
      </w:r>
      <w:r w:rsidRPr="00D40526">
        <w:rPr>
          <w:i/>
          <w:iCs/>
          <w:color w:val="000000" w:themeColor="text1"/>
          <w:lang w:val="en-US" w:eastAsia="zh-CN"/>
        </w:rPr>
        <w:t>p</w:t>
      </w:r>
      <w:r w:rsidRPr="00D40526">
        <w:rPr>
          <w:color w:val="000000" w:themeColor="text1"/>
          <w:lang w:val="en-US" w:eastAsia="zh-CN"/>
        </w:rPr>
        <w:t xml:space="preserve"> correspond to molecular dynamics phase and the continuum </w:t>
      </w:r>
      <w:r w:rsidRPr="00393433">
        <w:rPr>
          <w:iCs/>
          <w:color w:val="000000" w:themeColor="text1"/>
          <w:lang w:val="en-GB"/>
        </w:rPr>
        <w:t xml:space="preserve">cell-volume/flux averaged values, respectively; </w:t>
      </w:r>
      <w:r w:rsidRPr="00D40526">
        <w:rPr>
          <w:color w:val="000000" w:themeColor="text1"/>
          <w:position w:val="-10"/>
        </w:rPr>
        <w:object w:dxaOrig="200" w:dyaOrig="260" w14:anchorId="28F2A4ED">
          <v:shape id="_x0000_i1029" type="#_x0000_t75" style="width:11.25pt;height:12.75pt" o:ole="">
            <v:imagedata r:id="rId19" o:title=""/>
          </v:shape>
          <o:OLEObject Type="Embed" ProgID="Equation.DSMT4" ShapeID="_x0000_i1029" DrawAspect="Content" ObjectID="_1701512128" r:id="rId20"/>
        </w:object>
      </w:r>
      <w:r w:rsidRPr="00D40526">
        <w:rPr>
          <w:color w:val="000000" w:themeColor="text1"/>
          <w:lang w:val="en-US" w:eastAsia="zh-CN"/>
        </w:rPr>
        <w:t xml:space="preserve"> corresponds to one of the six faces of the hexahedral control volume of the computational grid, </w:t>
      </w:r>
      <w:r w:rsidRPr="00D40526">
        <w:rPr>
          <w:color w:val="000000" w:themeColor="text1"/>
          <w:position w:val="-6"/>
        </w:rPr>
        <w:object w:dxaOrig="240" w:dyaOrig="279" w14:anchorId="7FADD72F">
          <v:shape id="_x0000_i1030" type="#_x0000_t75" style="width:12.75pt;height:13.5pt" o:ole="">
            <v:imagedata r:id="rId21" o:title=""/>
          </v:shape>
          <o:OLEObject Type="Embed" ProgID="Equation.DSMT4" ShapeID="_x0000_i1030" DrawAspect="Content" ObjectID="_1701512129" r:id="rId22"/>
        </w:object>
      </w:r>
      <w:r w:rsidRPr="00393433">
        <w:rPr>
          <w:color w:val="000000" w:themeColor="text1"/>
          <w:lang w:val="en-GB"/>
        </w:rPr>
        <w:t>;</w:t>
      </w:r>
      <w:r w:rsidRPr="00D40526">
        <w:rPr>
          <w:color w:val="000000" w:themeColor="text1"/>
          <w:lang w:val="en-US" w:eastAsia="zh-CN"/>
        </w:rPr>
        <w:t xml:space="preserve"> </w:t>
      </w:r>
      <w:r w:rsidRPr="00D40526">
        <w:rPr>
          <w:color w:val="000000" w:themeColor="text1"/>
          <w:position w:val="-6"/>
        </w:rPr>
        <w:object w:dxaOrig="220" w:dyaOrig="200" w14:anchorId="4B252407">
          <v:shape id="_x0000_i1031" type="#_x0000_t75" style="width:12.75pt;height:12.75pt" o:ole="">
            <v:imagedata r:id="rId23" o:title=""/>
          </v:shape>
          <o:OLEObject Type="Embed" ProgID="Equation.DSMT4" ShapeID="_x0000_i1031" DrawAspect="Content" ObjectID="_1701512130" r:id="rId24"/>
        </w:object>
      </w:r>
      <w:r w:rsidRPr="00D40526">
        <w:rPr>
          <w:color w:val="000000" w:themeColor="text1"/>
          <w:lang w:val="en-US" w:eastAsia="zh-CN"/>
        </w:rPr>
        <w:t xml:space="preserve"> and </w:t>
      </w:r>
      <w:r w:rsidRPr="00D40526">
        <w:rPr>
          <w:color w:val="000000" w:themeColor="text1"/>
          <w:position w:val="-10"/>
        </w:rPr>
        <w:object w:dxaOrig="240" w:dyaOrig="260" w14:anchorId="6AE4076B">
          <v:shape id="_x0000_i1032" type="#_x0000_t75" style="width:12.75pt;height:12.75pt" o:ole="">
            <v:imagedata r:id="rId25" o:title=""/>
          </v:shape>
          <o:OLEObject Type="Embed" ProgID="Equation.DSMT4" ShapeID="_x0000_i1032" DrawAspect="Content" ObjectID="_1701512131" r:id="rId26"/>
        </w:object>
      </w:r>
      <w:r w:rsidRPr="00393433">
        <w:rPr>
          <w:color w:val="000000" w:themeColor="text1"/>
          <w:lang w:val="en-GB"/>
        </w:rPr>
        <w:t xml:space="preserve">are the local mass and density of the continuum phase per given control volume; </w:t>
      </w:r>
      <w:r w:rsidRPr="00D40526">
        <w:rPr>
          <w:color w:val="000000" w:themeColor="text1"/>
          <w:position w:val="-14"/>
        </w:rPr>
        <w:object w:dxaOrig="320" w:dyaOrig="380" w14:anchorId="48FD7CC5">
          <v:shape id="_x0000_i1033" type="#_x0000_t75" style="width:15.75pt;height:19.5pt" o:ole="">
            <v:imagedata r:id="rId27" o:title=""/>
          </v:shape>
          <o:OLEObject Type="Embed" ProgID="Equation.DSMT4" ShapeID="_x0000_i1033" DrawAspect="Content" ObjectID="_1701512132" r:id="rId28"/>
        </w:object>
      </w:r>
      <w:r w:rsidRPr="00393433">
        <w:rPr>
          <w:color w:val="000000" w:themeColor="text1"/>
          <w:lang w:val="en-GB"/>
        </w:rPr>
        <w:t xml:space="preserve"> and </w:t>
      </w:r>
      <w:r w:rsidRPr="00D40526">
        <w:rPr>
          <w:color w:val="000000" w:themeColor="text1"/>
          <w:position w:val="-14"/>
        </w:rPr>
        <w:object w:dxaOrig="1080" w:dyaOrig="380" w14:anchorId="3FA876CB">
          <v:shape id="_x0000_i1034" type="#_x0000_t75" style="width:54pt;height:19.5pt" o:ole="">
            <v:imagedata r:id="rId29" o:title=""/>
          </v:shape>
          <o:OLEObject Type="Embed" ProgID="Equation.DSMT4" ShapeID="_x0000_i1034" DrawAspect="Content" ObjectID="_1701512133" r:id="rId30"/>
        </w:object>
      </w:r>
      <w:r w:rsidRPr="00393433">
        <w:rPr>
          <w:color w:val="000000" w:themeColor="text1"/>
          <w:lang w:val="en-GB"/>
        </w:rPr>
        <w:t xml:space="preserve">are the particle mass and its effective density per control volume, respectively; </w:t>
      </w:r>
      <w:r w:rsidRPr="00D40526">
        <w:rPr>
          <w:color w:val="000000" w:themeColor="text1"/>
          <w:position w:val="-14"/>
        </w:rPr>
        <w:object w:dxaOrig="300" w:dyaOrig="380" w14:anchorId="3CE232CC">
          <v:shape id="_x0000_i1035" type="#_x0000_t75" style="width:18.75pt;height:18.75pt" o:ole="">
            <v:imagedata r:id="rId31" o:title=""/>
          </v:shape>
          <o:OLEObject Type="Embed" ProgID="Equation.DSMT4" ShapeID="_x0000_i1035" DrawAspect="Content" ObjectID="_1701512134" r:id="rId32"/>
        </w:object>
      </w:r>
      <w:r w:rsidRPr="00393433">
        <w:rPr>
          <w:color w:val="000000" w:themeColor="text1"/>
          <w:lang w:val="en-GB"/>
        </w:rPr>
        <w:t xml:space="preserve"> and </w:t>
      </w:r>
      <w:r w:rsidRPr="00D40526">
        <w:rPr>
          <w:color w:val="000000" w:themeColor="text1"/>
          <w:position w:val="-6"/>
        </w:rPr>
        <w:object w:dxaOrig="200" w:dyaOrig="279" w14:anchorId="4CC388E9">
          <v:shape id="_x0000_i1036" type="#_x0000_t75" style="width:11.25pt;height:13.5pt" o:ole="">
            <v:imagedata r:id="rId33" o:title=""/>
          </v:shape>
          <o:OLEObject Type="Embed" ProgID="Equation.DSMT4" ShapeID="_x0000_i1036" DrawAspect="Content" ObjectID="_1701512135" r:id="rId34"/>
        </w:object>
      </w:r>
      <w:r w:rsidRPr="00393433">
        <w:rPr>
          <w:color w:val="000000" w:themeColor="text1"/>
          <w:lang w:val="en-GB"/>
        </w:rPr>
        <w:t xml:space="preserve"> correspond to particle velocity and velocity of the two phase ‘mixture’, which is given by </w:t>
      </w:r>
      <w:r w:rsidRPr="00D40526">
        <w:rPr>
          <w:color w:val="000000" w:themeColor="text1"/>
          <w:position w:val="-30"/>
        </w:rPr>
        <w:object w:dxaOrig="3260" w:dyaOrig="720" w14:anchorId="04683375">
          <v:shape id="_x0000_i1037" type="#_x0000_t75" style="width:163.5pt;height:37.5pt" o:ole="">
            <v:imagedata r:id="rId35" o:title=""/>
          </v:shape>
          <o:OLEObject Type="Embed" ProgID="Equation.DSMT4" ShapeID="_x0000_i1037" DrawAspect="Content" ObjectID="_1701512136" r:id="rId36"/>
        </w:object>
      </w:r>
      <w:r w:rsidRPr="00393433">
        <w:rPr>
          <w:color w:val="000000" w:themeColor="text1"/>
          <w:lang w:val="en-GB"/>
        </w:rPr>
        <w:t xml:space="preserve">. The conventional hexahedral finite-volume representation of control-volume-averaged gradients, </w:t>
      </w:r>
      <w:r w:rsidRPr="00D40526">
        <w:rPr>
          <w:color w:val="000000" w:themeColor="text1"/>
          <w:position w:val="-10"/>
        </w:rPr>
        <w:object w:dxaOrig="360" w:dyaOrig="320" w14:anchorId="2C8AB6B1">
          <v:shape id="_x0000_i1038" type="#_x0000_t75" style="width:18.75pt;height:15.75pt" o:ole="">
            <v:imagedata r:id="rId37" o:title=""/>
          </v:shape>
          <o:OLEObject Type="Embed" ProgID="Equation.DSMT4" ShapeID="_x0000_i1038" DrawAspect="Content" ObjectID="_1701512137" r:id="rId38"/>
        </w:object>
      </w:r>
      <w:r w:rsidRPr="00393433">
        <w:rPr>
          <w:color w:val="000000" w:themeColor="text1"/>
          <w:lang w:val="en-GB" w:eastAsia="zh-CN"/>
        </w:rPr>
        <w:t xml:space="preserve">, </w:t>
      </w:r>
      <w:r w:rsidRPr="00393433">
        <w:rPr>
          <w:color w:val="000000" w:themeColor="text1"/>
          <w:lang w:val="en-GB"/>
        </w:rPr>
        <w:t xml:space="preserve">which are computed in accordance with the Gauss-Ostrogradski (Divergence) theorem, </w:t>
      </w:r>
      <w:r w:rsidRPr="00D40526">
        <w:rPr>
          <w:color w:val="000000" w:themeColor="text1"/>
          <w:position w:val="-24"/>
        </w:rPr>
        <w:object w:dxaOrig="1140" w:dyaOrig="700" w14:anchorId="608F7E10">
          <v:shape id="_x0000_i1039" type="#_x0000_t75" style="width:57pt;height:35.25pt" o:ole="">
            <v:imagedata r:id="rId39" o:title=""/>
          </v:shape>
          <o:OLEObject Type="Embed" ProgID="Equation.DSMT4" ShapeID="_x0000_i1039" DrawAspect="Content" ObjectID="_1701512138" r:id="rId40"/>
        </w:object>
      </w:r>
      <w:r w:rsidRPr="00393433">
        <w:rPr>
          <w:color w:val="000000" w:themeColor="text1"/>
          <w:lang w:val="en-GB"/>
        </w:rPr>
        <w:t xml:space="preserve"> is noted. The mixture density is defined as </w:t>
      </w:r>
      <w:r w:rsidRPr="00D40526">
        <w:rPr>
          <w:color w:val="000000" w:themeColor="text1"/>
          <w:position w:val="-28"/>
        </w:rPr>
        <w:object w:dxaOrig="1880" w:dyaOrig="660" w14:anchorId="7BE41CE0">
          <v:shape id="_x0000_i1040" type="#_x0000_t75" style="width:92.25pt;height:33.75pt" o:ole="">
            <v:imagedata r:id="rId41" o:title=""/>
          </v:shape>
          <o:OLEObject Type="Embed" ProgID="Equation.DSMT4" ShapeID="_x0000_i1040" DrawAspect="Content" ObjectID="_1701512139" r:id="rId42"/>
        </w:object>
      </w:r>
      <w:r w:rsidRPr="00393433">
        <w:rPr>
          <w:color w:val="000000" w:themeColor="text1"/>
          <w:lang w:val="en-GB"/>
        </w:rPr>
        <w:t xml:space="preserve">. </w:t>
      </w:r>
      <w:r w:rsidRPr="00D40526">
        <w:rPr>
          <w:color w:val="000000" w:themeColor="text1"/>
          <w:position w:val="-6"/>
        </w:rPr>
        <w:object w:dxaOrig="279" w:dyaOrig="279" w14:anchorId="7934C13F">
          <v:shape id="_x0000_i1041" type="#_x0000_t75" style="width:13.5pt;height:13.5pt" o:ole="">
            <v:imagedata r:id="rId43" o:title=""/>
          </v:shape>
          <o:OLEObject Type="Embed" ProgID="Equation.DSMT4" ShapeID="_x0000_i1041" DrawAspect="Content" ObjectID="_1701512140" r:id="rId44"/>
        </w:object>
      </w:r>
      <w:r w:rsidRPr="00D40526">
        <w:rPr>
          <w:color w:val="000000" w:themeColor="text1"/>
          <w:lang w:val="en-US"/>
        </w:rPr>
        <w:t xml:space="preserve"> is the number of particles per</w:t>
      </w:r>
      <w:r w:rsidRPr="00393433">
        <w:rPr>
          <w:color w:val="000000" w:themeColor="text1"/>
          <w:lang w:val="en-GB"/>
        </w:rPr>
        <w:t xml:space="preserve"> cell volume, and </w:t>
      </w:r>
      <w:r w:rsidRPr="00D40526">
        <w:rPr>
          <w:color w:val="000000" w:themeColor="text1"/>
          <w:position w:val="-14"/>
        </w:rPr>
        <w:object w:dxaOrig="320" w:dyaOrig="380" w14:anchorId="77E68219">
          <v:shape id="_x0000_i1042" type="#_x0000_t75" style="width:15.75pt;height:19.5pt" o:ole="">
            <v:imagedata r:id="rId45" o:title=""/>
          </v:shape>
          <o:OLEObject Type="Embed" ProgID="Equation.DSMT4" ShapeID="_x0000_i1042" DrawAspect="Content" ObjectID="_1701512141" r:id="rId46"/>
        </w:object>
      </w:r>
      <w:r w:rsidRPr="00393433">
        <w:rPr>
          <w:color w:val="000000" w:themeColor="text1"/>
          <w:lang w:val="en-GB"/>
        </w:rPr>
        <w:t xml:space="preserve"> denotes the </w:t>
      </w:r>
      <w:r w:rsidRPr="00D40526">
        <w:rPr>
          <w:color w:val="000000" w:themeColor="text1"/>
          <w:lang w:val="en-US"/>
        </w:rPr>
        <w:t xml:space="preserve">number of particles crossing the cell face in the direction of the area normal </w:t>
      </w:r>
      <w:r w:rsidRPr="00D40526">
        <w:rPr>
          <w:color w:val="000000" w:themeColor="text1"/>
          <w:position w:val="-6"/>
        </w:rPr>
        <w:object w:dxaOrig="360" w:dyaOrig="320" w14:anchorId="6119EECB">
          <v:shape id="_x0000_i1043" type="#_x0000_t75" style="width:18.75pt;height:15.75pt" o:ole="">
            <v:imagedata r:id="rId47" o:title=""/>
          </v:shape>
          <o:OLEObject Type="Embed" ProgID="Equation.DSMT4" ShapeID="_x0000_i1043" DrawAspect="Content" ObjectID="_1701512142" r:id="rId48"/>
        </w:object>
      </w:r>
      <w:r w:rsidRPr="00393433">
        <w:rPr>
          <w:color w:val="000000" w:themeColor="text1"/>
          <w:lang w:val="en-GB"/>
        </w:rPr>
        <w:t xml:space="preserve">, </w:t>
      </w:r>
      <w:r w:rsidRPr="00D40526">
        <w:rPr>
          <w:color w:val="000000" w:themeColor="text1"/>
          <w:position w:val="-6"/>
        </w:rPr>
        <w:object w:dxaOrig="279" w:dyaOrig="279" w14:anchorId="3AEAC95F">
          <v:shape id="_x0000_i1044" type="#_x0000_t75" style="width:13.5pt;height:13.5pt" o:ole="">
            <v:imagedata r:id="rId49" o:title=""/>
          </v:shape>
          <o:OLEObject Type="Embed" ProgID="Equation.DSMT4" ShapeID="_x0000_i1044" DrawAspect="Content" ObjectID="_1701512143" r:id="rId50"/>
        </w:object>
      </w:r>
      <w:r w:rsidRPr="00393433">
        <w:rPr>
          <w:color w:val="000000" w:themeColor="text1"/>
          <w:lang w:val="en-GB"/>
        </w:rPr>
        <w:t xml:space="preserve"> represents the change of each quantity over one time </w:t>
      </w:r>
      <w:proofErr w:type="gramStart"/>
      <w:r w:rsidRPr="00393433">
        <w:rPr>
          <w:color w:val="000000" w:themeColor="text1"/>
          <w:lang w:val="en-GB"/>
        </w:rPr>
        <w:t>step.</w:t>
      </w:r>
      <w:proofErr w:type="gramEnd"/>
      <w:r w:rsidRPr="00393433">
        <w:rPr>
          <w:color w:val="000000" w:themeColor="text1"/>
          <w:lang w:val="en-GB"/>
        </w:rPr>
        <w:t xml:space="preserve"> </w:t>
      </w:r>
      <w:r w:rsidRPr="00D40526">
        <w:rPr>
          <w:color w:val="000000" w:themeColor="text1"/>
          <w:position w:val="-14"/>
        </w:rPr>
        <w:object w:dxaOrig="480" w:dyaOrig="400" w14:anchorId="5C3C235E">
          <v:shape id="_x0000_i1045" type="#_x0000_t75" style="width:24.75pt;height:19.5pt" o:ole="">
            <v:imagedata r:id="rId51" o:title=""/>
          </v:shape>
          <o:OLEObject Type="Embed" ProgID="Equation.DSMT4" ShapeID="_x0000_i1045" DrawAspect="Content" ObjectID="_1701512144" r:id="rId52"/>
        </w:object>
      </w:r>
      <w:r w:rsidRPr="00393433">
        <w:rPr>
          <w:i/>
          <w:iCs/>
          <w:color w:val="000000" w:themeColor="text1"/>
          <w:vertAlign w:val="subscript"/>
          <w:lang w:val="en-GB"/>
        </w:rPr>
        <w:t xml:space="preserve"> </w:t>
      </w:r>
      <w:r w:rsidRPr="00D40526">
        <w:rPr>
          <w:color w:val="000000" w:themeColor="text1"/>
          <w:lang w:val="en-US"/>
        </w:rPr>
        <w:t xml:space="preserve">refers to the MD particle force exerted on each particle. The continuum force, </w:t>
      </w:r>
      <w:r w:rsidRPr="00D40526">
        <w:rPr>
          <w:color w:val="000000" w:themeColor="text1"/>
          <w:position w:val="-14"/>
        </w:rPr>
        <w:object w:dxaOrig="1660" w:dyaOrig="380" w14:anchorId="0A25AF88">
          <v:shape id="_x0000_i1046" type="#_x0000_t75" style="width:85.5pt;height:18.75pt" o:ole="">
            <v:imagedata r:id="rId53" o:title=""/>
          </v:shape>
          <o:OLEObject Type="Embed" ProgID="Equation.DSMT4" ShapeID="_x0000_i1046" DrawAspect="Content" ObjectID="_1701512145" r:id="rId54"/>
        </w:object>
      </w:r>
      <w:r w:rsidRPr="00393433">
        <w:rPr>
          <w:color w:val="000000" w:themeColor="text1"/>
          <w:lang w:val="en-GB"/>
        </w:rPr>
        <w:t xml:space="preserve">includes </w:t>
      </w:r>
      <w:r w:rsidRPr="00D40526">
        <w:rPr>
          <w:color w:val="000000" w:themeColor="text1"/>
          <w:lang w:val="en-US"/>
        </w:rPr>
        <w:t>both the deterministic and stochastic continuum Reynolds stress forces in accordance with the Landau-</w:t>
      </w:r>
      <w:proofErr w:type="spellStart"/>
      <w:r w:rsidRPr="00D40526">
        <w:rPr>
          <w:color w:val="000000" w:themeColor="text1"/>
          <w:lang w:val="en-US"/>
        </w:rPr>
        <w:t>Lifshitz</w:t>
      </w:r>
      <w:proofErr w:type="spellEnd"/>
      <w:r w:rsidRPr="00D40526">
        <w:rPr>
          <w:color w:val="000000" w:themeColor="text1"/>
          <w:lang w:val="en-US"/>
        </w:rPr>
        <w:t xml:space="preserve"> Fluctuating Hydrodynamic (LL-FH) model</w:t>
      </w:r>
      <w:r w:rsidRPr="00D40526">
        <w:rPr>
          <w:color w:val="000000" w:themeColor="text1"/>
          <w:lang w:val="en-US"/>
        </w:rPr>
        <w:fldChar w:fldCharType="begin"/>
      </w:r>
      <w:r w:rsidRPr="00D40526">
        <w:rPr>
          <w:color w:val="000000" w:themeColor="text1"/>
          <w:lang w:val="en-US"/>
        </w:rPr>
        <w:instrText xml:space="preserve"> ADDIN EN.CITE &lt;EndNote&gt;&lt;Cite&gt;&lt;Author&gt;Landau&lt;/Author&gt;&lt;Year&gt;1980&lt;/Year&gt;&lt;RecNum&gt;2&lt;/RecNum&gt;&lt;DisplayText&gt;&lt;style face="superscript"&gt;[2]&lt;/style&gt;&lt;/DisplayText&gt;&lt;record&gt;&lt;rec-number&gt;2&lt;/rec-number&gt;&lt;foreign-keys&gt;&lt;key app="EN" db-id="2few9s5xuzd0fkexrp852fpetz5dda0wzve0" timestamp="1628862251"&gt;2&lt;/key&gt;&lt;/foreign-keys&gt;&lt;ref-type name="Book"&gt;6&lt;/ref-type&gt;&lt;contributors&gt;&lt;authors&gt;&lt;author&gt;Landau, Lev D&lt;/author&gt;&lt;author&gt;Lifshitz, Evgeny M&lt;/author&gt;&lt;/authors&gt;&lt;/contributors&gt;&lt;titles&gt;&lt;title&gt;Statistical Physics , Part 1&lt;/title&gt;&lt;/titles&gt;&lt;volume&gt;5&lt;/volume&gt;&lt;dates&gt;&lt;year&gt;1980&lt;/year&gt;&lt;/dates&gt;&lt;publisher&gt;Elsevier, Amsterdam&lt;/publisher&gt;&lt;isbn&gt;0080570461&lt;/isbn&gt;&lt;urls&gt;&lt;/urls&gt;&lt;/record&gt;&lt;/Cite&gt;&lt;/EndNote&gt;</w:instrText>
      </w:r>
      <w:r w:rsidRPr="00D40526">
        <w:rPr>
          <w:color w:val="000000" w:themeColor="text1"/>
          <w:lang w:val="en-US"/>
        </w:rPr>
        <w:fldChar w:fldCharType="separate"/>
      </w:r>
      <w:r w:rsidRPr="00D40526">
        <w:rPr>
          <w:noProof/>
          <w:color w:val="000000" w:themeColor="text1"/>
          <w:vertAlign w:val="superscript"/>
          <w:lang w:val="en-US"/>
        </w:rPr>
        <w:t>[2]</w:t>
      </w:r>
      <w:r w:rsidRPr="00D40526">
        <w:rPr>
          <w:color w:val="000000" w:themeColor="text1"/>
          <w:lang w:val="en-US"/>
        </w:rPr>
        <w:fldChar w:fldCharType="end"/>
      </w:r>
      <w:r w:rsidRPr="00D40526">
        <w:rPr>
          <w:color w:val="000000" w:themeColor="text1"/>
          <w:lang w:val="en-US"/>
        </w:rPr>
        <w:t xml:space="preserve">, where the amplitude of thermal fluctuations is inversely proportional to the square root of the </w:t>
      </w:r>
      <w:r w:rsidRPr="00393433">
        <w:rPr>
          <w:color w:val="000000" w:themeColor="text1"/>
          <w:lang w:val="en-GB"/>
        </w:rPr>
        <w:t xml:space="preserve">continuum hydrodynamics </w:t>
      </w:r>
      <w:r w:rsidRPr="00D40526">
        <w:rPr>
          <w:color w:val="000000" w:themeColor="text1"/>
          <w:lang w:val="en-US"/>
        </w:rPr>
        <w:t xml:space="preserve">integration time step </w:t>
      </w:r>
      <w:r w:rsidRPr="00D40526">
        <w:rPr>
          <w:color w:val="000000" w:themeColor="text1"/>
          <w:position w:val="-12"/>
        </w:rPr>
        <w:object w:dxaOrig="499" w:dyaOrig="360" w14:anchorId="62CBBAD6">
          <v:shape id="_x0000_i1047" type="#_x0000_t75" style="width:25.5pt;height:18.75pt" o:ole="">
            <v:imagedata r:id="rId55" o:title=""/>
          </v:shape>
          <o:OLEObject Type="Embed" ProgID="Equation.DSMT4" ShapeID="_x0000_i1047" DrawAspect="Content" ObjectID="_1701512146" r:id="rId56"/>
        </w:object>
      </w:r>
      <w:r w:rsidRPr="00393433">
        <w:rPr>
          <w:color w:val="000000" w:themeColor="text1"/>
          <w:lang w:val="en-GB"/>
        </w:rPr>
        <w:t xml:space="preserve"> and  control volume size, </w:t>
      </w:r>
      <w:r w:rsidRPr="00D40526">
        <w:rPr>
          <w:color w:val="000000" w:themeColor="text1"/>
          <w:position w:val="-6"/>
        </w:rPr>
        <w:object w:dxaOrig="240" w:dyaOrig="279" w14:anchorId="3CCB9A0E">
          <v:shape id="_x0000_i1048" type="#_x0000_t75" style="width:12.75pt;height:13.5pt" o:ole="">
            <v:imagedata r:id="rId21" o:title=""/>
          </v:shape>
          <o:OLEObject Type="Embed" ProgID="Equation.DSMT4" ShapeID="_x0000_i1048" DrawAspect="Content" ObjectID="_1701512147" r:id="rId57"/>
        </w:object>
      </w:r>
      <w:r w:rsidRPr="00393433">
        <w:rPr>
          <w:color w:val="000000" w:themeColor="text1"/>
          <w:lang w:val="en-GB"/>
        </w:rPr>
        <w:t xml:space="preserve"> and also linearly proportional to the square root of the thermodynamic temperature, </w:t>
      </w:r>
      <w:r w:rsidRPr="00D40526">
        <w:rPr>
          <w:color w:val="000000" w:themeColor="text1"/>
          <w:position w:val="-4"/>
        </w:rPr>
        <w:object w:dxaOrig="220" w:dyaOrig="260" w14:anchorId="69E1DDA8">
          <v:shape id="_x0000_i1049" type="#_x0000_t75" style="width:12.75pt;height:11.25pt" o:ole="">
            <v:imagedata r:id="rId58" o:title=""/>
          </v:shape>
          <o:OLEObject Type="Embed" ProgID="Equation.DSMT4" ShapeID="_x0000_i1049" DrawAspect="Content" ObjectID="_1701512148" r:id="rId59"/>
        </w:object>
      </w:r>
      <w:r w:rsidRPr="00D40526">
        <w:rPr>
          <w:color w:val="000000" w:themeColor="text1"/>
          <w:lang w:val="en-US"/>
        </w:rPr>
        <w:t xml:space="preserve">, which is equal to the target temperature of the MD ensemble, </w:t>
      </w:r>
      <w:r w:rsidRPr="00D40526">
        <w:rPr>
          <w:color w:val="000000" w:themeColor="text1"/>
          <w:position w:val="-12"/>
        </w:rPr>
        <w:object w:dxaOrig="240" w:dyaOrig="360" w14:anchorId="19015651">
          <v:shape id="_x0000_i1050" type="#_x0000_t75" style="width:12.75pt;height:18.75pt" o:ole="">
            <v:imagedata r:id="rId60" o:title=""/>
          </v:shape>
          <o:OLEObject Type="Embed" ProgID="Equation.DSMT4" ShapeID="_x0000_i1050" DrawAspect="Content" ObjectID="_1701512149" r:id="rId61"/>
        </w:object>
      </w:r>
      <w:r w:rsidRPr="00D40526">
        <w:rPr>
          <w:color w:val="000000" w:themeColor="text1"/>
          <w:lang w:val="en-US"/>
        </w:rPr>
        <w:t xml:space="preserve">. </w:t>
      </w:r>
      <w:r w:rsidRPr="00393433">
        <w:rPr>
          <w:color w:val="000000" w:themeColor="text1"/>
          <w:lang w:val="en-GB"/>
        </w:rPr>
        <w:t>For isothermal processes of intere</w:t>
      </w:r>
      <w:r w:rsidR="006558C3" w:rsidRPr="00393433">
        <w:rPr>
          <w:color w:val="000000" w:themeColor="text1"/>
          <w:lang w:val="en-GB"/>
        </w:rPr>
        <w:t>st in this work, an isothermal Equation of S</w:t>
      </w:r>
      <w:r w:rsidRPr="00393433">
        <w:rPr>
          <w:color w:val="000000" w:themeColor="text1"/>
          <w:lang w:val="en-GB"/>
        </w:rPr>
        <w:t>tate</w:t>
      </w:r>
      <w:r w:rsidR="007700B4" w:rsidRPr="00393433">
        <w:rPr>
          <w:color w:val="000000" w:themeColor="text1"/>
          <w:lang w:val="en-GB"/>
        </w:rPr>
        <w:t xml:space="preserve"> </w:t>
      </w:r>
      <w:r w:rsidR="006558C3" w:rsidRPr="00393433">
        <w:rPr>
          <w:color w:val="000000" w:themeColor="text1"/>
          <w:lang w:val="en-GB"/>
        </w:rPr>
        <w:t>(EoS</w:t>
      </w:r>
      <w:r w:rsidR="007700B4" w:rsidRPr="00393433">
        <w:rPr>
          <w:color w:val="000000" w:themeColor="text1"/>
          <w:lang w:val="en-GB"/>
        </w:rPr>
        <w:t>)</w:t>
      </w:r>
      <w:r w:rsidRPr="00393433">
        <w:rPr>
          <w:color w:val="000000" w:themeColor="text1"/>
          <w:lang w:val="en-GB"/>
        </w:rPr>
        <w:t xml:space="preserve">, </w:t>
      </w:r>
      <w:r w:rsidRPr="00D40526">
        <w:rPr>
          <w:color w:val="000000" w:themeColor="text1"/>
          <w:position w:val="-12"/>
        </w:rPr>
        <w:object w:dxaOrig="1160" w:dyaOrig="360" w14:anchorId="6359248F">
          <v:shape id="_x0000_i1051" type="#_x0000_t75" style="width:59.25pt;height:18.75pt" o:ole="">
            <v:imagedata r:id="rId62" o:title=""/>
          </v:shape>
          <o:OLEObject Type="Embed" ProgID="Equation.DSMT4" ShapeID="_x0000_i1051" DrawAspect="Content" ObjectID="_1701512150" r:id="rId63"/>
        </w:object>
      </w:r>
      <w:r w:rsidRPr="00393433">
        <w:rPr>
          <w:color w:val="000000" w:themeColor="text1"/>
          <w:lang w:val="en-GB"/>
        </w:rPr>
        <w:t xml:space="preserve"> is assumed, which relates thermodynamic pressure and density of the continuum phase, and which is calibrated from a separate all-atom equilibrium MD simulation of SPC/E water.</w:t>
      </w:r>
      <w:r w:rsidR="007700B4" w:rsidRPr="00393433">
        <w:rPr>
          <w:color w:val="000000" w:themeColor="text1"/>
          <w:lang w:val="en-GB"/>
        </w:rPr>
        <w:t xml:space="preserve"> In the </w:t>
      </w:r>
      <w:r w:rsidR="006558C3" w:rsidRPr="00393433">
        <w:rPr>
          <w:color w:val="000000" w:themeColor="text1"/>
          <w:lang w:val="en-GB"/>
        </w:rPr>
        <w:t>current work, the calibrated EoS</w:t>
      </w:r>
      <w:r w:rsidR="007700B4" w:rsidRPr="00393433">
        <w:rPr>
          <w:color w:val="000000" w:themeColor="text1"/>
          <w:lang w:val="en-GB"/>
        </w:rPr>
        <w:t xml:space="preserve"> can be expressed </w:t>
      </w:r>
      <w:r w:rsidR="00E41D47" w:rsidRPr="00393433">
        <w:rPr>
          <w:color w:val="000000" w:themeColor="text1"/>
          <w:lang w:val="en-GB"/>
        </w:rPr>
        <w:t xml:space="preserve">as </w:t>
      </w:r>
      <w:r w:rsidR="00E41D47" w:rsidRPr="00D40526">
        <w:rPr>
          <w:color w:val="000000" w:themeColor="text1"/>
          <w:position w:val="-10"/>
        </w:rPr>
        <w:object w:dxaOrig="1740" w:dyaOrig="320" w14:anchorId="118EF7A0">
          <v:shape id="_x0000_i1052" type="#_x0000_t75" style="width:87pt;height:16.5pt" o:ole="">
            <v:imagedata r:id="rId64" o:title=""/>
          </v:shape>
          <o:OLEObject Type="Embed" ProgID="Equation.DSMT4" ShapeID="_x0000_i1052" DrawAspect="Content" ObjectID="_1701512151" r:id="rId65"/>
        </w:object>
      </w:r>
      <w:r w:rsidR="004E19CE" w:rsidRPr="00393433">
        <w:rPr>
          <w:color w:val="000000" w:themeColor="text1"/>
          <w:lang w:val="en-GB"/>
        </w:rPr>
        <w:t>,</w:t>
      </w:r>
      <w:r w:rsidR="006558C3" w:rsidRPr="00393433">
        <w:rPr>
          <w:color w:val="000000" w:themeColor="text1"/>
          <w:lang w:val="en-GB"/>
        </w:rPr>
        <w:t xml:space="preserve"> and</w:t>
      </w:r>
      <w:r w:rsidR="004E19CE" w:rsidRPr="00393433">
        <w:rPr>
          <w:color w:val="000000" w:themeColor="text1"/>
          <w:lang w:val="en-GB"/>
        </w:rPr>
        <w:t xml:space="preserve"> the </w:t>
      </w:r>
      <w:r w:rsidR="00564FE0" w:rsidRPr="00393433">
        <w:rPr>
          <w:color w:val="000000" w:themeColor="text1"/>
          <w:lang w:val="en-GB"/>
        </w:rPr>
        <w:t xml:space="preserve">simulation </w:t>
      </w:r>
      <w:r w:rsidR="00904AF7" w:rsidRPr="00393433">
        <w:rPr>
          <w:color w:val="000000" w:themeColor="text1"/>
          <w:lang w:val="en-GB"/>
        </w:rPr>
        <w:t>parameters</w:t>
      </w:r>
      <w:r w:rsidR="00564FE0" w:rsidRPr="00393433">
        <w:rPr>
          <w:color w:val="000000" w:themeColor="text1"/>
          <w:lang w:val="en-GB"/>
        </w:rPr>
        <w:t xml:space="preserve"> including MD details</w:t>
      </w:r>
      <w:r w:rsidR="00904AF7" w:rsidRPr="00393433">
        <w:rPr>
          <w:color w:val="000000" w:themeColor="text1"/>
          <w:lang w:val="en-GB"/>
        </w:rPr>
        <w:t xml:space="preserve"> </w:t>
      </w:r>
      <w:r w:rsidR="00564FE0" w:rsidRPr="00393433">
        <w:rPr>
          <w:color w:val="000000" w:themeColor="text1"/>
          <w:lang w:val="en-GB"/>
        </w:rPr>
        <w:t>are</w:t>
      </w:r>
      <w:r w:rsidR="006558C3" w:rsidRPr="00393433">
        <w:rPr>
          <w:color w:val="000000" w:themeColor="text1"/>
          <w:lang w:val="en-GB"/>
        </w:rPr>
        <w:t xml:space="preserve"> </w:t>
      </w:r>
      <w:r w:rsidR="00564FE0" w:rsidRPr="00393433">
        <w:rPr>
          <w:color w:val="000000" w:themeColor="text1"/>
          <w:lang w:val="en-GB"/>
        </w:rPr>
        <w:t>summarised</w:t>
      </w:r>
      <w:r w:rsidR="006558C3" w:rsidRPr="00393433">
        <w:rPr>
          <w:color w:val="000000" w:themeColor="text1"/>
          <w:lang w:val="en-GB"/>
        </w:rPr>
        <w:t xml:space="preserve"> in Table </w:t>
      </w:r>
      <w:r w:rsidR="00904AF7" w:rsidRPr="00393433">
        <w:rPr>
          <w:color w:val="000000" w:themeColor="text1"/>
          <w:lang w:val="en-GB"/>
        </w:rPr>
        <w:t>1.</w:t>
      </w:r>
    </w:p>
    <w:p w14:paraId="6A8DD69B" w14:textId="77777777"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rPr>
        <w:t xml:space="preserve">The source and sink terms, </w:t>
      </w:r>
      <w:r w:rsidRPr="00D40526">
        <w:rPr>
          <w:color w:val="000000" w:themeColor="text1"/>
          <w:position w:val="-12"/>
        </w:rPr>
        <w:object w:dxaOrig="260" w:dyaOrig="360" w14:anchorId="6DDC788F">
          <v:shape id="_x0000_i1053" type="#_x0000_t75" style="width:11.25pt;height:18.75pt" o:ole="">
            <v:imagedata r:id="rId66" o:title=""/>
          </v:shape>
          <o:OLEObject Type="Embed" ProgID="Equation.DSMT4" ShapeID="_x0000_i1053" DrawAspect="Content" ObjectID="_1701512152" r:id="rId67"/>
        </w:object>
      </w:r>
      <w:r w:rsidRPr="00393433">
        <w:rPr>
          <w:color w:val="000000" w:themeColor="text1"/>
          <w:lang w:val="en-GB"/>
        </w:rPr>
        <w:t xml:space="preserve"> and </w:t>
      </w:r>
      <w:r w:rsidRPr="00D40526">
        <w:rPr>
          <w:color w:val="000000" w:themeColor="text1"/>
          <w:position w:val="-12"/>
        </w:rPr>
        <w:object w:dxaOrig="279" w:dyaOrig="360" w14:anchorId="3E09F465">
          <v:shape id="_x0000_i1054" type="#_x0000_t75" style="width:11.25pt;height:18.75pt" o:ole="">
            <v:imagedata r:id="rId68" o:title=""/>
          </v:shape>
          <o:OLEObject Type="Embed" ProgID="Equation.DSMT4" ShapeID="_x0000_i1054" DrawAspect="Content" ObjectID="_1701512153" r:id="rId69"/>
        </w:object>
      </w:r>
      <w:r w:rsidRPr="00393433">
        <w:rPr>
          <w:color w:val="000000" w:themeColor="text1"/>
          <w:lang w:val="en-GB"/>
        </w:rPr>
        <w:t xml:space="preserve"> , which determine the phase interaction </w:t>
      </w:r>
      <w:r w:rsidRPr="00393433">
        <w:rPr>
          <w:iCs/>
          <w:color w:val="000000" w:themeColor="text1"/>
          <w:lang w:val="en-GB"/>
        </w:rPr>
        <w:t>are defined so that</w:t>
      </w:r>
      <w:r w:rsidRPr="00393433">
        <w:rPr>
          <w:color w:val="000000" w:themeColor="text1"/>
          <w:lang w:val="en-GB"/>
        </w:rPr>
        <w:t xml:space="preserve"> the residuals corresponding to the differences of the cell-averaged particle density and momenta from the same of the two-phase mixture, </w:t>
      </w:r>
      <w:r w:rsidRPr="00D40526">
        <w:rPr>
          <w:color w:val="000000" w:themeColor="text1"/>
          <w:position w:val="-30"/>
        </w:rPr>
        <w:object w:dxaOrig="1359" w:dyaOrig="700" w14:anchorId="1EF196A4">
          <v:shape id="_x0000_i1055" type="#_x0000_t75" style="width:66.75pt;height:35.25pt" o:ole="">
            <v:imagedata r:id="rId70" o:title=""/>
          </v:shape>
          <o:OLEObject Type="Embed" ProgID="Equation.DSMT4" ShapeID="_x0000_i1055" DrawAspect="Content" ObjectID="_1701512154" r:id="rId71"/>
        </w:object>
      </w:r>
      <w:r w:rsidRPr="00393433">
        <w:rPr>
          <w:color w:val="000000" w:themeColor="text1"/>
          <w:lang w:val="en-GB"/>
        </w:rPr>
        <w:t xml:space="preserve"> and </w:t>
      </w:r>
      <w:r w:rsidRPr="00D40526">
        <w:rPr>
          <w:color w:val="000000" w:themeColor="text1"/>
          <w:position w:val="-30"/>
        </w:rPr>
        <w:object w:dxaOrig="1719" w:dyaOrig="700" w14:anchorId="352CE426">
          <v:shape id="_x0000_i1056" type="#_x0000_t75" style="width:85.5pt;height:35.25pt" o:ole="">
            <v:imagedata r:id="rId72" o:title=""/>
          </v:shape>
          <o:OLEObject Type="Embed" ProgID="Equation.DSMT4" ShapeID="_x0000_i1056" DrawAspect="Content" ObjectID="_1701512155" r:id="rId73"/>
        </w:object>
      </w:r>
      <w:r w:rsidRPr="00393433">
        <w:rPr>
          <w:color w:val="000000" w:themeColor="text1"/>
          <w:lang w:val="en-GB"/>
        </w:rPr>
        <w:t>, are forced to decay to zero (or, at least, stay bounded) to avoid the unwanted phase separation, in accordance with the additional relations:</w:t>
      </w:r>
    </w:p>
    <w:p w14:paraId="5E6ED538"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sz w:val="22"/>
        </w:rPr>
        <w:object w:dxaOrig="4819" w:dyaOrig="760" w14:anchorId="16396617">
          <v:shape id="_x0000_i1057" type="#_x0000_t75" style="width:237.75pt;height:35.25pt" o:ole="">
            <v:imagedata r:id="rId74" o:title=""/>
          </v:shape>
          <o:OLEObject Type="Embed" ProgID="Equation.DSMT4" ShapeID="_x0000_i1057" DrawAspect="Content" ObjectID="_1701512156" r:id="rId75"/>
        </w:object>
      </w:r>
      <w:r w:rsidRPr="00D40526">
        <w:rPr>
          <w:rFonts w:cs="Times New Roman"/>
          <w:color w:val="000000" w:themeColor="text1"/>
          <w:sz w:val="22"/>
        </w:rPr>
        <w:t>,</w:t>
      </w:r>
      <w:r w:rsidRPr="00D40526">
        <w:rPr>
          <w:rFonts w:cs="Times New Roman"/>
          <w:color w:val="000000" w:themeColor="text1"/>
          <w:sz w:val="22"/>
        </w:rPr>
        <w:tab/>
      </w:r>
      <w:r w:rsidRPr="00D40526">
        <w:rPr>
          <w:rFonts w:cs="Times New Roman"/>
          <w:color w:val="000000" w:themeColor="text1"/>
          <w:sz w:val="22"/>
        </w:rPr>
        <w:tab/>
        <w:t>(5)</w:t>
      </w:r>
    </w:p>
    <w:p w14:paraId="5CF6A82C"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sz w:val="22"/>
        </w:rPr>
        <w:object w:dxaOrig="5140" w:dyaOrig="760" w14:anchorId="330E437E">
          <v:shape id="_x0000_i1058" type="#_x0000_t75" style="width:254.25pt;height:35.25pt" o:ole="">
            <v:imagedata r:id="rId76" o:title=""/>
          </v:shape>
          <o:OLEObject Type="Embed" ProgID="Equation.DSMT4" ShapeID="_x0000_i1058" DrawAspect="Content" ObjectID="_1701512157" r:id="rId77"/>
        </w:object>
      </w:r>
      <w:r w:rsidRPr="00D40526">
        <w:rPr>
          <w:rFonts w:cs="Times New Roman"/>
          <w:color w:val="000000" w:themeColor="text1"/>
          <w:sz w:val="22"/>
        </w:rPr>
        <w:t xml:space="preserve">, </w:t>
      </w:r>
      <w:r w:rsidRPr="00D40526">
        <w:rPr>
          <w:rFonts w:cs="Times New Roman"/>
          <w:i/>
          <w:iCs/>
          <w:color w:val="000000" w:themeColor="text1"/>
          <w:sz w:val="22"/>
        </w:rPr>
        <w:t>i</w:t>
      </w:r>
      <w:r w:rsidRPr="00D40526">
        <w:rPr>
          <w:rFonts w:cs="Times New Roman"/>
          <w:color w:val="000000" w:themeColor="text1"/>
          <w:sz w:val="22"/>
        </w:rPr>
        <w:t xml:space="preserve">, </w:t>
      </w:r>
      <w:r w:rsidRPr="00D40526">
        <w:rPr>
          <w:rFonts w:cs="Times New Roman"/>
          <w:i/>
          <w:iCs/>
          <w:color w:val="000000" w:themeColor="text1"/>
          <w:sz w:val="22"/>
        </w:rPr>
        <w:t>j</w:t>
      </w:r>
      <w:r w:rsidRPr="00D40526">
        <w:rPr>
          <w:rFonts w:cs="Times New Roman"/>
          <w:i/>
          <w:color w:val="000000" w:themeColor="text1"/>
          <w:sz w:val="22"/>
        </w:rPr>
        <w:t xml:space="preserve"> </w:t>
      </w:r>
      <w:r w:rsidRPr="00D40526">
        <w:rPr>
          <w:rFonts w:cs="Times New Roman"/>
          <w:color w:val="000000" w:themeColor="text1"/>
          <w:sz w:val="22"/>
        </w:rPr>
        <w:t>= 1, 2, 3</w:t>
      </w:r>
      <w:r w:rsidRPr="00D40526">
        <w:rPr>
          <w:rFonts w:cs="Times New Roman"/>
          <w:color w:val="000000" w:themeColor="text1"/>
          <w:sz w:val="22"/>
        </w:rPr>
        <w:tab/>
        <w:t>(6)</w:t>
      </w:r>
    </w:p>
    <w:p w14:paraId="7D9E9039"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noProof w:val="0"/>
          <w:color w:val="000000" w:themeColor="text1"/>
          <w:sz w:val="22"/>
          <w:lang w:val="en-GB"/>
        </w:rPr>
        <w:t xml:space="preserve">Accordingly, to satisfy the conservation of particle mass and momentum equations, </w:t>
      </w:r>
      <w:r w:rsidRPr="00D40526">
        <w:rPr>
          <w:rFonts w:cs="Times New Roman"/>
          <w:color w:val="000000" w:themeColor="text1"/>
          <w:position w:val="-32"/>
        </w:rPr>
        <w:object w:dxaOrig="3640" w:dyaOrig="1080" w14:anchorId="45400906">
          <v:shape id="_x0000_i1059" type="#_x0000_t75" style="width:180.75pt;height:54pt" o:ole="">
            <v:imagedata r:id="rId78" o:title=""/>
          </v:shape>
          <o:OLEObject Type="Embed" ProgID="Equation.DSMT4" ShapeID="_x0000_i1059" DrawAspect="Content" ObjectID="_1701512158" r:id="rId79"/>
        </w:object>
      </w:r>
      <w:r w:rsidRPr="00D40526">
        <w:rPr>
          <w:rFonts w:cs="Times New Roman"/>
          <w:color w:val="000000" w:themeColor="text1"/>
          <w:sz w:val="22"/>
        </w:rPr>
        <w:t xml:space="preserve"> and</w:t>
      </w:r>
      <w:r w:rsidRPr="00D40526">
        <w:rPr>
          <w:rFonts w:cs="Times New Roman"/>
          <w:color w:val="000000" w:themeColor="text1"/>
          <w:sz w:val="22"/>
        </w:rPr>
        <w:tab/>
      </w:r>
      <w:r w:rsidRPr="00D40526">
        <w:rPr>
          <w:rFonts w:cs="Times New Roman"/>
          <w:color w:val="000000" w:themeColor="text1"/>
          <w:sz w:val="22"/>
        </w:rPr>
        <w:tab/>
        <w:t>(7)</w:t>
      </w:r>
    </w:p>
    <w:p w14:paraId="470FDEA8"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rPr>
        <w:object w:dxaOrig="5720" w:dyaOrig="760" w14:anchorId="44A6F343">
          <v:shape id="_x0000_i1060" type="#_x0000_t75" style="width:285.75pt;height:36.75pt" o:ole="">
            <v:imagedata r:id="rId80" o:title=""/>
          </v:shape>
          <o:OLEObject Type="Embed" ProgID="Equation.DSMT4" ShapeID="_x0000_i1060" DrawAspect="Content" ObjectID="_1701512159" r:id="rId81"/>
        </w:object>
      </w:r>
      <w:r w:rsidRPr="00D40526">
        <w:rPr>
          <w:rFonts w:cs="Times New Roman"/>
          <w:color w:val="000000" w:themeColor="text1"/>
          <w:sz w:val="22"/>
        </w:rPr>
        <w:t>,</w:t>
      </w:r>
      <w:r w:rsidRPr="00D40526">
        <w:rPr>
          <w:rFonts w:cs="Times New Roman"/>
          <w:color w:val="000000" w:themeColor="text1"/>
          <w:sz w:val="22"/>
        </w:rPr>
        <w:tab/>
        <w:t>(8)</w:t>
      </w:r>
    </w:p>
    <w:p w14:paraId="46DDA7ED" w14:textId="77777777" w:rsidR="00EA15F8" w:rsidRPr="00393433" w:rsidRDefault="00EA15F8" w:rsidP="00EA15F8">
      <w:pPr>
        <w:spacing w:line="480" w:lineRule="auto"/>
        <w:jc w:val="both"/>
        <w:rPr>
          <w:color w:val="000000" w:themeColor="text1"/>
          <w:lang w:val="en-GB"/>
        </w:rPr>
      </w:pPr>
      <w:r w:rsidRPr="00393433">
        <w:rPr>
          <w:color w:val="000000" w:themeColor="text1"/>
          <w:lang w:val="en-GB"/>
        </w:rPr>
        <w:t>the molecular dynamics equations are modified to</w:t>
      </w:r>
    </w:p>
    <w:bookmarkStart w:id="0" w:name="_Hlk48780372"/>
    <w:p w14:paraId="40800138" w14:textId="77777777" w:rsidR="00EA15F8" w:rsidRPr="00D40526" w:rsidRDefault="00EA15F8" w:rsidP="00EA15F8">
      <w:pPr>
        <w:pStyle w:val="MTDisplayEquation"/>
        <w:spacing w:before="0" w:after="0"/>
        <w:rPr>
          <w:rFonts w:cs="Times New Roman"/>
          <w:color w:val="000000" w:themeColor="text1"/>
          <w:position w:val="-14"/>
          <w:sz w:val="22"/>
        </w:rPr>
      </w:pPr>
      <w:r w:rsidRPr="00D40526">
        <w:rPr>
          <w:rFonts w:cs="Times New Roman"/>
          <w:color w:val="000000" w:themeColor="text1"/>
          <w:position w:val="-30"/>
          <w:sz w:val="22"/>
        </w:rPr>
        <w:object w:dxaOrig="4420" w:dyaOrig="720" w14:anchorId="53CF2123">
          <v:shape id="_x0000_i1061" type="#_x0000_t75" style="width:216.75pt;height:37.5pt" o:ole="">
            <v:imagedata r:id="rId82" o:title=""/>
          </v:shape>
          <o:OLEObject Type="Embed" ProgID="Equation.DSMT4" ShapeID="_x0000_i1061" DrawAspect="Content" ObjectID="_1701512160" r:id="rId83"/>
        </w:object>
      </w:r>
      <w:bookmarkEnd w:id="0"/>
      <w:r w:rsidRPr="00D40526">
        <w:rPr>
          <w:rFonts w:cs="Times New Roman"/>
          <w:color w:val="000000" w:themeColor="text1"/>
          <w:position w:val="-14"/>
          <w:sz w:val="22"/>
        </w:rPr>
        <w:tab/>
      </w:r>
      <w:r w:rsidRPr="00D40526">
        <w:rPr>
          <w:rFonts w:cs="Times New Roman"/>
          <w:color w:val="000000" w:themeColor="text1"/>
          <w:position w:val="-14"/>
          <w:sz w:val="22"/>
        </w:rPr>
        <w:tab/>
        <w:t>(</w:t>
      </w:r>
      <w:r w:rsidRPr="00D40526">
        <w:rPr>
          <w:rFonts w:cs="Times New Roman"/>
          <w:color w:val="000000" w:themeColor="text1"/>
          <w:position w:val="-14"/>
          <w:sz w:val="22"/>
          <w:lang w:eastAsia="zh-CN"/>
        </w:rPr>
        <w:t>9</w:t>
      </w:r>
      <w:r w:rsidRPr="00D40526">
        <w:rPr>
          <w:rFonts w:cs="Times New Roman"/>
          <w:color w:val="000000" w:themeColor="text1"/>
          <w:position w:val="-14"/>
          <w:sz w:val="22"/>
        </w:rPr>
        <w:t>)</w:t>
      </w:r>
    </w:p>
    <w:p w14:paraId="09BB9E2F" w14:textId="77777777" w:rsidR="00EA15F8" w:rsidRPr="00393433" w:rsidRDefault="00EA15F8" w:rsidP="00EA15F8">
      <w:pPr>
        <w:spacing w:line="360" w:lineRule="auto"/>
        <w:jc w:val="both"/>
        <w:rPr>
          <w:color w:val="000000" w:themeColor="text1"/>
          <w:lang w:val="en-GB"/>
        </w:rPr>
      </w:pPr>
      <w:r w:rsidRPr="00393433">
        <w:rPr>
          <w:color w:val="000000" w:themeColor="text1"/>
          <w:lang w:val="en-GB" w:eastAsia="zh-CN"/>
        </w:rPr>
        <w:t>a</w:t>
      </w:r>
      <w:r w:rsidRPr="00393433">
        <w:rPr>
          <w:color w:val="000000" w:themeColor="text1"/>
          <w:lang w:val="en-GB"/>
        </w:rPr>
        <w:t>nd</w:t>
      </w:r>
    </w:p>
    <w:p w14:paraId="7DB02692" w14:textId="77777777" w:rsidR="00EA15F8" w:rsidRPr="00D40526" w:rsidRDefault="00EA15F8" w:rsidP="00EA15F8">
      <w:pPr>
        <w:pStyle w:val="MTDisplayEquation"/>
        <w:spacing w:before="0" w:after="0"/>
        <w:rPr>
          <w:rFonts w:cs="Times New Roman"/>
          <w:color w:val="000000" w:themeColor="text1"/>
          <w:position w:val="-14"/>
          <w:sz w:val="22"/>
        </w:rPr>
      </w:pPr>
      <w:r w:rsidRPr="00D40526">
        <w:rPr>
          <w:rFonts w:cs="Times New Roman"/>
          <w:color w:val="000000" w:themeColor="text1"/>
          <w:position w:val="-104"/>
          <w:sz w:val="22"/>
        </w:rPr>
        <w:object w:dxaOrig="7980" w:dyaOrig="2200" w14:anchorId="4C3726B6">
          <v:shape id="_x0000_i1062" type="#_x0000_t75" style="width:400.5pt;height:110.25pt" o:ole="">
            <v:imagedata r:id="rId84" o:title=""/>
          </v:shape>
          <o:OLEObject Type="Embed" ProgID="Equation.DSMT4" ShapeID="_x0000_i1062" DrawAspect="Content" ObjectID="_1701512161" r:id="rId85"/>
        </w:object>
      </w:r>
      <w:r w:rsidRPr="00D40526">
        <w:rPr>
          <w:rFonts w:cs="Times New Roman"/>
          <w:color w:val="000000" w:themeColor="text1"/>
          <w:position w:val="-14"/>
          <w:sz w:val="22"/>
        </w:rPr>
        <w:tab/>
        <w:t>(</w:t>
      </w:r>
      <w:r w:rsidRPr="00D40526">
        <w:rPr>
          <w:rFonts w:cs="Times New Roman"/>
          <w:color w:val="000000" w:themeColor="text1"/>
          <w:position w:val="-14"/>
          <w:sz w:val="22"/>
          <w:lang w:eastAsia="zh-CN"/>
        </w:rPr>
        <w:t>10</w:t>
      </w:r>
      <w:r w:rsidRPr="00D40526">
        <w:rPr>
          <w:rFonts w:cs="Times New Roman"/>
          <w:color w:val="000000" w:themeColor="text1"/>
          <w:position w:val="-14"/>
          <w:sz w:val="22"/>
        </w:rPr>
        <w:t>)</w:t>
      </w:r>
    </w:p>
    <w:p w14:paraId="69C4A367" w14:textId="77777777" w:rsidR="00EA15F8" w:rsidRPr="00393433" w:rsidRDefault="00EA15F8" w:rsidP="00EA15F8">
      <w:pPr>
        <w:spacing w:line="480" w:lineRule="auto"/>
        <w:jc w:val="both"/>
        <w:rPr>
          <w:color w:val="000000" w:themeColor="text1"/>
          <w:lang w:val="en-GB"/>
        </w:rPr>
      </w:pPr>
      <w:r w:rsidRPr="00393433">
        <w:rPr>
          <w:color w:val="000000" w:themeColor="text1"/>
          <w:lang w:val="en-GB"/>
        </w:rPr>
        <w:t xml:space="preserve">where </w:t>
      </w:r>
      <w:r w:rsidRPr="00393433">
        <w:rPr>
          <w:i/>
          <w:iCs/>
          <w:color w:val="000000" w:themeColor="text1"/>
          <w:lang w:val="en-GB"/>
        </w:rPr>
        <w:t>i</w:t>
      </w:r>
      <w:r w:rsidRPr="00393433">
        <w:rPr>
          <w:color w:val="000000" w:themeColor="text1"/>
          <w:lang w:val="en-GB"/>
        </w:rPr>
        <w:t xml:space="preserve">, </w:t>
      </w:r>
      <w:r w:rsidRPr="00393433">
        <w:rPr>
          <w:i/>
          <w:iCs/>
          <w:color w:val="000000" w:themeColor="text1"/>
          <w:lang w:val="en-GB"/>
        </w:rPr>
        <w:t xml:space="preserve">j </w:t>
      </w:r>
      <w:r w:rsidRPr="00393433">
        <w:rPr>
          <w:color w:val="000000" w:themeColor="text1"/>
          <w:lang w:val="en-GB"/>
        </w:rPr>
        <w:t xml:space="preserve">= 1,2,3 are Cartesian coordinate components, </w:t>
      </w:r>
      <w:r w:rsidRPr="00393433">
        <w:rPr>
          <w:i/>
          <w:iCs/>
          <w:color w:val="000000" w:themeColor="text1"/>
          <w:lang w:val="en-GB"/>
        </w:rPr>
        <w:t>p</w:t>
      </w:r>
      <w:r w:rsidRPr="00393433">
        <w:rPr>
          <w:color w:val="000000" w:themeColor="text1"/>
          <w:lang w:val="en-GB"/>
        </w:rPr>
        <w:t xml:space="preserve"> is the particle sub-index which refers to the point/ field value defined/interpolated to the particle location, and </w:t>
      </w:r>
      <w:r w:rsidRPr="00D40526">
        <w:rPr>
          <w:color w:val="000000" w:themeColor="text1"/>
          <w:position w:val="-8"/>
        </w:rPr>
        <w:object w:dxaOrig="700" w:dyaOrig="260" w14:anchorId="7AD4FCA4">
          <v:shape id="_x0000_i1063" type="#_x0000_t75" style="width:35.25pt;height:12.75pt" o:ole="">
            <v:imagedata r:id="rId86" o:title=""/>
          </v:shape>
          <o:OLEObject Type="Embed" ProgID="Equation.DSMT4" ShapeID="_x0000_i1063" DrawAspect="Content" ObjectID="_1701512162" r:id="rId87"/>
        </w:object>
      </w:r>
      <w:r w:rsidRPr="00393433">
        <w:rPr>
          <w:color w:val="000000" w:themeColor="text1"/>
          <w:lang w:val="en-GB"/>
        </w:rPr>
        <w:t xml:space="preserve"> are adjustable coupling constants, which are obtained from the model calibration by comparison with the all-atom MD simulations in the equilibrium case.</w:t>
      </w:r>
    </w:p>
    <w:p w14:paraId="37BD83B4" w14:textId="77777777" w:rsidR="00EA15F8" w:rsidRPr="00D40526" w:rsidRDefault="00EA15F8" w:rsidP="00EA15F8">
      <w:pPr>
        <w:spacing w:line="480" w:lineRule="auto"/>
        <w:ind w:firstLineChars="200" w:firstLine="480"/>
        <w:jc w:val="both"/>
        <w:rPr>
          <w:color w:val="000000" w:themeColor="text1"/>
          <w:lang w:val="en-US"/>
        </w:rPr>
      </w:pPr>
      <w:r w:rsidRPr="00D40526">
        <w:rPr>
          <w:color w:val="000000" w:themeColor="text1"/>
          <w:lang w:val="en-US"/>
        </w:rPr>
        <w:t>For numerical solution of equations (1) – (4), following Ref.</w:t>
      </w:r>
      <w:r w:rsidRPr="00D40526">
        <w:rPr>
          <w:color w:val="000000" w:themeColor="text1"/>
          <w:lang w:val="en-US"/>
        </w:rPr>
        <w:fldChar w:fldCharType="begin"/>
      </w:r>
      <w:r w:rsidRPr="00D40526">
        <w:rPr>
          <w:color w:val="000000" w:themeColor="text1"/>
          <w:lang w:val="en-US"/>
        </w:rPr>
        <w:instrText xml:space="preserve"> ADDIN EN.CITE &lt;EndNote&gt;&lt;Cite&gt;&lt;Author&gt;Korotkin&lt;/Author&gt;&lt;Year&gt;2018&lt;/Year&gt;&lt;RecNum&gt;21&lt;/RecNum&gt;&lt;DisplayText&gt;&lt;style face="superscript"&gt;[21]&lt;/style&gt;&lt;/DisplayText&gt;&lt;record&gt;&lt;rec-number&gt;21&lt;/rec-number&gt;&lt;foreign-keys&gt;&lt;key app="EN" db-id="2few9s5xuzd0fkexrp852fpetz5dda0wzve0" timestamp="1628862252"&gt;21&lt;/key&gt;&lt;/foreign-keys&gt;&lt;ref-type name="Journal Article"&gt;17&lt;/ref-type&gt;&lt;contributors&gt;&lt;authors&gt;&lt;author&gt;Korotkin, IA&lt;/author&gt;&lt;author&gt;Karabasov, SA&lt;/author&gt;&lt;/authors&gt;&lt;/contributors&gt;&lt;titles&gt;&lt;title&gt;A Generalised Landau-Lifshitz Fluctuating Hydrodynamics model for concurrent simulations of liquids at atomistic and continuum resolution&lt;/title&gt;&lt;secondary-title&gt;J. Chem. Phys.&lt;/secondary-title&gt;&lt;/titles&gt;&lt;periodical&gt;&lt;full-title&gt;J. Chem. Phys.&lt;/full-title&gt;&lt;/periodical&gt;&lt;pages&gt;244101&lt;/pages&gt;&lt;volume&gt;149&lt;/volume&gt;&lt;number&gt;24&lt;/number&gt;&lt;dates&gt;&lt;year&gt;2018&lt;/year&gt;&lt;/dates&gt;&lt;isbn&gt;0021-9606&lt;/isbn&gt;&lt;urls&gt;&lt;/urls&gt;&lt;/record&gt;&lt;/Cite&gt;&lt;/EndNote&gt;</w:instrText>
      </w:r>
      <w:r w:rsidRPr="00D40526">
        <w:rPr>
          <w:color w:val="000000" w:themeColor="text1"/>
          <w:lang w:val="en-US"/>
        </w:rPr>
        <w:fldChar w:fldCharType="separate"/>
      </w:r>
      <w:r w:rsidRPr="00D40526">
        <w:rPr>
          <w:noProof/>
          <w:color w:val="000000" w:themeColor="text1"/>
          <w:lang w:val="en-US"/>
        </w:rPr>
        <w:t>[21]</w:t>
      </w:r>
      <w:r w:rsidRPr="00D40526">
        <w:rPr>
          <w:color w:val="000000" w:themeColor="text1"/>
          <w:lang w:val="en-US"/>
        </w:rPr>
        <w:fldChar w:fldCharType="end"/>
      </w:r>
      <w:r w:rsidRPr="00D40526">
        <w:rPr>
          <w:color w:val="000000" w:themeColor="text1"/>
          <w:lang w:val="en-US"/>
        </w:rPr>
        <w:t xml:space="preserve">, new dependent variables </w:t>
      </w:r>
      <w:r w:rsidRPr="00D40526">
        <w:rPr>
          <w:color w:val="000000" w:themeColor="text1"/>
          <w:position w:val="-10"/>
          <w:lang w:val="en-US"/>
        </w:rPr>
        <w:object w:dxaOrig="1020" w:dyaOrig="320" w14:anchorId="57ED0854">
          <v:shape id="_x0000_i1064" type="#_x0000_t75" style="width:53.25pt;height:18.75pt" o:ole="">
            <v:imagedata r:id="rId88" o:title=""/>
          </v:shape>
          <o:OLEObject Type="Embed" ProgID="Equation.DSMT4" ShapeID="_x0000_i1064" DrawAspect="Content" ObjectID="_1701512163" r:id="rId89"/>
        </w:object>
      </w:r>
      <w:r w:rsidRPr="00D40526">
        <w:rPr>
          <w:color w:val="000000" w:themeColor="text1"/>
        </w:rPr>
        <w:t xml:space="preserve"> and </w:t>
      </w:r>
      <w:r w:rsidRPr="00D40526">
        <w:rPr>
          <w:color w:val="000000" w:themeColor="text1"/>
          <w:position w:val="-12"/>
          <w:lang w:val="en-US"/>
        </w:rPr>
        <w:object w:dxaOrig="1140" w:dyaOrig="360" w14:anchorId="3B6555F5">
          <v:shape id="_x0000_i1065" type="#_x0000_t75" style="width:53.25pt;height:18.75pt" o:ole="">
            <v:imagedata r:id="rId90" o:title=""/>
          </v:shape>
          <o:OLEObject Type="Embed" ProgID="Equation.DSMT4" ShapeID="_x0000_i1065" DrawAspect="Content" ObjectID="_1701512164" r:id="rId91"/>
        </w:object>
      </w:r>
      <w:r w:rsidRPr="00D40526">
        <w:rPr>
          <w:color w:val="000000" w:themeColor="text1"/>
          <w:lang w:val="en-US"/>
        </w:rPr>
        <w:t xml:space="preserve"> are introduced to re-arrange the equations to the so-called </w:t>
      </w:r>
      <w:proofErr w:type="spellStart"/>
      <w:r w:rsidRPr="00D40526">
        <w:rPr>
          <w:color w:val="000000" w:themeColor="text1"/>
          <w:lang w:val="en-US"/>
        </w:rPr>
        <w:t>Generalised</w:t>
      </w:r>
      <w:proofErr w:type="spellEnd"/>
      <w:r w:rsidRPr="00D40526">
        <w:rPr>
          <w:color w:val="000000" w:themeColor="text1"/>
          <w:lang w:val="en-US"/>
        </w:rPr>
        <w:t xml:space="preserve"> Landau-</w:t>
      </w:r>
      <w:proofErr w:type="spellStart"/>
      <w:r w:rsidRPr="00D40526">
        <w:rPr>
          <w:color w:val="000000" w:themeColor="text1"/>
          <w:lang w:val="en-US"/>
        </w:rPr>
        <w:t>Lifshitz</w:t>
      </w:r>
      <w:proofErr w:type="spellEnd"/>
      <w:r w:rsidRPr="00D40526">
        <w:rPr>
          <w:color w:val="000000" w:themeColor="text1"/>
          <w:lang w:val="en-US"/>
        </w:rPr>
        <w:t xml:space="preserve"> Fluctuating Hydrodynamics (GLL-FH) form, which is a single phase formulation of the original two-phase-like equations (1)-(4),</w:t>
      </w:r>
    </w:p>
    <w:p w14:paraId="7C726FB2"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0"/>
          <w:sz w:val="22"/>
        </w:rPr>
        <w:object w:dxaOrig="4459" w:dyaOrig="700" w14:anchorId="399F70DF">
          <v:shape id="_x0000_i1066" type="#_x0000_t75" style="width:223.5pt;height:33.75pt" o:ole="">
            <v:imagedata r:id="rId92" o:title=""/>
          </v:shape>
          <o:OLEObject Type="Embed" ProgID="Equation.DSMT4" ShapeID="_x0000_i1066" DrawAspect="Content" ObjectID="_1701512165" r:id="rId93"/>
        </w:object>
      </w:r>
      <w:r w:rsidRPr="00D40526">
        <w:rPr>
          <w:rFonts w:cs="Times New Roman"/>
          <w:color w:val="000000" w:themeColor="text1"/>
          <w:sz w:val="22"/>
        </w:rPr>
        <w:tab/>
      </w:r>
      <w:r w:rsidRPr="00D40526">
        <w:rPr>
          <w:rFonts w:cs="Times New Roman"/>
          <w:color w:val="000000" w:themeColor="text1"/>
          <w:sz w:val="22"/>
        </w:rPr>
        <w:tab/>
        <w:t xml:space="preserve"> (11)</w:t>
      </w:r>
    </w:p>
    <w:p w14:paraId="4D3401AA"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0"/>
          <w:sz w:val="22"/>
        </w:rPr>
        <w:object w:dxaOrig="4660" w:dyaOrig="700" w14:anchorId="34B9DED3">
          <v:shape id="_x0000_i1067" type="#_x0000_t75" style="width:230.25pt;height:36.75pt" o:ole="">
            <v:imagedata r:id="rId94" o:title=""/>
          </v:shape>
          <o:OLEObject Type="Embed" ProgID="Equation.DSMT4" ShapeID="_x0000_i1067" DrawAspect="Content" ObjectID="_1701512166" r:id="rId95"/>
        </w:object>
      </w:r>
      <w:r w:rsidRPr="00D40526">
        <w:rPr>
          <w:rFonts w:cs="Times New Roman"/>
          <w:color w:val="000000" w:themeColor="text1"/>
          <w:sz w:val="22"/>
        </w:rPr>
        <w:tab/>
        <w:t xml:space="preserve"> </w:t>
      </w:r>
      <w:r w:rsidRPr="00D40526">
        <w:rPr>
          <w:rFonts w:cs="Times New Roman"/>
          <w:i/>
          <w:iCs/>
          <w:color w:val="000000" w:themeColor="text1"/>
          <w:sz w:val="22"/>
        </w:rPr>
        <w:t>i</w:t>
      </w:r>
      <w:r w:rsidRPr="00D40526">
        <w:rPr>
          <w:rFonts w:cs="Times New Roman"/>
          <w:color w:val="000000" w:themeColor="text1"/>
          <w:sz w:val="22"/>
        </w:rPr>
        <w:t xml:space="preserve">, </w:t>
      </w:r>
      <w:r w:rsidRPr="00D40526">
        <w:rPr>
          <w:rFonts w:cs="Times New Roman"/>
          <w:i/>
          <w:iCs/>
          <w:color w:val="000000" w:themeColor="text1"/>
          <w:sz w:val="22"/>
        </w:rPr>
        <w:t>j</w:t>
      </w:r>
      <w:r w:rsidRPr="00D40526">
        <w:rPr>
          <w:rFonts w:cs="Times New Roman"/>
          <w:color w:val="000000" w:themeColor="text1"/>
          <w:sz w:val="22"/>
        </w:rPr>
        <w:t>=1, 2, 3.</w:t>
      </w:r>
      <w:r w:rsidRPr="00D40526">
        <w:rPr>
          <w:rFonts w:cs="Times New Roman"/>
          <w:color w:val="000000" w:themeColor="text1"/>
          <w:sz w:val="22"/>
        </w:rPr>
        <w:tab/>
        <w:t>(12)</w:t>
      </w:r>
    </w:p>
    <w:p w14:paraId="5F30B64A" w14:textId="77777777" w:rsidR="00EA15F8" w:rsidRPr="00D40526" w:rsidRDefault="00EA15F8" w:rsidP="00EA15F8">
      <w:pPr>
        <w:spacing w:line="480" w:lineRule="auto"/>
        <w:jc w:val="both"/>
        <w:rPr>
          <w:color w:val="000000" w:themeColor="text1"/>
          <w:lang w:val="en-US"/>
        </w:rPr>
      </w:pPr>
      <w:r w:rsidRPr="00D40526">
        <w:rPr>
          <w:color w:val="000000" w:themeColor="text1"/>
          <w:lang w:val="en-US"/>
        </w:rPr>
        <w:t>where the right-hand-side terms account for the control-</w:t>
      </w:r>
      <w:r w:rsidRPr="00D40526">
        <w:rPr>
          <w:color w:val="000000" w:themeColor="text1"/>
          <w:lang w:val="en-US" w:eastAsia="zh-CN"/>
        </w:rPr>
        <w:t>volume</w:t>
      </w:r>
      <w:r w:rsidRPr="00D40526">
        <w:rPr>
          <w:color w:val="000000" w:themeColor="text1"/>
          <w:lang w:val="en-US"/>
        </w:rPr>
        <w:t>-averaged mass and momentum terms sources corresponding to the feedback from the MD particles to the continuum hydrodynamics phase,</w:t>
      </w:r>
    </w:p>
    <w:p w14:paraId="6ACE256C"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6"/>
        </w:rPr>
        <w:object w:dxaOrig="3600" w:dyaOrig="840" w14:anchorId="59A606E3">
          <v:shape id="_x0000_i1068" type="#_x0000_t75" style="width:180.75pt;height:42pt" o:ole="">
            <v:imagedata r:id="rId96" o:title=""/>
          </v:shape>
          <o:OLEObject Type="Embed" ProgID="Equation.DSMT4" ShapeID="_x0000_i1068" DrawAspect="Content" ObjectID="_1701512167" r:id="rId97"/>
        </w:object>
      </w:r>
      <w:r w:rsidRPr="00D40526">
        <w:rPr>
          <w:rFonts w:cs="Times New Roman"/>
          <w:color w:val="000000" w:themeColor="text1"/>
          <w:sz w:val="22"/>
        </w:rPr>
        <w:tab/>
      </w:r>
      <w:r w:rsidRPr="00D40526">
        <w:rPr>
          <w:rFonts w:cs="Times New Roman"/>
          <w:color w:val="000000" w:themeColor="text1"/>
          <w:sz w:val="22"/>
        </w:rPr>
        <w:tab/>
        <w:t>(13)</w:t>
      </w:r>
    </w:p>
    <w:p w14:paraId="017E99B3" w14:textId="77777777" w:rsidR="00EA15F8" w:rsidRPr="00D40526" w:rsidRDefault="00EA15F8" w:rsidP="00EA15F8">
      <w:pPr>
        <w:spacing w:line="480" w:lineRule="auto"/>
        <w:jc w:val="both"/>
        <w:rPr>
          <w:color w:val="000000" w:themeColor="text1"/>
        </w:rPr>
      </w:pPr>
      <w:r w:rsidRPr="00D40526">
        <w:rPr>
          <w:color w:val="000000" w:themeColor="text1"/>
        </w:rPr>
        <w:lastRenderedPageBreak/>
        <w:t xml:space="preserve">and </w:t>
      </w:r>
    </w:p>
    <w:p w14:paraId="70DB0612" w14:textId="77777777" w:rsidR="00EA15F8" w:rsidRPr="00D40526" w:rsidRDefault="00EA15F8" w:rsidP="00EA15F8">
      <w:pPr>
        <w:pStyle w:val="MTDisplayEquation"/>
        <w:spacing w:before="0" w:after="0" w:line="480" w:lineRule="auto"/>
        <w:rPr>
          <w:rFonts w:cs="Times New Roman"/>
          <w:color w:val="000000" w:themeColor="text1"/>
          <w:position w:val="-14"/>
          <w:sz w:val="22"/>
        </w:rPr>
      </w:pPr>
      <w:r w:rsidRPr="00D40526">
        <w:rPr>
          <w:rFonts w:cs="Times New Roman"/>
          <w:color w:val="000000" w:themeColor="text1"/>
          <w:position w:val="-34"/>
          <w:sz w:val="22"/>
        </w:rPr>
        <w:object w:dxaOrig="5520" w:dyaOrig="800" w14:anchorId="5163222F">
          <v:shape id="_x0000_i1069" type="#_x0000_t75" style="width:276pt;height:42pt" o:ole="">
            <v:imagedata r:id="rId98" o:title=""/>
          </v:shape>
          <o:OLEObject Type="Embed" ProgID="Equation.DSMT4" ShapeID="_x0000_i1069" DrawAspect="Content" ObjectID="_1701512168" r:id="rId99"/>
        </w:object>
      </w:r>
      <w:r w:rsidRPr="00D40526">
        <w:rPr>
          <w:rFonts w:cs="Times New Roman"/>
          <w:color w:val="000000" w:themeColor="text1"/>
          <w:sz w:val="22"/>
        </w:rPr>
        <w:t xml:space="preserve"> </w:t>
      </w:r>
      <w:r w:rsidRPr="00D40526">
        <w:rPr>
          <w:rFonts w:cs="Times New Roman"/>
          <w:i/>
          <w:iCs/>
          <w:color w:val="000000" w:themeColor="text1"/>
          <w:sz w:val="22"/>
        </w:rPr>
        <w:t>i</w:t>
      </w:r>
      <w:r w:rsidRPr="00D40526">
        <w:rPr>
          <w:rFonts w:cs="Times New Roman"/>
          <w:color w:val="000000" w:themeColor="text1"/>
          <w:sz w:val="22"/>
        </w:rPr>
        <w:t xml:space="preserve">, </w:t>
      </w:r>
      <w:r w:rsidRPr="00D40526">
        <w:rPr>
          <w:rFonts w:cs="Times New Roman"/>
          <w:i/>
          <w:iCs/>
          <w:color w:val="000000" w:themeColor="text1"/>
          <w:sz w:val="22"/>
        </w:rPr>
        <w:t>j</w:t>
      </w:r>
      <w:r w:rsidRPr="00D40526">
        <w:rPr>
          <w:rFonts w:cs="Times New Roman"/>
          <w:color w:val="000000" w:themeColor="text1"/>
          <w:sz w:val="22"/>
        </w:rPr>
        <w:t>=1, 2, 3.</w:t>
      </w:r>
      <w:r w:rsidRPr="00D40526">
        <w:rPr>
          <w:rFonts w:cs="Times New Roman"/>
          <w:color w:val="000000" w:themeColor="text1"/>
          <w:position w:val="-14"/>
          <w:sz w:val="22"/>
        </w:rPr>
        <w:tab/>
        <w:t>(14)</w:t>
      </w:r>
    </w:p>
    <w:p w14:paraId="1D84DA87" w14:textId="77777777"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rPr>
        <w:t xml:space="preserve">In the actual MD implementation, an additional Langevin dissipative term is included in the MD velocity equation  </w:t>
      </w:r>
    </w:p>
    <w:p w14:paraId="0CC020F9"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24"/>
        </w:rPr>
        <w:object w:dxaOrig="859" w:dyaOrig="660" w14:anchorId="6323383E">
          <v:shape id="_x0000_i1070" type="#_x0000_t75" style="width:42pt;height:31.5pt" o:ole="">
            <v:imagedata r:id="rId100" o:title=""/>
          </v:shape>
          <o:OLEObject Type="Embed" ProgID="Equation.DSMT4" ShapeID="_x0000_i1070" DrawAspect="Content" ObjectID="_1701512169" r:id="rId101"/>
        </w:object>
      </w:r>
      <w:r w:rsidRPr="00D40526">
        <w:rPr>
          <w:rFonts w:cs="Times New Roman"/>
          <w:color w:val="000000" w:themeColor="text1"/>
          <w:sz w:val="22"/>
        </w:rPr>
        <w:tab/>
      </w:r>
      <w:r w:rsidRPr="00D40526">
        <w:rPr>
          <w:rFonts w:cs="Times New Roman"/>
          <w:color w:val="000000" w:themeColor="text1"/>
          <w:sz w:val="22"/>
        </w:rPr>
        <w:tab/>
        <w:t>(15)</w:t>
      </w:r>
    </w:p>
    <w:p w14:paraId="41BD9F36"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24"/>
        </w:rPr>
        <w:object w:dxaOrig="1600" w:dyaOrig="660" w14:anchorId="59319430">
          <v:shape id="_x0000_i1071" type="#_x0000_t75" style="width:80.25pt;height:31.5pt" o:ole="">
            <v:imagedata r:id="rId102" o:title=""/>
          </v:shape>
          <o:OLEObject Type="Embed" ProgID="Equation.DSMT4" ShapeID="_x0000_i1071" DrawAspect="Content" ObjectID="_1701512170" r:id="rId103"/>
        </w:object>
      </w:r>
      <w:r w:rsidRPr="00D40526">
        <w:rPr>
          <w:rFonts w:cs="Times New Roman"/>
          <w:color w:val="000000" w:themeColor="text1"/>
        </w:rPr>
        <w:t xml:space="preserve">, </w:t>
      </w:r>
      <w:r w:rsidRPr="00D40526">
        <w:rPr>
          <w:rFonts w:cs="Times New Roman"/>
          <w:color w:val="000000" w:themeColor="text1"/>
          <w:position w:val="-30"/>
        </w:rPr>
        <w:object w:dxaOrig="880" w:dyaOrig="680" w14:anchorId="5E0EE454">
          <v:shape id="_x0000_i1072" type="#_x0000_t75" style="width:45.75pt;height:34.5pt" o:ole="">
            <v:imagedata r:id="rId104" o:title=""/>
          </v:shape>
          <o:OLEObject Type="Embed" ProgID="Equation.DSMT4" ShapeID="_x0000_i1072" DrawAspect="Content" ObjectID="_1701512171" r:id="rId105"/>
        </w:object>
      </w:r>
      <w:r w:rsidRPr="00D40526">
        <w:rPr>
          <w:rFonts w:cs="Times New Roman"/>
          <w:color w:val="000000" w:themeColor="text1"/>
        </w:rPr>
        <w:t>,</w:t>
      </w:r>
      <w:r w:rsidRPr="00D40526">
        <w:rPr>
          <w:rFonts w:cs="Times New Roman"/>
          <w:color w:val="000000" w:themeColor="text1"/>
          <w:sz w:val="22"/>
        </w:rPr>
        <w:tab/>
      </w:r>
      <w:r w:rsidRPr="00D40526">
        <w:rPr>
          <w:rFonts w:cs="Times New Roman"/>
          <w:color w:val="000000" w:themeColor="text1"/>
          <w:sz w:val="22"/>
        </w:rPr>
        <w:tab/>
        <w:t>(16)</w:t>
      </w:r>
    </w:p>
    <w:p w14:paraId="2291C1A5" w14:textId="77777777" w:rsidR="00EA15F8" w:rsidRPr="00393433" w:rsidRDefault="00EA15F8" w:rsidP="00EA15F8">
      <w:pPr>
        <w:spacing w:line="480" w:lineRule="auto"/>
        <w:jc w:val="both"/>
        <w:rPr>
          <w:color w:val="000000" w:themeColor="text1"/>
          <w:lang w:val="en-GB" w:eastAsia="zh-CN"/>
        </w:rPr>
      </w:pPr>
      <w:r w:rsidRPr="00393433">
        <w:rPr>
          <w:color w:val="000000" w:themeColor="text1"/>
          <w:lang w:val="en-GB" w:eastAsia="zh-CN"/>
        </w:rPr>
        <w:t>where</w:t>
      </w:r>
      <w:r w:rsidRPr="00393433">
        <w:rPr>
          <w:color w:val="000000" w:themeColor="text1"/>
          <w:lang w:val="en-GB"/>
        </w:rPr>
        <w:t xml:space="preserve"> </w:t>
      </w:r>
      <w:r w:rsidRPr="00D40526">
        <w:rPr>
          <w:color w:val="000000" w:themeColor="text1"/>
          <w:position w:val="-6"/>
        </w:rPr>
        <w:object w:dxaOrig="220" w:dyaOrig="279" w14:anchorId="7C5A641F">
          <v:shape id="_x0000_i1073" type="#_x0000_t75" style="width:12pt;height:13.5pt" o:ole="">
            <v:imagedata r:id="rId106" o:title=""/>
          </v:shape>
          <o:OLEObject Type="Embed" ProgID="Equation.DSMT4" ShapeID="_x0000_i1073" DrawAspect="Content" ObjectID="_1701512172" r:id="rId107"/>
        </w:object>
      </w:r>
      <w:r w:rsidRPr="00393433">
        <w:rPr>
          <w:color w:val="000000" w:themeColor="text1"/>
          <w:lang w:val="en-GB"/>
        </w:rPr>
        <w:t xml:space="preserve"> is the rescaling parameter of the B</w:t>
      </w:r>
      <w:r w:rsidRPr="00393433">
        <w:rPr>
          <w:color w:val="000000" w:themeColor="text1"/>
          <w:lang w:val="en-GB" w:eastAsia="zh-CN"/>
        </w:rPr>
        <w:t>erendsen</w:t>
      </w:r>
      <w:r w:rsidRPr="00393433">
        <w:rPr>
          <w:color w:val="000000" w:themeColor="text1"/>
          <w:lang w:val="en-GB"/>
        </w:rPr>
        <w:t xml:space="preserve"> thermostat </w:t>
      </w:r>
      <w:r w:rsidRPr="00D40526">
        <w:rPr>
          <w:color w:val="000000" w:themeColor="text1"/>
        </w:rPr>
        <w:fldChar w:fldCharType="begin"/>
      </w:r>
      <w:r w:rsidRPr="00393433">
        <w:rPr>
          <w:color w:val="000000" w:themeColor="text1"/>
          <w:lang w:val="en-GB"/>
        </w:rPr>
        <w:instrText xml:space="preserve"> ADDIN EN.CITE &lt;EndNote&gt;&lt;Cite&gt;&lt;Author&gt;Berendsen&lt;/Author&gt;&lt;Year&gt;1984&lt;/Year&gt;&lt;RecNum&gt;23&lt;/RecNum&gt;&lt;DisplayText&gt;&lt;style face="superscript"&gt;[23]&lt;/style&gt;&lt;/DisplayText&gt;&lt;record&gt;&lt;rec-number&gt;23&lt;/rec-number&gt;&lt;foreign-keys&gt;&lt;key app="EN" db-id="2few9s5xuzd0fkexrp852fpetz5dda0wzve0" timestamp="1628862252"&gt;23&lt;/key&gt;&lt;/foreign-keys&gt;&lt;ref-type name="Journal Article"&gt;17&lt;/ref-type&gt;&lt;contributors&gt;&lt;authors&gt;&lt;author&gt;Berendsen, Herman JC&lt;/author&gt;&lt;author&gt;Postma, JPM van&lt;/author&gt;&lt;author&gt;van Gunsteren, Wilfred F&lt;/author&gt;&lt;author&gt;DiNola, ARHJ&lt;/author&gt;&lt;author&gt;Haak, Jan R&lt;/author&gt;&lt;/authors&gt;&lt;/contributors&gt;&lt;titles&gt;&lt;title&gt;Molecular dynamics with coupling to an external bath&lt;/title&gt;&lt;secondary-title&gt;J. Chem. Phys.&lt;/secondary-title&gt;&lt;/titles&gt;&lt;periodical&gt;&lt;full-title&gt;J. Chem. Phys.&lt;/full-title&gt;&lt;/periodical&gt;&lt;pages&gt;3684-3690&lt;/pages&gt;&lt;volume&gt;81&lt;/volume&gt;&lt;number&gt;8&lt;/number&gt;&lt;dates&gt;&lt;year&gt;1984&lt;/year&gt;&lt;/dates&gt;&lt;isbn&gt;0021-9606&lt;/isbn&gt;&lt;urls&gt;&lt;/urls&gt;&lt;/record&gt;&lt;/Cite&gt;&lt;/EndNote&gt;</w:instrText>
      </w:r>
      <w:r w:rsidRPr="00D40526">
        <w:rPr>
          <w:color w:val="000000" w:themeColor="text1"/>
        </w:rPr>
        <w:fldChar w:fldCharType="separate"/>
      </w:r>
      <w:r w:rsidRPr="00393433">
        <w:rPr>
          <w:noProof/>
          <w:color w:val="000000" w:themeColor="text1"/>
          <w:vertAlign w:val="superscript"/>
          <w:lang w:val="en-GB"/>
        </w:rPr>
        <w:t>[23]</w:t>
      </w:r>
      <w:r w:rsidRPr="00D40526">
        <w:rPr>
          <w:color w:val="000000" w:themeColor="text1"/>
        </w:rPr>
        <w:fldChar w:fldCharType="end"/>
      </w:r>
      <w:r w:rsidRPr="00393433">
        <w:rPr>
          <w:color w:val="000000" w:themeColor="text1"/>
          <w:lang w:val="en-GB"/>
        </w:rPr>
        <w:t xml:space="preserve">, </w:t>
      </w:r>
      <w:r w:rsidRPr="00D40526">
        <w:rPr>
          <w:color w:val="000000" w:themeColor="text1"/>
          <w:position w:val="-32"/>
        </w:rPr>
        <w:object w:dxaOrig="2200" w:dyaOrig="800" w14:anchorId="32BFF1E6">
          <v:shape id="_x0000_i1074" type="#_x0000_t75" style="width:114.75pt;height:42pt" o:ole="">
            <v:imagedata r:id="rId108" o:title=""/>
          </v:shape>
          <o:OLEObject Type="Embed" ProgID="Equation.DSMT4" ShapeID="_x0000_i1074" DrawAspect="Content" ObjectID="_1701512173" r:id="rId109"/>
        </w:object>
      </w:r>
      <w:r w:rsidRPr="00393433">
        <w:rPr>
          <w:color w:val="000000" w:themeColor="text1"/>
          <w:lang w:val="en-GB"/>
        </w:rPr>
        <w:t>,</w:t>
      </w:r>
      <w:r w:rsidRPr="00393433">
        <w:rPr>
          <w:color w:val="000000" w:themeColor="text1"/>
          <w:lang w:val="en-GB" w:eastAsia="zh-CN"/>
        </w:rPr>
        <w:t xml:space="preserve"> </w:t>
      </w:r>
      <w:r w:rsidRPr="00D40526">
        <w:rPr>
          <w:color w:val="000000" w:themeColor="text1"/>
          <w:position w:val="-6"/>
        </w:rPr>
        <w:object w:dxaOrig="180" w:dyaOrig="200" w14:anchorId="08AFC91E">
          <v:shape id="_x0000_i1075" type="#_x0000_t75" style="width:10.5pt;height:11.25pt" o:ole="">
            <v:imagedata r:id="rId110" o:title=""/>
          </v:shape>
          <o:OLEObject Type="Embed" ProgID="Equation.DSMT4" ShapeID="_x0000_i1075" DrawAspect="Content" ObjectID="_1701512174" r:id="rId111"/>
        </w:object>
      </w:r>
      <w:r w:rsidRPr="00393433">
        <w:rPr>
          <w:color w:val="000000" w:themeColor="text1"/>
          <w:lang w:val="en-GB"/>
        </w:rPr>
        <w:t xml:space="preserve"> </w:t>
      </w:r>
      <w:r w:rsidRPr="00393433">
        <w:rPr>
          <w:color w:val="000000" w:themeColor="text1"/>
          <w:lang w:val="en-GB" w:eastAsia="zh-CN"/>
        </w:rPr>
        <w:t xml:space="preserve">is its characteristic relaxation time, </w:t>
      </w:r>
      <w:r w:rsidRPr="00D40526">
        <w:rPr>
          <w:color w:val="000000" w:themeColor="text1"/>
          <w:position w:val="-14"/>
        </w:rPr>
        <w:object w:dxaOrig="380" w:dyaOrig="380" w14:anchorId="5AC33F17">
          <v:shape id="_x0000_i1076" type="#_x0000_t75" style="width:20.25pt;height:18.75pt" o:ole="">
            <v:imagedata r:id="rId112" o:title=""/>
          </v:shape>
          <o:OLEObject Type="Embed" ProgID="Equation.DSMT4" ShapeID="_x0000_i1076" DrawAspect="Content" ObjectID="_1701512175" r:id="rId113"/>
        </w:object>
      </w:r>
      <w:r w:rsidRPr="00393433">
        <w:rPr>
          <w:color w:val="000000" w:themeColor="text1"/>
          <w:lang w:val="en-GB"/>
        </w:rPr>
        <w:t xml:space="preserve"> </w:t>
      </w:r>
      <w:r w:rsidRPr="00393433">
        <w:rPr>
          <w:color w:val="000000" w:themeColor="text1"/>
          <w:lang w:val="en-GB" w:eastAsia="zh-CN"/>
        </w:rPr>
        <w:t xml:space="preserve">is the target MD temperature, and </w:t>
      </w:r>
      <w:r w:rsidRPr="00D40526">
        <w:rPr>
          <w:color w:val="000000" w:themeColor="text1"/>
          <w:position w:val="-4"/>
        </w:rPr>
        <w:object w:dxaOrig="220" w:dyaOrig="260" w14:anchorId="0F58423B">
          <v:shape id="_x0000_i1077" type="#_x0000_t75" style="width:12.75pt;height:12.75pt" o:ole="">
            <v:imagedata r:id="rId114" o:title=""/>
          </v:shape>
          <o:OLEObject Type="Embed" ProgID="Equation.DSMT4" ShapeID="_x0000_i1077" DrawAspect="Content" ObjectID="_1701512176" r:id="rId115"/>
        </w:object>
      </w:r>
      <w:r w:rsidRPr="00393433">
        <w:rPr>
          <w:color w:val="000000" w:themeColor="text1"/>
          <w:lang w:val="en-GB" w:eastAsia="zh-CN"/>
        </w:rPr>
        <w:t xml:space="preserve"> is the instantaneous temperature of MD particles for the relevant ensemble averaging. Furthermore, to include the continuum hydrodynamics effect in the multi-resolution domain, the </w:t>
      </w:r>
      <w:r w:rsidRPr="00393433">
        <w:rPr>
          <w:i/>
          <w:color w:val="000000" w:themeColor="text1"/>
          <w:lang w:val="en-GB" w:eastAsia="zh-CN"/>
        </w:rPr>
        <w:t>s</w:t>
      </w:r>
      <w:r w:rsidRPr="00393433">
        <w:rPr>
          <w:color w:val="000000" w:themeColor="text1"/>
          <w:lang w:val="en-GB" w:eastAsia="zh-CN"/>
        </w:rPr>
        <w:t>-dependent local thermostat was suggested</w:t>
      </w:r>
      <w:r w:rsidRPr="00D40526">
        <w:rPr>
          <w:color w:val="000000" w:themeColor="text1"/>
          <w:lang w:eastAsia="zh-CN"/>
        </w:rPr>
        <w:fldChar w:fldCharType="begin"/>
      </w:r>
      <w:r w:rsidRPr="00393433">
        <w:rPr>
          <w:color w:val="000000" w:themeColor="text1"/>
          <w:lang w:val="en-GB" w:eastAsia="zh-CN"/>
        </w:rPr>
        <w:instrText xml:space="preserve"> ADDIN EN.CITE &lt;EndNote&gt;&lt;Cite&gt;&lt;Author&gt;Liu&lt;/Author&gt;&lt;Year&gt;2021&lt;/Year&gt;&lt;RecNum&gt;22&lt;/RecNum&gt;&lt;DisplayText&gt;&lt;style face="superscript"&gt;[22]&lt;/style&gt;&lt;/DisplayText&gt;&lt;record&gt;&lt;rec-number&gt;22&lt;/rec-number&gt;&lt;foreign-keys&gt;&lt;key app="EN" db-id="2few9s5xuzd0fkexrp852fpetz5dda0wzve0" timestamp="1628862252"&gt;22&lt;/key&gt;&lt;/foreign-keys&gt;&lt;ref-type name="Journal Article"&gt;17&lt;/ref-type&gt;&lt;contributors&gt;&lt;authors&gt;&lt;author&gt;Liu, Xinjian&lt;/author&gt;&lt;author&gt;Korotkin, Ivan&lt;/author&gt;&lt;author&gt;Rao, Zhonghao&lt;/author&gt;&lt;author&gt;Karabasov, Sergey&lt;/author&gt;&lt;/authors&gt;&lt;/contributors&gt;&lt;titles&gt;&lt;title&gt;A Thermostat-Consistent Fully Coupled Molecular Dynamics—Generalized Fluctuating Hydrodynamics Model&lt;/title&gt;&lt;secondary-title&gt;Adv. Theory Simul.&lt;/secondary-title&gt;&lt;/titles&gt;&lt;periodical&gt;&lt;full-title&gt;Adv. Theory Simul.&lt;/full-title&gt;&lt;/periodical&gt;&lt;pages&gt;2000209&lt;/pages&gt;&lt;volume&gt;4&lt;/volume&gt;&lt;number&gt;4&lt;/number&gt;&lt;dates&gt;&lt;year&gt;2021&lt;/year&gt;&lt;/dates&gt;&lt;isbn&gt;2513-0390&lt;/isbn&gt;&lt;urls&gt;&lt;related-urls&gt;&lt;url&gt;https://onlinelibrary.wiley.com/doi/abs/10.1002/adts.202000209&lt;/url&gt;&lt;/related-urls&gt;&lt;/urls&gt;&lt;/record&gt;&lt;/Cite&gt;&lt;/EndNote&gt;</w:instrText>
      </w:r>
      <w:r w:rsidRPr="00D40526">
        <w:rPr>
          <w:color w:val="000000" w:themeColor="text1"/>
          <w:lang w:eastAsia="zh-CN"/>
        </w:rPr>
        <w:fldChar w:fldCharType="separate"/>
      </w:r>
      <w:r w:rsidRPr="00393433">
        <w:rPr>
          <w:noProof/>
          <w:color w:val="000000" w:themeColor="text1"/>
          <w:vertAlign w:val="superscript"/>
          <w:lang w:val="en-GB" w:eastAsia="zh-CN"/>
        </w:rPr>
        <w:t>[22]</w:t>
      </w:r>
      <w:r w:rsidRPr="00D40526">
        <w:rPr>
          <w:color w:val="000000" w:themeColor="text1"/>
          <w:lang w:eastAsia="zh-CN"/>
        </w:rPr>
        <w:fldChar w:fldCharType="end"/>
      </w:r>
      <w:r w:rsidRPr="00393433">
        <w:rPr>
          <w:color w:val="000000" w:themeColor="text1"/>
          <w:lang w:val="en-GB" w:eastAsia="zh-CN"/>
        </w:rPr>
        <w:t xml:space="preserve"> to partly account for the particle inertia effect,</w:t>
      </w:r>
    </w:p>
    <w:p w14:paraId="4CBEA76A"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0"/>
          <w:sz w:val="22"/>
        </w:rPr>
        <w:object w:dxaOrig="1280" w:dyaOrig="680" w14:anchorId="47F181FD">
          <v:shape id="_x0000_i1078" type="#_x0000_t75" style="width:63.75pt;height:34.5pt" o:ole="">
            <v:imagedata r:id="rId116" o:title=""/>
          </v:shape>
          <o:OLEObject Type="Embed" ProgID="Equation.DSMT4" ShapeID="_x0000_i1078" DrawAspect="Content" ObjectID="_1701512177" r:id="rId117"/>
        </w:object>
      </w:r>
      <w:r w:rsidRPr="00D40526">
        <w:rPr>
          <w:rFonts w:cs="Times New Roman"/>
          <w:color w:val="000000" w:themeColor="text1"/>
          <w:sz w:val="22"/>
        </w:rPr>
        <w:t xml:space="preserve">, where </w:t>
      </w:r>
      <w:r w:rsidRPr="00D40526">
        <w:rPr>
          <w:rFonts w:cs="Times New Roman"/>
          <w:color w:val="000000" w:themeColor="text1"/>
          <w:position w:val="-14"/>
        </w:rPr>
        <w:object w:dxaOrig="1500" w:dyaOrig="400" w14:anchorId="1714955D">
          <v:shape id="_x0000_i1079" type="#_x0000_t75" style="width:80.25pt;height:18.75pt" o:ole="">
            <v:imagedata r:id="rId118" o:title=""/>
          </v:shape>
          <o:OLEObject Type="Embed" ProgID="Equation.DSMT4" ShapeID="_x0000_i1079" DrawAspect="Content" ObjectID="_1701512178" r:id="rId119"/>
        </w:object>
      </w:r>
      <w:r w:rsidRPr="00D40526">
        <w:rPr>
          <w:rFonts w:cs="Times New Roman"/>
          <w:color w:val="000000" w:themeColor="text1"/>
        </w:rPr>
        <w:t>.</w:t>
      </w:r>
      <w:r w:rsidRPr="00D40526">
        <w:rPr>
          <w:rFonts w:cs="Times New Roman"/>
          <w:color w:val="000000" w:themeColor="text1"/>
          <w:sz w:val="22"/>
        </w:rPr>
        <w:tab/>
      </w:r>
      <w:r w:rsidRPr="00D40526">
        <w:rPr>
          <w:rFonts w:cs="Times New Roman"/>
          <w:color w:val="000000" w:themeColor="text1"/>
          <w:sz w:val="22"/>
        </w:rPr>
        <w:tab/>
        <w:t>(17)</w:t>
      </w:r>
    </w:p>
    <w:p w14:paraId="49296A7E" w14:textId="77777777" w:rsidR="00EA15F8" w:rsidRPr="00393433" w:rsidRDefault="00EA15F8" w:rsidP="00EA15F8">
      <w:pPr>
        <w:spacing w:line="480" w:lineRule="auto"/>
        <w:jc w:val="both"/>
        <w:rPr>
          <w:color w:val="000000" w:themeColor="text1"/>
          <w:lang w:val="en-GB"/>
        </w:rPr>
      </w:pPr>
      <w:r w:rsidRPr="00393433">
        <w:rPr>
          <w:color w:val="000000" w:themeColor="text1"/>
          <w:lang w:val="en-GB"/>
        </w:rPr>
        <w:t xml:space="preserve">By integrating the MD particle equations, the modified Leapfrog scheme is obtained </w:t>
      </w:r>
      <w:r w:rsidRPr="00D40526">
        <w:rPr>
          <w:color w:val="000000" w:themeColor="text1"/>
        </w:rPr>
        <w:fldChar w:fldCharType="begin"/>
      </w:r>
      <w:r w:rsidRPr="00393433">
        <w:rPr>
          <w:color w:val="000000" w:themeColor="text1"/>
          <w:lang w:val="en-GB"/>
        </w:rPr>
        <w:instrText xml:space="preserve"> ADDIN EN.CITE &lt;EndNote&gt;&lt;Cite&gt;&lt;Author&gt;Liu&lt;/Author&gt;&lt;Year&gt;2021&lt;/Year&gt;&lt;RecNum&gt;22&lt;/RecNum&gt;&lt;DisplayText&gt;&lt;style face="superscript"&gt;[22]&lt;/style&gt;&lt;/DisplayText&gt;&lt;record&gt;&lt;rec-number&gt;22&lt;/rec-number&gt;&lt;foreign-keys&gt;&lt;key app="EN" db-id="2few9s5xuzd0fkexrp852fpetz5dda0wzve0" timestamp="1628862252"&gt;22&lt;/key&gt;&lt;/foreign-keys&gt;&lt;ref-type name="Journal Article"&gt;17&lt;/ref-type&gt;&lt;contributors&gt;&lt;authors&gt;&lt;author&gt;Liu, Xinjian&lt;/author&gt;&lt;author&gt;Korotkin, Ivan&lt;/author&gt;&lt;author&gt;Rao, Zhonghao&lt;/author&gt;&lt;author&gt;Karabasov, Sergey&lt;/author&gt;&lt;/authors&gt;&lt;/contributors&gt;&lt;titles&gt;&lt;title&gt;A Thermostat-Consistent Fully Coupled Molecular Dynamics—Generalized Fluctuating Hydrodynamics Model&lt;/title&gt;&lt;secondary-title&gt;Adv. Theory Simul.&lt;/secondary-title&gt;&lt;/titles&gt;&lt;periodical&gt;&lt;full-title&gt;Adv. Theory Simul.&lt;/full-title&gt;&lt;/periodical&gt;&lt;pages&gt;2000209&lt;/pages&gt;&lt;volume&gt;4&lt;/volume&gt;&lt;number&gt;4&lt;/number&gt;&lt;dates&gt;&lt;year&gt;2021&lt;/year&gt;&lt;/dates&gt;&lt;isbn&gt;2513-0390&lt;/isbn&gt;&lt;urls&gt;&lt;related-urls&gt;&lt;url&gt;https://onlinelibrary.wiley.com/doi/abs/10.1002/adts.202000209&lt;/url&gt;&lt;/related-urls&gt;&lt;/urls&gt;&lt;/record&gt;&lt;/Cite&gt;&lt;/EndNote&gt;</w:instrText>
      </w:r>
      <w:r w:rsidRPr="00D40526">
        <w:rPr>
          <w:color w:val="000000" w:themeColor="text1"/>
        </w:rPr>
        <w:fldChar w:fldCharType="separate"/>
      </w:r>
      <w:r w:rsidRPr="00393433">
        <w:rPr>
          <w:noProof/>
          <w:color w:val="000000" w:themeColor="text1"/>
          <w:vertAlign w:val="superscript"/>
          <w:lang w:val="en-GB"/>
        </w:rPr>
        <w:t>[22]</w:t>
      </w:r>
      <w:r w:rsidRPr="00D40526">
        <w:rPr>
          <w:color w:val="000000" w:themeColor="text1"/>
        </w:rPr>
        <w:fldChar w:fldCharType="end"/>
      </w:r>
    </w:p>
    <w:p w14:paraId="54E74D92"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28"/>
        </w:rPr>
        <w:object w:dxaOrig="2740" w:dyaOrig="700" w14:anchorId="0BB2CB15">
          <v:shape id="_x0000_i1080" type="#_x0000_t75" style="width:136.5pt;height:35.25pt" o:ole="">
            <v:imagedata r:id="rId120" o:title=""/>
          </v:shape>
          <o:OLEObject Type="Embed" ProgID="Equation.DSMT4" ShapeID="_x0000_i1080" DrawAspect="Content" ObjectID="_1701512179" r:id="rId121"/>
        </w:object>
      </w:r>
      <w:r w:rsidRPr="00D40526">
        <w:rPr>
          <w:rFonts w:cs="Times New Roman"/>
          <w:color w:val="000000" w:themeColor="text1"/>
          <w:sz w:val="22"/>
        </w:rPr>
        <w:tab/>
      </w:r>
      <w:r w:rsidRPr="00D40526">
        <w:rPr>
          <w:rFonts w:cs="Times New Roman"/>
          <w:color w:val="000000" w:themeColor="text1"/>
          <w:sz w:val="22"/>
        </w:rPr>
        <w:tab/>
        <w:t>(18)</w:t>
      </w:r>
    </w:p>
    <w:p w14:paraId="4897C629"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28"/>
        </w:rPr>
        <w:object w:dxaOrig="4280" w:dyaOrig="700" w14:anchorId="6525A43E">
          <v:shape id="_x0000_i1081" type="#_x0000_t75" style="width:214.5pt;height:35.25pt" o:ole="">
            <v:imagedata r:id="rId122" o:title=""/>
          </v:shape>
          <o:OLEObject Type="Embed" ProgID="Equation.DSMT4" ShapeID="_x0000_i1081" DrawAspect="Content" ObjectID="_1701512180" r:id="rId123"/>
        </w:object>
      </w:r>
      <w:r w:rsidRPr="00D40526">
        <w:rPr>
          <w:rFonts w:cs="Times New Roman"/>
          <w:color w:val="000000" w:themeColor="text1"/>
          <w:sz w:val="22"/>
        </w:rPr>
        <w:t>,</w:t>
      </w:r>
      <w:r w:rsidRPr="00D40526">
        <w:rPr>
          <w:rFonts w:cs="Times New Roman"/>
          <w:color w:val="000000" w:themeColor="text1"/>
          <w:sz w:val="22"/>
        </w:rPr>
        <w:tab/>
      </w:r>
      <w:r w:rsidRPr="00D40526">
        <w:rPr>
          <w:rFonts w:cs="Times New Roman"/>
          <w:color w:val="000000" w:themeColor="text1"/>
          <w:sz w:val="22"/>
        </w:rPr>
        <w:tab/>
        <w:t>(19)</w:t>
      </w:r>
    </w:p>
    <w:p w14:paraId="0199F0DC" w14:textId="77777777" w:rsidR="00EA15F8" w:rsidRPr="00393433" w:rsidRDefault="00EA15F8" w:rsidP="00EA15F8">
      <w:pPr>
        <w:spacing w:line="480" w:lineRule="auto"/>
        <w:jc w:val="both"/>
        <w:rPr>
          <w:color w:val="000000" w:themeColor="text1"/>
          <w:lang w:val="en-GB"/>
        </w:rPr>
      </w:pPr>
      <w:r w:rsidRPr="00D40526">
        <w:rPr>
          <w:color w:val="000000" w:themeColor="text1"/>
          <w:position w:val="-30"/>
        </w:rPr>
        <w:object w:dxaOrig="4840" w:dyaOrig="720" w14:anchorId="701AC087">
          <v:shape id="_x0000_i1082" type="#_x0000_t75" style="width:243pt;height:37.5pt" o:ole="">
            <v:imagedata r:id="rId124" o:title=""/>
          </v:shape>
          <o:OLEObject Type="Embed" ProgID="Equation.DSMT4" ShapeID="_x0000_i1082" DrawAspect="Content" ObjectID="_1701512181" r:id="rId125"/>
        </w:object>
      </w:r>
      <w:r w:rsidRPr="00393433">
        <w:rPr>
          <w:color w:val="000000" w:themeColor="text1"/>
          <w:lang w:val="en-GB"/>
        </w:rPr>
        <w:t>,</w:t>
      </w:r>
    </w:p>
    <w:p w14:paraId="09B9D2DC" w14:textId="77777777" w:rsidR="00EA15F8" w:rsidRPr="00393433" w:rsidRDefault="00EA15F8" w:rsidP="00EA15F8">
      <w:pPr>
        <w:spacing w:line="480" w:lineRule="auto"/>
        <w:jc w:val="both"/>
        <w:rPr>
          <w:color w:val="000000" w:themeColor="text1"/>
          <w:lang w:val="en-GB"/>
        </w:rPr>
      </w:pPr>
      <w:r w:rsidRPr="00393433">
        <w:rPr>
          <w:color w:val="000000" w:themeColor="text1"/>
          <w:lang w:val="en-GB"/>
        </w:rPr>
        <w:t>where</w:t>
      </w:r>
    </w:p>
    <w:p w14:paraId="38DAF879"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102"/>
        </w:rPr>
        <w:object w:dxaOrig="7540" w:dyaOrig="2160" w14:anchorId="4D58EB5C">
          <v:shape id="_x0000_i1083" type="#_x0000_t75" style="width:377.25pt;height:108.75pt" o:ole="">
            <v:imagedata r:id="rId126" o:title=""/>
          </v:shape>
          <o:OLEObject Type="Embed" ProgID="Equation.DSMT4" ShapeID="_x0000_i1083" DrawAspect="Content" ObjectID="_1701512182" r:id="rId127"/>
        </w:object>
      </w:r>
      <w:r w:rsidRPr="00D40526">
        <w:rPr>
          <w:rFonts w:cs="Times New Roman"/>
          <w:color w:val="000000" w:themeColor="text1"/>
          <w:sz w:val="22"/>
        </w:rPr>
        <w:tab/>
        <w:t>(20)</w:t>
      </w:r>
    </w:p>
    <w:p w14:paraId="437B01ED" w14:textId="77777777" w:rsidR="00EA15F8" w:rsidRPr="00393433" w:rsidRDefault="00EA15F8" w:rsidP="00EA15F8">
      <w:pPr>
        <w:spacing w:line="480" w:lineRule="auto"/>
        <w:jc w:val="both"/>
        <w:rPr>
          <w:color w:val="000000" w:themeColor="text1"/>
          <w:lang w:val="en-GB"/>
        </w:rPr>
      </w:pPr>
      <w:r w:rsidRPr="00393433">
        <w:rPr>
          <w:color w:val="000000" w:themeColor="text1"/>
          <w:lang w:val="en-GB"/>
        </w:rPr>
        <w:t>This will lead to the corresponding modification of the momentum source term of the GLL-FH equations in comparison with (14),</w:t>
      </w:r>
    </w:p>
    <w:p w14:paraId="6105B9A9"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rPr>
        <w:object w:dxaOrig="6280" w:dyaOrig="760" w14:anchorId="674A0D0C">
          <v:shape id="_x0000_i1084" type="#_x0000_t75" style="width:314.25pt;height:36.75pt" o:ole="">
            <v:imagedata r:id="rId128" o:title=""/>
          </v:shape>
          <o:OLEObject Type="Embed" ProgID="Equation.DSMT4" ShapeID="_x0000_i1084" DrawAspect="Content" ObjectID="_1701512183" r:id="rId129"/>
        </w:object>
      </w:r>
      <w:r w:rsidRPr="00D40526">
        <w:rPr>
          <w:rFonts w:cs="Times New Roman"/>
          <w:color w:val="000000" w:themeColor="text1"/>
          <w:sz w:val="22"/>
        </w:rPr>
        <w:tab/>
        <w:t>(14a)</w:t>
      </w:r>
    </w:p>
    <w:p w14:paraId="33B07D0F" w14:textId="77777777" w:rsidR="00EA15F8" w:rsidRPr="00D40526" w:rsidRDefault="00EA15F8" w:rsidP="007D063F">
      <w:pPr>
        <w:pStyle w:val="Head1"/>
        <w:rPr>
          <w:color w:val="000000" w:themeColor="text1"/>
        </w:rPr>
      </w:pPr>
      <w:r w:rsidRPr="00D40526">
        <w:rPr>
          <w:color w:val="000000" w:themeColor="text1"/>
        </w:rPr>
        <w:t xml:space="preserve">2.2 Application to the Poiseuille flow: the </w:t>
      </w:r>
      <w:proofErr w:type="spellStart"/>
      <w:r w:rsidRPr="00D40526">
        <w:rPr>
          <w:color w:val="000000" w:themeColor="text1"/>
        </w:rPr>
        <w:t>linearisation</w:t>
      </w:r>
      <w:proofErr w:type="spellEnd"/>
      <w:r w:rsidRPr="00D40526">
        <w:rPr>
          <w:color w:val="000000" w:themeColor="text1"/>
        </w:rPr>
        <w:t xml:space="preserve"> approach and the computational method</w:t>
      </w:r>
    </w:p>
    <w:p w14:paraId="14BA7B2C" w14:textId="77777777" w:rsidR="00EA15F8" w:rsidRPr="00393433" w:rsidRDefault="00EA15F8" w:rsidP="00EA15F8">
      <w:pPr>
        <w:shd w:val="clear" w:color="auto" w:fill="FFFFFF"/>
        <w:spacing w:line="480" w:lineRule="auto"/>
        <w:ind w:firstLineChars="200" w:firstLine="480"/>
        <w:jc w:val="both"/>
        <w:textAlignment w:val="baseline"/>
        <w:rPr>
          <w:color w:val="000000" w:themeColor="text1"/>
          <w:lang w:val="en-GB" w:eastAsia="zh-CN"/>
        </w:rPr>
      </w:pPr>
      <w:r w:rsidRPr="00393433">
        <w:rPr>
          <w:color w:val="000000" w:themeColor="text1"/>
          <w:lang w:val="en-GB" w:eastAsia="zh-CN"/>
        </w:rPr>
        <w:t xml:space="preserve">To enforce a non-uniform background incompressible flow, </w:t>
      </w:r>
      <w:r w:rsidRPr="00D40526">
        <w:rPr>
          <w:color w:val="000000" w:themeColor="text1"/>
          <w:position w:val="-14"/>
        </w:rPr>
        <w:object w:dxaOrig="1180" w:dyaOrig="400" w14:anchorId="1EE38364">
          <v:shape id="_x0000_i1085" type="#_x0000_t75" style="width:59.25pt;height:19.5pt" o:ole="">
            <v:imagedata r:id="rId130" o:title=""/>
          </v:shape>
          <o:OLEObject Type="Embed" ProgID="Equation.DSMT4" ShapeID="_x0000_i1085" DrawAspect="Content" ObjectID="_1701512184" r:id="rId131"/>
        </w:object>
      </w:r>
      <w:r w:rsidRPr="00393433">
        <w:rPr>
          <w:color w:val="000000" w:themeColor="text1"/>
          <w:lang w:val="en-GB" w:eastAsia="zh-CN"/>
        </w:rPr>
        <w:t xml:space="preserve">, a linearization algorithm is introduced as follows. </w:t>
      </w:r>
    </w:p>
    <w:p w14:paraId="790014A1" w14:textId="77777777" w:rsidR="00FB119A" w:rsidRPr="00393433" w:rsidRDefault="00EA15F8" w:rsidP="00EA15F8">
      <w:pPr>
        <w:shd w:val="clear" w:color="auto" w:fill="FFFFFF"/>
        <w:spacing w:line="480" w:lineRule="auto"/>
        <w:ind w:firstLineChars="200" w:firstLine="480"/>
        <w:jc w:val="both"/>
        <w:textAlignment w:val="baseline"/>
        <w:rPr>
          <w:color w:val="000000" w:themeColor="text1"/>
          <w:lang w:val="en-GB" w:eastAsia="zh-CN"/>
        </w:rPr>
      </w:pPr>
      <w:r w:rsidRPr="00393433">
        <w:rPr>
          <w:color w:val="000000" w:themeColor="text1"/>
          <w:lang w:val="en-GB" w:eastAsia="zh-CN"/>
        </w:rPr>
        <w:t xml:space="preserve">The GLL-FH solution is considered as a linear superposition of the steady solution and the unsteady fluctuation, </w:t>
      </w:r>
      <w:r w:rsidRPr="00D40526">
        <w:rPr>
          <w:color w:val="000000" w:themeColor="text1"/>
          <w:position w:val="-12"/>
        </w:rPr>
        <w:object w:dxaOrig="3739" w:dyaOrig="360" w14:anchorId="19345ABD">
          <v:shape id="_x0000_i1086" type="#_x0000_t75" style="width:186.75pt;height:18pt" o:ole="">
            <v:imagedata r:id="rId132" o:title=""/>
          </v:shape>
          <o:OLEObject Type="Embed" ProgID="Equation.DSMT4" ShapeID="_x0000_i1086" DrawAspect="Content" ObjectID="_1701512185" r:id="rId133"/>
        </w:object>
      </w:r>
      <w:r w:rsidRPr="00393433">
        <w:rPr>
          <w:color w:val="000000" w:themeColor="text1"/>
          <w:lang w:val="en-GB" w:eastAsia="zh-CN"/>
        </w:rPr>
        <w:t xml:space="preserve">, where the double prime denotes the thermal fluctuation. Such linearization reduces the problem to (i) the solution of the governing GLL-FH equations (11) and (12) for density and thermal velocity fluctuation, </w:t>
      </w:r>
      <w:r w:rsidRPr="00D40526">
        <w:rPr>
          <w:color w:val="000000" w:themeColor="text1"/>
          <w:position w:val="-14"/>
        </w:rPr>
        <w:object w:dxaOrig="1200" w:dyaOrig="400" w14:anchorId="0889BC1C">
          <v:shape id="_x0000_i1087" type="#_x0000_t75" style="width:60pt;height:19.5pt" o:ole="">
            <v:imagedata r:id="rId134" o:title=""/>
          </v:shape>
          <o:OLEObject Type="Embed" ProgID="Equation.DSMT4" ShapeID="_x0000_i1087" DrawAspect="Content" ObjectID="_1701512186" r:id="rId135"/>
        </w:object>
      </w:r>
      <w:r w:rsidRPr="00393433">
        <w:rPr>
          <w:color w:val="000000" w:themeColor="text1"/>
          <w:lang w:val="en-GB"/>
        </w:rPr>
        <w:t xml:space="preserve"> </w:t>
      </w:r>
      <w:r w:rsidRPr="00393433">
        <w:rPr>
          <w:color w:val="000000" w:themeColor="text1"/>
          <w:lang w:val="en-GB" w:eastAsia="zh-CN"/>
        </w:rPr>
        <w:t xml:space="preserve">under the simplified periodic boundary conditions and (ii) the determination of the background flow solution </w:t>
      </w:r>
      <w:r w:rsidRPr="00D40526">
        <w:rPr>
          <w:color w:val="000000" w:themeColor="text1"/>
          <w:position w:val="-14"/>
        </w:rPr>
        <w:object w:dxaOrig="1180" w:dyaOrig="400" w14:anchorId="27024189">
          <v:shape id="_x0000_i1088" type="#_x0000_t75" style="width:59.25pt;height:19.5pt" o:ole="">
            <v:imagedata r:id="rId130" o:title=""/>
          </v:shape>
          <o:OLEObject Type="Embed" ProgID="Equation.DSMT4" ShapeID="_x0000_i1088" DrawAspect="Content" ObjectID="_1701512187" r:id="rId136"/>
        </w:object>
      </w:r>
      <w:r w:rsidRPr="00393433">
        <w:rPr>
          <w:color w:val="000000" w:themeColor="text1"/>
          <w:lang w:val="en-GB" w:eastAsia="zh-CN"/>
        </w:rPr>
        <w:t xml:space="preserve">. Notably, the latter can be obtained from a separate continuum flow calculation or specified analytically, as in the case of the Poiseuille flow case considered in the numerical example section. The MD equations (18)-(20) are solved with the full reconstructed solution </w:t>
      </w:r>
      <w:r w:rsidRPr="00D40526">
        <w:rPr>
          <w:color w:val="000000" w:themeColor="text1"/>
          <w:position w:val="-10"/>
        </w:rPr>
        <w:object w:dxaOrig="620" w:dyaOrig="320" w14:anchorId="1C98E390">
          <v:shape id="_x0000_i1089" type="#_x0000_t75" style="width:30.75pt;height:15.75pt" o:ole="">
            <v:imagedata r:id="rId137" o:title=""/>
          </v:shape>
          <o:OLEObject Type="Embed" ProgID="Equation.DSMT4" ShapeID="_x0000_i1089" DrawAspect="Content" ObjectID="_1701512188" r:id="rId138"/>
        </w:object>
      </w:r>
      <w:r w:rsidRPr="00393433">
        <w:rPr>
          <w:color w:val="000000" w:themeColor="text1"/>
          <w:lang w:val="en-GB" w:eastAsia="zh-CN"/>
        </w:rPr>
        <w:t xml:space="preserve">. Hence, for consistency, the MD velocities appearing in the source term </w:t>
      </w:r>
      <w:r w:rsidRPr="00D40526">
        <w:rPr>
          <w:color w:val="000000" w:themeColor="text1"/>
          <w:position w:val="-12"/>
        </w:rPr>
        <w:object w:dxaOrig="279" w:dyaOrig="360" w14:anchorId="305EC708">
          <v:shape id="_x0000_i1090" type="#_x0000_t75" style="width:13.5pt;height:18.75pt" o:ole="">
            <v:imagedata r:id="rId139" o:title=""/>
          </v:shape>
          <o:OLEObject Type="Embed" ProgID="Equation.DSMT4" ShapeID="_x0000_i1090" DrawAspect="Content" ObjectID="_1701512189" r:id="rId140"/>
        </w:object>
      </w:r>
      <w:r w:rsidRPr="00393433">
        <w:rPr>
          <w:color w:val="000000" w:themeColor="text1"/>
          <w:lang w:val="en-GB"/>
        </w:rPr>
        <w:t xml:space="preserve"> (14a) are redefined to subtract the mean values, </w:t>
      </w:r>
      <w:r w:rsidRPr="00D40526">
        <w:rPr>
          <w:color w:val="000000" w:themeColor="text1"/>
          <w:position w:val="-30"/>
        </w:rPr>
        <w:object w:dxaOrig="1820" w:dyaOrig="700" w14:anchorId="3F064ED4">
          <v:shape id="_x0000_i1091" type="#_x0000_t75" style="width:90.75pt;height:35.25pt" o:ole="">
            <v:imagedata r:id="rId141" o:title=""/>
          </v:shape>
          <o:OLEObject Type="Embed" ProgID="Equation.DSMT4" ShapeID="_x0000_i1091" DrawAspect="Content" ObjectID="_1701512190" r:id="rId142"/>
        </w:object>
      </w:r>
      <w:r w:rsidRPr="00393433">
        <w:rPr>
          <w:color w:val="000000" w:themeColor="text1"/>
          <w:lang w:val="en-GB" w:eastAsia="zh-CN"/>
        </w:rPr>
        <w:t xml:space="preserve">. </w:t>
      </w:r>
    </w:p>
    <w:p w14:paraId="51140ED7" w14:textId="13B3FC2F" w:rsidR="00EA15F8" w:rsidRPr="00393433" w:rsidRDefault="00EA15F8" w:rsidP="00EA15F8">
      <w:pPr>
        <w:shd w:val="clear" w:color="auto" w:fill="FFFFFF"/>
        <w:spacing w:line="480" w:lineRule="auto"/>
        <w:ind w:firstLineChars="200" w:firstLine="480"/>
        <w:jc w:val="both"/>
        <w:textAlignment w:val="baseline"/>
        <w:rPr>
          <w:color w:val="000000" w:themeColor="text1"/>
          <w:lang w:val="en-GB" w:eastAsia="zh-CN"/>
        </w:rPr>
      </w:pPr>
      <w:r w:rsidRPr="00393433">
        <w:rPr>
          <w:color w:val="000000" w:themeColor="text1"/>
          <w:lang w:val="en-GB" w:eastAsia="zh-CN"/>
        </w:rPr>
        <w:t>It</w:t>
      </w:r>
      <w:r w:rsidR="00FF7D99" w:rsidRPr="00393433">
        <w:rPr>
          <w:color w:val="000000" w:themeColor="text1"/>
          <w:lang w:val="en-GB" w:eastAsia="zh-CN"/>
        </w:rPr>
        <w:t xml:space="preserve"> can be noted that</w:t>
      </w:r>
      <w:r w:rsidRPr="00393433">
        <w:rPr>
          <w:color w:val="000000" w:themeColor="text1"/>
          <w:lang w:val="en-GB" w:eastAsia="zh-CN"/>
        </w:rPr>
        <w:t xml:space="preserve"> the GLL-FH equations are solved for the velocity fluctuation </w:t>
      </w:r>
      <w:r w:rsidR="00FF7D99" w:rsidRPr="00393433">
        <w:rPr>
          <w:color w:val="000000" w:themeColor="text1"/>
          <w:lang w:val="en-GB" w:eastAsia="zh-CN"/>
        </w:rPr>
        <w:t xml:space="preserve">variable consistently with MD equations. In accordance with this formulation, </w:t>
      </w:r>
      <w:r w:rsidRPr="00393433">
        <w:rPr>
          <w:color w:val="000000" w:themeColor="text1"/>
          <w:lang w:val="en-GB" w:eastAsia="zh-CN"/>
        </w:rPr>
        <w:t xml:space="preserve">the </w:t>
      </w:r>
      <w:r w:rsidR="00E40701" w:rsidRPr="00393433">
        <w:rPr>
          <w:color w:val="000000" w:themeColor="text1"/>
          <w:lang w:val="en-GB" w:eastAsia="zh-CN"/>
        </w:rPr>
        <w:t xml:space="preserve">non-uniform </w:t>
      </w:r>
      <w:r w:rsidRPr="00393433">
        <w:rPr>
          <w:color w:val="000000" w:themeColor="text1"/>
          <w:lang w:val="en-GB" w:eastAsia="zh-CN"/>
        </w:rPr>
        <w:lastRenderedPageBreak/>
        <w:t xml:space="preserve">background flow is included </w:t>
      </w:r>
      <w:r w:rsidR="00FF7D99" w:rsidRPr="00393433">
        <w:rPr>
          <w:color w:val="000000" w:themeColor="text1"/>
          <w:lang w:val="en-GB" w:eastAsia="zh-CN"/>
        </w:rPr>
        <w:t>separately and</w:t>
      </w:r>
      <w:r w:rsidR="003D5A95" w:rsidRPr="00393433">
        <w:rPr>
          <w:color w:val="000000" w:themeColor="text1"/>
          <w:lang w:val="en-GB" w:eastAsia="zh-CN"/>
        </w:rPr>
        <w:t>,</w:t>
      </w:r>
      <w:r w:rsidR="00FF7D99" w:rsidRPr="00393433">
        <w:rPr>
          <w:color w:val="000000" w:themeColor="text1"/>
          <w:lang w:val="en-GB" w:eastAsia="zh-CN"/>
        </w:rPr>
        <w:t xml:space="preserve"> thereby</w:t>
      </w:r>
      <w:r w:rsidR="003D5A95" w:rsidRPr="00393433">
        <w:rPr>
          <w:color w:val="000000" w:themeColor="text1"/>
          <w:lang w:val="en-GB" w:eastAsia="zh-CN"/>
        </w:rPr>
        <w:t>,</w:t>
      </w:r>
      <w:r w:rsidR="00FF7D99" w:rsidRPr="00393433">
        <w:rPr>
          <w:color w:val="000000" w:themeColor="text1"/>
          <w:lang w:val="en-GB" w:eastAsia="zh-CN"/>
        </w:rPr>
        <w:t xml:space="preserve"> is not affected by the Langevin dissipation. </w:t>
      </w:r>
      <w:r w:rsidR="003D5A95" w:rsidRPr="00393433">
        <w:rPr>
          <w:color w:val="000000" w:themeColor="text1"/>
          <w:lang w:val="en-GB" w:eastAsia="zh-CN"/>
        </w:rPr>
        <w:t>Due to</w:t>
      </w:r>
      <w:r w:rsidR="00FF7D99" w:rsidRPr="00393433">
        <w:rPr>
          <w:color w:val="000000" w:themeColor="text1"/>
          <w:lang w:val="en-GB" w:eastAsia="zh-CN"/>
        </w:rPr>
        <w:t xml:space="preserve"> the linearisation approach, the non-uniform macroscopic flow is </w:t>
      </w:r>
      <w:proofErr w:type="gramStart"/>
      <w:r w:rsidR="00FF7D99" w:rsidRPr="00393433">
        <w:rPr>
          <w:color w:val="000000" w:themeColor="text1"/>
          <w:lang w:val="en-GB" w:eastAsia="zh-CN"/>
        </w:rPr>
        <w:t>preserved</w:t>
      </w:r>
      <w:proofErr w:type="gramEnd"/>
      <w:r w:rsidR="00FF7D99" w:rsidRPr="00393433">
        <w:rPr>
          <w:color w:val="000000" w:themeColor="text1"/>
          <w:lang w:val="en-GB" w:eastAsia="zh-CN"/>
        </w:rPr>
        <w:t xml:space="preserve"> and </w:t>
      </w:r>
      <w:r w:rsidR="00FB119A" w:rsidRPr="00393433">
        <w:rPr>
          <w:color w:val="000000" w:themeColor="text1"/>
          <w:lang w:val="en-GB" w:eastAsia="zh-CN"/>
        </w:rPr>
        <w:t>the total</w:t>
      </w:r>
      <w:r w:rsidRPr="00393433">
        <w:rPr>
          <w:color w:val="000000" w:themeColor="text1"/>
          <w:lang w:val="en-GB" w:eastAsia="zh-CN"/>
        </w:rPr>
        <w:t xml:space="preserve"> linear</w:t>
      </w:r>
      <w:r w:rsidR="00FB119A" w:rsidRPr="00393433">
        <w:rPr>
          <w:color w:val="000000" w:themeColor="text1"/>
          <w:lang w:val="en-GB" w:eastAsia="zh-CN"/>
        </w:rPr>
        <w:t xml:space="preserve"> momentum conservation property</w:t>
      </w:r>
      <w:r w:rsidR="00FF7D99" w:rsidRPr="00393433">
        <w:rPr>
          <w:color w:val="000000" w:themeColor="text1"/>
          <w:lang w:val="en-GB" w:eastAsia="zh-CN"/>
        </w:rPr>
        <w:t xml:space="preserve"> is not violated</w:t>
      </w:r>
      <w:r w:rsidR="00FB119A" w:rsidRPr="00393433">
        <w:rPr>
          <w:color w:val="000000" w:themeColor="text1"/>
          <w:lang w:val="en-GB" w:eastAsia="zh-CN"/>
        </w:rPr>
        <w:t>. A more general approach to enforce the total momentum conservation would be to use Dissipative Particle Dynamics (DPD) thermostat, which is based on the relative velocity between a pair of interacting particles</w:t>
      </w:r>
      <w:r w:rsidR="00E40701" w:rsidRPr="00393433">
        <w:rPr>
          <w:color w:val="000000" w:themeColor="text1"/>
          <w:lang w:val="en-GB" w:eastAsia="zh-CN"/>
        </w:rPr>
        <w:t>. Once implemented in future work, such approach would not require using the suggested linearis</w:t>
      </w:r>
      <w:r w:rsidR="00FF7D99" w:rsidRPr="00393433">
        <w:rPr>
          <w:color w:val="000000" w:themeColor="text1"/>
          <w:lang w:val="en-GB" w:eastAsia="zh-CN"/>
        </w:rPr>
        <w:t>at</w:t>
      </w:r>
      <w:r w:rsidR="00E40701" w:rsidRPr="00393433">
        <w:rPr>
          <w:color w:val="000000" w:themeColor="text1"/>
          <w:lang w:val="en-GB" w:eastAsia="zh-CN"/>
        </w:rPr>
        <w:t xml:space="preserve">ion method to conserve the bulk flow momentum. </w:t>
      </w:r>
    </w:p>
    <w:p w14:paraId="098A2F5E" w14:textId="77777777" w:rsidR="00EA15F8" w:rsidRPr="00D40526" w:rsidRDefault="00EA15F8" w:rsidP="00EA15F8">
      <w:pPr>
        <w:spacing w:line="480" w:lineRule="auto"/>
        <w:ind w:firstLineChars="200" w:firstLine="480"/>
        <w:jc w:val="both"/>
        <w:rPr>
          <w:color w:val="000000" w:themeColor="text1"/>
          <w:lang w:val="en-US"/>
        </w:rPr>
      </w:pPr>
      <w:r w:rsidRPr="00393433">
        <w:rPr>
          <w:color w:val="000000" w:themeColor="text1"/>
          <w:lang w:val="en-GB"/>
        </w:rPr>
        <w:t>Following Ref.</w:t>
      </w:r>
      <w:r w:rsidRPr="00D40526">
        <w:rPr>
          <w:color w:val="000000" w:themeColor="text1"/>
        </w:rPr>
        <w:fldChar w:fldCharType="begin"/>
      </w:r>
      <w:r w:rsidRPr="00393433">
        <w:rPr>
          <w:color w:val="000000" w:themeColor="text1"/>
          <w:lang w:val="en-GB"/>
        </w:rPr>
        <w:instrText xml:space="preserve"> ADDIN EN.CITE &lt;EndNote&gt;&lt;Cite&gt;&lt;Author&gt;Liu&lt;/Author&gt;&lt;Year&gt;2021&lt;/Year&gt;&lt;RecNum&gt;22&lt;/RecNum&gt;&lt;DisplayText&gt;&lt;style face="superscript"&gt;[22]&lt;/style&gt;&lt;/DisplayText&gt;&lt;record&gt;&lt;rec-number&gt;22&lt;/rec-number&gt;&lt;foreign-keys&gt;&lt;key app="EN" db-id="2few9s5xuzd0fkexrp852fpetz5dda0wzve0" timestamp="1628862252"&gt;22&lt;/key&gt;&lt;/foreign-keys&gt;&lt;ref-type name="Journal Article"&gt;17&lt;/ref-type&gt;&lt;contributors&gt;&lt;authors&gt;&lt;author&gt;Liu, Xinjian&lt;/author&gt;&lt;author&gt;Korotkin, Ivan&lt;/author&gt;&lt;author&gt;Rao, Zhonghao&lt;/author&gt;&lt;author&gt;Karabasov, Sergey&lt;/author&gt;&lt;/authors&gt;&lt;/contributors&gt;&lt;titles&gt;&lt;title&gt;A Thermostat-Consistent Fully Coupled Molecular Dynamics—Generalized Fluctuating Hydrodynamics Model&lt;/title&gt;&lt;secondary-title&gt;Adv. Theory Simul.&lt;/secondary-title&gt;&lt;/titles&gt;&lt;periodical&gt;&lt;full-title&gt;Adv. Theory Simul.&lt;/full-title&gt;&lt;/periodical&gt;&lt;pages&gt;2000209&lt;/pages&gt;&lt;volume&gt;4&lt;/volume&gt;&lt;number&gt;4&lt;/number&gt;&lt;dates&gt;&lt;year&gt;2021&lt;/year&gt;&lt;/dates&gt;&lt;isbn&gt;2513-0390&lt;/isbn&gt;&lt;urls&gt;&lt;related-urls&gt;&lt;url&gt;https://onlinelibrary.wiley.com/doi/abs/10.1002/adts.202000209&lt;/url&gt;&lt;/related-urls&gt;&lt;/urls&gt;&lt;/record&gt;&lt;/Cite&gt;&lt;/EndNote&gt;</w:instrText>
      </w:r>
      <w:r w:rsidRPr="00D40526">
        <w:rPr>
          <w:color w:val="000000" w:themeColor="text1"/>
        </w:rPr>
        <w:fldChar w:fldCharType="separate"/>
      </w:r>
      <w:r w:rsidRPr="00393433">
        <w:rPr>
          <w:noProof/>
          <w:color w:val="000000" w:themeColor="text1"/>
          <w:lang w:val="en-GB"/>
        </w:rPr>
        <w:t>[22]</w:t>
      </w:r>
      <w:r w:rsidRPr="00D40526">
        <w:rPr>
          <w:color w:val="000000" w:themeColor="text1"/>
        </w:rPr>
        <w:fldChar w:fldCharType="end"/>
      </w:r>
      <w:r w:rsidRPr="00393433">
        <w:rPr>
          <w:color w:val="000000" w:themeColor="text1"/>
          <w:lang w:val="en-GB"/>
        </w:rPr>
        <w:t xml:space="preserve">, the GLL-FH equations (5),(6), (11)-(13), (18)-(20) are solved by a predictor-corrector scheme, where the Eulerian part of the model (5),(6), (11)-(13) is solved by a central finite-volume method on a uniform computational grid of control volumes </w:t>
      </w:r>
      <w:r w:rsidRPr="00D40526">
        <w:rPr>
          <w:color w:val="000000" w:themeColor="text1"/>
          <w:position w:val="-6"/>
        </w:rPr>
        <w:object w:dxaOrig="240" w:dyaOrig="279" w14:anchorId="700AFB72">
          <v:shape id="_x0000_i1092" type="#_x0000_t75" style="width:12.75pt;height:13.5pt" o:ole="">
            <v:imagedata r:id="rId143" o:title=""/>
          </v:shape>
          <o:OLEObject Type="Embed" ProgID="Equation.DSMT4" ShapeID="_x0000_i1092" DrawAspect="Content" ObjectID="_1701512191" r:id="rId144"/>
        </w:object>
      </w:r>
      <w:r w:rsidRPr="00393433">
        <w:rPr>
          <w:color w:val="000000" w:themeColor="text1"/>
          <w:lang w:val="en-GB"/>
        </w:rPr>
        <w:t xml:space="preserve">. The integration time step of the control-volume-averaged equations, </w:t>
      </w:r>
      <w:r w:rsidRPr="00D40526">
        <w:rPr>
          <w:color w:val="000000" w:themeColor="text1"/>
          <w:position w:val="-12"/>
        </w:rPr>
        <w:object w:dxaOrig="499" w:dyaOrig="360" w14:anchorId="705D3BD9">
          <v:shape id="_x0000_i1093" type="#_x0000_t75" style="width:24pt;height:18.75pt" o:ole="">
            <v:imagedata r:id="rId145" o:title=""/>
          </v:shape>
          <o:OLEObject Type="Embed" ProgID="Equation.DSMT4" ShapeID="_x0000_i1093" DrawAspect="Content" ObjectID="_1701512192" r:id="rId146"/>
        </w:object>
      </w:r>
      <w:r w:rsidRPr="00393433">
        <w:rPr>
          <w:color w:val="000000" w:themeColor="text1"/>
          <w:lang w:val="en-GB"/>
        </w:rPr>
        <w:t xml:space="preserve"> is 10 times larger in comparison with the MD time step, </w:t>
      </w:r>
      <w:r w:rsidRPr="00D40526">
        <w:rPr>
          <w:color w:val="000000" w:themeColor="text1"/>
          <w:position w:val="-12"/>
        </w:rPr>
        <w:object w:dxaOrig="520" w:dyaOrig="360" w14:anchorId="43CDE25A">
          <v:shape id="_x0000_i1094" type="#_x0000_t75" style="width:23.25pt;height:18.75pt" o:ole="">
            <v:imagedata r:id="rId147" o:title=""/>
          </v:shape>
          <o:OLEObject Type="Embed" ProgID="Equation.DSMT4" ShapeID="_x0000_i1094" DrawAspect="Content" ObjectID="_1701512193" r:id="rId148"/>
        </w:object>
      </w:r>
      <w:r w:rsidRPr="00393433">
        <w:rPr>
          <w:color w:val="000000" w:themeColor="text1"/>
          <w:lang w:val="en-GB"/>
        </w:rPr>
        <w:t xml:space="preserve">. In the two-way coupled solution, </w:t>
      </w:r>
      <w:r w:rsidRPr="00D40526">
        <w:rPr>
          <w:color w:val="000000" w:themeColor="text1"/>
          <w:lang w:val="en-US"/>
        </w:rPr>
        <w:t>the hydrodynamic fields are driven by the collective dynamics of MD particles while coordinates and velocities of the MD particles are concurrently updated in accordance with (18)-(20).</w:t>
      </w:r>
    </w:p>
    <w:p w14:paraId="1547D3C9" w14:textId="77777777" w:rsidR="00EA15F8" w:rsidRPr="00393433" w:rsidRDefault="00EA15F8" w:rsidP="00EA15F8">
      <w:pPr>
        <w:spacing w:line="480" w:lineRule="auto"/>
        <w:ind w:firstLineChars="200" w:firstLine="480"/>
        <w:jc w:val="both"/>
        <w:rPr>
          <w:color w:val="000000" w:themeColor="text1"/>
          <w:lang w:val="en-GB"/>
        </w:rPr>
      </w:pPr>
      <w:r w:rsidRPr="00D40526">
        <w:rPr>
          <w:color w:val="000000" w:themeColor="text1"/>
          <w:lang w:val="en-US"/>
        </w:rPr>
        <w:t>Most details of the implemented numerical algorithm are identical to the algorithm published in Ref.</w:t>
      </w:r>
      <w:r w:rsidRPr="00D40526">
        <w:rPr>
          <w:color w:val="000000" w:themeColor="text1"/>
          <w:lang w:val="en-US"/>
        </w:rPr>
        <w:fldChar w:fldCharType="begin"/>
      </w:r>
      <w:r w:rsidRPr="00D40526">
        <w:rPr>
          <w:color w:val="000000" w:themeColor="text1"/>
          <w:lang w:val="en-US"/>
        </w:rPr>
        <w:instrText xml:space="preserve"> ADDIN EN.CITE &lt;EndNote&gt;&lt;Cite&gt;&lt;Author&gt;Liu&lt;/Author&gt;&lt;Year&gt;2021&lt;/Year&gt;&lt;RecNum&gt;22&lt;/RecNum&gt;&lt;DisplayText&gt;&lt;style face="superscript"&gt;[22]&lt;/style&gt;&lt;/DisplayText&gt;&lt;record&gt;&lt;rec-number&gt;22&lt;/rec-number&gt;&lt;foreign-keys&gt;&lt;key app="EN" db-id="2few9s5xuzd0fkexrp852fpetz5dda0wzve0" timestamp="1628862252"&gt;22&lt;/key&gt;&lt;/foreign-keys&gt;&lt;ref-type name="Journal Article"&gt;17&lt;/ref-type&gt;&lt;contributors&gt;&lt;authors&gt;&lt;author&gt;Liu, Xinjian&lt;/author&gt;&lt;author&gt;Korotkin, Ivan&lt;/author&gt;&lt;author&gt;Rao, Zhonghao&lt;/author&gt;&lt;author&gt;Karabasov, Sergey&lt;/author&gt;&lt;/authors&gt;&lt;/contributors&gt;&lt;titles&gt;&lt;title&gt;A Thermostat-Consistent Fully Coupled Molecular Dynamics—Generalized Fluctuating Hydrodynamics Model&lt;/title&gt;&lt;secondary-title&gt;Adv. Theory Simul.&lt;/secondary-title&gt;&lt;/titles&gt;&lt;periodical&gt;&lt;full-title&gt;Adv. Theory Simul.&lt;/full-title&gt;&lt;/periodical&gt;&lt;pages&gt;2000209&lt;/pages&gt;&lt;volume&gt;4&lt;/volume&gt;&lt;number&gt;4&lt;/number&gt;&lt;dates&gt;&lt;year&gt;2021&lt;/year&gt;&lt;/dates&gt;&lt;isbn&gt;2513-0390&lt;/isbn&gt;&lt;urls&gt;&lt;related-urls&gt;&lt;url&gt;https://onlinelibrary.wiley.com/doi/abs/10.1002/adts.202000209&lt;/url&gt;&lt;/related-urls&gt;&lt;/urls&gt;&lt;/record&gt;&lt;/Cite&gt;&lt;/EndNote&gt;</w:instrText>
      </w:r>
      <w:r w:rsidRPr="00D40526">
        <w:rPr>
          <w:color w:val="000000" w:themeColor="text1"/>
          <w:lang w:val="en-US"/>
        </w:rPr>
        <w:fldChar w:fldCharType="separate"/>
      </w:r>
      <w:r w:rsidRPr="00D40526">
        <w:rPr>
          <w:noProof/>
          <w:color w:val="000000" w:themeColor="text1"/>
          <w:lang w:val="en-US"/>
        </w:rPr>
        <w:t>[22]</w:t>
      </w:r>
      <w:r w:rsidRPr="00D40526">
        <w:rPr>
          <w:color w:val="000000" w:themeColor="text1"/>
          <w:lang w:val="en-US"/>
        </w:rPr>
        <w:fldChar w:fldCharType="end"/>
      </w:r>
      <w:r w:rsidRPr="00D40526">
        <w:rPr>
          <w:color w:val="000000" w:themeColor="text1"/>
        </w:rPr>
        <w:t xml:space="preserve">. </w:t>
      </w:r>
      <w:r w:rsidRPr="00393433">
        <w:rPr>
          <w:color w:val="000000" w:themeColor="text1"/>
          <w:lang w:val="en-GB"/>
        </w:rPr>
        <w:t>Two modifications to increase the stability of the numerical scheme for solving the GLL-FH equations are summarised below.</w:t>
      </w:r>
    </w:p>
    <w:p w14:paraId="7F94870E" w14:textId="77777777"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rPr>
        <w:t>First, the modified version of equations (5) and (6) is solved by re-arranging the source term to include the evolutionary variable in the dissipation terms thereby enabling an improved stability,</w:t>
      </w:r>
    </w:p>
    <w:p w14:paraId="000E1768"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sz w:val="22"/>
        </w:rPr>
        <w:object w:dxaOrig="6660" w:dyaOrig="760" w14:anchorId="4C716D89">
          <v:shape id="_x0000_i1095" type="#_x0000_t75" style="width:327.75pt;height:35.25pt" o:ole="">
            <v:imagedata r:id="rId149" o:title=""/>
          </v:shape>
          <o:OLEObject Type="Embed" ProgID="Equation.DSMT4" ShapeID="_x0000_i1095" DrawAspect="Content" ObjectID="_1701512194" r:id="rId150"/>
        </w:object>
      </w:r>
      <w:r w:rsidRPr="00D40526">
        <w:rPr>
          <w:rFonts w:cs="Times New Roman"/>
          <w:color w:val="000000" w:themeColor="text1"/>
          <w:sz w:val="22"/>
        </w:rPr>
        <w:tab/>
        <w:t>(5a)</w:t>
      </w:r>
    </w:p>
    <w:p w14:paraId="37A492E0"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2"/>
          <w:sz w:val="22"/>
        </w:rPr>
        <w:object w:dxaOrig="6840" w:dyaOrig="760" w14:anchorId="36840E9E">
          <v:shape id="_x0000_i1096" type="#_x0000_t75" style="width:338.25pt;height:35.25pt" o:ole="">
            <v:imagedata r:id="rId151" o:title=""/>
          </v:shape>
          <o:OLEObject Type="Embed" ProgID="Equation.DSMT4" ShapeID="_x0000_i1096" DrawAspect="Content" ObjectID="_1701512195" r:id="rId152"/>
        </w:object>
      </w:r>
      <w:r w:rsidRPr="00D40526">
        <w:rPr>
          <w:rFonts w:cs="Times New Roman"/>
          <w:color w:val="000000" w:themeColor="text1"/>
          <w:sz w:val="22"/>
        </w:rPr>
        <w:t xml:space="preserve">, </w:t>
      </w:r>
      <w:r w:rsidRPr="00D40526">
        <w:rPr>
          <w:rFonts w:cs="Times New Roman"/>
          <w:i/>
          <w:iCs/>
          <w:color w:val="000000" w:themeColor="text1"/>
          <w:sz w:val="22"/>
        </w:rPr>
        <w:t>i</w:t>
      </w:r>
      <w:r w:rsidRPr="00D40526">
        <w:rPr>
          <w:rFonts w:cs="Times New Roman"/>
          <w:color w:val="000000" w:themeColor="text1"/>
          <w:sz w:val="22"/>
        </w:rPr>
        <w:t xml:space="preserve">, </w:t>
      </w:r>
      <w:r w:rsidRPr="00D40526">
        <w:rPr>
          <w:rFonts w:cs="Times New Roman"/>
          <w:i/>
          <w:iCs/>
          <w:color w:val="000000" w:themeColor="text1"/>
          <w:sz w:val="22"/>
        </w:rPr>
        <w:t>j</w:t>
      </w:r>
      <w:r w:rsidRPr="00D40526">
        <w:rPr>
          <w:rFonts w:cs="Times New Roman"/>
          <w:i/>
          <w:color w:val="000000" w:themeColor="text1"/>
          <w:sz w:val="22"/>
        </w:rPr>
        <w:t xml:space="preserve"> </w:t>
      </w:r>
      <w:r w:rsidRPr="00D40526">
        <w:rPr>
          <w:rFonts w:cs="Times New Roman"/>
          <w:color w:val="000000" w:themeColor="text1"/>
          <w:sz w:val="22"/>
        </w:rPr>
        <w:t>= 1, 2, 3</w:t>
      </w:r>
      <w:r w:rsidRPr="00D40526">
        <w:rPr>
          <w:rFonts w:cs="Times New Roman"/>
          <w:color w:val="000000" w:themeColor="text1"/>
          <w:sz w:val="22"/>
        </w:rPr>
        <w:tab/>
        <w:t>(6a)</w:t>
      </w:r>
    </w:p>
    <w:p w14:paraId="3FA367A7" w14:textId="0E5527E9" w:rsidR="00EA15F8" w:rsidRPr="00393433" w:rsidRDefault="00EA15F8" w:rsidP="00EA15F8">
      <w:pPr>
        <w:spacing w:line="480" w:lineRule="auto"/>
        <w:ind w:firstLineChars="200" w:firstLine="480"/>
        <w:jc w:val="both"/>
        <w:rPr>
          <w:color w:val="000000" w:themeColor="text1"/>
          <w:lang w:val="en-GB" w:eastAsia="zh-CN"/>
        </w:rPr>
      </w:pPr>
      <w:r w:rsidRPr="00393433">
        <w:rPr>
          <w:color w:val="000000" w:themeColor="text1"/>
          <w:lang w:val="en-GB"/>
        </w:rPr>
        <w:lastRenderedPageBreak/>
        <w:t>Secondly, for more accurate approximation of the ensemble-averaged</w:t>
      </w:r>
      <w:r w:rsidRPr="00393433">
        <w:rPr>
          <w:color w:val="000000" w:themeColor="text1"/>
          <w:lang w:val="en-GB" w:eastAsia="zh-CN"/>
        </w:rPr>
        <w:t xml:space="preserve"> MD forces </w:t>
      </w:r>
      <w:r w:rsidRPr="00D40526">
        <w:rPr>
          <w:color w:val="000000" w:themeColor="text1"/>
          <w:position w:val="-30"/>
        </w:rPr>
        <w:object w:dxaOrig="1680" w:dyaOrig="700" w14:anchorId="033181D1">
          <v:shape id="_x0000_i1097" type="#_x0000_t75" style="width:85.5pt;height:35.25pt" o:ole="">
            <v:imagedata r:id="rId153" o:title=""/>
          </v:shape>
          <o:OLEObject Type="Embed" ProgID="Equation.DSMT4" ShapeID="_x0000_i1097" DrawAspect="Content" ObjectID="_1701512196" r:id="rId154"/>
        </w:object>
      </w:r>
      <w:r w:rsidRPr="00393433">
        <w:rPr>
          <w:color w:val="000000" w:themeColor="text1"/>
          <w:lang w:val="en-GB"/>
        </w:rPr>
        <w:t xml:space="preserve"> </w:t>
      </w:r>
      <w:r w:rsidRPr="00393433">
        <w:rPr>
          <w:color w:val="000000" w:themeColor="text1"/>
          <w:lang w:val="en-GB" w:eastAsia="zh-CN"/>
        </w:rPr>
        <w:t xml:space="preserve">of the momentum source term </w:t>
      </w:r>
      <w:r w:rsidRPr="00D40526">
        <w:rPr>
          <w:color w:val="000000" w:themeColor="text1"/>
          <w:position w:val="-12"/>
        </w:rPr>
        <w:object w:dxaOrig="279" w:dyaOrig="360" w14:anchorId="1D4DEE2B">
          <v:shape id="_x0000_i1098" type="#_x0000_t75" style="width:13.5pt;height:18.75pt" o:ole="">
            <v:imagedata r:id="rId155" o:title=""/>
          </v:shape>
          <o:OLEObject Type="Embed" ProgID="Equation.DSMT4" ShapeID="_x0000_i1098" DrawAspect="Content" ObjectID="_1701512197" r:id="rId156"/>
        </w:object>
      </w:r>
      <w:r w:rsidRPr="00393433">
        <w:rPr>
          <w:color w:val="000000" w:themeColor="text1"/>
          <w:lang w:val="en-GB"/>
        </w:rPr>
        <w:t xml:space="preserve"> in (14a), an improved averaging procedure is implemented. The </w:t>
      </w:r>
      <w:r w:rsidRPr="00393433">
        <w:rPr>
          <w:color w:val="000000" w:themeColor="text1"/>
          <w:lang w:val="en-GB" w:eastAsia="zh-CN"/>
        </w:rPr>
        <w:t>MD forces are driven by steep MD pair potentials. Without a sufficient ensemble averaging, the force term has a highly oscillatory behaviour, which may lead to numerical instability when solving the GLL-FH equations. Hence, to compensate for a limited time averaging, the MD force term is spatially filtered by averaging over a super-control volume of 3</w:t>
      </w:r>
      <w:r w:rsidRPr="00393433">
        <w:rPr>
          <w:color w:val="000000" w:themeColor="text1"/>
          <w:vertAlign w:val="superscript"/>
          <w:lang w:val="en-GB" w:eastAsia="zh-CN"/>
        </w:rPr>
        <w:t>3</w:t>
      </w:r>
      <w:r w:rsidRPr="00393433">
        <w:rPr>
          <w:color w:val="000000" w:themeColor="text1"/>
          <w:lang w:val="en-GB" w:eastAsia="zh-CN"/>
        </w:rPr>
        <w:t xml:space="preserve"> cells, where the central cell corresponds to the current control volume of interest (</w:t>
      </w:r>
      <w:r w:rsidR="002D2EA1" w:rsidRPr="00393433">
        <w:rPr>
          <w:color w:val="000000" w:themeColor="text1"/>
          <w:lang w:val="en-GB" w:eastAsia="zh-CN"/>
        </w:rPr>
        <w:t xml:space="preserve">Figure </w:t>
      </w:r>
      <w:r w:rsidRPr="00393433">
        <w:rPr>
          <w:color w:val="000000" w:themeColor="text1"/>
          <w:lang w:val="en-GB" w:eastAsia="zh-CN"/>
        </w:rPr>
        <w:t>1).</w:t>
      </w:r>
    </w:p>
    <w:p w14:paraId="7ACC55B2" w14:textId="77777777" w:rsidR="00EA15F8" w:rsidRPr="00D40526" w:rsidRDefault="00EA15F8" w:rsidP="00EA15F8">
      <w:pPr>
        <w:spacing w:line="480" w:lineRule="auto"/>
        <w:jc w:val="center"/>
        <w:rPr>
          <w:color w:val="000000" w:themeColor="text1"/>
        </w:rPr>
      </w:pPr>
      <w:r w:rsidRPr="00D40526">
        <w:rPr>
          <w:noProof/>
          <w:color w:val="000000" w:themeColor="text1"/>
          <w:lang w:val="en-GB" w:eastAsia="en-GB"/>
        </w:rPr>
        <w:drawing>
          <wp:inline distT="0" distB="0" distL="0" distR="0" wp14:anchorId="41C97DC5" wp14:editId="69EAC329">
            <wp:extent cx="2880000" cy="2604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80000" cy="2604255"/>
                    </a:xfrm>
                    <a:prstGeom prst="rect">
                      <a:avLst/>
                    </a:prstGeom>
                    <a:noFill/>
                    <a:ln>
                      <a:noFill/>
                    </a:ln>
                  </pic:spPr>
                </pic:pic>
              </a:graphicData>
            </a:graphic>
          </wp:inline>
        </w:drawing>
      </w:r>
    </w:p>
    <w:p w14:paraId="0C007A50" w14:textId="1D168749" w:rsidR="00EA15F8" w:rsidRPr="00393433" w:rsidRDefault="002D2EA1" w:rsidP="00A46F21">
      <w:pPr>
        <w:spacing w:afterLines="100" w:after="240"/>
        <w:jc w:val="center"/>
        <w:rPr>
          <w:b/>
          <w:color w:val="000000" w:themeColor="text1"/>
          <w:lang w:val="en-GB"/>
        </w:rPr>
      </w:pPr>
      <w:r w:rsidRPr="00393433">
        <w:rPr>
          <w:b/>
          <w:color w:val="000000" w:themeColor="text1"/>
          <w:lang w:val="en-GB"/>
        </w:rPr>
        <w:t xml:space="preserve">Figure </w:t>
      </w:r>
      <w:r w:rsidR="00EA15F8" w:rsidRPr="00393433">
        <w:rPr>
          <w:b/>
          <w:color w:val="000000" w:themeColor="text1"/>
          <w:lang w:val="en-GB"/>
        </w:rPr>
        <w:t>1</w:t>
      </w:r>
      <w:r w:rsidR="00A46F21" w:rsidRPr="00393433">
        <w:rPr>
          <w:b/>
          <w:color w:val="000000" w:themeColor="text1"/>
          <w:lang w:val="en-GB"/>
        </w:rPr>
        <w:t>.</w:t>
      </w:r>
      <w:r w:rsidR="00EA15F8" w:rsidRPr="00393433">
        <w:rPr>
          <w:b/>
          <w:color w:val="000000" w:themeColor="text1"/>
          <w:lang w:val="en-GB"/>
        </w:rPr>
        <w:t xml:space="preserve"> </w:t>
      </w:r>
      <w:r w:rsidR="00EA15F8" w:rsidRPr="00393433">
        <w:rPr>
          <w:bCs/>
          <w:color w:val="000000" w:themeColor="text1"/>
          <w:lang w:val="en-GB"/>
        </w:rPr>
        <w:t>Schematic of a super-control volume comprising 33 cells for calculation of the cell-averaged MD force term in the current central cell.</w:t>
      </w:r>
    </w:p>
    <w:p w14:paraId="0961113A" w14:textId="68113012" w:rsidR="00EA15F8" w:rsidRPr="00393433" w:rsidRDefault="00EA15F8" w:rsidP="00EA15F8">
      <w:pPr>
        <w:spacing w:afterLines="50" w:after="120" w:line="480" w:lineRule="auto"/>
        <w:ind w:firstLineChars="200" w:firstLine="480"/>
        <w:jc w:val="both"/>
        <w:rPr>
          <w:color w:val="000000" w:themeColor="text1"/>
          <w:lang w:val="en-GB" w:eastAsia="zh-CN"/>
        </w:rPr>
      </w:pPr>
      <w:r w:rsidRPr="00393433">
        <w:rPr>
          <w:color w:val="000000" w:themeColor="text1"/>
          <w:lang w:val="en-GB" w:eastAsia="zh-CN"/>
        </w:rPr>
        <w:t>Following Ref.</w:t>
      </w:r>
      <w:r w:rsidRPr="00D40526">
        <w:rPr>
          <w:color w:val="000000" w:themeColor="text1"/>
          <w:lang w:val="en-US"/>
        </w:rPr>
        <w:fldChar w:fldCharType="begin"/>
      </w:r>
      <w:r w:rsidRPr="00D40526">
        <w:rPr>
          <w:color w:val="000000" w:themeColor="text1"/>
          <w:lang w:val="en-US"/>
        </w:rPr>
        <w:instrText xml:space="preserve"> ADDIN EN.CITE &lt;EndNote&gt;&lt;Cite&gt;&lt;Author&gt;Liu&lt;/Author&gt;&lt;Year&gt;2021&lt;/Year&gt;&lt;RecNum&gt;22&lt;/RecNum&gt;&lt;DisplayText&gt;&lt;style face="superscript"&gt;[22]&lt;/style&gt;&lt;/DisplayText&gt;&lt;record&gt;&lt;rec-number&gt;22&lt;/rec-number&gt;&lt;foreign-keys&gt;&lt;key app="EN" db-id="2few9s5xuzd0fkexrp852fpetz5dda0wzve0" timestamp="1628862252"&gt;22&lt;/key&gt;&lt;/foreign-keys&gt;&lt;ref-type name="Journal Article"&gt;17&lt;/ref-type&gt;&lt;contributors&gt;&lt;authors&gt;&lt;author&gt;Liu, Xinjian&lt;/author&gt;&lt;author&gt;Korotkin, Ivan&lt;/author&gt;&lt;author&gt;Rao, Zhonghao&lt;/author&gt;&lt;author&gt;Karabasov, Sergey&lt;/author&gt;&lt;/authors&gt;&lt;/contributors&gt;&lt;titles&gt;&lt;title&gt;A Thermostat-Consistent Fully Coupled Molecular Dynamics—Generalized Fluctuating Hydrodynamics Model&lt;/title&gt;&lt;secondary-title&gt;Adv. Theory Simul.&lt;/secondary-title&gt;&lt;/titles&gt;&lt;periodical&gt;&lt;full-title&gt;Adv. Theory Simul.&lt;/full-title&gt;&lt;/periodical&gt;&lt;pages&gt;2000209&lt;/pages&gt;&lt;volume&gt;4&lt;/volume&gt;&lt;number&gt;4&lt;/number&gt;&lt;dates&gt;&lt;year&gt;2021&lt;/year&gt;&lt;/dates&gt;&lt;isbn&gt;2513-0390&lt;/isbn&gt;&lt;urls&gt;&lt;related-urls&gt;&lt;url&gt;https://onlinelibrary.wiley.com/doi/abs/10.1002/adts.202000209&lt;/url&gt;&lt;/related-urls&gt;&lt;/urls&gt;&lt;/record&gt;&lt;/Cite&gt;&lt;/EndNote&gt;</w:instrText>
      </w:r>
      <w:r w:rsidRPr="00D40526">
        <w:rPr>
          <w:color w:val="000000" w:themeColor="text1"/>
          <w:lang w:val="en-US"/>
        </w:rPr>
        <w:fldChar w:fldCharType="separate"/>
      </w:r>
      <w:r w:rsidRPr="00D40526">
        <w:rPr>
          <w:noProof/>
          <w:color w:val="000000" w:themeColor="text1"/>
          <w:lang w:val="en-US"/>
        </w:rPr>
        <w:t>[22]</w:t>
      </w:r>
      <w:r w:rsidRPr="00D40526">
        <w:rPr>
          <w:color w:val="000000" w:themeColor="text1"/>
          <w:lang w:val="en-US"/>
        </w:rPr>
        <w:fldChar w:fldCharType="end"/>
      </w:r>
      <w:r w:rsidRPr="00D40526">
        <w:rPr>
          <w:color w:val="000000" w:themeColor="text1"/>
          <w:lang w:val="en-US"/>
        </w:rPr>
        <w:t xml:space="preserve">, the computational domain includes a large hydrodynamic box domain, </w:t>
      </w:r>
      <w:r w:rsidRPr="00D40526">
        <w:rPr>
          <w:color w:val="000000" w:themeColor="text1"/>
          <w:position w:val="-12"/>
        </w:rPr>
        <w:object w:dxaOrig="1760" w:dyaOrig="360" w14:anchorId="51B6A6CA">
          <v:shape id="_x0000_i1099" type="#_x0000_t75" style="width:87.75pt;height:18pt" o:ole="">
            <v:imagedata r:id="rId158" o:title=""/>
          </v:shape>
          <o:OLEObject Type="Embed" ProgID="Equation.DSMT4" ShapeID="_x0000_i1099" DrawAspect="Content" ObjectID="_1701512198" r:id="rId159"/>
        </w:object>
      </w:r>
      <w:r w:rsidRPr="00D40526">
        <w:rPr>
          <w:color w:val="000000" w:themeColor="text1"/>
          <w:lang w:val="en-US"/>
        </w:rPr>
        <w:t xml:space="preserve"> that overlaps with a small MD particle domain in the center. Continuum hydrodynamic equations </w:t>
      </w:r>
      <w:r w:rsidRPr="00393433">
        <w:rPr>
          <w:color w:val="000000" w:themeColor="text1"/>
          <w:lang w:val="en-GB"/>
        </w:rPr>
        <w:t xml:space="preserve">(5), (6), (11)-(13) </w:t>
      </w:r>
      <w:r w:rsidRPr="00D40526">
        <w:rPr>
          <w:color w:val="000000" w:themeColor="text1"/>
          <w:lang w:val="en-US"/>
        </w:rPr>
        <w:t xml:space="preserve">are solved in the large box domain, and the modified MD particle equations </w:t>
      </w:r>
      <w:r w:rsidRPr="00393433">
        <w:rPr>
          <w:color w:val="000000" w:themeColor="text1"/>
          <w:lang w:val="en-GB"/>
        </w:rPr>
        <w:t xml:space="preserve">(18)-(20) </w:t>
      </w:r>
      <w:r w:rsidRPr="00D40526">
        <w:rPr>
          <w:color w:val="000000" w:themeColor="text1"/>
          <w:lang w:val="en-US"/>
        </w:rPr>
        <w:t xml:space="preserve">are solved in the particle domain with NVT ensemble. </w:t>
      </w:r>
      <w:r w:rsidRPr="00393433">
        <w:rPr>
          <w:color w:val="000000" w:themeColor="text1"/>
          <w:lang w:val="en-GB" w:eastAsia="zh-CN"/>
        </w:rPr>
        <w:t xml:space="preserve">Due to the improved stability, the current implementation of the GLL-FH model permits the testing of different </w:t>
      </w:r>
      <w:bookmarkStart w:id="1" w:name="_Hlk74087059"/>
      <w:r w:rsidRPr="00393433">
        <w:rPr>
          <w:color w:val="000000" w:themeColor="text1"/>
          <w:lang w:val="en-GB" w:eastAsia="zh-CN"/>
        </w:rPr>
        <w:t>long-range electrostatics method</w:t>
      </w:r>
      <w:bookmarkEnd w:id="1"/>
      <w:r w:rsidRPr="00393433">
        <w:rPr>
          <w:color w:val="000000" w:themeColor="text1"/>
          <w:lang w:val="en-GB" w:eastAsia="zh-CN"/>
        </w:rPr>
        <w:t>s in the MD part of the multiscale model. Specifically, the implementations of the model based on the Cut-off and Reaction-Field</w:t>
      </w:r>
      <w:r w:rsidRPr="00D40526">
        <w:rPr>
          <w:color w:val="000000" w:themeColor="text1"/>
          <w:lang w:eastAsia="zh-CN"/>
        </w:rPr>
        <w:fldChar w:fldCharType="begin"/>
      </w:r>
      <w:r w:rsidRPr="00393433">
        <w:rPr>
          <w:color w:val="000000" w:themeColor="text1"/>
          <w:lang w:val="en-GB" w:eastAsia="zh-CN"/>
        </w:rPr>
        <w:instrText xml:space="preserve"> ADDIN EN.CITE &lt;EndNote&gt;&lt;Cite&gt;&lt;Author&gt;Barker&lt;/Author&gt;&lt;Year&gt;1973&lt;/Year&gt;&lt;RecNum&gt;24&lt;/RecNum&gt;&lt;DisplayText&gt;&lt;style face="superscript"&gt;[24]&lt;/style&gt;&lt;/DisplayText&gt;&lt;record&gt;&lt;rec-number&gt;24&lt;/rec-number&gt;&lt;foreign-keys&gt;&lt;key app="EN" db-id="2few9s5xuzd0fkexrp852fpetz5dda0wzve0" timestamp="1628862252"&gt;24&lt;/key&gt;&lt;/foreign-keys&gt;&lt;ref-type name="Journal Article"&gt;17&lt;/ref-type&gt;&lt;contributors&gt;&lt;authors&gt;&lt;author&gt;Barker, John A&lt;/author&gt;&lt;author&gt;Watts, Robert O&lt;/author&gt;&lt;/authors&gt;&lt;/contributors&gt;&lt;titles&gt;&lt;title&gt;Monte Carlo studies of the dielectric properties of water-like models&lt;/title&gt;&lt;secondary-title&gt;Mol. Phys.&lt;/secondary-title&gt;&lt;/titles&gt;&lt;periodical&gt;&lt;full-title&gt;Mol. Phys.&lt;/full-title&gt;&lt;/periodical&gt;&lt;pages&gt;789-792&lt;/pages&gt;&lt;volume&gt;26&lt;/volume&gt;&lt;number&gt;3&lt;/number&gt;&lt;dates&gt;&lt;year&gt;1973&lt;/year&gt;&lt;/dates&gt;&lt;isbn&gt;0026-8976&lt;/isbn&gt;&lt;urls&gt;&lt;/urls&gt;&lt;/record&gt;&lt;/Cite&gt;&lt;/EndNote&gt;</w:instrText>
      </w:r>
      <w:r w:rsidRPr="00D40526">
        <w:rPr>
          <w:color w:val="000000" w:themeColor="text1"/>
          <w:lang w:eastAsia="zh-CN"/>
        </w:rPr>
        <w:fldChar w:fldCharType="separate"/>
      </w:r>
      <w:r w:rsidRPr="00393433">
        <w:rPr>
          <w:noProof/>
          <w:color w:val="000000" w:themeColor="text1"/>
          <w:vertAlign w:val="superscript"/>
          <w:lang w:val="en-GB" w:eastAsia="zh-CN"/>
        </w:rPr>
        <w:t>[24]</w:t>
      </w:r>
      <w:r w:rsidRPr="00D40526">
        <w:rPr>
          <w:color w:val="000000" w:themeColor="text1"/>
          <w:lang w:eastAsia="zh-CN"/>
        </w:rPr>
        <w:fldChar w:fldCharType="end"/>
      </w:r>
      <w:r w:rsidRPr="00393433">
        <w:rPr>
          <w:color w:val="000000" w:themeColor="text1"/>
          <w:lang w:val="en-GB" w:eastAsia="zh-CN"/>
        </w:rPr>
        <w:t xml:space="preserve"> methods in </w:t>
      </w:r>
      <w:r w:rsidRPr="00393433">
        <w:rPr>
          <w:color w:val="000000" w:themeColor="text1"/>
          <w:lang w:val="en-GB" w:eastAsia="zh-CN"/>
        </w:rPr>
        <w:lastRenderedPageBreak/>
        <w:t xml:space="preserve">GROMACS are compared. In addition, we have also implemented the same multiscale model with the </w:t>
      </w:r>
      <w:r w:rsidRPr="00393433">
        <w:rPr>
          <w:rFonts w:eastAsia="SimSun"/>
          <w:color w:val="000000" w:themeColor="text1"/>
          <w:bdr w:val="none" w:sz="0" w:space="0" w:color="auto" w:frame="1"/>
          <w:lang w:val="en-GB"/>
        </w:rPr>
        <w:t xml:space="preserve">Particle-Mesh Ewald (PME) method, which yields similar results to the </w:t>
      </w:r>
      <w:r w:rsidRPr="00393433">
        <w:rPr>
          <w:color w:val="000000" w:themeColor="text1"/>
          <w:lang w:val="en-GB" w:eastAsia="zh-CN"/>
        </w:rPr>
        <w:t>Reaction-Field, hence, is not discussed separately.</w:t>
      </w:r>
    </w:p>
    <w:p w14:paraId="6BDEA074" w14:textId="77777777" w:rsidR="00EA15F8" w:rsidRPr="00393433" w:rsidRDefault="00EA15F8" w:rsidP="00EA15F8">
      <w:pPr>
        <w:shd w:val="clear" w:color="auto" w:fill="FFFFFF"/>
        <w:spacing w:line="480" w:lineRule="auto"/>
        <w:ind w:firstLineChars="200" w:firstLine="480"/>
        <w:jc w:val="both"/>
        <w:textAlignment w:val="baseline"/>
        <w:rPr>
          <w:color w:val="000000" w:themeColor="text1"/>
          <w:lang w:val="en-GB" w:eastAsia="zh-CN"/>
        </w:rPr>
      </w:pPr>
      <w:r w:rsidRPr="00393433">
        <w:rPr>
          <w:color w:val="000000" w:themeColor="text1"/>
          <w:lang w:val="en-GB" w:eastAsia="zh-CN"/>
        </w:rPr>
        <w:t xml:space="preserve">The background flow corresponding to the planar Poiseuille flow is imposed </w:t>
      </w:r>
    </w:p>
    <w:p w14:paraId="56BE7FCB"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36"/>
          <w:sz w:val="22"/>
        </w:rPr>
        <w:object w:dxaOrig="4400" w:dyaOrig="840" w14:anchorId="67296294">
          <v:shape id="_x0000_i1100" type="#_x0000_t75" style="width:3in;height:39.75pt" o:ole="">
            <v:imagedata r:id="rId160" o:title=""/>
          </v:shape>
          <o:OLEObject Type="Embed" ProgID="Equation.DSMT4" ShapeID="_x0000_i1100" DrawAspect="Content" ObjectID="_1701512199" r:id="rId161"/>
        </w:object>
      </w:r>
      <w:r w:rsidRPr="00D40526">
        <w:rPr>
          <w:rFonts w:cs="Times New Roman"/>
          <w:color w:val="000000" w:themeColor="text1"/>
          <w:sz w:val="22"/>
        </w:rPr>
        <w:t>,</w:t>
      </w:r>
      <w:r w:rsidRPr="00D40526">
        <w:rPr>
          <w:rFonts w:cs="Times New Roman"/>
          <w:color w:val="000000" w:themeColor="text1"/>
          <w:sz w:val="22"/>
        </w:rPr>
        <w:tab/>
      </w:r>
      <w:r w:rsidRPr="00D40526">
        <w:rPr>
          <w:rFonts w:cs="Times New Roman"/>
          <w:color w:val="000000" w:themeColor="text1"/>
          <w:sz w:val="22"/>
        </w:rPr>
        <w:tab/>
        <w:t>(21)</w:t>
      </w:r>
    </w:p>
    <w:p w14:paraId="6539801C" w14:textId="77777777" w:rsidR="00EA15F8" w:rsidRPr="00D40526" w:rsidRDefault="00EA15F8" w:rsidP="00EA15F8">
      <w:pPr>
        <w:pStyle w:val="NormalWeb"/>
        <w:shd w:val="clear" w:color="auto" w:fill="FFFFFF"/>
        <w:spacing w:before="0" w:beforeAutospacing="0" w:after="0" w:afterAutospacing="0" w:line="480" w:lineRule="auto"/>
        <w:jc w:val="both"/>
        <w:rPr>
          <w:rFonts w:ascii="Times New Roman" w:hAnsi="Times New Roman" w:cs="Times New Roman"/>
          <w:color w:val="000000" w:themeColor="text1"/>
          <w:sz w:val="22"/>
          <w:szCs w:val="22"/>
          <w:bdr w:val="none" w:sz="0" w:space="0" w:color="auto" w:frame="1"/>
        </w:rPr>
      </w:pPr>
      <w:r w:rsidRPr="00D40526">
        <w:rPr>
          <w:rFonts w:ascii="Times New Roman" w:hAnsi="Times New Roman" w:cs="Times New Roman"/>
          <w:color w:val="000000" w:themeColor="text1"/>
          <w:sz w:val="22"/>
          <w:szCs w:val="22"/>
          <w:bdr w:val="none" w:sz="0" w:space="0" w:color="auto" w:frame="1"/>
        </w:rPr>
        <w:t xml:space="preserve">where </w:t>
      </w:r>
      <w:r w:rsidRPr="00D40526">
        <w:rPr>
          <w:color w:val="000000" w:themeColor="text1"/>
          <w:position w:val="-36"/>
        </w:rPr>
        <w:object w:dxaOrig="3140" w:dyaOrig="840" w14:anchorId="39B7C7BE">
          <v:shape id="_x0000_i1101" type="#_x0000_t75" style="width:156.75pt;height:42pt" o:ole="">
            <v:imagedata r:id="rId162" o:title=""/>
          </v:shape>
          <o:OLEObject Type="Embed" ProgID="Equation.DSMT4" ShapeID="_x0000_i1101" DrawAspect="Content" ObjectID="_1701512200" r:id="rId163"/>
        </w:object>
      </w:r>
      <w:r w:rsidRPr="00D40526">
        <w:rPr>
          <w:color w:val="000000" w:themeColor="text1"/>
        </w:rPr>
        <w:t xml:space="preserve"> </w:t>
      </w:r>
      <w:r w:rsidRPr="00D40526">
        <w:rPr>
          <w:rFonts w:ascii="Times New Roman" w:hAnsi="Times New Roman" w:cs="Times New Roman"/>
          <w:color w:val="000000" w:themeColor="text1"/>
          <w:sz w:val="22"/>
          <w:szCs w:val="22"/>
          <w:bdr w:val="none" w:sz="0" w:space="0" w:color="auto" w:frame="1"/>
        </w:rPr>
        <w:t xml:space="preserve">corresponds to the shift applied to subtract the center of mass velocity </w:t>
      </w:r>
      <w:proofErr w:type="gramStart"/>
      <w:r w:rsidRPr="00D40526">
        <w:rPr>
          <w:rFonts w:ascii="Times New Roman" w:hAnsi="Times New Roman" w:cs="Times New Roman"/>
          <w:color w:val="000000" w:themeColor="text1"/>
          <w:sz w:val="22"/>
          <w:szCs w:val="22"/>
          <w:bdr w:val="none" w:sz="0" w:space="0" w:color="auto" w:frame="1"/>
        </w:rPr>
        <w:t>in order to</w:t>
      </w:r>
      <w:proofErr w:type="gramEnd"/>
      <w:r w:rsidRPr="00D40526">
        <w:rPr>
          <w:rFonts w:ascii="Times New Roman" w:hAnsi="Times New Roman" w:cs="Times New Roman"/>
          <w:color w:val="000000" w:themeColor="text1"/>
          <w:sz w:val="22"/>
          <w:szCs w:val="22"/>
          <w:bdr w:val="none" w:sz="0" w:space="0" w:color="auto" w:frame="1"/>
        </w:rPr>
        <w:t xml:space="preserve"> simplify the simulation in GROMACS. For the current test, </w:t>
      </w:r>
      <w:r w:rsidRPr="00D40526">
        <w:rPr>
          <w:color w:val="000000" w:themeColor="text1"/>
          <w:position w:val="-12"/>
        </w:rPr>
        <w:object w:dxaOrig="1160" w:dyaOrig="360" w14:anchorId="5A76A727">
          <v:shape id="_x0000_i1102" type="#_x0000_t75" style="width:57.75pt;height:18pt" o:ole="">
            <v:imagedata r:id="rId164" o:title=""/>
          </v:shape>
          <o:OLEObject Type="Embed" ProgID="Equation.DSMT4" ShapeID="_x0000_i1102" DrawAspect="Content" ObjectID="_1701512201" r:id="rId165"/>
        </w:object>
      </w:r>
      <w:r w:rsidRPr="00D40526">
        <w:rPr>
          <w:rFonts w:ascii="Times New Roman" w:hAnsi="Times New Roman" w:cs="Times New Roman"/>
          <w:color w:val="000000" w:themeColor="text1"/>
          <w:sz w:val="22"/>
          <w:szCs w:val="22"/>
          <w:lang w:val="en-GB"/>
        </w:rPr>
        <w:t>nm·ps</w:t>
      </w:r>
      <w:r w:rsidRPr="00D40526">
        <w:rPr>
          <w:rFonts w:ascii="Times New Roman" w:hAnsi="Times New Roman" w:cs="Times New Roman"/>
          <w:color w:val="000000" w:themeColor="text1"/>
          <w:sz w:val="22"/>
          <w:szCs w:val="22"/>
          <w:vertAlign w:val="superscript"/>
          <w:lang w:val="en-GB"/>
        </w:rPr>
        <w:t>-1</w:t>
      </w:r>
      <w:r w:rsidRPr="00D40526">
        <w:rPr>
          <w:rFonts w:ascii="Times New Roman" w:hAnsi="Times New Roman" w:cs="Times New Roman"/>
          <w:color w:val="000000" w:themeColor="text1"/>
          <w:sz w:val="22"/>
          <w:szCs w:val="22"/>
          <w:lang w:val="en-GB"/>
        </w:rPr>
        <w:t xml:space="preserve"> </w:t>
      </w:r>
      <w:r w:rsidRPr="00D40526">
        <w:rPr>
          <w:rFonts w:ascii="Times New Roman" w:hAnsi="Times New Roman" w:cs="Times New Roman" w:hint="eastAsia"/>
          <w:color w:val="000000" w:themeColor="text1"/>
          <w:sz w:val="22"/>
          <w:szCs w:val="22"/>
          <w:lang w:val="en-GB"/>
        </w:rPr>
        <w:t>and</w:t>
      </w:r>
      <w:r w:rsidRPr="00D40526">
        <w:rPr>
          <w:rFonts w:ascii="Times New Roman" w:hAnsi="Times New Roman" w:cs="Times New Roman"/>
          <w:color w:val="000000" w:themeColor="text1"/>
          <w:sz w:val="22"/>
          <w:szCs w:val="22"/>
          <w:lang w:val="en-GB"/>
        </w:rPr>
        <w:t xml:space="preserve"> </w:t>
      </w:r>
      <w:r w:rsidRPr="00D40526">
        <w:rPr>
          <w:rFonts w:ascii="Times New Roman" w:hAnsi="Times New Roman" w:cs="Times New Roman"/>
          <w:i/>
          <w:iCs/>
          <w:color w:val="000000" w:themeColor="text1"/>
          <w:sz w:val="22"/>
          <w:szCs w:val="22"/>
          <w:lang w:val="en-GB"/>
        </w:rPr>
        <w:t>L</w:t>
      </w:r>
      <w:r w:rsidRPr="00D40526">
        <w:rPr>
          <w:rFonts w:ascii="Times New Roman" w:hAnsi="Times New Roman" w:cs="Times New Roman"/>
          <w:color w:val="000000" w:themeColor="text1"/>
          <w:sz w:val="22"/>
          <w:szCs w:val="22"/>
          <w:lang w:val="en-GB"/>
        </w:rPr>
        <w:t xml:space="preserve"> </w:t>
      </w:r>
      <m:oMath>
        <m:r>
          <w:rPr>
            <w:rFonts w:ascii="Cambria Math" w:hAnsi="Cambria Math" w:cs="Times New Roman"/>
            <w:color w:val="000000" w:themeColor="text1"/>
            <w:sz w:val="22"/>
            <w:szCs w:val="22"/>
            <w:lang w:val="en-GB"/>
          </w:rPr>
          <m:t>≡</m:t>
        </m:r>
      </m:oMath>
      <w:r w:rsidRPr="00D40526">
        <w:rPr>
          <w:rFonts w:ascii="Times New Roman" w:hAnsi="Times New Roman" w:cs="Times New Roman"/>
          <w:color w:val="000000" w:themeColor="text1"/>
          <w:sz w:val="22"/>
          <w:szCs w:val="22"/>
          <w:lang w:val="en-GB"/>
        </w:rPr>
        <w:t xml:space="preserve"> box domain length with </w:t>
      </w:r>
      <w:r w:rsidRPr="00D40526">
        <w:rPr>
          <w:rFonts w:ascii="Times New Roman" w:hAnsi="Times New Roman" w:cs="Times New Roman"/>
          <w:color w:val="000000" w:themeColor="text1"/>
        </w:rPr>
        <w:t>9×9×9 elementary control volumes</w:t>
      </w:r>
      <w:r w:rsidRPr="00D40526">
        <w:rPr>
          <w:rFonts w:ascii="Times New Roman" w:hAnsi="Times New Roman" w:cs="Times New Roman"/>
          <w:color w:val="000000" w:themeColor="text1"/>
          <w:sz w:val="22"/>
          <w:szCs w:val="22"/>
          <w:lang w:val="en-GB"/>
        </w:rPr>
        <w:t xml:space="preserve"> are considered.</w:t>
      </w:r>
    </w:p>
    <w:p w14:paraId="69F4AB8E" w14:textId="77777777" w:rsidR="00EA15F8" w:rsidRPr="00D40526" w:rsidRDefault="00EA15F8" w:rsidP="00EA15F8">
      <w:pPr>
        <w:spacing w:line="480" w:lineRule="auto"/>
        <w:ind w:firstLineChars="200" w:firstLine="480"/>
        <w:jc w:val="both"/>
        <w:rPr>
          <w:color w:val="000000" w:themeColor="text1"/>
          <w:lang w:val="en-US"/>
        </w:rPr>
      </w:pPr>
      <w:r w:rsidRPr="00D40526">
        <w:rPr>
          <w:color w:val="000000" w:themeColor="text1"/>
          <w:lang w:val="en-US"/>
        </w:rPr>
        <w:t>To investigate the effect of the size of the hydrodynamic computational domains, two computational domains, which correspond to</w:t>
      </w:r>
      <w:r w:rsidRPr="00393433">
        <w:rPr>
          <w:color w:val="000000" w:themeColor="text1"/>
          <w:lang w:val="en-GB"/>
        </w:rPr>
        <w:t xml:space="preserve"> 9×9×9 and 17×17×17 elementary control volumes are considered</w:t>
      </w:r>
      <w:r w:rsidRPr="00393433">
        <w:rPr>
          <w:iCs/>
          <w:color w:val="000000" w:themeColor="text1"/>
          <w:lang w:val="en-GB" w:eastAsia="zh-CN"/>
        </w:rPr>
        <w:t xml:space="preserve">. </w:t>
      </w:r>
      <w:r w:rsidRPr="00D40526">
        <w:rPr>
          <w:color w:val="000000" w:themeColor="text1"/>
          <w:lang w:val="en-US"/>
        </w:rPr>
        <w:t xml:space="preserve">The MD particle domain in the </w:t>
      </w:r>
      <w:proofErr w:type="spellStart"/>
      <w:r w:rsidRPr="00D40526">
        <w:rPr>
          <w:color w:val="000000" w:themeColor="text1"/>
          <w:lang w:val="en-US"/>
        </w:rPr>
        <w:t>centre</w:t>
      </w:r>
      <w:proofErr w:type="spellEnd"/>
      <w:r w:rsidRPr="00D40526">
        <w:rPr>
          <w:color w:val="000000" w:themeColor="text1"/>
          <w:lang w:val="en-US"/>
        </w:rPr>
        <w:t xml:space="preserve"> of the hydrodynamic box domain corresponds to 5</w:t>
      </w:r>
      <w:r w:rsidRPr="00393433">
        <w:rPr>
          <w:color w:val="000000" w:themeColor="text1"/>
          <w:lang w:val="en-GB"/>
        </w:rPr>
        <w:t>×5×5 control volumes of the full grid</w:t>
      </w:r>
      <w:r w:rsidRPr="00D40526">
        <w:rPr>
          <w:color w:val="000000" w:themeColor="text1"/>
          <w:lang w:val="en-US"/>
        </w:rPr>
        <w:t xml:space="preserve">. </w:t>
      </w:r>
      <w:r w:rsidRPr="00393433">
        <w:rPr>
          <w:color w:val="000000" w:themeColor="text1"/>
          <w:lang w:val="en-GB"/>
        </w:rPr>
        <w:t>On average,</w:t>
      </w:r>
      <w:r w:rsidRPr="00393433">
        <w:rPr>
          <w:iCs/>
          <w:color w:val="000000" w:themeColor="text1"/>
          <w:lang w:val="en-GB" w:eastAsia="zh-CN"/>
        </w:rPr>
        <w:t xml:space="preserve"> e</w:t>
      </w:r>
      <w:r w:rsidRPr="00393433">
        <w:rPr>
          <w:color w:val="000000" w:themeColor="text1"/>
          <w:lang w:val="en-GB"/>
        </w:rPr>
        <w:t xml:space="preserve">ach elementary control volume in the particle domain contains 243 water molecules at the normal atmospheric pressure (1 bar) and room temperature conditions (298.15 K). </w:t>
      </w:r>
      <w:r w:rsidRPr="00D40526">
        <w:rPr>
          <w:color w:val="000000" w:themeColor="text1"/>
          <w:lang w:val="en-US"/>
        </w:rPr>
        <w:t>Periodic boundary conditions are used for both the hydrodynamic box and the interior MD particle domains. Together with considering of</w:t>
      </w:r>
      <w:r w:rsidRPr="00393433">
        <w:rPr>
          <w:color w:val="000000" w:themeColor="text1"/>
          <w:lang w:val="en-GB" w:eastAsia="zh-CN"/>
        </w:rPr>
        <w:t xml:space="preserve"> the Cut-off and Reaction-Field methods for the long-range MD interactions this amounts to 4 cases (2 domains </w:t>
      </w:r>
      <w:r w:rsidRPr="00393433">
        <w:rPr>
          <w:rFonts w:hint="eastAsia"/>
          <w:color w:val="000000" w:themeColor="text1"/>
          <w:lang w:val="en-GB" w:eastAsia="zh-CN"/>
        </w:rPr>
        <w:t>×</w:t>
      </w:r>
      <w:r w:rsidRPr="00393433">
        <w:rPr>
          <w:color w:val="000000" w:themeColor="text1"/>
          <w:lang w:val="en-GB" w:eastAsia="zh-CN"/>
        </w:rPr>
        <w:t xml:space="preserve"> 2 models) to be tested.</w:t>
      </w:r>
    </w:p>
    <w:p w14:paraId="6A664A50" w14:textId="77777777" w:rsidR="00EA15F8" w:rsidRPr="00D40526" w:rsidRDefault="00EA15F8" w:rsidP="00EA15F8">
      <w:pPr>
        <w:spacing w:line="480" w:lineRule="auto"/>
        <w:ind w:firstLineChars="200" w:firstLine="480"/>
        <w:jc w:val="both"/>
        <w:rPr>
          <w:color w:val="000000" w:themeColor="text1"/>
          <w:lang w:val="en-US"/>
        </w:rPr>
      </w:pPr>
      <w:r w:rsidRPr="00393433">
        <w:rPr>
          <w:color w:val="000000" w:themeColor="text1"/>
          <w:lang w:val="en-GB"/>
        </w:rPr>
        <w:t>To complete the hybrid model description, the s-function, which delineates the regions of the atomistic resolution from the hydrodynamics region is specified following Ref.</w:t>
      </w:r>
      <w:r w:rsidRPr="00D40526">
        <w:rPr>
          <w:color w:val="000000" w:themeColor="text1"/>
        </w:rPr>
        <w:fldChar w:fldCharType="begin"/>
      </w:r>
      <w:r w:rsidRPr="00393433">
        <w:rPr>
          <w:color w:val="000000" w:themeColor="text1"/>
          <w:lang w:val="en-GB"/>
        </w:rPr>
        <w:instrText xml:space="preserve"> ADDIN EN.CITE &lt;EndNote&gt;&lt;Cite&gt;&lt;Author&gt;Korotkin&lt;/Author&gt;&lt;Year&gt;2018&lt;/Year&gt;&lt;RecNum&gt;21&lt;/RecNum&gt;&lt;DisplayText&gt;&lt;style face="superscript"&gt;[21]&lt;/style&gt;&lt;/DisplayText&gt;&lt;record&gt;&lt;rec-number&gt;21&lt;/rec-number&gt;&lt;foreign-keys&gt;&lt;key app="EN" db-id="2few9s5xuzd0fkexrp852fpetz5dda0wzve0" timestamp="1628862252"&gt;21&lt;/key&gt;&lt;/foreign-keys&gt;&lt;ref-type name="Journal Article"&gt;17&lt;/ref-type&gt;&lt;contributors&gt;&lt;authors&gt;&lt;author&gt;Korotkin, IA&lt;/author&gt;&lt;author&gt;Karabasov, SA&lt;/author&gt;&lt;/authors&gt;&lt;/contributors&gt;&lt;titles&gt;&lt;title&gt;A Generalised Landau-Lifshitz Fluctuating Hydrodynamics model for concurrent simulations of liquids at atomistic and continuum resolution&lt;/title&gt;&lt;secondary-title&gt;J. Chem. Phys.&lt;/secondary-title&gt;&lt;/titles&gt;&lt;periodical&gt;&lt;full-title&gt;J. Chem. Phys.&lt;/full-title&gt;&lt;/periodical&gt;&lt;pages&gt;244101&lt;/pages&gt;&lt;volume&gt;149&lt;/volume&gt;&lt;number&gt;24&lt;/number&gt;&lt;dates&gt;&lt;year&gt;2018&lt;/year&gt;&lt;/dates&gt;&lt;isbn&gt;0021-9606&lt;/isbn&gt;&lt;urls&gt;&lt;/urls&gt;&lt;/record&gt;&lt;/Cite&gt;&lt;/EndNote&gt;</w:instrText>
      </w:r>
      <w:r w:rsidRPr="00D40526">
        <w:rPr>
          <w:color w:val="000000" w:themeColor="text1"/>
        </w:rPr>
        <w:fldChar w:fldCharType="separate"/>
      </w:r>
      <w:r w:rsidRPr="00D40526">
        <w:rPr>
          <w:noProof/>
          <w:color w:val="000000" w:themeColor="text1"/>
        </w:rPr>
        <w:t>[21]</w:t>
      </w:r>
      <w:r w:rsidRPr="00D40526">
        <w:rPr>
          <w:color w:val="000000" w:themeColor="text1"/>
        </w:rPr>
        <w:fldChar w:fldCharType="end"/>
      </w:r>
      <w:r w:rsidRPr="00D40526">
        <w:rPr>
          <w:color w:val="000000" w:themeColor="text1"/>
        </w:rPr>
        <w:t xml:space="preserve"> and Ref.</w:t>
      </w:r>
      <w:r w:rsidRPr="00D40526">
        <w:rPr>
          <w:color w:val="000000" w:themeColor="text1"/>
        </w:rPr>
        <w:fldChar w:fldCharType="begin"/>
      </w:r>
      <w:r w:rsidRPr="00D40526">
        <w:rPr>
          <w:color w:val="000000" w:themeColor="text1"/>
        </w:rPr>
        <w:instrText xml:space="preserve"> ADDIN EN.CITE &lt;EndNote&gt;&lt;Cite&gt;&lt;Author&gt;Liu&lt;/Author&gt;&lt;Year&gt;2021&lt;/Year&gt;&lt;RecNum&gt;22&lt;/RecNum&gt;&lt;DisplayText&gt;&lt;style face="superscript"&gt;[22]&lt;/style&gt;&lt;/DisplayText&gt;&lt;record&gt;&lt;rec-number&gt;22&lt;/rec-number&gt;&lt;foreign-keys&gt;&lt;key app="EN" db-id="2few9s5xuzd0fkexrp852fpetz5dda0wzve0" timestamp="1628862252"&gt;22&lt;/key&gt;&lt;/foreign-keys&gt;&lt;ref-type name="Journal Article"&gt;17&lt;/ref-type&gt;&lt;contributors&gt;&lt;authors&gt;&lt;author&gt;Liu, Xinjian&lt;/author&gt;&lt;author&gt;Korotkin, Ivan&lt;/author&gt;&lt;author&gt;Rao, Zhonghao&lt;/author&gt;&lt;author&gt;Karabasov, Sergey&lt;/author&gt;&lt;/authors&gt;&lt;/contributors&gt;&lt;titles&gt;&lt;title&gt;A Thermostat-Consistent Fully Coupled Molecular Dynamics—Generalized Fluctuating Hydrodynamics Model&lt;/title&gt;&lt;secondary-title&gt;Adv. Theory Simul.&lt;/secondary-title&gt;&lt;/titles&gt;&lt;periodical&gt;&lt;full-title&gt;Adv. Theory Simul.&lt;/full-title&gt;&lt;/periodical&gt;&lt;pages&gt;2000209&lt;/pages&gt;&lt;volume&gt;4&lt;/volume&gt;&lt;number&gt;4&lt;/number&gt;&lt;dates&gt;&lt;year&gt;2021&lt;/year&gt;&lt;/dates&gt;&lt;isbn&gt;2513-0390&lt;/isbn&gt;&lt;urls&gt;&lt;related-urls&gt;&lt;url&gt;https://onlinelibrary.wiley.com/doi/abs/10.1002/adts.202000209&lt;/url&gt;&lt;/related-urls&gt;&lt;/urls&gt;&lt;/record&gt;&lt;/Cite&gt;&lt;/EndNote&gt;</w:instrText>
      </w:r>
      <w:r w:rsidRPr="00D40526">
        <w:rPr>
          <w:color w:val="000000" w:themeColor="text1"/>
        </w:rPr>
        <w:fldChar w:fldCharType="separate"/>
      </w:r>
      <w:r w:rsidRPr="00D40526">
        <w:rPr>
          <w:noProof/>
          <w:color w:val="000000" w:themeColor="text1"/>
        </w:rPr>
        <w:t>[22]</w:t>
      </w:r>
      <w:r w:rsidRPr="00D40526">
        <w:rPr>
          <w:color w:val="000000" w:themeColor="text1"/>
        </w:rPr>
        <w:fldChar w:fldCharType="end"/>
      </w:r>
      <w:r w:rsidRPr="00D40526">
        <w:rPr>
          <w:color w:val="000000" w:themeColor="text1"/>
        </w:rPr>
        <w:t xml:space="preserve"> so that it is spherically distributed with the radial distance from the centre, </w:t>
      </w:r>
      <w:r w:rsidRPr="00D40526">
        <w:rPr>
          <w:color w:val="000000" w:themeColor="text1"/>
          <w:position w:val="-14"/>
        </w:rPr>
        <w:object w:dxaOrig="1880" w:dyaOrig="460" w14:anchorId="14F768EC">
          <v:shape id="_x0000_i1103" type="#_x0000_t75" style="width:94.5pt;height:23.25pt" o:ole="">
            <v:imagedata r:id="rId166" o:title=""/>
          </v:shape>
          <o:OLEObject Type="Embed" ProgID="Equation.DSMT4" ShapeID="_x0000_i1103" DrawAspect="Content" ObjectID="_1701512202" r:id="rId167"/>
        </w:object>
      </w:r>
      <w:r w:rsidRPr="00D40526">
        <w:rPr>
          <w:color w:val="000000" w:themeColor="text1"/>
        </w:rPr>
        <w:t xml:space="preserve"> inside </w:t>
      </w:r>
      <w:r w:rsidRPr="00D40526">
        <w:rPr>
          <w:color w:val="000000" w:themeColor="text1"/>
          <w:lang w:val="en-US"/>
        </w:rPr>
        <w:t>the particle domain</w:t>
      </w:r>
    </w:p>
    <w:p w14:paraId="713DD632" w14:textId="77777777" w:rsidR="00EA15F8" w:rsidRPr="00D40526" w:rsidRDefault="00EA15F8" w:rsidP="00EA15F8">
      <w:pPr>
        <w:pStyle w:val="MTDisplayEquation"/>
        <w:spacing w:before="0" w:after="0" w:line="480" w:lineRule="auto"/>
        <w:rPr>
          <w:rFonts w:cs="Times New Roman"/>
          <w:color w:val="000000" w:themeColor="text1"/>
          <w:sz w:val="22"/>
        </w:rPr>
      </w:pPr>
      <w:r w:rsidRPr="00D40526">
        <w:rPr>
          <w:rFonts w:cs="Times New Roman"/>
          <w:color w:val="000000" w:themeColor="text1"/>
          <w:position w:val="-68"/>
          <w:sz w:val="22"/>
        </w:rPr>
        <w:object w:dxaOrig="3920" w:dyaOrig="1480" w14:anchorId="7280F2D5">
          <v:shape id="_x0000_i1104" type="#_x0000_t75" style="width:193.5pt;height:69.75pt" o:ole="">
            <v:imagedata r:id="rId168" o:title=""/>
          </v:shape>
          <o:OLEObject Type="Embed" ProgID="Equation.DSMT4" ShapeID="_x0000_i1104" DrawAspect="Content" ObjectID="_1701512203" r:id="rId169"/>
        </w:object>
      </w:r>
      <w:r w:rsidRPr="00D40526">
        <w:rPr>
          <w:rFonts w:cs="Times New Roman"/>
          <w:color w:val="000000" w:themeColor="text1"/>
          <w:sz w:val="22"/>
        </w:rPr>
        <w:t>,</w:t>
      </w:r>
      <w:r w:rsidRPr="00D40526">
        <w:rPr>
          <w:rFonts w:cs="Times New Roman"/>
          <w:color w:val="000000" w:themeColor="text1"/>
          <w:sz w:val="22"/>
        </w:rPr>
        <w:tab/>
      </w:r>
      <w:r w:rsidRPr="00D40526">
        <w:rPr>
          <w:rFonts w:cs="Times New Roman"/>
          <w:color w:val="000000" w:themeColor="text1"/>
          <w:sz w:val="22"/>
        </w:rPr>
        <w:tab/>
        <w:t>(22)</w:t>
      </w:r>
    </w:p>
    <w:p w14:paraId="6C4F3505" w14:textId="77777777" w:rsidR="00EA15F8" w:rsidRPr="00D40526" w:rsidRDefault="00EA15F8" w:rsidP="00EA15F8">
      <w:pPr>
        <w:spacing w:line="480" w:lineRule="auto"/>
        <w:jc w:val="both"/>
        <w:rPr>
          <w:color w:val="000000" w:themeColor="text1"/>
          <w:lang w:val="en-US"/>
        </w:rPr>
      </w:pPr>
      <w:r w:rsidRPr="00D40526">
        <w:rPr>
          <w:color w:val="000000" w:themeColor="text1"/>
          <w:lang w:val="en-US"/>
        </w:rPr>
        <w:t xml:space="preserve">and is set to 1 in the hydrodynamics box domain outside of the MD region. </w:t>
      </w:r>
    </w:p>
    <w:p w14:paraId="35B20092" w14:textId="77777777" w:rsidR="00EA15F8" w:rsidRPr="00D40526" w:rsidRDefault="00EA15F8" w:rsidP="00EA15F8">
      <w:pPr>
        <w:spacing w:afterLines="100" w:after="240" w:line="480" w:lineRule="auto"/>
        <w:jc w:val="both"/>
        <w:rPr>
          <w:color w:val="000000" w:themeColor="text1"/>
        </w:rPr>
      </w:pPr>
      <w:r w:rsidRPr="00393433">
        <w:rPr>
          <w:color w:val="000000" w:themeColor="text1"/>
          <w:lang w:val="en-GB" w:eastAsia="zh-CN"/>
        </w:rPr>
        <w:t xml:space="preserve">Parameters of the suggested model such as </w:t>
      </w:r>
      <w:r w:rsidRPr="00393433">
        <w:rPr>
          <w:i/>
          <w:iCs/>
          <w:color w:val="000000" w:themeColor="text1"/>
          <w:lang w:val="en-GB" w:eastAsia="zh-CN"/>
        </w:rPr>
        <w:t>S</w:t>
      </w:r>
      <w:r w:rsidRPr="00393433">
        <w:rPr>
          <w:i/>
          <w:iCs/>
          <w:color w:val="000000" w:themeColor="text1"/>
          <w:vertAlign w:val="subscript"/>
          <w:lang w:val="en-GB" w:eastAsia="zh-CN"/>
        </w:rPr>
        <w:t>max</w:t>
      </w:r>
      <w:r w:rsidRPr="00393433">
        <w:rPr>
          <w:color w:val="000000" w:themeColor="text1"/>
          <w:lang w:val="en-GB" w:eastAsia="zh-CN"/>
        </w:rPr>
        <w:t xml:space="preserve">, </w:t>
      </w:r>
      <w:r w:rsidRPr="00393433">
        <w:rPr>
          <w:i/>
          <w:iCs/>
          <w:color w:val="000000" w:themeColor="text1"/>
          <w:lang w:val="en-GB"/>
        </w:rPr>
        <w:t>R</w:t>
      </w:r>
      <w:r w:rsidRPr="00393433">
        <w:rPr>
          <w:i/>
          <w:iCs/>
          <w:color w:val="000000" w:themeColor="text1"/>
          <w:vertAlign w:val="subscript"/>
          <w:lang w:val="en-GB"/>
        </w:rPr>
        <w:t>MD</w:t>
      </w:r>
      <w:r w:rsidRPr="00393433">
        <w:rPr>
          <w:color w:val="000000" w:themeColor="text1"/>
          <w:lang w:val="en-GB"/>
        </w:rPr>
        <w:t xml:space="preserve"> and </w:t>
      </w:r>
      <w:r w:rsidRPr="00393433">
        <w:rPr>
          <w:i/>
          <w:iCs/>
          <w:color w:val="000000" w:themeColor="text1"/>
          <w:lang w:val="en-GB"/>
        </w:rPr>
        <w:t>R</w:t>
      </w:r>
      <w:r w:rsidRPr="00393433">
        <w:rPr>
          <w:i/>
          <w:iCs/>
          <w:color w:val="000000" w:themeColor="text1"/>
          <w:vertAlign w:val="subscript"/>
          <w:lang w:val="en-GB"/>
        </w:rPr>
        <w:t>FH</w:t>
      </w:r>
      <w:r w:rsidRPr="00393433">
        <w:rPr>
          <w:color w:val="000000" w:themeColor="text1"/>
          <w:lang w:val="en-GB"/>
        </w:rPr>
        <w:t xml:space="preserve"> as well as the coupling parameters, </w:t>
      </w:r>
      <m:oMath>
        <m:r>
          <w:rPr>
            <w:rFonts w:ascii="Cambria Math" w:hAnsi="Cambria Math"/>
            <w:color w:val="000000" w:themeColor="text1"/>
          </w:rPr>
          <m:t>α</m:t>
        </m:r>
      </m:oMath>
      <w:r w:rsidRPr="00393433">
        <w:rPr>
          <w:color w:val="000000" w:themeColor="text1"/>
          <w:lang w:val="en-GB"/>
        </w:rPr>
        <w:t xml:space="preserve">  and </w:t>
      </w:r>
      <m:oMath>
        <m:r>
          <w:rPr>
            <w:rFonts w:ascii="Cambria Math" w:hAnsi="Cambria Math"/>
            <w:color w:val="000000" w:themeColor="text1"/>
          </w:rPr>
          <m:t>β</m:t>
        </m:r>
      </m:oMath>
      <w:r w:rsidRPr="00393433">
        <w:rPr>
          <w:color w:val="000000" w:themeColor="text1"/>
          <w:lang w:val="en-GB"/>
        </w:rPr>
        <w:t xml:space="preserve"> are acquired from a suitable calibration of the model for the equilibrium water simulation case. </w:t>
      </w:r>
      <w:r w:rsidRPr="00D40526">
        <w:rPr>
          <w:color w:val="000000" w:themeColor="text1"/>
        </w:rPr>
        <w:t>Summary of the model parameters is provided in Table 1.</w:t>
      </w:r>
    </w:p>
    <w:p w14:paraId="08CCAF58" w14:textId="77777777" w:rsidR="00EA15F8" w:rsidRPr="00D40526" w:rsidRDefault="00EA15F8" w:rsidP="00EA15F8">
      <w:pPr>
        <w:jc w:val="center"/>
        <w:rPr>
          <w:color w:val="000000" w:themeColor="text1"/>
        </w:rPr>
      </w:pPr>
      <w:r w:rsidRPr="00D40526">
        <w:rPr>
          <w:noProof/>
          <w:color w:val="000000" w:themeColor="text1"/>
          <w:lang w:val="en-GB" w:eastAsia="en-GB"/>
        </w:rPr>
        <w:drawing>
          <wp:inline distT="0" distB="0" distL="0" distR="0" wp14:anchorId="6E4DD881" wp14:editId="3B77BA2F">
            <wp:extent cx="3600000" cy="2180211"/>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600000" cy="2180211"/>
                    </a:xfrm>
                    <a:prstGeom prst="rect">
                      <a:avLst/>
                    </a:prstGeom>
                    <a:noFill/>
                    <a:ln>
                      <a:noFill/>
                    </a:ln>
                  </pic:spPr>
                </pic:pic>
              </a:graphicData>
            </a:graphic>
          </wp:inline>
        </w:drawing>
      </w:r>
    </w:p>
    <w:p w14:paraId="2F6F6F54" w14:textId="6A85A448" w:rsidR="00EA15F8" w:rsidRPr="00393433" w:rsidRDefault="002D2EA1" w:rsidP="00A46F21">
      <w:pPr>
        <w:spacing w:afterLines="100" w:after="240"/>
        <w:jc w:val="center"/>
        <w:rPr>
          <w:b/>
          <w:color w:val="000000" w:themeColor="text1"/>
          <w:lang w:val="en-GB"/>
        </w:rPr>
      </w:pPr>
      <w:r w:rsidRPr="00393433">
        <w:rPr>
          <w:b/>
          <w:color w:val="000000" w:themeColor="text1"/>
          <w:lang w:val="en-GB"/>
        </w:rPr>
        <w:t>Figure</w:t>
      </w:r>
      <w:r w:rsidR="00EA15F8" w:rsidRPr="00393433">
        <w:rPr>
          <w:b/>
          <w:color w:val="000000" w:themeColor="text1"/>
          <w:lang w:val="en-GB"/>
        </w:rPr>
        <w:t xml:space="preserve"> 2</w:t>
      </w:r>
      <w:r w:rsidR="00C7706E" w:rsidRPr="00393433">
        <w:rPr>
          <w:b/>
          <w:color w:val="000000" w:themeColor="text1"/>
          <w:lang w:val="en-GB"/>
        </w:rPr>
        <w:t>.</w:t>
      </w:r>
      <w:r w:rsidR="00EA15F8" w:rsidRPr="00393433">
        <w:rPr>
          <w:b/>
          <w:color w:val="000000" w:themeColor="text1"/>
          <w:lang w:val="en-GB"/>
        </w:rPr>
        <w:t xml:space="preserve"> </w:t>
      </w:r>
      <w:r w:rsidR="00EA15F8" w:rsidRPr="00393433">
        <w:rPr>
          <w:bCs/>
          <w:color w:val="000000" w:themeColor="text1"/>
          <w:lang w:val="en-GB"/>
        </w:rPr>
        <w:t>Computational setup for the simulation of water fluctuations: the overlapping continuum and particle box domains. The insert shows an outline of the spherical pure MD region (</w:t>
      </w:r>
      <w:r w:rsidR="00EA15F8" w:rsidRPr="00393433">
        <w:rPr>
          <w:bCs/>
          <w:i/>
          <w:iCs/>
          <w:color w:val="000000" w:themeColor="text1"/>
          <w:lang w:val="en-GB"/>
        </w:rPr>
        <w:t>s</w:t>
      </w:r>
      <w:r w:rsidR="00EA15F8" w:rsidRPr="00393433">
        <w:rPr>
          <w:bCs/>
          <w:color w:val="000000" w:themeColor="text1"/>
          <w:lang w:val="en-GB"/>
        </w:rPr>
        <w:t xml:space="preserve"> = 0) inside the MD particle box.</w:t>
      </w:r>
    </w:p>
    <w:p w14:paraId="610EB15F" w14:textId="77777777" w:rsidR="00EA15F8" w:rsidRPr="00D40526" w:rsidRDefault="00EA15F8" w:rsidP="00EA15F8">
      <w:pPr>
        <w:widowControl w:val="0"/>
        <w:autoSpaceDE w:val="0"/>
        <w:autoSpaceDN w:val="0"/>
        <w:adjustRightInd w:val="0"/>
        <w:jc w:val="center"/>
        <w:rPr>
          <w:b/>
          <w:color w:val="000000" w:themeColor="text1"/>
          <w:lang w:val="en-US"/>
        </w:rPr>
      </w:pPr>
      <w:r w:rsidRPr="00D40526">
        <w:rPr>
          <w:b/>
          <w:color w:val="000000" w:themeColor="text1"/>
          <w:lang w:val="en-US"/>
        </w:rPr>
        <w:t>Table 1. Simulation parameters of the GLL-FH model of the SPC/E water flow</w:t>
      </w:r>
    </w:p>
    <w:tbl>
      <w:tblPr>
        <w:tblStyle w:val="TableGrid"/>
        <w:tblW w:w="9354" w:type="dxa"/>
        <w:tblLayout w:type="fixed"/>
        <w:tblLook w:val="04A0" w:firstRow="1" w:lastRow="0" w:firstColumn="1" w:lastColumn="0" w:noHBand="0" w:noVBand="1"/>
      </w:tblPr>
      <w:tblGrid>
        <w:gridCol w:w="5245"/>
        <w:gridCol w:w="4053"/>
        <w:gridCol w:w="56"/>
      </w:tblGrid>
      <w:tr w:rsidR="00D40526" w:rsidRPr="00D40526" w14:paraId="748BF3B6" w14:textId="77777777" w:rsidTr="00501302">
        <w:trPr>
          <w:gridAfter w:val="1"/>
          <w:wAfter w:w="56" w:type="dxa"/>
          <w:trHeight w:val="283"/>
        </w:trPr>
        <w:tc>
          <w:tcPr>
            <w:tcW w:w="5245" w:type="dxa"/>
            <w:tcBorders>
              <w:left w:val="nil"/>
              <w:bottom w:val="single" w:sz="4" w:space="0" w:color="auto"/>
            </w:tcBorders>
            <w:vAlign w:val="center"/>
          </w:tcPr>
          <w:p w14:paraId="0BB76AC6"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Items</w:t>
            </w:r>
          </w:p>
        </w:tc>
        <w:tc>
          <w:tcPr>
            <w:tcW w:w="4053" w:type="dxa"/>
            <w:tcBorders>
              <w:bottom w:val="single" w:sz="4" w:space="0" w:color="auto"/>
              <w:right w:val="nil"/>
            </w:tcBorders>
            <w:vAlign w:val="center"/>
          </w:tcPr>
          <w:p w14:paraId="1687D891"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value</w:t>
            </w:r>
          </w:p>
        </w:tc>
      </w:tr>
      <w:tr w:rsidR="00D40526" w:rsidRPr="00D40526" w14:paraId="43D3C6EF" w14:textId="77777777" w:rsidTr="00501302">
        <w:trPr>
          <w:gridAfter w:val="1"/>
          <w:wAfter w:w="56" w:type="dxa"/>
          <w:trHeight w:val="283"/>
        </w:trPr>
        <w:tc>
          <w:tcPr>
            <w:tcW w:w="5245" w:type="dxa"/>
            <w:tcBorders>
              <w:left w:val="nil"/>
            </w:tcBorders>
            <w:vAlign w:val="center"/>
          </w:tcPr>
          <w:p w14:paraId="3811806F"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Number of atoms (molecules)</w:t>
            </w:r>
          </w:p>
        </w:tc>
        <w:tc>
          <w:tcPr>
            <w:tcW w:w="4053" w:type="dxa"/>
            <w:tcBorders>
              <w:right w:val="nil"/>
            </w:tcBorders>
            <w:vAlign w:val="center"/>
          </w:tcPr>
          <w:p w14:paraId="1278EAC8"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91125 (30375)</w:t>
            </w:r>
          </w:p>
        </w:tc>
      </w:tr>
      <w:tr w:rsidR="00D40526" w:rsidRPr="00D40526" w14:paraId="6B0BE561" w14:textId="77777777" w:rsidTr="00501302">
        <w:trPr>
          <w:gridAfter w:val="1"/>
          <w:wAfter w:w="56" w:type="dxa"/>
          <w:trHeight w:val="283"/>
        </w:trPr>
        <w:tc>
          <w:tcPr>
            <w:tcW w:w="5245" w:type="dxa"/>
            <w:tcBorders>
              <w:left w:val="nil"/>
            </w:tcBorders>
            <w:vAlign w:val="center"/>
          </w:tcPr>
          <w:p w14:paraId="2E839538"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Molecular mass (g·mol</w:t>
            </w:r>
            <w:r w:rsidRPr="00D40526">
              <w:rPr>
                <w:rFonts w:ascii="Times New Roman" w:hAnsi="Times New Roman" w:cs="Times New Roman"/>
                <w:color w:val="000000" w:themeColor="text1"/>
                <w:vertAlign w:val="superscript"/>
              </w:rPr>
              <w:t>−1</w:t>
            </w:r>
            <w:r w:rsidRPr="00D40526">
              <w:rPr>
                <w:rFonts w:ascii="Times New Roman" w:hAnsi="Times New Roman" w:cs="Times New Roman"/>
                <w:color w:val="000000" w:themeColor="text1"/>
              </w:rPr>
              <w:t>)</w:t>
            </w:r>
          </w:p>
        </w:tc>
        <w:tc>
          <w:tcPr>
            <w:tcW w:w="4053" w:type="dxa"/>
            <w:tcBorders>
              <w:right w:val="nil"/>
            </w:tcBorders>
            <w:vAlign w:val="center"/>
          </w:tcPr>
          <w:p w14:paraId="09004962"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18.015</w:t>
            </w:r>
          </w:p>
        </w:tc>
      </w:tr>
      <w:tr w:rsidR="00D40526" w:rsidRPr="00D40526" w14:paraId="7C7EDC6E" w14:textId="77777777" w:rsidTr="00501302">
        <w:trPr>
          <w:gridAfter w:val="1"/>
          <w:wAfter w:w="56" w:type="dxa"/>
          <w:trHeight w:val="283"/>
        </w:trPr>
        <w:tc>
          <w:tcPr>
            <w:tcW w:w="5245" w:type="dxa"/>
            <w:tcBorders>
              <w:left w:val="nil"/>
            </w:tcBorders>
            <w:vAlign w:val="center"/>
          </w:tcPr>
          <w:p w14:paraId="426B9D98"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Temperature (K)</w:t>
            </w:r>
          </w:p>
        </w:tc>
        <w:tc>
          <w:tcPr>
            <w:tcW w:w="4053" w:type="dxa"/>
            <w:tcBorders>
              <w:right w:val="nil"/>
            </w:tcBorders>
            <w:vAlign w:val="center"/>
          </w:tcPr>
          <w:p w14:paraId="3589A4AA"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298.15</w:t>
            </w:r>
          </w:p>
        </w:tc>
      </w:tr>
      <w:tr w:rsidR="00D40526" w:rsidRPr="00D40526" w14:paraId="0D4A7B40" w14:textId="77777777" w:rsidTr="00501302">
        <w:trPr>
          <w:gridAfter w:val="1"/>
          <w:wAfter w:w="56" w:type="dxa"/>
          <w:trHeight w:val="283"/>
        </w:trPr>
        <w:tc>
          <w:tcPr>
            <w:tcW w:w="5245" w:type="dxa"/>
            <w:tcBorders>
              <w:left w:val="nil"/>
            </w:tcBorders>
            <w:vAlign w:val="center"/>
          </w:tcPr>
          <w:p w14:paraId="29DB5D86"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MD box volume (nm</w:t>
            </w:r>
            <w:r w:rsidRPr="00D40526">
              <w:rPr>
                <w:rFonts w:ascii="Times New Roman" w:hAnsi="Times New Roman" w:cs="Times New Roman"/>
                <w:color w:val="000000" w:themeColor="text1"/>
                <w:vertAlign w:val="superscript"/>
              </w:rPr>
              <w:t>3</w:t>
            </w:r>
            <w:r w:rsidRPr="00D40526">
              <w:rPr>
                <w:rFonts w:ascii="Times New Roman" w:hAnsi="Times New Roman" w:cs="Times New Roman"/>
                <w:color w:val="000000" w:themeColor="text1"/>
              </w:rPr>
              <w:t>)</w:t>
            </w:r>
          </w:p>
        </w:tc>
        <w:tc>
          <w:tcPr>
            <w:tcW w:w="4053" w:type="dxa"/>
            <w:tcBorders>
              <w:right w:val="nil"/>
            </w:tcBorders>
            <w:vAlign w:val="center"/>
          </w:tcPr>
          <w:p w14:paraId="5F9FB75E"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9</w:t>
            </w:r>
            <w:r w:rsidRPr="00D40526">
              <w:rPr>
                <w:rFonts w:ascii="Times New Roman" w:eastAsia="rtxmi7" w:hAnsi="Times New Roman" w:cs="Times New Roman"/>
                <w:color w:val="000000" w:themeColor="text1"/>
                <w:lang w:val="en-US"/>
              </w:rPr>
              <w:t>.</w:t>
            </w:r>
            <w:r w:rsidRPr="00D40526">
              <w:rPr>
                <w:rFonts w:ascii="Times New Roman" w:eastAsia="NimbusRomNo9L-Regu" w:hAnsi="Times New Roman" w:cs="Times New Roman"/>
                <w:color w:val="000000" w:themeColor="text1"/>
                <w:lang w:val="en-US"/>
              </w:rPr>
              <w:t>686</w:t>
            </w:r>
            <w:r w:rsidRPr="00D40526">
              <w:rPr>
                <w:rFonts w:ascii="Times New Roman" w:eastAsia="txsy" w:hAnsi="Times New Roman" w:cs="Times New Roman"/>
                <w:color w:val="000000" w:themeColor="text1"/>
                <w:lang w:val="en-US"/>
              </w:rPr>
              <w:t>×</w:t>
            </w:r>
            <w:r w:rsidRPr="00D40526">
              <w:rPr>
                <w:rFonts w:ascii="Times New Roman" w:eastAsia="NimbusRomNo9L-Regu" w:hAnsi="Times New Roman" w:cs="Times New Roman"/>
                <w:color w:val="000000" w:themeColor="text1"/>
                <w:lang w:val="en-US"/>
              </w:rPr>
              <w:t>9</w:t>
            </w:r>
            <w:r w:rsidRPr="00D40526">
              <w:rPr>
                <w:rFonts w:ascii="Times New Roman" w:eastAsia="rtxmi7" w:hAnsi="Times New Roman" w:cs="Times New Roman"/>
                <w:color w:val="000000" w:themeColor="text1"/>
                <w:lang w:val="en-US"/>
              </w:rPr>
              <w:t>.</w:t>
            </w:r>
            <w:r w:rsidRPr="00D40526">
              <w:rPr>
                <w:rFonts w:ascii="Times New Roman" w:eastAsia="NimbusRomNo9L-Regu" w:hAnsi="Times New Roman" w:cs="Times New Roman"/>
                <w:color w:val="000000" w:themeColor="text1"/>
                <w:lang w:val="en-US"/>
              </w:rPr>
              <w:t>686</w:t>
            </w:r>
            <w:r w:rsidRPr="00D40526">
              <w:rPr>
                <w:rFonts w:ascii="Times New Roman" w:eastAsia="txsy" w:hAnsi="Times New Roman" w:cs="Times New Roman"/>
                <w:color w:val="000000" w:themeColor="text1"/>
                <w:lang w:val="en-US"/>
              </w:rPr>
              <w:t>×</w:t>
            </w:r>
            <w:r w:rsidRPr="00D40526">
              <w:rPr>
                <w:rFonts w:ascii="Times New Roman" w:eastAsia="NimbusRomNo9L-Regu" w:hAnsi="Times New Roman" w:cs="Times New Roman"/>
                <w:color w:val="000000" w:themeColor="text1"/>
                <w:lang w:val="en-US"/>
              </w:rPr>
              <w:t>9</w:t>
            </w:r>
            <w:r w:rsidRPr="00D40526">
              <w:rPr>
                <w:rFonts w:ascii="Times New Roman" w:eastAsia="rtxmi7" w:hAnsi="Times New Roman" w:cs="Times New Roman"/>
                <w:color w:val="000000" w:themeColor="text1"/>
                <w:lang w:val="en-US"/>
              </w:rPr>
              <w:t>.</w:t>
            </w:r>
            <w:r w:rsidRPr="00D40526">
              <w:rPr>
                <w:rFonts w:ascii="Times New Roman" w:eastAsia="NimbusRomNo9L-Regu" w:hAnsi="Times New Roman" w:cs="Times New Roman"/>
                <w:color w:val="000000" w:themeColor="text1"/>
                <w:lang w:val="en-US"/>
              </w:rPr>
              <w:t>686</w:t>
            </w:r>
          </w:p>
        </w:tc>
      </w:tr>
      <w:tr w:rsidR="00D40526" w:rsidRPr="00D40526" w14:paraId="126DF6B2" w14:textId="77777777" w:rsidTr="00501302">
        <w:trPr>
          <w:gridAfter w:val="1"/>
          <w:wAfter w:w="56" w:type="dxa"/>
          <w:trHeight w:val="283"/>
        </w:trPr>
        <w:tc>
          <w:tcPr>
            <w:tcW w:w="5245" w:type="dxa"/>
            <w:tcBorders>
              <w:left w:val="nil"/>
            </w:tcBorders>
            <w:vAlign w:val="center"/>
          </w:tcPr>
          <w:p w14:paraId="7D67018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MD time step (ps)</w:t>
            </w:r>
          </w:p>
        </w:tc>
        <w:tc>
          <w:tcPr>
            <w:tcW w:w="4053" w:type="dxa"/>
            <w:tcBorders>
              <w:right w:val="nil"/>
            </w:tcBorders>
            <w:vAlign w:val="center"/>
          </w:tcPr>
          <w:p w14:paraId="73B218CA"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0.001</w:t>
            </w:r>
          </w:p>
        </w:tc>
      </w:tr>
      <w:tr w:rsidR="00D40526" w:rsidRPr="00D40526" w14:paraId="69EBF6C4" w14:textId="77777777" w:rsidTr="00501302">
        <w:trPr>
          <w:gridAfter w:val="1"/>
          <w:wAfter w:w="56" w:type="dxa"/>
          <w:trHeight w:val="283"/>
        </w:trPr>
        <w:tc>
          <w:tcPr>
            <w:tcW w:w="5245" w:type="dxa"/>
            <w:tcBorders>
              <w:left w:val="nil"/>
            </w:tcBorders>
            <w:vAlign w:val="center"/>
          </w:tcPr>
          <w:p w14:paraId="1F9DC124" w14:textId="77777777" w:rsidR="00EA15F8" w:rsidRPr="00393433" w:rsidRDefault="00EA15F8" w:rsidP="00FF7D99">
            <w:pPr>
              <w:jc w:val="center"/>
              <w:rPr>
                <w:rFonts w:ascii="Times New Roman" w:hAnsi="Times New Roman" w:cs="Times New Roman"/>
                <w:color w:val="000000" w:themeColor="text1"/>
                <w:lang w:val="en-GB"/>
              </w:rPr>
            </w:pPr>
            <w:r w:rsidRPr="00393433">
              <w:rPr>
                <w:rFonts w:ascii="Times New Roman" w:hAnsi="Times New Roman" w:cs="Times New Roman"/>
                <w:color w:val="000000" w:themeColor="text1"/>
                <w:lang w:val="en-GB"/>
              </w:rPr>
              <w:t>Continuum solver time step (ps)</w:t>
            </w:r>
          </w:p>
        </w:tc>
        <w:tc>
          <w:tcPr>
            <w:tcW w:w="4053" w:type="dxa"/>
            <w:tcBorders>
              <w:right w:val="nil"/>
            </w:tcBorders>
            <w:vAlign w:val="center"/>
          </w:tcPr>
          <w:p w14:paraId="02073795" w14:textId="77777777" w:rsidR="00EA15F8" w:rsidRPr="00D40526" w:rsidRDefault="00EA15F8" w:rsidP="00FF7D99">
            <w:pPr>
              <w:jc w:val="center"/>
              <w:rPr>
                <w:rFonts w:ascii="Times New Roman" w:eastAsia="NimbusRomNo9L-Regu" w:hAnsi="Times New Roman" w:cs="Times New Roman"/>
                <w:color w:val="000000" w:themeColor="text1"/>
                <w:lang w:val="en-US"/>
              </w:rPr>
            </w:pPr>
            <w:r w:rsidRPr="00D40526">
              <w:rPr>
                <w:rFonts w:ascii="Times New Roman" w:eastAsia="NimbusRomNo9L-Regu" w:hAnsi="Times New Roman" w:cs="Times New Roman"/>
                <w:color w:val="000000" w:themeColor="text1"/>
                <w:lang w:val="en-US"/>
              </w:rPr>
              <w:t>0.01</w:t>
            </w:r>
          </w:p>
        </w:tc>
      </w:tr>
      <w:tr w:rsidR="00D40526" w:rsidRPr="00D40526" w14:paraId="2DEC58E4" w14:textId="77777777" w:rsidTr="00501302">
        <w:trPr>
          <w:gridAfter w:val="1"/>
          <w:wAfter w:w="56" w:type="dxa"/>
          <w:trHeight w:val="283"/>
        </w:trPr>
        <w:tc>
          <w:tcPr>
            <w:tcW w:w="5245" w:type="dxa"/>
            <w:tcBorders>
              <w:left w:val="nil"/>
            </w:tcBorders>
            <w:vAlign w:val="center"/>
          </w:tcPr>
          <w:p w14:paraId="1C669A6B"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Average density (amu·nm</w:t>
            </w:r>
            <w:r w:rsidRPr="00D40526">
              <w:rPr>
                <w:rFonts w:ascii="Times New Roman" w:hAnsi="Times New Roman" w:cs="Times New Roman"/>
                <w:color w:val="000000" w:themeColor="text1"/>
                <w:vertAlign w:val="superscript"/>
              </w:rPr>
              <w:t>−3</w:t>
            </w:r>
            <w:r w:rsidRPr="00D40526">
              <w:rPr>
                <w:rFonts w:ascii="Times New Roman" w:hAnsi="Times New Roman" w:cs="Times New Roman"/>
                <w:color w:val="000000" w:themeColor="text1"/>
              </w:rPr>
              <w:t>)</w:t>
            </w:r>
          </w:p>
        </w:tc>
        <w:tc>
          <w:tcPr>
            <w:tcW w:w="4053" w:type="dxa"/>
            <w:tcBorders>
              <w:right w:val="nil"/>
            </w:tcBorders>
            <w:vAlign w:val="center"/>
          </w:tcPr>
          <w:p w14:paraId="273EC3DA"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602.18</w:t>
            </w:r>
          </w:p>
        </w:tc>
      </w:tr>
      <w:tr w:rsidR="00D40526" w:rsidRPr="00D40526" w14:paraId="2097E743" w14:textId="77777777" w:rsidTr="00501302">
        <w:trPr>
          <w:gridAfter w:val="1"/>
          <w:wAfter w:w="56" w:type="dxa"/>
          <w:trHeight w:val="283"/>
        </w:trPr>
        <w:tc>
          <w:tcPr>
            <w:tcW w:w="5245" w:type="dxa"/>
            <w:tcBorders>
              <w:left w:val="nil"/>
            </w:tcBorders>
            <w:vAlign w:val="center"/>
          </w:tcPr>
          <w:p w14:paraId="5F1ADC5F" w14:textId="77777777" w:rsidR="00EA15F8" w:rsidRPr="00393433" w:rsidRDefault="00EA15F8" w:rsidP="00FF7D99">
            <w:pPr>
              <w:jc w:val="center"/>
              <w:rPr>
                <w:rFonts w:ascii="Times New Roman" w:hAnsi="Times New Roman" w:cs="Times New Roman"/>
                <w:color w:val="000000" w:themeColor="text1"/>
                <w:lang w:val="en-GB"/>
              </w:rPr>
            </w:pPr>
            <w:r w:rsidRPr="00393433">
              <w:rPr>
                <w:rFonts w:ascii="Times New Roman" w:hAnsi="Times New Roman" w:cs="Times New Roman"/>
                <w:color w:val="000000" w:themeColor="text1"/>
                <w:lang w:val="en-GB"/>
              </w:rPr>
              <w:t>Shear viscosity (amu·nm</w:t>
            </w:r>
            <w:r w:rsidRPr="00393433">
              <w:rPr>
                <w:rFonts w:ascii="Times New Roman" w:hAnsi="Times New Roman" w:cs="Times New Roman"/>
                <w:color w:val="000000" w:themeColor="text1"/>
                <w:vertAlign w:val="superscript"/>
                <w:lang w:val="en-GB"/>
              </w:rPr>
              <w:t>−1</w:t>
            </w:r>
            <w:r w:rsidRPr="00393433">
              <w:rPr>
                <w:rFonts w:ascii="Times New Roman" w:hAnsi="Times New Roman" w:cs="Times New Roman"/>
                <w:color w:val="000000" w:themeColor="text1"/>
                <w:lang w:val="en-GB"/>
              </w:rPr>
              <w:t>·ps</w:t>
            </w:r>
            <w:r w:rsidRPr="00393433">
              <w:rPr>
                <w:rFonts w:ascii="Times New Roman" w:hAnsi="Times New Roman" w:cs="Times New Roman"/>
                <w:color w:val="000000" w:themeColor="text1"/>
                <w:vertAlign w:val="superscript"/>
                <w:lang w:val="en-GB"/>
              </w:rPr>
              <w:t>−1</w:t>
            </w:r>
            <w:r w:rsidRPr="00393433">
              <w:rPr>
                <w:rFonts w:ascii="Times New Roman" w:hAnsi="Times New Roman" w:cs="Times New Roman"/>
                <w:color w:val="000000" w:themeColor="text1"/>
                <w:lang w:val="en-GB"/>
              </w:rPr>
              <w:t>)</w:t>
            </w:r>
          </w:p>
        </w:tc>
        <w:tc>
          <w:tcPr>
            <w:tcW w:w="4053" w:type="dxa"/>
            <w:tcBorders>
              <w:right w:val="nil"/>
            </w:tcBorders>
            <w:vAlign w:val="center"/>
          </w:tcPr>
          <w:p w14:paraId="24851589"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409.496</w:t>
            </w:r>
          </w:p>
        </w:tc>
      </w:tr>
      <w:tr w:rsidR="00D40526" w:rsidRPr="00D40526" w14:paraId="7DF4CEA2" w14:textId="77777777" w:rsidTr="00501302">
        <w:trPr>
          <w:gridAfter w:val="1"/>
          <w:wAfter w:w="56" w:type="dxa"/>
          <w:trHeight w:val="283"/>
        </w:trPr>
        <w:tc>
          <w:tcPr>
            <w:tcW w:w="5245" w:type="dxa"/>
            <w:tcBorders>
              <w:left w:val="nil"/>
            </w:tcBorders>
            <w:vAlign w:val="center"/>
          </w:tcPr>
          <w:p w14:paraId="7E8FBB8B" w14:textId="77777777" w:rsidR="00EA15F8" w:rsidRPr="00393433" w:rsidRDefault="00EA15F8" w:rsidP="00FF7D99">
            <w:pPr>
              <w:jc w:val="center"/>
              <w:rPr>
                <w:rFonts w:ascii="Times New Roman" w:hAnsi="Times New Roman" w:cs="Times New Roman"/>
                <w:color w:val="000000" w:themeColor="text1"/>
                <w:lang w:val="en-GB"/>
              </w:rPr>
            </w:pPr>
            <w:r w:rsidRPr="00393433">
              <w:rPr>
                <w:rFonts w:ascii="Times New Roman" w:hAnsi="Times New Roman" w:cs="Times New Roman"/>
                <w:color w:val="000000" w:themeColor="text1"/>
                <w:lang w:val="en-GB"/>
              </w:rPr>
              <w:t>Bulk viscosity (amu·nm</w:t>
            </w:r>
            <w:r w:rsidRPr="00393433">
              <w:rPr>
                <w:rFonts w:ascii="Times New Roman" w:hAnsi="Times New Roman" w:cs="Times New Roman"/>
                <w:color w:val="000000" w:themeColor="text1"/>
                <w:vertAlign w:val="superscript"/>
                <w:lang w:val="en-GB"/>
              </w:rPr>
              <w:t>−1</w:t>
            </w:r>
            <w:r w:rsidRPr="00393433">
              <w:rPr>
                <w:rFonts w:ascii="Times New Roman" w:hAnsi="Times New Roman" w:cs="Times New Roman"/>
                <w:color w:val="000000" w:themeColor="text1"/>
                <w:lang w:val="en-GB"/>
              </w:rPr>
              <w:t>·ps</w:t>
            </w:r>
            <w:r w:rsidRPr="00393433">
              <w:rPr>
                <w:rFonts w:ascii="Times New Roman" w:hAnsi="Times New Roman" w:cs="Times New Roman"/>
                <w:color w:val="000000" w:themeColor="text1"/>
                <w:vertAlign w:val="superscript"/>
                <w:lang w:val="en-GB"/>
              </w:rPr>
              <w:t>−1</w:t>
            </w:r>
            <w:r w:rsidRPr="00393433">
              <w:rPr>
                <w:rFonts w:ascii="Times New Roman" w:hAnsi="Times New Roman" w:cs="Times New Roman"/>
                <w:color w:val="000000" w:themeColor="text1"/>
                <w:lang w:val="en-GB"/>
              </w:rPr>
              <w:t>)</w:t>
            </w:r>
          </w:p>
        </w:tc>
        <w:tc>
          <w:tcPr>
            <w:tcW w:w="4053" w:type="dxa"/>
            <w:tcBorders>
              <w:right w:val="nil"/>
            </w:tcBorders>
            <w:vAlign w:val="center"/>
          </w:tcPr>
          <w:p w14:paraId="6B1ACB4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eastAsia="NimbusRomNo9L-Regu" w:hAnsi="Times New Roman" w:cs="Times New Roman"/>
                <w:color w:val="000000" w:themeColor="text1"/>
                <w:lang w:val="en-US"/>
              </w:rPr>
              <w:t>933.41</w:t>
            </w:r>
          </w:p>
        </w:tc>
      </w:tr>
      <w:tr w:rsidR="00D40526" w:rsidRPr="00D40526" w14:paraId="79895ADC" w14:textId="77777777" w:rsidTr="00501302">
        <w:trPr>
          <w:gridAfter w:val="1"/>
          <w:wAfter w:w="56" w:type="dxa"/>
          <w:trHeight w:val="283"/>
        </w:trPr>
        <w:tc>
          <w:tcPr>
            <w:tcW w:w="5245" w:type="dxa"/>
            <w:tcBorders>
              <w:left w:val="nil"/>
            </w:tcBorders>
            <w:vAlign w:val="center"/>
          </w:tcPr>
          <w:p w14:paraId="33A82273" w14:textId="2CC9DF0D" w:rsidR="00EA15F8" w:rsidRPr="00393433" w:rsidRDefault="00EA15F8" w:rsidP="00FF7D99">
            <w:pPr>
              <w:jc w:val="center"/>
              <w:rPr>
                <w:rFonts w:ascii="Times New Roman" w:hAnsi="Times New Roman" w:cs="Times New Roman"/>
                <w:i/>
                <w:iCs/>
                <w:color w:val="000000" w:themeColor="text1"/>
                <w:lang w:val="en-GB" w:eastAsia="zh-CN"/>
              </w:rPr>
            </w:pPr>
            <w:r w:rsidRPr="00393433">
              <w:rPr>
                <w:rFonts w:ascii="Times New Roman" w:hAnsi="Times New Roman" w:cs="Times New Roman"/>
                <w:color w:val="000000" w:themeColor="text1"/>
                <w:lang w:val="en-GB" w:eastAsia="zh-CN"/>
              </w:rPr>
              <w:t>Maximum concentration of the hydrodynamic phase in the particle domain</w:t>
            </w:r>
            <w:r w:rsidRPr="00393433">
              <w:rPr>
                <w:rFonts w:ascii="Times New Roman" w:hAnsi="Times New Roman" w:cs="Times New Roman"/>
                <w:i/>
                <w:iCs/>
                <w:color w:val="000000" w:themeColor="text1"/>
                <w:lang w:val="en-GB" w:eastAsia="zh-CN"/>
              </w:rPr>
              <w:t xml:space="preserve"> </w:t>
            </w:r>
            <w:r w:rsidR="00501302" w:rsidRPr="00D40526">
              <w:rPr>
                <w:rFonts w:ascii="Times New Roman" w:eastAsia="MS Mincho" w:hAnsi="Times New Roman" w:cs="Times New Roman"/>
                <w:color w:val="000000" w:themeColor="text1"/>
                <w:position w:val="-12"/>
              </w:rPr>
              <w:object w:dxaOrig="460" w:dyaOrig="360" w14:anchorId="57F0D20F">
                <v:shape id="_x0000_i1105" type="#_x0000_t75" style="width:22.5pt;height:17.25pt" o:ole="">
                  <v:imagedata r:id="rId171" o:title=""/>
                </v:shape>
                <o:OLEObject Type="Embed" ProgID="Equation.DSMT4" ShapeID="_x0000_i1105" DrawAspect="Content" ObjectID="_1701512204" r:id="rId172"/>
              </w:object>
            </w:r>
          </w:p>
        </w:tc>
        <w:tc>
          <w:tcPr>
            <w:tcW w:w="4053" w:type="dxa"/>
            <w:tcBorders>
              <w:right w:val="nil"/>
            </w:tcBorders>
            <w:vAlign w:val="center"/>
          </w:tcPr>
          <w:p w14:paraId="543E6A85" w14:textId="77777777" w:rsidR="00EA15F8" w:rsidRPr="00D40526" w:rsidRDefault="00EA15F8" w:rsidP="00FF7D99">
            <w:pPr>
              <w:jc w:val="center"/>
              <w:rPr>
                <w:rFonts w:ascii="Times New Roman" w:hAnsi="Times New Roman" w:cs="Times New Roman"/>
                <w:color w:val="000000" w:themeColor="text1"/>
                <w:lang w:val="en-US" w:eastAsia="zh-CN"/>
              </w:rPr>
            </w:pPr>
            <w:r w:rsidRPr="00D40526">
              <w:rPr>
                <w:rFonts w:ascii="Times New Roman" w:hAnsi="Times New Roman" w:cs="Times New Roman"/>
                <w:color w:val="000000" w:themeColor="text1"/>
                <w:lang w:val="en-US" w:eastAsia="zh-CN"/>
              </w:rPr>
              <w:t>0.5</w:t>
            </w:r>
          </w:p>
        </w:tc>
      </w:tr>
      <w:tr w:rsidR="00D40526" w:rsidRPr="00D40526" w14:paraId="563FAB78" w14:textId="77777777" w:rsidTr="00501302">
        <w:trPr>
          <w:gridAfter w:val="1"/>
          <w:wAfter w:w="56" w:type="dxa"/>
          <w:trHeight w:val="283"/>
        </w:trPr>
        <w:tc>
          <w:tcPr>
            <w:tcW w:w="5245" w:type="dxa"/>
            <w:tcBorders>
              <w:left w:val="nil"/>
            </w:tcBorders>
            <w:vAlign w:val="center"/>
          </w:tcPr>
          <w:p w14:paraId="256FB55E" w14:textId="77777777" w:rsidR="00EA15F8" w:rsidRPr="00393433" w:rsidRDefault="00EA15F8" w:rsidP="00FF7D99">
            <w:pPr>
              <w:jc w:val="center"/>
              <w:rPr>
                <w:rFonts w:ascii="Times New Roman" w:hAnsi="Times New Roman" w:cs="Times New Roman"/>
                <w:color w:val="000000" w:themeColor="text1"/>
                <w:lang w:val="en-GB" w:eastAsia="zh-CN"/>
              </w:rPr>
            </w:pPr>
            <w:r w:rsidRPr="00393433">
              <w:rPr>
                <w:rFonts w:ascii="Times New Roman" w:hAnsi="Times New Roman" w:cs="Times New Roman"/>
                <w:color w:val="000000" w:themeColor="text1"/>
                <w:lang w:val="en-GB" w:eastAsia="zh-CN"/>
              </w:rPr>
              <w:t>Number of control volumes in the MD box domain</w:t>
            </w:r>
          </w:p>
        </w:tc>
        <w:tc>
          <w:tcPr>
            <w:tcW w:w="4053" w:type="dxa"/>
            <w:tcBorders>
              <w:right w:val="nil"/>
            </w:tcBorders>
            <w:vAlign w:val="center"/>
          </w:tcPr>
          <w:p w14:paraId="498D8BF9" w14:textId="77777777" w:rsidR="00EA15F8" w:rsidRPr="00D40526" w:rsidRDefault="00EA15F8" w:rsidP="00FF7D99">
            <w:pPr>
              <w:jc w:val="center"/>
              <w:rPr>
                <w:rFonts w:ascii="Times New Roman" w:hAnsi="Times New Roman" w:cs="Times New Roman"/>
                <w:color w:val="000000" w:themeColor="text1"/>
                <w:lang w:val="en-US" w:eastAsia="zh-CN"/>
              </w:rPr>
            </w:pPr>
            <w:r w:rsidRPr="00D40526">
              <w:rPr>
                <w:rFonts w:ascii="Times New Roman" w:hAnsi="Times New Roman" w:cs="Times New Roman"/>
                <w:color w:val="000000" w:themeColor="text1"/>
                <w:lang w:val="en-US" w:eastAsia="zh-CN"/>
              </w:rPr>
              <w:t>5×5×5</w:t>
            </w:r>
          </w:p>
        </w:tc>
      </w:tr>
      <w:tr w:rsidR="00D40526" w:rsidRPr="00D40526" w14:paraId="3AF7FFF7" w14:textId="77777777" w:rsidTr="00501302">
        <w:trPr>
          <w:gridAfter w:val="1"/>
          <w:wAfter w:w="56" w:type="dxa"/>
          <w:trHeight w:val="283"/>
        </w:trPr>
        <w:tc>
          <w:tcPr>
            <w:tcW w:w="5245" w:type="dxa"/>
            <w:tcBorders>
              <w:left w:val="nil"/>
            </w:tcBorders>
            <w:vAlign w:val="center"/>
          </w:tcPr>
          <w:p w14:paraId="63A1F687" w14:textId="77777777" w:rsidR="00EA15F8" w:rsidRPr="00393433" w:rsidRDefault="00EA15F8" w:rsidP="00FF7D99">
            <w:pPr>
              <w:jc w:val="center"/>
              <w:rPr>
                <w:rFonts w:ascii="Times New Roman" w:hAnsi="Times New Roman" w:cs="Times New Roman"/>
                <w:color w:val="000000" w:themeColor="text1"/>
                <w:lang w:val="en-GB" w:eastAsia="zh-CN"/>
              </w:rPr>
            </w:pPr>
            <w:r w:rsidRPr="00393433">
              <w:rPr>
                <w:rFonts w:ascii="Times New Roman" w:hAnsi="Times New Roman" w:cs="Times New Roman"/>
                <w:color w:val="000000" w:themeColor="text1"/>
                <w:lang w:val="en-GB" w:eastAsia="zh-CN"/>
              </w:rPr>
              <w:t>Number of control volumes in the continuum box domain</w:t>
            </w:r>
          </w:p>
        </w:tc>
        <w:tc>
          <w:tcPr>
            <w:tcW w:w="4053" w:type="dxa"/>
            <w:tcBorders>
              <w:right w:val="nil"/>
            </w:tcBorders>
            <w:vAlign w:val="center"/>
          </w:tcPr>
          <w:p w14:paraId="577B9460" w14:textId="77777777" w:rsidR="00EA15F8" w:rsidRPr="00D40526" w:rsidRDefault="00EA15F8" w:rsidP="00FF7D99">
            <w:pPr>
              <w:jc w:val="center"/>
              <w:rPr>
                <w:rFonts w:ascii="Times New Roman" w:hAnsi="Times New Roman" w:cs="Times New Roman"/>
                <w:color w:val="000000" w:themeColor="text1"/>
                <w:lang w:val="en-US" w:eastAsia="zh-CN"/>
              </w:rPr>
            </w:pPr>
            <w:r w:rsidRPr="00D40526">
              <w:rPr>
                <w:rFonts w:ascii="Times New Roman" w:hAnsi="Times New Roman" w:cs="Times New Roman"/>
                <w:color w:val="000000" w:themeColor="text1"/>
                <w:lang w:val="en-US" w:eastAsia="zh-CN"/>
              </w:rPr>
              <w:t>9×9×9&amp;17×17×17</w:t>
            </w:r>
          </w:p>
        </w:tc>
      </w:tr>
      <w:tr w:rsidR="00D40526" w:rsidRPr="00D40526" w14:paraId="476E1526" w14:textId="77777777" w:rsidTr="00501302">
        <w:trPr>
          <w:gridAfter w:val="1"/>
          <w:wAfter w:w="56" w:type="dxa"/>
          <w:trHeight w:val="283"/>
        </w:trPr>
        <w:tc>
          <w:tcPr>
            <w:tcW w:w="5245" w:type="dxa"/>
            <w:tcBorders>
              <w:left w:val="nil"/>
            </w:tcBorders>
            <w:vAlign w:val="center"/>
          </w:tcPr>
          <w:p w14:paraId="57237F72" w14:textId="77777777" w:rsidR="00EA15F8" w:rsidRPr="00D40526" w:rsidRDefault="00EA15F8" w:rsidP="00FF7D99">
            <w:pPr>
              <w:jc w:val="center"/>
              <w:rPr>
                <w:rFonts w:ascii="Times New Roman" w:hAnsi="Times New Roman" w:cs="Times New Roman"/>
                <w:i/>
                <w:iCs/>
                <w:color w:val="000000" w:themeColor="text1"/>
                <w:lang w:eastAsia="zh-CN"/>
              </w:rPr>
            </w:pPr>
            <w:r w:rsidRPr="00D40526">
              <w:rPr>
                <w:rFonts w:ascii="Times New Roman" w:hAnsi="Times New Roman" w:cs="Times New Roman"/>
                <w:iCs/>
                <w:color w:val="000000" w:themeColor="text1"/>
                <w:lang w:eastAsia="zh-CN"/>
              </w:rPr>
              <w:t>Dimensionless radius of the pure MD zone</w:t>
            </w:r>
            <w:r w:rsidRPr="00D40526">
              <w:rPr>
                <w:rFonts w:ascii="Times New Roman" w:hAnsi="Times New Roman" w:cs="Times New Roman"/>
                <w:i/>
                <w:iCs/>
                <w:color w:val="000000" w:themeColor="text1"/>
                <w:lang w:eastAsia="zh-CN"/>
              </w:rPr>
              <w:t xml:space="preserve">, </w:t>
            </w:r>
            <w:r w:rsidRPr="00D40526">
              <w:rPr>
                <w:rFonts w:ascii="Times New Roman" w:eastAsia="MS Mincho" w:hAnsi="Times New Roman" w:cs="Times New Roman"/>
                <w:color w:val="000000" w:themeColor="text1"/>
                <w:position w:val="-12"/>
              </w:rPr>
              <w:object w:dxaOrig="720" w:dyaOrig="380" w14:anchorId="4CB76CE1">
                <v:shape id="_x0000_i1106" type="#_x0000_t75" style="width:37.5pt;height:18.75pt" o:ole="">
                  <v:imagedata r:id="rId173" o:title=""/>
                </v:shape>
                <o:OLEObject Type="Embed" ProgID="Equation.DSMT4" ShapeID="_x0000_i1106" DrawAspect="Content" ObjectID="_1701512205" r:id="rId174"/>
              </w:object>
            </w:r>
          </w:p>
        </w:tc>
        <w:tc>
          <w:tcPr>
            <w:tcW w:w="4053" w:type="dxa"/>
            <w:tcBorders>
              <w:right w:val="nil"/>
            </w:tcBorders>
            <w:vAlign w:val="center"/>
          </w:tcPr>
          <w:p w14:paraId="07DD14A8" w14:textId="77777777" w:rsidR="00EA15F8" w:rsidRPr="00D40526" w:rsidRDefault="00EA15F8" w:rsidP="00FF7D99">
            <w:pPr>
              <w:jc w:val="center"/>
              <w:rPr>
                <w:rFonts w:ascii="Times New Roman" w:hAnsi="Times New Roman" w:cs="Times New Roman"/>
                <w:color w:val="000000" w:themeColor="text1"/>
                <w:lang w:val="en-US" w:eastAsia="zh-CN"/>
              </w:rPr>
            </w:pPr>
            <w:r w:rsidRPr="00D40526">
              <w:rPr>
                <w:rFonts w:ascii="Times New Roman" w:hAnsi="Times New Roman" w:cs="Times New Roman"/>
                <w:color w:val="000000" w:themeColor="text1"/>
                <w:lang w:val="en-US" w:eastAsia="zh-CN"/>
              </w:rPr>
              <w:t>0.5</w:t>
            </w:r>
          </w:p>
        </w:tc>
      </w:tr>
      <w:tr w:rsidR="00D40526" w:rsidRPr="00D40526" w14:paraId="52E34892" w14:textId="77777777" w:rsidTr="00501302">
        <w:trPr>
          <w:trHeight w:val="283"/>
        </w:trPr>
        <w:tc>
          <w:tcPr>
            <w:tcW w:w="5245" w:type="dxa"/>
            <w:tcBorders>
              <w:left w:val="nil"/>
              <w:bottom w:val="single" w:sz="4" w:space="0" w:color="auto"/>
            </w:tcBorders>
            <w:vAlign w:val="center"/>
          </w:tcPr>
          <w:p w14:paraId="652E1B69" w14:textId="50B5871D" w:rsidR="00EA15F8" w:rsidRPr="00D40526" w:rsidRDefault="00EA15F8" w:rsidP="00FF7D99">
            <w:pPr>
              <w:jc w:val="center"/>
              <w:rPr>
                <w:rFonts w:ascii="Times New Roman" w:hAnsi="Times New Roman" w:cs="Times New Roman"/>
                <w:i/>
                <w:iCs/>
                <w:color w:val="000000" w:themeColor="text1"/>
                <w:lang w:eastAsia="zh-CN"/>
              </w:rPr>
            </w:pPr>
            <w:r w:rsidRPr="00D40526">
              <w:rPr>
                <w:rFonts w:ascii="Times New Roman" w:hAnsi="Times New Roman" w:cs="Times New Roman"/>
                <w:iCs/>
                <w:color w:val="000000" w:themeColor="text1"/>
                <w:lang w:eastAsia="zh-CN"/>
              </w:rPr>
              <w:lastRenderedPageBreak/>
              <w:t>Dimensionless radius of the pure MD/FH zone</w:t>
            </w:r>
            <w:r w:rsidRPr="00D40526">
              <w:rPr>
                <w:rFonts w:ascii="Times New Roman" w:hAnsi="Times New Roman" w:cs="Times New Roman"/>
                <w:i/>
                <w:iCs/>
                <w:color w:val="000000" w:themeColor="text1"/>
                <w:lang w:eastAsia="zh-CN"/>
              </w:rPr>
              <w:t xml:space="preserve">, </w:t>
            </w:r>
            <w:r w:rsidR="00501302" w:rsidRPr="00D40526">
              <w:rPr>
                <w:rFonts w:ascii="Times New Roman" w:eastAsia="MS Mincho" w:hAnsi="Times New Roman" w:cs="Times New Roman"/>
                <w:color w:val="000000" w:themeColor="text1"/>
                <w:position w:val="-12"/>
              </w:rPr>
              <w:object w:dxaOrig="999" w:dyaOrig="380" w14:anchorId="5F90CA80">
                <v:shape id="_x0000_i1107" type="#_x0000_t75" style="width:49.5pt;height:19.5pt" o:ole="">
                  <v:imagedata r:id="rId175" o:title=""/>
                </v:shape>
                <o:OLEObject Type="Embed" ProgID="Equation.DSMT4" ShapeID="_x0000_i1107" DrawAspect="Content" ObjectID="_1701512206" r:id="rId176"/>
              </w:object>
            </w:r>
          </w:p>
        </w:tc>
        <w:tc>
          <w:tcPr>
            <w:tcW w:w="4109" w:type="dxa"/>
            <w:gridSpan w:val="2"/>
            <w:tcBorders>
              <w:bottom w:val="single" w:sz="4" w:space="0" w:color="auto"/>
              <w:right w:val="nil"/>
            </w:tcBorders>
            <w:vAlign w:val="center"/>
          </w:tcPr>
          <w:p w14:paraId="34DE655C" w14:textId="77777777" w:rsidR="00EA15F8" w:rsidRPr="00D40526" w:rsidRDefault="00EA15F8" w:rsidP="00FF7D99">
            <w:pPr>
              <w:jc w:val="center"/>
              <w:rPr>
                <w:rFonts w:ascii="Times New Roman" w:hAnsi="Times New Roman" w:cs="Times New Roman"/>
                <w:color w:val="000000" w:themeColor="text1"/>
                <w:lang w:val="en-US" w:eastAsia="zh-CN"/>
              </w:rPr>
            </w:pPr>
            <w:r w:rsidRPr="00D40526">
              <w:rPr>
                <w:rFonts w:ascii="Times New Roman" w:hAnsi="Times New Roman" w:cs="Times New Roman"/>
                <w:color w:val="000000" w:themeColor="text1"/>
                <w:lang w:val="en-US" w:eastAsia="zh-CN"/>
              </w:rPr>
              <w:t>1</w:t>
            </w:r>
          </w:p>
        </w:tc>
      </w:tr>
      <w:tr w:rsidR="00D40526" w:rsidRPr="00D40526" w14:paraId="232A595B" w14:textId="77777777" w:rsidTr="00501302">
        <w:trPr>
          <w:trHeight w:val="283"/>
        </w:trPr>
        <w:tc>
          <w:tcPr>
            <w:tcW w:w="5245" w:type="dxa"/>
            <w:tcBorders>
              <w:left w:val="nil"/>
              <w:bottom w:val="single" w:sz="4" w:space="0" w:color="auto"/>
            </w:tcBorders>
            <w:vAlign w:val="center"/>
          </w:tcPr>
          <w:p w14:paraId="7463F42F" w14:textId="77777777" w:rsidR="00EA15F8" w:rsidRPr="00393433" w:rsidRDefault="00EA15F8" w:rsidP="00FF7D99">
            <w:pPr>
              <w:jc w:val="center"/>
              <w:rPr>
                <w:rFonts w:ascii="Times New Roman" w:hAnsi="Times New Roman" w:cs="Times New Roman"/>
                <w:color w:val="000000" w:themeColor="text1"/>
                <w:lang w:val="en-GB"/>
              </w:rPr>
            </w:pPr>
            <w:r w:rsidRPr="00393433">
              <w:rPr>
                <w:rFonts w:ascii="Times New Roman" w:hAnsi="Times New Roman" w:cs="Times New Roman"/>
                <w:iCs/>
                <w:color w:val="000000" w:themeColor="text1"/>
                <w:lang w:val="en-GB"/>
              </w:rPr>
              <w:t>MD/FH coupling parameters,</w:t>
            </w:r>
            <w:r w:rsidRPr="00393433">
              <w:rPr>
                <w:rFonts w:ascii="Times New Roman" w:hAnsi="Times New Roman" w:cs="Times New Roman"/>
                <w:i/>
                <w:iCs/>
                <w:color w:val="000000" w:themeColor="text1"/>
                <w:lang w:val="en-GB"/>
              </w:rPr>
              <w:t xml:space="preserve"> </w:t>
            </w:r>
            <w:r w:rsidRPr="00D40526">
              <w:rPr>
                <w:rFonts w:ascii="Times New Roman" w:hAnsi="Times New Roman" w:cs="Times New Roman"/>
                <w:i/>
                <w:iCs/>
                <w:color w:val="000000" w:themeColor="text1"/>
              </w:rPr>
              <w:t>α</w:t>
            </w:r>
            <w:r w:rsidRPr="00393433">
              <w:rPr>
                <w:rFonts w:ascii="Times New Roman" w:hAnsi="Times New Roman" w:cs="Times New Roman"/>
                <w:i/>
                <w:iCs/>
                <w:color w:val="000000" w:themeColor="text1"/>
                <w:lang w:val="en-GB"/>
              </w:rPr>
              <w:t xml:space="preserve"> </w:t>
            </w:r>
            <w:r w:rsidRPr="00393433">
              <w:rPr>
                <w:rFonts w:ascii="Times New Roman" w:hAnsi="Times New Roman" w:cs="Times New Roman"/>
                <w:color w:val="000000" w:themeColor="text1"/>
                <w:lang w:val="en-GB"/>
              </w:rPr>
              <w:t>(ps</w:t>
            </w:r>
            <w:r w:rsidRPr="00393433">
              <w:rPr>
                <w:rFonts w:ascii="Times New Roman" w:hAnsi="Times New Roman" w:cs="Times New Roman"/>
                <w:color w:val="000000" w:themeColor="text1"/>
                <w:vertAlign w:val="superscript"/>
                <w:lang w:val="en-GB"/>
              </w:rPr>
              <w:t>-1</w:t>
            </w:r>
            <w:r w:rsidRPr="00393433">
              <w:rPr>
                <w:rFonts w:ascii="Times New Roman" w:hAnsi="Times New Roman" w:cs="Times New Roman"/>
                <w:color w:val="000000" w:themeColor="text1"/>
                <w:lang w:val="en-GB"/>
              </w:rPr>
              <w:t xml:space="preserve">), </w:t>
            </w:r>
            <w:r w:rsidRPr="00D40526">
              <w:rPr>
                <w:rFonts w:ascii="Times New Roman" w:hAnsi="Times New Roman" w:cs="Times New Roman"/>
                <w:i/>
                <w:iCs/>
                <w:color w:val="000000" w:themeColor="text1"/>
              </w:rPr>
              <w:t>β</w:t>
            </w:r>
            <w:r w:rsidRPr="00393433">
              <w:rPr>
                <w:rFonts w:ascii="Times New Roman" w:hAnsi="Times New Roman" w:cs="Times New Roman"/>
                <w:i/>
                <w:iCs/>
                <w:color w:val="000000" w:themeColor="text1"/>
                <w:lang w:val="en-GB"/>
              </w:rPr>
              <w:t xml:space="preserve"> </w:t>
            </w:r>
            <w:r w:rsidRPr="00393433">
              <w:rPr>
                <w:rFonts w:ascii="Times New Roman" w:hAnsi="Times New Roman" w:cs="Times New Roman"/>
                <w:color w:val="000000" w:themeColor="text1"/>
                <w:lang w:val="en-GB"/>
              </w:rPr>
              <w:t>(ps</w:t>
            </w:r>
            <w:r w:rsidRPr="00393433">
              <w:rPr>
                <w:rFonts w:ascii="Times New Roman" w:hAnsi="Times New Roman" w:cs="Times New Roman"/>
                <w:color w:val="000000" w:themeColor="text1"/>
                <w:vertAlign w:val="superscript"/>
                <w:lang w:val="en-GB"/>
              </w:rPr>
              <w:t>-1</w:t>
            </w:r>
            <w:r w:rsidRPr="00393433">
              <w:rPr>
                <w:rFonts w:ascii="Times New Roman" w:hAnsi="Times New Roman" w:cs="Times New Roman"/>
                <w:color w:val="000000" w:themeColor="text1"/>
                <w:lang w:val="en-GB"/>
              </w:rPr>
              <w:t>)</w:t>
            </w:r>
          </w:p>
        </w:tc>
        <w:tc>
          <w:tcPr>
            <w:tcW w:w="4109" w:type="dxa"/>
            <w:gridSpan w:val="2"/>
            <w:tcBorders>
              <w:right w:val="nil"/>
            </w:tcBorders>
            <w:vAlign w:val="center"/>
          </w:tcPr>
          <w:p w14:paraId="399BA589"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500, 1000</w:t>
            </w:r>
          </w:p>
        </w:tc>
      </w:tr>
      <w:tr w:rsidR="00D40526" w:rsidRPr="00D40526" w14:paraId="25F2EAE6" w14:textId="77777777" w:rsidTr="00501302">
        <w:trPr>
          <w:trHeight w:val="283"/>
        </w:trPr>
        <w:tc>
          <w:tcPr>
            <w:tcW w:w="5245" w:type="dxa"/>
            <w:tcBorders>
              <w:top w:val="single" w:sz="4" w:space="0" w:color="auto"/>
              <w:left w:val="nil"/>
              <w:bottom w:val="single" w:sz="4" w:space="0" w:color="auto"/>
            </w:tcBorders>
            <w:vAlign w:val="center"/>
          </w:tcPr>
          <w:p w14:paraId="2AB2B0B5" w14:textId="77777777" w:rsidR="00EA15F8" w:rsidRPr="00D40526" w:rsidRDefault="00EA15F8" w:rsidP="00FF7D99">
            <w:pPr>
              <w:jc w:val="center"/>
              <w:rPr>
                <w:rFonts w:ascii="Times New Roman" w:hAnsi="Times New Roman" w:cs="Times New Roman"/>
                <w:i/>
                <w:iCs/>
                <w:color w:val="000000" w:themeColor="text1"/>
                <w:lang w:eastAsia="zh-CN"/>
              </w:rPr>
            </w:pPr>
            <w:r w:rsidRPr="00D40526">
              <w:rPr>
                <w:rFonts w:ascii="Times New Roman" w:hAnsi="Times New Roman" w:cs="Times New Roman"/>
                <w:color w:val="000000" w:themeColor="text1"/>
              </w:rPr>
              <w:t>Thermostat relaxation time</w:t>
            </w:r>
            <w:r w:rsidRPr="00D40526">
              <w:rPr>
                <w:rFonts w:ascii="Times New Roman" w:hAnsi="Times New Roman" w:cs="Times New Roman"/>
                <w:i/>
                <w:color w:val="000000" w:themeColor="text1"/>
              </w:rPr>
              <w:t>,</w:t>
            </w:r>
            <w:r w:rsidRPr="00D40526">
              <w:rPr>
                <w:rFonts w:ascii="Times New Roman" w:hAnsi="Times New Roman" w:cs="Times New Roman"/>
                <w:color w:val="000000" w:themeColor="text1"/>
              </w:rPr>
              <w:t xml:space="preserve"> (ps)</w:t>
            </w:r>
          </w:p>
        </w:tc>
        <w:tc>
          <w:tcPr>
            <w:tcW w:w="4109" w:type="dxa"/>
            <w:gridSpan w:val="2"/>
            <w:tcBorders>
              <w:right w:val="nil"/>
            </w:tcBorders>
            <w:vAlign w:val="center"/>
          </w:tcPr>
          <w:p w14:paraId="2431CF85"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0.01</w:t>
            </w:r>
          </w:p>
        </w:tc>
      </w:tr>
      <w:tr w:rsidR="00D40526" w:rsidRPr="00D40526" w14:paraId="7096AB4E" w14:textId="77777777" w:rsidTr="00501302">
        <w:trPr>
          <w:trHeight w:val="283"/>
        </w:trPr>
        <w:tc>
          <w:tcPr>
            <w:tcW w:w="5245" w:type="dxa"/>
            <w:tcBorders>
              <w:top w:val="single" w:sz="4" w:space="0" w:color="auto"/>
              <w:left w:val="nil"/>
              <w:bottom w:val="single" w:sz="4" w:space="0" w:color="auto"/>
            </w:tcBorders>
            <w:vAlign w:val="center"/>
          </w:tcPr>
          <w:p w14:paraId="2B5BA17D" w14:textId="3231F469" w:rsidR="000625BA" w:rsidRPr="00D40526" w:rsidRDefault="00AF4796"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Constraints algorithm</w:t>
            </w:r>
          </w:p>
        </w:tc>
        <w:tc>
          <w:tcPr>
            <w:tcW w:w="4109" w:type="dxa"/>
            <w:gridSpan w:val="2"/>
            <w:tcBorders>
              <w:right w:val="nil"/>
            </w:tcBorders>
            <w:vAlign w:val="center"/>
          </w:tcPr>
          <w:p w14:paraId="754EF194" w14:textId="7BE6B24D" w:rsidR="000625BA" w:rsidRPr="00D40526" w:rsidRDefault="00AF4796"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SETTLE</w:t>
            </w:r>
            <w:r w:rsidR="004E40F6" w:rsidRPr="00D40526">
              <w:rPr>
                <w:color w:val="000000" w:themeColor="text1"/>
                <w:lang w:eastAsia="zh-CN"/>
              </w:rPr>
              <w:fldChar w:fldCharType="begin"/>
            </w:r>
            <w:r w:rsidR="004E40F6" w:rsidRPr="00D40526">
              <w:rPr>
                <w:rFonts w:ascii="Times New Roman" w:hAnsi="Times New Roman" w:cs="Times New Roman"/>
                <w:color w:val="000000" w:themeColor="text1"/>
                <w:lang w:eastAsia="zh-CN"/>
              </w:rPr>
              <w:instrText xml:space="preserve"> ADDIN EN.CITE &lt;EndNote&gt;&lt;Cite&gt;&lt;Author&gt;Miyamoto&lt;/Author&gt;&lt;Year&gt;1992&lt;/Year&gt;&lt;RecNum&gt;25&lt;/RecNum&gt;&lt;DisplayText&gt;&lt;style face="superscript"&gt;[25]&lt;/style&gt;&lt;/DisplayText&gt;&lt;record&gt;&lt;rec-number&gt;25&lt;/rec-number&gt;&lt;foreign-keys&gt;&lt;key app="EN" db-id="2few9s5xuzd0fkexrp852fpetz5dda0wzve0" timestamp="1634439314"&gt;25&lt;/key&gt;&lt;/foreign-keys&gt;&lt;ref-type name="Journal Article"&gt;17&lt;/ref-type&gt;&lt;contributors&gt;&lt;authors&gt;&lt;author&gt;Miyamoto, Shuichi&lt;/author&gt;&lt;author&gt;Kollman, Peter A.&lt;/author&gt;&lt;/authors&gt;&lt;/contributors&gt;&lt;titles&gt;&lt;title&gt;Settle: An analytical version of the SHAKE and RATTLE algorithm for rigid water models&lt;/title&gt;&lt;secondary-title&gt;J. Comput. Chem.&lt;/secondary-title&gt;&lt;/titles&gt;&lt;periodical&gt;&lt;full-title&gt;J. Comput. Chem.&lt;/full-title&gt;&lt;/periodical&gt;&lt;pages&gt;952-962&lt;/pages&gt;&lt;volume&gt;13&lt;/volume&gt;&lt;number&gt;8&lt;/number&gt;&lt;dates&gt;&lt;year&gt;1992&lt;/year&gt;&lt;/dates&gt;&lt;isbn&gt;0192-8651&lt;/isbn&gt;&lt;urls&gt;&lt;related-urls&gt;&lt;url&gt;https://onlinelibrary.wiley.com/doi/abs/10.1002/jcc.540130805&lt;/url&gt;&lt;/related-urls&gt;&lt;/urls&gt;&lt;electronic-resource-num&gt;https://doi.org/10.1002/jcc.540130805&lt;/electronic-resource-num&gt;&lt;/record&gt;&lt;/Cite&gt;&lt;/EndNote&gt;</w:instrText>
            </w:r>
            <w:r w:rsidR="004E40F6" w:rsidRPr="00D40526">
              <w:rPr>
                <w:color w:val="000000" w:themeColor="text1"/>
                <w:lang w:eastAsia="zh-CN"/>
              </w:rPr>
              <w:fldChar w:fldCharType="separate"/>
            </w:r>
            <w:r w:rsidR="004E40F6" w:rsidRPr="00D40526">
              <w:rPr>
                <w:rFonts w:ascii="Times New Roman" w:hAnsi="Times New Roman" w:cs="Times New Roman"/>
                <w:noProof/>
                <w:color w:val="000000" w:themeColor="text1"/>
                <w:vertAlign w:val="superscript"/>
                <w:lang w:eastAsia="zh-CN"/>
              </w:rPr>
              <w:t>[25]</w:t>
            </w:r>
            <w:r w:rsidR="004E40F6" w:rsidRPr="00D40526">
              <w:rPr>
                <w:color w:val="000000" w:themeColor="text1"/>
                <w:lang w:eastAsia="zh-CN"/>
              </w:rPr>
              <w:fldChar w:fldCharType="end"/>
            </w:r>
          </w:p>
        </w:tc>
      </w:tr>
      <w:tr w:rsidR="008F18D8" w:rsidRPr="00D40526" w14:paraId="2D5C49E4" w14:textId="77777777" w:rsidTr="00501302">
        <w:trPr>
          <w:trHeight w:val="283"/>
        </w:trPr>
        <w:tc>
          <w:tcPr>
            <w:tcW w:w="5245" w:type="dxa"/>
            <w:tcBorders>
              <w:top w:val="single" w:sz="4" w:space="0" w:color="auto"/>
              <w:left w:val="nil"/>
              <w:bottom w:val="single" w:sz="4" w:space="0" w:color="auto"/>
            </w:tcBorders>
            <w:vAlign w:val="center"/>
          </w:tcPr>
          <w:p w14:paraId="328877A2" w14:textId="2FCAB85F" w:rsidR="008F18D8" w:rsidRPr="00D40526" w:rsidRDefault="00564FE0"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Parameters of EoS</w:t>
            </w:r>
            <w:r w:rsidR="008F18D8" w:rsidRPr="00D40526">
              <w:rPr>
                <w:rFonts w:ascii="Times New Roman" w:hAnsi="Times New Roman" w:cs="Times New Roman"/>
                <w:color w:val="000000" w:themeColor="text1"/>
              </w:rPr>
              <w:t xml:space="preserve"> </w:t>
            </w:r>
            <w:r w:rsidR="008F18D8" w:rsidRPr="00D40526">
              <w:rPr>
                <w:rFonts w:ascii="Times New Roman" w:eastAsia="MS Mincho" w:hAnsi="Times New Roman" w:cs="Times New Roman"/>
                <w:color w:val="000000" w:themeColor="text1"/>
                <w:position w:val="-10"/>
              </w:rPr>
              <w:object w:dxaOrig="1740" w:dyaOrig="320" w14:anchorId="31C7EDBB">
                <v:shape id="_x0000_i1108" type="#_x0000_t75" style="width:87pt;height:16.5pt" o:ole="">
                  <v:imagedata r:id="rId177" o:title=""/>
                </v:shape>
                <o:OLEObject Type="Embed" ProgID="Equation.DSMT4" ShapeID="_x0000_i1108" DrawAspect="Content" ObjectID="_1701512207" r:id="rId178"/>
              </w:object>
            </w:r>
          </w:p>
        </w:tc>
        <w:tc>
          <w:tcPr>
            <w:tcW w:w="4109" w:type="dxa"/>
            <w:gridSpan w:val="2"/>
            <w:tcBorders>
              <w:right w:val="nil"/>
            </w:tcBorders>
            <w:vAlign w:val="center"/>
          </w:tcPr>
          <w:p w14:paraId="38624776" w14:textId="097FB3D9" w:rsidR="008F18D8" w:rsidRPr="00D40526" w:rsidRDefault="00501302" w:rsidP="002D420B">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a=0.010, b=-10.133,</w:t>
            </w:r>
            <w:r w:rsidR="002D420B" w:rsidRPr="00D40526">
              <w:rPr>
                <w:rFonts w:ascii="Times New Roman" w:hAnsi="Times New Roman" w:cs="Times New Roman"/>
                <w:color w:val="000000" w:themeColor="text1"/>
                <w:lang w:eastAsia="zh-CN"/>
              </w:rPr>
              <w:t xml:space="preserve"> </w:t>
            </w:r>
            <w:r w:rsidRPr="00D40526">
              <w:rPr>
                <w:rFonts w:ascii="Times New Roman" w:hAnsi="Times New Roman" w:cs="Times New Roman"/>
                <w:color w:val="000000" w:themeColor="text1"/>
                <w:lang w:eastAsia="zh-CN"/>
              </w:rPr>
              <w:t>c=2428.920</w:t>
            </w:r>
          </w:p>
        </w:tc>
      </w:tr>
    </w:tbl>
    <w:p w14:paraId="06E21E6C" w14:textId="77777777" w:rsidR="00332806" w:rsidRPr="00D40526" w:rsidRDefault="00332806" w:rsidP="007D063F">
      <w:pPr>
        <w:pStyle w:val="Head1"/>
        <w:rPr>
          <w:color w:val="000000" w:themeColor="text1"/>
        </w:rPr>
      </w:pPr>
    </w:p>
    <w:p w14:paraId="732A3B44" w14:textId="0FF00AFC" w:rsidR="00EA15F8" w:rsidRPr="00D40526" w:rsidRDefault="00EA15F8" w:rsidP="007D063F">
      <w:pPr>
        <w:pStyle w:val="Head1"/>
        <w:rPr>
          <w:color w:val="000000" w:themeColor="text1"/>
        </w:rPr>
      </w:pPr>
      <w:r w:rsidRPr="00D40526">
        <w:rPr>
          <w:color w:val="000000" w:themeColor="text1"/>
        </w:rPr>
        <w:t>3 Results and discussion</w:t>
      </w:r>
    </w:p>
    <w:p w14:paraId="36308502" w14:textId="1BBC2891" w:rsidR="00EA15F8" w:rsidRPr="00D40526" w:rsidRDefault="00EA15F8" w:rsidP="007D063F">
      <w:pPr>
        <w:pStyle w:val="Head1"/>
        <w:rPr>
          <w:color w:val="000000" w:themeColor="text1"/>
        </w:rPr>
      </w:pPr>
      <w:r w:rsidRPr="00D40526">
        <w:rPr>
          <w:color w:val="000000" w:themeColor="text1"/>
        </w:rPr>
        <w:t>3.1 Flow profiles</w:t>
      </w:r>
    </w:p>
    <w:p w14:paraId="7E6B6761" w14:textId="73E8D70E" w:rsidR="00EA15F8" w:rsidRPr="00393433" w:rsidRDefault="002D2EA1" w:rsidP="00EA15F8">
      <w:pPr>
        <w:spacing w:line="480" w:lineRule="auto"/>
        <w:ind w:firstLineChars="200" w:firstLine="480"/>
        <w:jc w:val="both"/>
        <w:rPr>
          <w:color w:val="000000" w:themeColor="text1"/>
          <w:lang w:val="en-GB"/>
        </w:rPr>
      </w:pPr>
      <w:r w:rsidRPr="00393433">
        <w:rPr>
          <w:color w:val="000000" w:themeColor="text1"/>
          <w:lang w:val="en-GB"/>
        </w:rPr>
        <w:t xml:space="preserve">Figure </w:t>
      </w:r>
      <w:r w:rsidR="00EA15F8" w:rsidRPr="00393433">
        <w:rPr>
          <w:color w:val="000000" w:themeColor="text1"/>
          <w:lang w:val="en-GB"/>
        </w:rPr>
        <w:t xml:space="preserve">3 compares the time-averaged velocity profiles of FH solutions and MD solutions for all four cases, the Cut-off and Reaction-Field electrostatics methods with two domain sizes, 9×9×9 and 17×17×17 cells. The three solutions compared against the analytical Poiseuille flow solution, </w:t>
      </w:r>
      <w:r w:rsidR="00EA15F8" w:rsidRPr="00D40526">
        <w:rPr>
          <w:color w:val="000000" w:themeColor="text1"/>
          <w:position w:val="-12"/>
        </w:rPr>
        <w:object w:dxaOrig="320" w:dyaOrig="360" w14:anchorId="1F8A15FC">
          <v:shape id="_x0000_i1109" type="#_x0000_t75" style="width:16.5pt;height:18pt" o:ole="">
            <v:imagedata r:id="rId179" o:title=""/>
          </v:shape>
          <o:OLEObject Type="Embed" ProgID="Equation.DSMT4" ShapeID="_x0000_i1109" DrawAspect="Content" ObjectID="_1701512208" r:id="rId180"/>
        </w:object>
      </w:r>
      <w:r w:rsidR="00EA15F8" w:rsidRPr="00393433">
        <w:rPr>
          <w:color w:val="000000" w:themeColor="text1"/>
          <w:lang w:val="en-GB"/>
        </w:rPr>
        <w:t xml:space="preserve"> correspond to the time-averaged velocity profile </w:t>
      </w:r>
      <w:r w:rsidR="00EA15F8" w:rsidRPr="00D40526">
        <w:rPr>
          <w:color w:val="000000" w:themeColor="text1"/>
          <w:position w:val="-14"/>
        </w:rPr>
        <w:object w:dxaOrig="440" w:dyaOrig="400" w14:anchorId="0F7A1601">
          <v:shape id="_x0000_i1110" type="#_x0000_t75" style="width:23.25pt;height:19.5pt" o:ole="">
            <v:imagedata r:id="rId181" o:title=""/>
          </v:shape>
          <o:OLEObject Type="Embed" ProgID="Equation.DSMT4" ShapeID="_x0000_i1110" DrawAspect="Content" ObjectID="_1701512209" r:id="rId182"/>
        </w:object>
      </w:r>
      <w:r w:rsidR="00EA15F8" w:rsidRPr="00393433">
        <w:rPr>
          <w:color w:val="000000" w:themeColor="text1"/>
          <w:lang w:val="en-GB"/>
        </w:rPr>
        <w:t xml:space="preserve"> and the time- and cell-volume-averaged profile of the MD particle velocities</w:t>
      </w:r>
      <m:oMath>
        <m:r>
          <w:rPr>
            <w:rFonts w:ascii="Cambria Math" w:hAnsi="Cambria Math"/>
            <w:color w:val="000000" w:themeColor="text1"/>
            <w:lang w:val="en-GB"/>
          </w:rPr>
          <m:t>,</m:t>
        </m:r>
        <m:r>
          <m:rPr>
            <m:sty m:val="p"/>
          </m:rPr>
          <w:rPr>
            <w:rFonts w:ascii="Cambria Math" w:hAnsi="Cambria Math"/>
            <w:color w:val="000000" w:themeColor="text1"/>
            <w:position w:val="-30"/>
          </w:rPr>
          <w:object w:dxaOrig="880" w:dyaOrig="700" w14:anchorId="59AAD358">
            <v:shape id="_x0000_i1111" type="#_x0000_t75" style="width:43.5pt;height:35.25pt" o:ole="">
              <v:imagedata r:id="rId183" o:title=""/>
            </v:shape>
            <o:OLEObject Type="Embed" ProgID="Equation.DSMT4" ShapeID="_x0000_i1111" DrawAspect="Content" ObjectID="_1701512210" r:id="rId184"/>
          </w:object>
        </m:r>
      </m:oMath>
      <w:r w:rsidR="00EA15F8" w:rsidRPr="00393433">
        <w:rPr>
          <w:color w:val="000000" w:themeColor="text1"/>
          <w:lang w:val="en-GB"/>
        </w:rPr>
        <w:t xml:space="preserve"> in the full particle zone including the buffer region and in the pure MD zone only. In all cases, the numerical solutions closely capture the analytical Poiseuille flow profile. It can be seen the MD velocity solutions of the large computational domain are less sensitive to the choice of the electrostatics interaction modelling. For the smaller domain, the Reaction-Field method leads to a less noisy and more accurate solution of the velocity profile. The larger sensitivity of the plain Cut-off method can be explained by the fact that it cannot accurately describe the long-range dipole-dipole interactions.</w:t>
      </w:r>
    </w:p>
    <w:p w14:paraId="7969E347" w14:textId="122571CF" w:rsidR="00EA15F8" w:rsidRPr="00D40526" w:rsidRDefault="003F2B96" w:rsidP="00EA15F8">
      <w:pPr>
        <w:jc w:val="center"/>
        <w:rPr>
          <w:color w:val="000000" w:themeColor="text1"/>
        </w:rPr>
      </w:pPr>
      <w:r w:rsidRPr="00D40526">
        <w:rPr>
          <w:color w:val="000000" w:themeColor="text1"/>
        </w:rPr>
        <w:object w:dxaOrig="7294" w:dyaOrig="5569" w14:anchorId="097AAC8A">
          <v:shape id="_x0000_i1112" type="#_x0000_t75" style="width:212.25pt;height:162pt" o:ole="">
            <v:imagedata r:id="rId185" o:title=""/>
          </v:shape>
          <o:OLEObject Type="Embed" ProgID="Origin95.Graph" ShapeID="_x0000_i1112" DrawAspect="Content" ObjectID="_1701512211" r:id="rId186"/>
        </w:object>
      </w:r>
      <w:r w:rsidRPr="00D40526">
        <w:rPr>
          <w:color w:val="000000" w:themeColor="text1"/>
        </w:rPr>
        <w:object w:dxaOrig="7294" w:dyaOrig="5569" w14:anchorId="4239EE3E">
          <v:shape id="_x0000_i1113" type="#_x0000_t75" style="width:212.25pt;height:162pt" o:ole="">
            <v:imagedata r:id="rId187" o:title=""/>
          </v:shape>
          <o:OLEObject Type="Embed" ProgID="Origin95.Graph" ShapeID="_x0000_i1113" DrawAspect="Content" ObjectID="_1701512212" r:id="rId188"/>
        </w:object>
      </w:r>
    </w:p>
    <w:p w14:paraId="53D4ED73" w14:textId="1E5D4851" w:rsidR="00EA15F8" w:rsidRPr="00D40526" w:rsidRDefault="003F2B96" w:rsidP="00EA15F8">
      <w:pPr>
        <w:jc w:val="center"/>
        <w:rPr>
          <w:color w:val="000000" w:themeColor="text1"/>
        </w:rPr>
      </w:pPr>
      <w:r w:rsidRPr="00D40526">
        <w:rPr>
          <w:color w:val="000000" w:themeColor="text1"/>
        </w:rPr>
        <w:object w:dxaOrig="7294" w:dyaOrig="5569" w14:anchorId="43759EA2">
          <v:shape id="_x0000_i1114" type="#_x0000_t75" style="width:212.25pt;height:163.5pt" o:ole="">
            <v:imagedata r:id="rId189" o:title=""/>
          </v:shape>
          <o:OLEObject Type="Embed" ProgID="Origin95.Graph" ShapeID="_x0000_i1114" DrawAspect="Content" ObjectID="_1701512213" r:id="rId190"/>
        </w:object>
      </w:r>
      <w:r w:rsidRPr="00D40526">
        <w:rPr>
          <w:color w:val="000000" w:themeColor="text1"/>
        </w:rPr>
        <w:object w:dxaOrig="7294" w:dyaOrig="5569" w14:anchorId="12538C17">
          <v:shape id="_x0000_i1115" type="#_x0000_t75" style="width:212.25pt;height:162pt" o:ole="">
            <v:imagedata r:id="rId191" o:title=""/>
          </v:shape>
          <o:OLEObject Type="Embed" ProgID="Origin95.Graph" ShapeID="_x0000_i1115" DrawAspect="Content" ObjectID="_1701512214" r:id="rId192"/>
        </w:object>
      </w:r>
    </w:p>
    <w:p w14:paraId="46CF989E" w14:textId="5EFAB2FF" w:rsidR="00EA15F8" w:rsidRPr="00393433" w:rsidRDefault="002D2EA1" w:rsidP="00EA15F8">
      <w:pPr>
        <w:spacing w:afterLines="50" w:after="120"/>
        <w:jc w:val="center"/>
        <w:rPr>
          <w:b/>
          <w:color w:val="000000" w:themeColor="text1"/>
          <w:lang w:val="en-GB"/>
        </w:rPr>
      </w:pPr>
      <w:r w:rsidRPr="00393433">
        <w:rPr>
          <w:b/>
          <w:color w:val="000000" w:themeColor="text1"/>
          <w:lang w:val="en-GB"/>
        </w:rPr>
        <w:t>Figure</w:t>
      </w:r>
      <w:r w:rsidR="00EA15F8" w:rsidRPr="00393433">
        <w:rPr>
          <w:b/>
          <w:color w:val="000000" w:themeColor="text1"/>
          <w:lang w:val="en-GB"/>
        </w:rPr>
        <w:t xml:space="preserve"> 3</w:t>
      </w:r>
      <w:r w:rsidR="003F2B96" w:rsidRPr="00393433">
        <w:rPr>
          <w:b/>
          <w:color w:val="000000" w:themeColor="text1"/>
          <w:lang w:val="en-GB"/>
        </w:rPr>
        <w:t>.</w:t>
      </w:r>
      <w:r w:rsidR="00EA15F8" w:rsidRPr="00393433">
        <w:rPr>
          <w:b/>
          <w:color w:val="000000" w:themeColor="text1"/>
          <w:lang w:val="en-GB"/>
        </w:rPr>
        <w:t xml:space="preserve"> </w:t>
      </w:r>
      <w:r w:rsidR="00EA15F8" w:rsidRPr="00393433">
        <w:rPr>
          <w:bCs/>
          <w:color w:val="000000" w:themeColor="text1"/>
          <w:lang w:val="en-GB"/>
        </w:rPr>
        <w:t>Time-averaged flow velocity profiles of the continuum field and MD particle solutions for different</w:t>
      </w:r>
      <w:bookmarkStart w:id="2" w:name="_Hlk74078514"/>
      <w:r w:rsidR="00EA15F8" w:rsidRPr="00393433">
        <w:rPr>
          <w:bCs/>
          <w:color w:val="000000" w:themeColor="text1"/>
          <w:lang w:val="en-GB"/>
        </w:rPr>
        <w:t xml:space="preserve"> hydrodynamic box sizes and MD electrostatics methods</w:t>
      </w:r>
      <w:bookmarkEnd w:id="2"/>
      <w:r w:rsidR="00EA15F8" w:rsidRPr="00393433">
        <w:rPr>
          <w:bCs/>
          <w:color w:val="000000" w:themeColor="text1"/>
          <w:lang w:val="en-GB"/>
        </w:rPr>
        <w:t>: (a) Cut-off method in the 9×9×9 domain, (b) Cut-off method in the 17×17×17 domain, (c) Reaction-field method in the 9×9×9 domain, and (d) Reaction-field method in the 17×17×17 domain.</w:t>
      </w:r>
      <w:r w:rsidR="00EA15F8" w:rsidRPr="00393433">
        <w:rPr>
          <w:b/>
          <w:color w:val="000000" w:themeColor="text1"/>
          <w:lang w:val="en-GB"/>
        </w:rPr>
        <w:t xml:space="preserve"> </w:t>
      </w:r>
    </w:p>
    <w:p w14:paraId="251ECCE0" w14:textId="77777777" w:rsidR="00EA15F8" w:rsidRPr="00D40526" w:rsidRDefault="00EA15F8" w:rsidP="007D063F">
      <w:pPr>
        <w:pStyle w:val="Head1"/>
        <w:rPr>
          <w:color w:val="000000" w:themeColor="text1"/>
        </w:rPr>
      </w:pPr>
      <w:r w:rsidRPr="00D40526">
        <w:rPr>
          <w:color w:val="000000" w:themeColor="text1"/>
        </w:rPr>
        <w:t>3.2 Thermal fluctuations</w:t>
      </w:r>
    </w:p>
    <w:p w14:paraId="29A6814C" w14:textId="77777777"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rPr>
        <w:t xml:space="preserve">The computed standard deviations of density and velocity fluctuations of the MD phase and the hydrodynamics fields, </w:t>
      </w:r>
      <w:r w:rsidRPr="00D40526">
        <w:rPr>
          <w:color w:val="000000" w:themeColor="text1"/>
          <w:position w:val="-14"/>
        </w:rPr>
        <w:object w:dxaOrig="800" w:dyaOrig="400" w14:anchorId="2A31FCAA">
          <v:shape id="_x0000_i1116" type="#_x0000_t75" style="width:41.25pt;height:19.5pt" o:ole="">
            <v:imagedata r:id="rId193" o:title=""/>
          </v:shape>
          <o:OLEObject Type="Embed" ProgID="Equation.DSMT4" ShapeID="_x0000_i1116" DrawAspect="Content" ObjectID="_1701512215" r:id="rId194"/>
        </w:object>
      </w:r>
      <w:r w:rsidRPr="00393433">
        <w:rPr>
          <w:color w:val="000000" w:themeColor="text1"/>
          <w:lang w:val="en-GB"/>
        </w:rPr>
        <w:t xml:space="preserve"> of the four solutions are summarised in Tables 2a and b. The MD fluctuations are ensemble-averaged over each control volume </w:t>
      </w:r>
      <w:r w:rsidRPr="00D40526">
        <w:rPr>
          <w:color w:val="000000" w:themeColor="text1"/>
          <w:position w:val="-6"/>
        </w:rPr>
        <w:object w:dxaOrig="240" w:dyaOrig="279" w14:anchorId="5AB6C2F9">
          <v:shape id="_x0000_i1117" type="#_x0000_t75" style="width:12.75pt;height:13.5pt" o:ole="">
            <v:imagedata r:id="rId195" o:title=""/>
          </v:shape>
          <o:OLEObject Type="Embed" ProgID="Equation.DSMT4" ShapeID="_x0000_i1117" DrawAspect="Content" ObjectID="_1701512216" r:id="rId196"/>
        </w:object>
      </w:r>
      <w:r w:rsidRPr="00393433">
        <w:rPr>
          <w:color w:val="000000" w:themeColor="text1"/>
          <w:lang w:val="en-GB"/>
        </w:rPr>
        <w:t xml:space="preserve"> </w:t>
      </w:r>
      <w:r w:rsidRPr="00393433">
        <w:rPr>
          <w:iCs/>
          <w:color w:val="000000" w:themeColor="text1"/>
          <w:lang w:val="en-GB" w:eastAsia="zh-CN"/>
        </w:rPr>
        <w:t xml:space="preserve">of the MD particle part of the computational domains and compared with the reference analytical solutions. The latter solutions are based on the grand-canonical-ensemble fluctuating hydrodynamics theory, </w:t>
      </w:r>
      <w:r w:rsidRPr="00D40526">
        <w:rPr>
          <w:color w:val="000000" w:themeColor="text1"/>
          <w:position w:val="-26"/>
        </w:rPr>
        <w:object w:dxaOrig="1920" w:dyaOrig="700" w14:anchorId="3062B3A8">
          <v:shape id="_x0000_i1118" type="#_x0000_t75" style="width:90pt;height:36.75pt" o:ole="">
            <v:imagedata r:id="rId197" o:title=""/>
          </v:shape>
          <o:OLEObject Type="Embed" ProgID="Equation.DSMT4" ShapeID="_x0000_i1118" DrawAspect="Content" ObjectID="_1701512217" r:id="rId198"/>
        </w:object>
      </w:r>
      <w:r w:rsidRPr="00393433">
        <w:rPr>
          <w:iCs/>
          <w:color w:val="000000" w:themeColor="text1"/>
          <w:lang w:val="en-GB" w:eastAsia="zh-CN"/>
        </w:rPr>
        <w:t xml:space="preserve"> and </w:t>
      </w:r>
      <w:r w:rsidRPr="00D40526">
        <w:rPr>
          <w:color w:val="000000" w:themeColor="text1"/>
          <w:position w:val="-30"/>
        </w:rPr>
        <w:object w:dxaOrig="1620" w:dyaOrig="740" w14:anchorId="55930EC5">
          <v:shape id="_x0000_i1119" type="#_x0000_t75" style="width:80.25pt;height:36.75pt" o:ole="">
            <v:imagedata r:id="rId199" o:title=""/>
          </v:shape>
          <o:OLEObject Type="Embed" ProgID="Equation.DSMT4" ShapeID="_x0000_i1119" DrawAspect="Content" ObjectID="_1701512218" r:id="rId200"/>
        </w:object>
      </w:r>
      <w:r w:rsidRPr="00393433">
        <w:rPr>
          <w:color w:val="000000" w:themeColor="text1"/>
          <w:lang w:val="en-GB"/>
        </w:rPr>
        <w:t xml:space="preserve">, </w:t>
      </w:r>
      <w:r w:rsidRPr="00393433">
        <w:rPr>
          <w:iCs/>
          <w:color w:val="000000" w:themeColor="text1"/>
          <w:lang w:val="en-GB" w:eastAsia="zh-CN"/>
        </w:rPr>
        <w:t>w</w:t>
      </w:r>
      <w:r w:rsidRPr="00D40526">
        <w:rPr>
          <w:color w:val="000000" w:themeColor="text1"/>
          <w:lang w:val="en-US" w:eastAsia="zh-CN"/>
        </w:rPr>
        <w:t xml:space="preserve">here </w:t>
      </w:r>
      <w:r w:rsidRPr="00D40526">
        <w:rPr>
          <w:color w:val="000000" w:themeColor="text1"/>
          <w:position w:val="-12"/>
        </w:rPr>
        <w:object w:dxaOrig="320" w:dyaOrig="380" w14:anchorId="05AA7423">
          <v:shape id="_x0000_i1120" type="#_x0000_t75" style="width:15pt;height:19.5pt" o:ole="">
            <v:imagedata r:id="rId201" o:title=""/>
          </v:shape>
          <o:OLEObject Type="Embed" ProgID="Equation.DSMT4" ShapeID="_x0000_i1120" DrawAspect="Content" ObjectID="_1701512219" r:id="rId202"/>
        </w:object>
      </w:r>
      <w:r w:rsidRPr="00393433">
        <w:rPr>
          <w:color w:val="000000" w:themeColor="text1"/>
          <w:lang w:val="en-GB"/>
        </w:rPr>
        <w:t xml:space="preserve"> is the isothermal speed of sound and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B</m:t>
            </m:r>
          </m:sub>
        </m:sSub>
      </m:oMath>
      <w:r w:rsidRPr="00393433">
        <w:rPr>
          <w:color w:val="000000" w:themeColor="text1"/>
          <w:lang w:val="en-GB"/>
        </w:rPr>
        <w:t xml:space="preserve"> is Boltzmann constant.</w:t>
      </w:r>
    </w:p>
    <w:p w14:paraId="73BB04DE" w14:textId="77777777" w:rsidR="00EA15F8" w:rsidRPr="00393433" w:rsidRDefault="00EA15F8" w:rsidP="00EA15F8">
      <w:pPr>
        <w:spacing w:line="480" w:lineRule="auto"/>
        <w:ind w:firstLineChars="200" w:firstLine="480"/>
        <w:jc w:val="both"/>
        <w:rPr>
          <w:iCs/>
          <w:color w:val="000000" w:themeColor="text1"/>
          <w:lang w:val="en-GB" w:eastAsia="zh-CN"/>
        </w:rPr>
      </w:pPr>
      <w:r w:rsidRPr="00393433">
        <w:rPr>
          <w:iCs/>
          <w:color w:val="000000" w:themeColor="text1"/>
          <w:lang w:val="en-GB" w:eastAsia="zh-CN"/>
        </w:rPr>
        <w:t xml:space="preserve">For all four cases, the standard deviations of the MD particle and continuum fluctuating hydrodynamics solutions are approximately within 15% for density fluctuations and within 10% for velocity fluctuations one from the other. This suggests that the artificial phase separation did not occur, and the phase coupling of two-phase flow analogy method has been consistent. </w:t>
      </w:r>
    </w:p>
    <w:p w14:paraId="68B6A4B1" w14:textId="77777777" w:rsidR="00EA15F8" w:rsidRPr="00393433" w:rsidRDefault="00EA15F8" w:rsidP="00EA15F8">
      <w:pPr>
        <w:spacing w:line="480" w:lineRule="auto"/>
        <w:ind w:firstLineChars="200" w:firstLine="480"/>
        <w:jc w:val="both"/>
        <w:rPr>
          <w:color w:val="000000" w:themeColor="text1"/>
          <w:lang w:val="en-GB"/>
        </w:rPr>
      </w:pPr>
      <w:r w:rsidRPr="00393433">
        <w:rPr>
          <w:iCs/>
          <w:color w:val="000000" w:themeColor="text1"/>
          <w:lang w:val="en-GB" w:eastAsia="zh-CN"/>
        </w:rPr>
        <w:t>On the other hand, it can be noted that the thermal fluctuations of density are 30-50% lower than the analytical solution based on the grand canonical ensemble theory. This is explained by the effect of the local thermostat implemented in the buffer region. Indeed, it can be recalled that t</w:t>
      </w:r>
      <w:r w:rsidRPr="00393433">
        <w:rPr>
          <w:color w:val="000000" w:themeColor="text1"/>
          <w:lang w:val="en-GB"/>
        </w:rPr>
        <w:t xml:space="preserve">he </w:t>
      </w:r>
      <w:r w:rsidRPr="00393433">
        <w:rPr>
          <w:i/>
          <w:iCs/>
          <w:color w:val="000000" w:themeColor="text1"/>
          <w:lang w:val="en-GB"/>
        </w:rPr>
        <w:t>s</w:t>
      </w:r>
      <w:r w:rsidRPr="00393433">
        <w:rPr>
          <w:color w:val="000000" w:themeColor="text1"/>
          <w:lang w:val="en-GB"/>
        </w:rPr>
        <w:t>-dependent thermostat (17) is set to decrease the reference temperature with increase of the hydrodynamic force contribution (</w:t>
      </w:r>
      <w:r w:rsidRPr="00393433">
        <w:rPr>
          <w:i/>
          <w:color w:val="000000" w:themeColor="text1"/>
          <w:lang w:val="en-GB"/>
        </w:rPr>
        <w:t>s</w:t>
      </w:r>
      <w:r w:rsidRPr="00393433">
        <w:rPr>
          <w:color w:val="000000" w:themeColor="text1"/>
          <w:lang w:val="en-GB"/>
        </w:rPr>
        <w:t xml:space="preserve"> increasing). Hence, when averaged </w:t>
      </w:r>
      <w:r w:rsidRPr="00393433">
        <w:rPr>
          <w:color w:val="000000" w:themeColor="text1"/>
          <w:lang w:val="en-GB"/>
        </w:rPr>
        <w:lastRenderedPageBreak/>
        <w:t xml:space="preserve">over the entire MD particle domain, the thermal fluctuations of the particle phase of the GLL-FH are expected to be smaller than the reference analytical solution that also includes the hydrodynamics contribution. In this respect, the solution of the Reaction-Field method appears to be more consistent due to the fact it demonstrates moderately lower fluctuations than the predictions based on the grand canonical ensemble theory, while the Cut-off method tends to overestimate the fluctuations. </w:t>
      </w:r>
    </w:p>
    <w:p w14:paraId="41D917CE" w14:textId="77777777" w:rsidR="00EA15F8" w:rsidRPr="00393433" w:rsidRDefault="00EA15F8" w:rsidP="00EA15F8">
      <w:pPr>
        <w:spacing w:line="480" w:lineRule="auto"/>
        <w:ind w:firstLineChars="200" w:firstLine="480"/>
        <w:jc w:val="both"/>
        <w:rPr>
          <w:iCs/>
          <w:color w:val="000000" w:themeColor="text1"/>
          <w:lang w:val="en-GB" w:eastAsia="zh-CN"/>
        </w:rPr>
      </w:pPr>
      <w:r w:rsidRPr="00393433">
        <w:rPr>
          <w:color w:val="000000" w:themeColor="text1"/>
          <w:lang w:val="en-GB"/>
        </w:rPr>
        <w:t xml:space="preserve">Of particular interest are the thermal velocity and density fluctuations in the pure MD region, which corresponds to the region of the highest resolution of the GLL-FH model. Hence, Table 3 shows the standard deviations of </w:t>
      </w:r>
      <w:r w:rsidRPr="00393433">
        <w:rPr>
          <w:rFonts w:hint="eastAsia"/>
          <w:color w:val="000000" w:themeColor="text1"/>
          <w:lang w:val="en-GB" w:eastAsia="zh-CN"/>
        </w:rPr>
        <w:t>effective</w:t>
      </w:r>
      <w:r w:rsidRPr="00393433">
        <w:rPr>
          <w:color w:val="000000" w:themeColor="text1"/>
          <w:lang w:val="en-GB"/>
        </w:rPr>
        <w:t xml:space="preserve"> </w:t>
      </w:r>
      <w:r w:rsidRPr="00393433">
        <w:rPr>
          <w:rFonts w:hint="eastAsia"/>
          <w:color w:val="000000" w:themeColor="text1"/>
          <w:lang w:val="en-GB" w:eastAsia="zh-CN"/>
        </w:rPr>
        <w:t>particle</w:t>
      </w:r>
      <w:r w:rsidRPr="00393433">
        <w:rPr>
          <w:color w:val="000000" w:themeColor="text1"/>
          <w:lang w:val="en-GB"/>
        </w:rPr>
        <w:t xml:space="preserve"> density and </w:t>
      </w:r>
      <w:r w:rsidRPr="00393433">
        <w:rPr>
          <w:rFonts w:hint="eastAsia"/>
          <w:color w:val="000000" w:themeColor="text1"/>
          <w:lang w:val="en-GB" w:eastAsia="zh-CN"/>
        </w:rPr>
        <w:t>particle</w:t>
      </w:r>
      <w:r w:rsidRPr="00393433">
        <w:rPr>
          <w:color w:val="000000" w:themeColor="text1"/>
          <w:lang w:val="en-GB"/>
        </w:rPr>
        <w:t xml:space="preserve"> velocity fluctuations computed in control volume corresponding to the pure MD zone (</w:t>
      </w:r>
      <w:r w:rsidRPr="00393433">
        <w:rPr>
          <w:i/>
          <w:color w:val="000000" w:themeColor="text1"/>
          <w:lang w:val="en-GB"/>
        </w:rPr>
        <w:t>s</w:t>
      </w:r>
      <w:r w:rsidRPr="00393433">
        <w:rPr>
          <w:color w:val="000000" w:themeColor="text1"/>
          <w:lang w:val="en-GB"/>
        </w:rPr>
        <w:t xml:space="preserve">=0), without considering the buffer region, where the local thermostat is used, </w:t>
      </w:r>
      <w:proofErr w:type="gramStart"/>
      <w:r w:rsidRPr="00393433">
        <w:rPr>
          <w:color w:val="000000" w:themeColor="text1"/>
          <w:lang w:val="en-GB"/>
        </w:rPr>
        <w:t>i.e.</w:t>
      </w:r>
      <w:proofErr w:type="gramEnd"/>
      <w:r w:rsidRPr="00393433">
        <w:rPr>
          <w:color w:val="000000" w:themeColor="text1"/>
          <w:lang w:val="en-GB"/>
        </w:rPr>
        <w:t xml:space="preserve"> time averaged </w:t>
      </w:r>
      <w:r w:rsidRPr="00D40526">
        <w:rPr>
          <w:color w:val="000000" w:themeColor="text1"/>
          <w:position w:val="-66"/>
        </w:rPr>
        <w:object w:dxaOrig="2420" w:dyaOrig="1520" w14:anchorId="77360AA6">
          <v:shape id="_x0000_i1121" type="#_x0000_t75" style="width:120.75pt;height:76.5pt" o:ole="">
            <v:imagedata r:id="rId203" o:title=""/>
          </v:shape>
          <o:OLEObject Type="Embed" ProgID="Equation.DSMT4" ShapeID="_x0000_i1121" DrawAspect="Content" ObjectID="_1701512220" r:id="rId204"/>
        </w:object>
      </w:r>
      <w:r w:rsidRPr="00393433">
        <w:rPr>
          <w:color w:val="000000" w:themeColor="text1"/>
          <w:lang w:val="en-GB"/>
        </w:rPr>
        <w:t xml:space="preserve"> and </w:t>
      </w:r>
      <w:r w:rsidRPr="00D40526">
        <w:rPr>
          <w:color w:val="000000" w:themeColor="text1"/>
          <w:position w:val="-100"/>
        </w:rPr>
        <w:object w:dxaOrig="3780" w:dyaOrig="2200" w14:anchorId="6F437B63">
          <v:shape id="_x0000_i1122" type="#_x0000_t75" style="width:189.75pt;height:109.5pt" o:ole="">
            <v:imagedata r:id="rId205" o:title=""/>
          </v:shape>
          <o:OLEObject Type="Embed" ProgID="Equation.DSMT4" ShapeID="_x0000_i1122" DrawAspect="Content" ObjectID="_1701512221" r:id="rId206"/>
        </w:object>
      </w:r>
      <w:r w:rsidRPr="00393433">
        <w:rPr>
          <w:color w:val="000000" w:themeColor="text1"/>
          <w:lang w:val="en-GB"/>
        </w:rPr>
        <w:t xml:space="preserve">. </w:t>
      </w:r>
      <w:proofErr w:type="gramStart"/>
      <w:r w:rsidRPr="00393433">
        <w:rPr>
          <w:color w:val="000000" w:themeColor="text1"/>
          <w:lang w:val="en-GB"/>
        </w:rPr>
        <w:t>It can be seen that in</w:t>
      </w:r>
      <w:proofErr w:type="gramEnd"/>
      <w:r w:rsidRPr="00393433">
        <w:rPr>
          <w:color w:val="000000" w:themeColor="text1"/>
          <w:lang w:val="en-GB"/>
        </w:rPr>
        <w:t xml:space="preserve"> all cases the fluctuations of the hybrid multiscale model are within </w:t>
      </w:r>
      <w:r w:rsidRPr="00393433">
        <w:rPr>
          <w:rFonts w:hint="eastAsia"/>
          <w:color w:val="000000" w:themeColor="text1"/>
          <w:lang w:val="en-GB" w:eastAsia="zh-CN"/>
        </w:rPr>
        <w:t>0.5</w:t>
      </w:r>
      <w:r w:rsidRPr="00393433">
        <w:rPr>
          <w:color w:val="000000" w:themeColor="text1"/>
          <w:lang w:val="en-GB"/>
        </w:rPr>
        <w:t>% of the solutions of the reference all-atom equilibrium MD simulation of SPC/E water.</w:t>
      </w:r>
    </w:p>
    <w:p w14:paraId="40731D31" w14:textId="7A5FDB45" w:rsidR="00EA15F8" w:rsidRPr="00D40526" w:rsidRDefault="00EA15F8" w:rsidP="00EA15F8">
      <w:pPr>
        <w:widowControl w:val="0"/>
        <w:autoSpaceDE w:val="0"/>
        <w:autoSpaceDN w:val="0"/>
        <w:adjustRightInd w:val="0"/>
        <w:jc w:val="center"/>
        <w:rPr>
          <w:b/>
          <w:color w:val="000000" w:themeColor="text1"/>
          <w:lang w:val="en-US"/>
        </w:rPr>
      </w:pPr>
      <w:r w:rsidRPr="00D40526">
        <w:rPr>
          <w:b/>
          <w:color w:val="000000" w:themeColor="text1"/>
          <w:lang w:val="en-US"/>
        </w:rPr>
        <w:t>T</w:t>
      </w:r>
      <w:r w:rsidR="00C35E07" w:rsidRPr="00D40526">
        <w:rPr>
          <w:b/>
          <w:color w:val="000000" w:themeColor="text1"/>
          <w:lang w:val="en-US"/>
        </w:rPr>
        <w:t>able</w:t>
      </w:r>
      <w:r w:rsidRPr="00D40526">
        <w:rPr>
          <w:b/>
          <w:color w:val="000000" w:themeColor="text1"/>
          <w:lang w:val="en-US"/>
        </w:rPr>
        <w:t xml:space="preserve"> </w:t>
      </w:r>
      <w:r w:rsidRPr="00D40526">
        <w:rPr>
          <w:b/>
          <w:color w:val="000000" w:themeColor="text1"/>
          <w:lang w:val="en-US" w:eastAsia="zh-CN"/>
        </w:rPr>
        <w:t>2</w:t>
      </w:r>
      <w:r w:rsidRPr="00D40526">
        <w:rPr>
          <w:b/>
          <w:color w:val="000000" w:themeColor="text1"/>
          <w:lang w:val="en-US"/>
        </w:rPr>
        <w:t xml:space="preserve">a. Standard deviations of density fluctuations averaged in the complete particle domain </w:t>
      </w:r>
      <w:proofErr w:type="spellStart"/>
      <w:r w:rsidRPr="00D40526">
        <w:rPr>
          <w:b/>
          <w:color w:val="000000" w:themeColor="text1"/>
          <w:lang w:val="en-US"/>
        </w:rPr>
        <w:t>domain</w:t>
      </w:r>
      <w:proofErr w:type="spellEnd"/>
      <w:r w:rsidRPr="00D40526">
        <w:rPr>
          <w:b/>
          <w:color w:val="000000" w:themeColor="text1"/>
          <w:lang w:val="en-US"/>
        </w:rPr>
        <w:t>.</w:t>
      </w:r>
    </w:p>
    <w:tbl>
      <w:tblPr>
        <w:tblStyle w:val="TableGrid"/>
        <w:tblW w:w="51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134"/>
        <w:gridCol w:w="1134"/>
      </w:tblGrid>
      <w:tr w:rsidR="00D40526" w:rsidRPr="00D40526" w14:paraId="1B3E9780" w14:textId="77777777" w:rsidTr="00FF7D99">
        <w:trPr>
          <w:trHeight w:val="567"/>
          <w:jc w:val="center"/>
        </w:trPr>
        <w:tc>
          <w:tcPr>
            <w:tcW w:w="2835" w:type="dxa"/>
            <w:tcBorders>
              <w:top w:val="single" w:sz="8" w:space="0" w:color="auto"/>
              <w:bottom w:val="single" w:sz="2" w:space="0" w:color="auto"/>
            </w:tcBorders>
            <w:vAlign w:val="center"/>
          </w:tcPr>
          <w:p w14:paraId="1B33B519" w14:textId="77777777" w:rsidR="00EA15F8" w:rsidRPr="00D40526" w:rsidRDefault="00EA15F8" w:rsidP="00FF7D99">
            <w:pPr>
              <w:jc w:val="center"/>
              <w:rPr>
                <w:rFonts w:ascii="Times New Roman" w:hAnsi="Times New Roman" w:cs="Times New Roman"/>
                <w:color w:val="000000" w:themeColor="text1"/>
              </w:rPr>
            </w:pPr>
          </w:p>
        </w:tc>
        <w:tc>
          <w:tcPr>
            <w:tcW w:w="1134" w:type="dxa"/>
            <w:tcBorders>
              <w:top w:val="single" w:sz="8" w:space="0" w:color="auto"/>
              <w:bottom w:val="single" w:sz="2" w:space="0" w:color="auto"/>
            </w:tcBorders>
            <w:vAlign w:val="center"/>
          </w:tcPr>
          <w:p w14:paraId="29B740D2"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2"/>
              </w:rPr>
              <w:object w:dxaOrig="859" w:dyaOrig="360" w14:anchorId="0AE17330">
                <v:shape id="_x0000_i1123" type="#_x0000_t75" style="width:45.75pt;height:18.75pt" o:ole="">
                  <v:imagedata r:id="rId207" o:title=""/>
                </v:shape>
                <o:OLEObject Type="Embed" ProgID="Equation.DSMT4" ShapeID="_x0000_i1123" DrawAspect="Content" ObjectID="_1701512222" r:id="rId208"/>
              </w:object>
            </w:r>
          </w:p>
          <w:p w14:paraId="763E8FBA"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(amu·nm</w:t>
            </w:r>
            <w:r w:rsidRPr="00D40526">
              <w:rPr>
                <w:rFonts w:ascii="Times New Roman" w:hAnsi="Times New Roman" w:cs="Times New Roman"/>
                <w:color w:val="000000" w:themeColor="text1"/>
                <w:vertAlign w:val="superscript"/>
                <w:lang w:eastAsia="zh-CN"/>
              </w:rPr>
              <w:t>-3</w:t>
            </w:r>
            <w:r w:rsidRPr="00D40526">
              <w:rPr>
                <w:rFonts w:ascii="Times New Roman" w:hAnsi="Times New Roman" w:cs="Times New Roman"/>
                <w:color w:val="000000" w:themeColor="text1"/>
                <w:lang w:eastAsia="zh-CN"/>
              </w:rPr>
              <w:t>)</w:t>
            </w:r>
          </w:p>
        </w:tc>
        <w:tc>
          <w:tcPr>
            <w:tcW w:w="1134" w:type="dxa"/>
            <w:tcBorders>
              <w:top w:val="single" w:sz="8" w:space="0" w:color="auto"/>
              <w:bottom w:val="single" w:sz="2" w:space="0" w:color="auto"/>
            </w:tcBorders>
            <w:vAlign w:val="center"/>
          </w:tcPr>
          <w:p w14:paraId="591CD1CC"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2"/>
              </w:rPr>
              <w:object w:dxaOrig="840" w:dyaOrig="360" w14:anchorId="060CB369">
                <v:shape id="_x0000_i1124" type="#_x0000_t75" style="width:41.25pt;height:18.75pt" o:ole="">
                  <v:imagedata r:id="rId209" o:title=""/>
                </v:shape>
                <o:OLEObject Type="Embed" ProgID="Equation.DSMT4" ShapeID="_x0000_i1124" DrawAspect="Content" ObjectID="_1701512223" r:id="rId210"/>
              </w:object>
            </w:r>
          </w:p>
          <w:p w14:paraId="41A9696F"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(amu·nm</w:t>
            </w:r>
            <w:r w:rsidRPr="00D40526">
              <w:rPr>
                <w:rFonts w:ascii="Times New Roman" w:hAnsi="Times New Roman" w:cs="Times New Roman"/>
                <w:color w:val="000000" w:themeColor="text1"/>
                <w:vertAlign w:val="superscript"/>
                <w:lang w:eastAsia="zh-CN"/>
              </w:rPr>
              <w:t>-3</w:t>
            </w:r>
            <w:r w:rsidRPr="00D40526">
              <w:rPr>
                <w:rFonts w:ascii="Times New Roman" w:hAnsi="Times New Roman" w:cs="Times New Roman"/>
                <w:color w:val="000000" w:themeColor="text1"/>
                <w:lang w:eastAsia="zh-CN"/>
              </w:rPr>
              <w:t>)</w:t>
            </w:r>
          </w:p>
        </w:tc>
      </w:tr>
      <w:tr w:rsidR="00D40526" w:rsidRPr="00D40526" w14:paraId="4DB929E7" w14:textId="77777777" w:rsidTr="00FF7D99">
        <w:trPr>
          <w:trHeight w:val="567"/>
          <w:jc w:val="center"/>
        </w:trPr>
        <w:tc>
          <w:tcPr>
            <w:tcW w:w="2835" w:type="dxa"/>
            <w:tcBorders>
              <w:top w:val="single" w:sz="2" w:space="0" w:color="auto"/>
            </w:tcBorders>
            <w:vAlign w:val="center"/>
          </w:tcPr>
          <w:p w14:paraId="4B46CA9D"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75D7BCF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9×9×9)</w:t>
            </w:r>
          </w:p>
        </w:tc>
        <w:tc>
          <w:tcPr>
            <w:tcW w:w="1134" w:type="dxa"/>
            <w:tcBorders>
              <w:top w:val="single" w:sz="2" w:space="0" w:color="auto"/>
            </w:tcBorders>
            <w:vAlign w:val="center"/>
          </w:tcPr>
          <w:p w14:paraId="7078C743"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6.83</w:t>
            </w:r>
            <w:r w:rsidRPr="00D40526">
              <w:rPr>
                <w:rFonts w:ascii="Times New Roman" w:hAnsi="Times New Roman" w:cs="Times New Roman"/>
                <w:color w:val="000000" w:themeColor="text1"/>
                <w:lang w:eastAsia="zh-CN"/>
              </w:rPr>
              <w:t>4</w:t>
            </w:r>
          </w:p>
        </w:tc>
        <w:tc>
          <w:tcPr>
            <w:tcW w:w="1134" w:type="dxa"/>
            <w:tcBorders>
              <w:top w:val="single" w:sz="2" w:space="0" w:color="auto"/>
            </w:tcBorders>
            <w:vAlign w:val="center"/>
          </w:tcPr>
          <w:p w14:paraId="64814176"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5.768</w:t>
            </w:r>
          </w:p>
        </w:tc>
      </w:tr>
      <w:tr w:rsidR="00D40526" w:rsidRPr="00D40526" w14:paraId="35D96C55" w14:textId="77777777" w:rsidTr="00FF7D99">
        <w:trPr>
          <w:trHeight w:val="567"/>
          <w:jc w:val="center"/>
        </w:trPr>
        <w:tc>
          <w:tcPr>
            <w:tcW w:w="2835" w:type="dxa"/>
            <w:vAlign w:val="center"/>
          </w:tcPr>
          <w:p w14:paraId="53895B2F"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577BF2DD"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9×9×9)</w:t>
            </w:r>
          </w:p>
        </w:tc>
        <w:tc>
          <w:tcPr>
            <w:tcW w:w="1134" w:type="dxa"/>
            <w:vAlign w:val="center"/>
          </w:tcPr>
          <w:p w14:paraId="4920EB7D"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8.510</w:t>
            </w:r>
          </w:p>
        </w:tc>
        <w:tc>
          <w:tcPr>
            <w:tcW w:w="1134" w:type="dxa"/>
            <w:vAlign w:val="center"/>
          </w:tcPr>
          <w:p w14:paraId="0EF70722"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7.202</w:t>
            </w:r>
          </w:p>
        </w:tc>
      </w:tr>
      <w:tr w:rsidR="00D40526" w:rsidRPr="00D40526" w14:paraId="5612096B" w14:textId="77777777" w:rsidTr="00FF7D99">
        <w:trPr>
          <w:trHeight w:val="567"/>
          <w:jc w:val="center"/>
        </w:trPr>
        <w:tc>
          <w:tcPr>
            <w:tcW w:w="2835" w:type="dxa"/>
            <w:vAlign w:val="center"/>
          </w:tcPr>
          <w:p w14:paraId="711DCF91"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1FB0F3F3"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17×17×17)</w:t>
            </w:r>
          </w:p>
        </w:tc>
        <w:tc>
          <w:tcPr>
            <w:tcW w:w="1134" w:type="dxa"/>
            <w:vAlign w:val="center"/>
          </w:tcPr>
          <w:p w14:paraId="628B77EF"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6.775</w:t>
            </w:r>
          </w:p>
        </w:tc>
        <w:tc>
          <w:tcPr>
            <w:tcW w:w="1134" w:type="dxa"/>
            <w:vAlign w:val="center"/>
          </w:tcPr>
          <w:p w14:paraId="1B84F0AE"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5.757</w:t>
            </w:r>
          </w:p>
        </w:tc>
      </w:tr>
      <w:tr w:rsidR="00D40526" w:rsidRPr="00D40526" w14:paraId="4CA3EC8D" w14:textId="77777777" w:rsidTr="00FF7D99">
        <w:trPr>
          <w:trHeight w:val="567"/>
          <w:jc w:val="center"/>
        </w:trPr>
        <w:tc>
          <w:tcPr>
            <w:tcW w:w="2835" w:type="dxa"/>
            <w:vAlign w:val="center"/>
          </w:tcPr>
          <w:p w14:paraId="0D002F48"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5B2295BA"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17×17×17)</w:t>
            </w:r>
          </w:p>
        </w:tc>
        <w:tc>
          <w:tcPr>
            <w:tcW w:w="1134" w:type="dxa"/>
            <w:vAlign w:val="center"/>
          </w:tcPr>
          <w:p w14:paraId="58D6DFBA"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8.5</w:t>
            </w:r>
            <w:r w:rsidRPr="00D40526">
              <w:rPr>
                <w:rFonts w:ascii="Times New Roman" w:hAnsi="Times New Roman" w:cs="Times New Roman" w:hint="eastAsia"/>
                <w:color w:val="000000" w:themeColor="text1"/>
                <w:lang w:eastAsia="zh-CN"/>
              </w:rPr>
              <w:t>17</w:t>
            </w:r>
          </w:p>
        </w:tc>
        <w:tc>
          <w:tcPr>
            <w:tcW w:w="1134" w:type="dxa"/>
            <w:vAlign w:val="center"/>
          </w:tcPr>
          <w:p w14:paraId="4651D6A2"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7.</w:t>
            </w:r>
            <w:r w:rsidRPr="00D40526">
              <w:rPr>
                <w:rFonts w:ascii="Times New Roman" w:hAnsi="Times New Roman" w:cs="Times New Roman" w:hint="eastAsia"/>
                <w:color w:val="000000" w:themeColor="text1"/>
                <w:lang w:eastAsia="zh-CN"/>
              </w:rPr>
              <w:t>206</w:t>
            </w:r>
          </w:p>
        </w:tc>
      </w:tr>
      <w:tr w:rsidR="00D40526" w:rsidRPr="00D40526" w14:paraId="1563D292" w14:textId="77777777" w:rsidTr="00FF7D99">
        <w:trPr>
          <w:trHeight w:val="397"/>
          <w:jc w:val="center"/>
        </w:trPr>
        <w:tc>
          <w:tcPr>
            <w:tcW w:w="2835" w:type="dxa"/>
            <w:tcBorders>
              <w:bottom w:val="single" w:sz="8" w:space="0" w:color="auto"/>
            </w:tcBorders>
            <w:vAlign w:val="center"/>
          </w:tcPr>
          <w:p w14:paraId="47B6C60C"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Analytical solution</w:t>
            </w:r>
          </w:p>
        </w:tc>
        <w:tc>
          <w:tcPr>
            <w:tcW w:w="2268" w:type="dxa"/>
            <w:gridSpan w:val="2"/>
            <w:tcBorders>
              <w:bottom w:val="single" w:sz="8" w:space="0" w:color="auto"/>
            </w:tcBorders>
            <w:vAlign w:val="center"/>
          </w:tcPr>
          <w:p w14:paraId="49D8989E"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10.049</w:t>
            </w:r>
          </w:p>
        </w:tc>
      </w:tr>
    </w:tbl>
    <w:p w14:paraId="3191F778" w14:textId="2CEB7F0F" w:rsidR="00EA15F8" w:rsidRPr="00D40526" w:rsidRDefault="00EA15F8" w:rsidP="00EA15F8">
      <w:pPr>
        <w:widowControl w:val="0"/>
        <w:autoSpaceDE w:val="0"/>
        <w:autoSpaceDN w:val="0"/>
        <w:adjustRightInd w:val="0"/>
        <w:spacing w:beforeLines="100" w:before="240"/>
        <w:jc w:val="center"/>
        <w:rPr>
          <w:b/>
          <w:color w:val="000000" w:themeColor="text1"/>
          <w:lang w:val="en-US"/>
        </w:rPr>
      </w:pPr>
      <w:r w:rsidRPr="00D40526">
        <w:rPr>
          <w:b/>
          <w:color w:val="000000" w:themeColor="text1"/>
          <w:lang w:val="en-US"/>
        </w:rPr>
        <w:lastRenderedPageBreak/>
        <w:t>T</w:t>
      </w:r>
      <w:r w:rsidR="00C35E07" w:rsidRPr="00D40526">
        <w:rPr>
          <w:b/>
          <w:color w:val="000000" w:themeColor="text1"/>
          <w:lang w:val="en-US"/>
        </w:rPr>
        <w:t>able</w:t>
      </w:r>
      <w:r w:rsidRPr="00D40526">
        <w:rPr>
          <w:b/>
          <w:color w:val="000000" w:themeColor="text1"/>
          <w:lang w:val="en-US"/>
        </w:rPr>
        <w:t xml:space="preserve"> </w:t>
      </w:r>
      <w:r w:rsidRPr="00D40526">
        <w:rPr>
          <w:b/>
          <w:color w:val="000000" w:themeColor="text1"/>
          <w:lang w:val="en-US" w:eastAsia="zh-CN"/>
        </w:rPr>
        <w:t>2</w:t>
      </w:r>
      <w:r w:rsidRPr="00D40526">
        <w:rPr>
          <w:b/>
          <w:color w:val="000000" w:themeColor="text1"/>
          <w:lang w:val="en-US"/>
        </w:rPr>
        <w:t>b. Standard deviations of velocity fluctuations averaged in the complete particle domain.</w:t>
      </w:r>
    </w:p>
    <w:tbl>
      <w:tblPr>
        <w:tblStyle w:val="TableGrid"/>
        <w:tblW w:w="84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8"/>
        <w:gridCol w:w="1064"/>
        <w:gridCol w:w="1064"/>
        <w:gridCol w:w="1064"/>
        <w:gridCol w:w="1064"/>
        <w:gridCol w:w="1064"/>
        <w:gridCol w:w="1064"/>
      </w:tblGrid>
      <w:tr w:rsidR="00D40526" w:rsidRPr="00D40526" w14:paraId="7A840401" w14:textId="77777777" w:rsidTr="00FF7D99">
        <w:trPr>
          <w:trHeight w:val="567"/>
          <w:jc w:val="center"/>
        </w:trPr>
        <w:tc>
          <w:tcPr>
            <w:tcW w:w="2098" w:type="dxa"/>
            <w:tcBorders>
              <w:top w:val="single" w:sz="8" w:space="0" w:color="auto"/>
              <w:bottom w:val="single" w:sz="2" w:space="0" w:color="auto"/>
            </w:tcBorders>
            <w:vAlign w:val="center"/>
          </w:tcPr>
          <w:p w14:paraId="47CF748F" w14:textId="77777777" w:rsidR="00EA15F8" w:rsidRPr="00D40526" w:rsidRDefault="00EA15F8" w:rsidP="00FF7D99">
            <w:pPr>
              <w:jc w:val="center"/>
              <w:rPr>
                <w:rFonts w:ascii="Times New Roman" w:hAnsi="Times New Roman" w:cs="Times New Roman"/>
                <w:color w:val="000000" w:themeColor="text1"/>
              </w:rPr>
            </w:pPr>
          </w:p>
        </w:tc>
        <w:tc>
          <w:tcPr>
            <w:tcW w:w="1064" w:type="dxa"/>
            <w:tcBorders>
              <w:top w:val="single" w:sz="8" w:space="0" w:color="auto"/>
              <w:bottom w:val="single" w:sz="2" w:space="0" w:color="auto"/>
            </w:tcBorders>
            <w:vAlign w:val="center"/>
          </w:tcPr>
          <w:p w14:paraId="7CB7741A"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4"/>
              </w:rPr>
              <w:object w:dxaOrig="980" w:dyaOrig="380" w14:anchorId="304B74C0">
                <v:shape id="_x0000_i1125" type="#_x0000_t75" style="width:42pt;height:15.75pt" o:ole="">
                  <v:imagedata r:id="rId211" o:title=""/>
                </v:shape>
                <o:OLEObject Type="Embed" ProgID="Equation.DSMT4" ShapeID="_x0000_i1125" DrawAspect="Content" ObjectID="_1701512224" r:id="rId212"/>
              </w:object>
            </w:r>
          </w:p>
          <w:p w14:paraId="24EE07B4"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c>
          <w:tcPr>
            <w:tcW w:w="1064" w:type="dxa"/>
            <w:tcBorders>
              <w:top w:val="single" w:sz="8" w:space="0" w:color="auto"/>
              <w:bottom w:val="single" w:sz="2" w:space="0" w:color="auto"/>
            </w:tcBorders>
            <w:vAlign w:val="center"/>
          </w:tcPr>
          <w:p w14:paraId="5AAA3A6A"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4"/>
              </w:rPr>
              <w:object w:dxaOrig="980" w:dyaOrig="380" w14:anchorId="59CAA6AA">
                <v:shape id="_x0000_i1126" type="#_x0000_t75" style="width:42pt;height:15.75pt" o:ole="">
                  <v:imagedata r:id="rId213" o:title=""/>
                </v:shape>
                <o:OLEObject Type="Embed" ProgID="Equation.DSMT4" ShapeID="_x0000_i1126" DrawAspect="Content" ObjectID="_1701512225" r:id="rId214"/>
              </w:object>
            </w:r>
          </w:p>
          <w:p w14:paraId="4F8FCCEC"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c>
          <w:tcPr>
            <w:tcW w:w="1064" w:type="dxa"/>
            <w:tcBorders>
              <w:top w:val="single" w:sz="8" w:space="0" w:color="auto"/>
              <w:bottom w:val="single" w:sz="2" w:space="0" w:color="auto"/>
            </w:tcBorders>
            <w:vAlign w:val="center"/>
          </w:tcPr>
          <w:p w14:paraId="5AB56076"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4"/>
              </w:rPr>
              <w:object w:dxaOrig="960" w:dyaOrig="380" w14:anchorId="4E68BB72">
                <v:shape id="_x0000_i1127" type="#_x0000_t75" style="width:38.25pt;height:15.75pt" o:ole="">
                  <v:imagedata r:id="rId215" o:title=""/>
                </v:shape>
                <o:OLEObject Type="Embed" ProgID="Equation.DSMT4" ShapeID="_x0000_i1127" DrawAspect="Content" ObjectID="_1701512226" r:id="rId216"/>
              </w:object>
            </w:r>
          </w:p>
          <w:p w14:paraId="7B4269D4"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c>
          <w:tcPr>
            <w:tcW w:w="1064" w:type="dxa"/>
            <w:tcBorders>
              <w:top w:val="single" w:sz="8" w:space="0" w:color="auto"/>
              <w:bottom w:val="single" w:sz="2" w:space="0" w:color="auto"/>
            </w:tcBorders>
            <w:vAlign w:val="center"/>
          </w:tcPr>
          <w:p w14:paraId="3DE2D77C"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4"/>
              </w:rPr>
              <w:object w:dxaOrig="960" w:dyaOrig="380" w14:anchorId="22EBEFA3">
                <v:shape id="_x0000_i1128" type="#_x0000_t75" style="width:38.25pt;height:15.75pt" o:ole="">
                  <v:imagedata r:id="rId217" o:title=""/>
                </v:shape>
                <o:OLEObject Type="Embed" ProgID="Equation.DSMT4" ShapeID="_x0000_i1128" DrawAspect="Content" ObjectID="_1701512227" r:id="rId218"/>
              </w:object>
            </w:r>
          </w:p>
          <w:p w14:paraId="4271986C"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c>
          <w:tcPr>
            <w:tcW w:w="1064" w:type="dxa"/>
            <w:tcBorders>
              <w:top w:val="single" w:sz="8" w:space="0" w:color="auto"/>
              <w:bottom w:val="single" w:sz="2" w:space="0" w:color="auto"/>
            </w:tcBorders>
            <w:vAlign w:val="center"/>
          </w:tcPr>
          <w:p w14:paraId="1AF1420D"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4"/>
              </w:rPr>
              <w:object w:dxaOrig="960" w:dyaOrig="380" w14:anchorId="50551748">
                <v:shape id="_x0000_i1129" type="#_x0000_t75" style="width:38.25pt;height:15.75pt" o:ole="">
                  <v:imagedata r:id="rId219" o:title=""/>
                </v:shape>
                <o:OLEObject Type="Embed" ProgID="Equation.DSMT4" ShapeID="_x0000_i1129" DrawAspect="Content" ObjectID="_1701512228" r:id="rId220"/>
              </w:object>
            </w:r>
          </w:p>
          <w:p w14:paraId="347FA5E5"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c>
          <w:tcPr>
            <w:tcW w:w="1064" w:type="dxa"/>
            <w:tcBorders>
              <w:top w:val="single" w:sz="8" w:space="0" w:color="auto"/>
              <w:bottom w:val="single" w:sz="2" w:space="0" w:color="auto"/>
            </w:tcBorders>
            <w:vAlign w:val="center"/>
          </w:tcPr>
          <w:p w14:paraId="200C0C5F"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4"/>
              </w:rPr>
              <w:object w:dxaOrig="960" w:dyaOrig="380" w14:anchorId="6B6B018A">
                <v:shape id="_x0000_i1130" type="#_x0000_t75" style="width:42pt;height:15.75pt" o:ole="">
                  <v:imagedata r:id="rId221" o:title=""/>
                </v:shape>
                <o:OLEObject Type="Embed" ProgID="Equation.DSMT4" ShapeID="_x0000_i1130" DrawAspect="Content" ObjectID="_1701512229" r:id="rId222"/>
              </w:object>
            </w:r>
          </w:p>
          <w:p w14:paraId="09436B9C"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r>
      <w:tr w:rsidR="00D40526" w:rsidRPr="00D40526" w14:paraId="6D4B021E" w14:textId="77777777" w:rsidTr="00FF7D99">
        <w:trPr>
          <w:trHeight w:val="567"/>
          <w:jc w:val="center"/>
        </w:trPr>
        <w:tc>
          <w:tcPr>
            <w:tcW w:w="2098" w:type="dxa"/>
            <w:tcBorders>
              <w:top w:val="single" w:sz="2" w:space="0" w:color="auto"/>
            </w:tcBorders>
            <w:vAlign w:val="center"/>
          </w:tcPr>
          <w:p w14:paraId="359A8D61"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052E9530"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9×9×9)</w:t>
            </w:r>
          </w:p>
        </w:tc>
        <w:tc>
          <w:tcPr>
            <w:tcW w:w="1064" w:type="dxa"/>
            <w:tcBorders>
              <w:top w:val="single" w:sz="2" w:space="0" w:color="auto"/>
            </w:tcBorders>
            <w:vAlign w:val="center"/>
          </w:tcPr>
          <w:p w14:paraId="671E08D5"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0.023</w:t>
            </w:r>
            <w:r w:rsidRPr="00D40526">
              <w:rPr>
                <w:rFonts w:ascii="Times New Roman" w:hAnsi="Times New Roman" w:cs="Times New Roman"/>
                <w:color w:val="000000" w:themeColor="text1"/>
                <w:lang w:eastAsia="zh-CN"/>
              </w:rPr>
              <w:t>5</w:t>
            </w:r>
          </w:p>
        </w:tc>
        <w:tc>
          <w:tcPr>
            <w:tcW w:w="1064" w:type="dxa"/>
            <w:tcBorders>
              <w:top w:val="single" w:sz="2" w:space="0" w:color="auto"/>
            </w:tcBorders>
            <w:vAlign w:val="center"/>
          </w:tcPr>
          <w:p w14:paraId="0645CEA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0.0231</w:t>
            </w:r>
          </w:p>
        </w:tc>
        <w:tc>
          <w:tcPr>
            <w:tcW w:w="1064" w:type="dxa"/>
            <w:tcBorders>
              <w:top w:val="single" w:sz="2" w:space="0" w:color="auto"/>
            </w:tcBorders>
            <w:vAlign w:val="center"/>
          </w:tcPr>
          <w:p w14:paraId="3F151556"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0.0231</w:t>
            </w:r>
          </w:p>
        </w:tc>
        <w:tc>
          <w:tcPr>
            <w:tcW w:w="1064" w:type="dxa"/>
            <w:tcBorders>
              <w:top w:val="single" w:sz="2" w:space="0" w:color="auto"/>
            </w:tcBorders>
            <w:vAlign w:val="center"/>
          </w:tcPr>
          <w:p w14:paraId="26E06115"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0.025</w:t>
            </w:r>
            <w:r w:rsidRPr="00D40526">
              <w:rPr>
                <w:rFonts w:ascii="Times New Roman" w:hAnsi="Times New Roman" w:cs="Times New Roman"/>
                <w:color w:val="000000" w:themeColor="text1"/>
                <w:lang w:eastAsia="zh-CN"/>
              </w:rPr>
              <w:t>4</w:t>
            </w:r>
          </w:p>
        </w:tc>
        <w:tc>
          <w:tcPr>
            <w:tcW w:w="1064" w:type="dxa"/>
            <w:tcBorders>
              <w:top w:val="single" w:sz="2" w:space="0" w:color="auto"/>
            </w:tcBorders>
            <w:vAlign w:val="center"/>
          </w:tcPr>
          <w:p w14:paraId="08F91822"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0.0253</w:t>
            </w:r>
          </w:p>
        </w:tc>
        <w:tc>
          <w:tcPr>
            <w:tcW w:w="1064" w:type="dxa"/>
            <w:tcBorders>
              <w:top w:val="single" w:sz="2" w:space="0" w:color="auto"/>
            </w:tcBorders>
            <w:vAlign w:val="center"/>
          </w:tcPr>
          <w:p w14:paraId="571F77FD"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0.0253</w:t>
            </w:r>
          </w:p>
        </w:tc>
      </w:tr>
      <w:tr w:rsidR="00D40526" w:rsidRPr="00D40526" w14:paraId="690616E5" w14:textId="77777777" w:rsidTr="00FF7D99">
        <w:trPr>
          <w:trHeight w:val="567"/>
          <w:jc w:val="center"/>
        </w:trPr>
        <w:tc>
          <w:tcPr>
            <w:tcW w:w="2098" w:type="dxa"/>
            <w:vAlign w:val="center"/>
          </w:tcPr>
          <w:p w14:paraId="719D3799"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376AEEC8"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9×9×9)</w:t>
            </w:r>
          </w:p>
        </w:tc>
        <w:tc>
          <w:tcPr>
            <w:tcW w:w="1064" w:type="dxa"/>
            <w:vAlign w:val="center"/>
          </w:tcPr>
          <w:p w14:paraId="1C572E6C"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0.018</w:t>
            </w:r>
            <w:r w:rsidRPr="00D40526">
              <w:rPr>
                <w:rFonts w:ascii="Times New Roman" w:hAnsi="Times New Roman" w:cs="Times New Roman"/>
                <w:color w:val="000000" w:themeColor="text1"/>
                <w:lang w:eastAsia="zh-CN"/>
              </w:rPr>
              <w:t>6</w:t>
            </w:r>
          </w:p>
        </w:tc>
        <w:tc>
          <w:tcPr>
            <w:tcW w:w="1064" w:type="dxa"/>
            <w:vAlign w:val="center"/>
          </w:tcPr>
          <w:p w14:paraId="579CAED0"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0.0181</w:t>
            </w:r>
          </w:p>
        </w:tc>
        <w:tc>
          <w:tcPr>
            <w:tcW w:w="1064" w:type="dxa"/>
            <w:vAlign w:val="center"/>
          </w:tcPr>
          <w:p w14:paraId="30EB49A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0.0181</w:t>
            </w:r>
          </w:p>
        </w:tc>
        <w:tc>
          <w:tcPr>
            <w:tcW w:w="1064" w:type="dxa"/>
            <w:vAlign w:val="center"/>
          </w:tcPr>
          <w:p w14:paraId="4D74D78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w:t>
            </w:r>
            <w:r w:rsidRPr="00D40526">
              <w:rPr>
                <w:rFonts w:ascii="Times New Roman" w:hAnsi="Times New Roman" w:cs="Times New Roman"/>
                <w:color w:val="000000" w:themeColor="text1"/>
                <w:lang w:eastAsia="zh-CN"/>
              </w:rPr>
              <w:t>10</w:t>
            </w:r>
          </w:p>
        </w:tc>
        <w:tc>
          <w:tcPr>
            <w:tcW w:w="1064" w:type="dxa"/>
            <w:vAlign w:val="center"/>
          </w:tcPr>
          <w:p w14:paraId="167CD2F9"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w:t>
            </w:r>
            <w:r w:rsidRPr="00D40526">
              <w:rPr>
                <w:rFonts w:ascii="Times New Roman" w:hAnsi="Times New Roman" w:cs="Times New Roman"/>
                <w:color w:val="000000" w:themeColor="text1"/>
                <w:lang w:eastAsia="zh-CN"/>
              </w:rPr>
              <w:t>10</w:t>
            </w:r>
          </w:p>
        </w:tc>
        <w:tc>
          <w:tcPr>
            <w:tcW w:w="1064" w:type="dxa"/>
            <w:vAlign w:val="center"/>
          </w:tcPr>
          <w:p w14:paraId="4DB66323"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w:t>
            </w:r>
            <w:r w:rsidRPr="00D40526">
              <w:rPr>
                <w:rFonts w:ascii="Times New Roman" w:hAnsi="Times New Roman" w:cs="Times New Roman"/>
                <w:color w:val="000000" w:themeColor="text1"/>
                <w:lang w:eastAsia="zh-CN"/>
              </w:rPr>
              <w:t>10</w:t>
            </w:r>
          </w:p>
        </w:tc>
      </w:tr>
      <w:tr w:rsidR="00D40526" w:rsidRPr="00D40526" w14:paraId="3D0E839A" w14:textId="77777777" w:rsidTr="00FF7D99">
        <w:trPr>
          <w:trHeight w:val="567"/>
          <w:jc w:val="center"/>
        </w:trPr>
        <w:tc>
          <w:tcPr>
            <w:tcW w:w="2098" w:type="dxa"/>
            <w:vAlign w:val="center"/>
          </w:tcPr>
          <w:p w14:paraId="29A93F96"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5CF922A6"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17×17×17)</w:t>
            </w:r>
          </w:p>
        </w:tc>
        <w:tc>
          <w:tcPr>
            <w:tcW w:w="1064" w:type="dxa"/>
            <w:vAlign w:val="center"/>
          </w:tcPr>
          <w:p w14:paraId="5CB32D3E"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0.02312</w:t>
            </w:r>
          </w:p>
        </w:tc>
        <w:tc>
          <w:tcPr>
            <w:tcW w:w="1064" w:type="dxa"/>
            <w:vAlign w:val="center"/>
          </w:tcPr>
          <w:p w14:paraId="60DB95CA"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0.0229</w:t>
            </w:r>
          </w:p>
        </w:tc>
        <w:tc>
          <w:tcPr>
            <w:tcW w:w="1064" w:type="dxa"/>
            <w:vAlign w:val="center"/>
          </w:tcPr>
          <w:p w14:paraId="630E404C"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0.02288</w:t>
            </w:r>
          </w:p>
        </w:tc>
        <w:tc>
          <w:tcPr>
            <w:tcW w:w="1064" w:type="dxa"/>
            <w:vAlign w:val="center"/>
          </w:tcPr>
          <w:p w14:paraId="34C57C40"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0.02515</w:t>
            </w:r>
          </w:p>
        </w:tc>
        <w:tc>
          <w:tcPr>
            <w:tcW w:w="1064" w:type="dxa"/>
            <w:vAlign w:val="center"/>
          </w:tcPr>
          <w:p w14:paraId="173C7885"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0.02534</w:t>
            </w:r>
          </w:p>
        </w:tc>
        <w:tc>
          <w:tcPr>
            <w:tcW w:w="1064" w:type="dxa"/>
            <w:vAlign w:val="center"/>
          </w:tcPr>
          <w:p w14:paraId="05E854EC"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0.02532</w:t>
            </w:r>
          </w:p>
        </w:tc>
      </w:tr>
      <w:tr w:rsidR="00D40526" w:rsidRPr="00D40526" w14:paraId="0A0C0CA2" w14:textId="77777777" w:rsidTr="00FF7D99">
        <w:trPr>
          <w:trHeight w:val="567"/>
          <w:jc w:val="center"/>
        </w:trPr>
        <w:tc>
          <w:tcPr>
            <w:tcW w:w="2098" w:type="dxa"/>
            <w:vAlign w:val="center"/>
          </w:tcPr>
          <w:p w14:paraId="70DB88AE"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31175DF8"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17×17×17)</w:t>
            </w:r>
          </w:p>
        </w:tc>
        <w:tc>
          <w:tcPr>
            <w:tcW w:w="1064" w:type="dxa"/>
            <w:vAlign w:val="center"/>
          </w:tcPr>
          <w:p w14:paraId="687CB627"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0.01</w:t>
            </w:r>
            <w:r w:rsidRPr="00D40526">
              <w:rPr>
                <w:rFonts w:ascii="Times New Roman" w:hAnsi="Times New Roman" w:cs="Times New Roman" w:hint="eastAsia"/>
                <w:color w:val="000000" w:themeColor="text1"/>
                <w:lang w:eastAsia="zh-CN"/>
              </w:rPr>
              <w:t>84</w:t>
            </w:r>
          </w:p>
        </w:tc>
        <w:tc>
          <w:tcPr>
            <w:tcW w:w="1064" w:type="dxa"/>
            <w:vAlign w:val="center"/>
          </w:tcPr>
          <w:p w14:paraId="1364E5D0"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0.018</w:t>
            </w:r>
            <w:r w:rsidRPr="00D40526">
              <w:rPr>
                <w:rFonts w:ascii="Times New Roman" w:hAnsi="Times New Roman" w:cs="Times New Roman"/>
                <w:color w:val="000000" w:themeColor="text1"/>
                <w:lang w:eastAsia="zh-CN"/>
              </w:rPr>
              <w:t>1</w:t>
            </w:r>
          </w:p>
        </w:tc>
        <w:tc>
          <w:tcPr>
            <w:tcW w:w="1064" w:type="dxa"/>
            <w:vAlign w:val="center"/>
          </w:tcPr>
          <w:p w14:paraId="20D128C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0.018</w:t>
            </w:r>
            <w:r w:rsidRPr="00D40526">
              <w:rPr>
                <w:rFonts w:ascii="Times New Roman" w:hAnsi="Times New Roman" w:cs="Times New Roman"/>
                <w:color w:val="000000" w:themeColor="text1"/>
                <w:lang w:eastAsia="zh-CN"/>
              </w:rPr>
              <w:t>1</w:t>
            </w:r>
          </w:p>
        </w:tc>
        <w:tc>
          <w:tcPr>
            <w:tcW w:w="1064" w:type="dxa"/>
            <w:vAlign w:val="center"/>
          </w:tcPr>
          <w:p w14:paraId="1315B6A1"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0.020</w:t>
            </w:r>
            <w:r w:rsidRPr="00D40526">
              <w:rPr>
                <w:rFonts w:ascii="Times New Roman" w:hAnsi="Times New Roman" w:cs="Times New Roman" w:hint="eastAsia"/>
                <w:color w:val="000000" w:themeColor="text1"/>
                <w:lang w:eastAsia="zh-CN"/>
              </w:rPr>
              <w:t>6</w:t>
            </w:r>
          </w:p>
        </w:tc>
        <w:tc>
          <w:tcPr>
            <w:tcW w:w="1064" w:type="dxa"/>
            <w:vAlign w:val="center"/>
          </w:tcPr>
          <w:p w14:paraId="430C06A5"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0.020</w:t>
            </w:r>
            <w:r w:rsidRPr="00D40526">
              <w:rPr>
                <w:rFonts w:ascii="Times New Roman" w:hAnsi="Times New Roman" w:cs="Times New Roman" w:hint="eastAsia"/>
                <w:color w:val="000000" w:themeColor="text1"/>
                <w:lang w:eastAsia="zh-CN"/>
              </w:rPr>
              <w:t>7</w:t>
            </w:r>
          </w:p>
        </w:tc>
        <w:tc>
          <w:tcPr>
            <w:tcW w:w="1064" w:type="dxa"/>
            <w:vAlign w:val="center"/>
          </w:tcPr>
          <w:p w14:paraId="3F67BEB5"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0.020</w:t>
            </w:r>
            <w:r w:rsidRPr="00D40526">
              <w:rPr>
                <w:rFonts w:ascii="Times New Roman" w:hAnsi="Times New Roman" w:cs="Times New Roman" w:hint="eastAsia"/>
                <w:color w:val="000000" w:themeColor="text1"/>
                <w:lang w:eastAsia="zh-CN"/>
              </w:rPr>
              <w:t>7</w:t>
            </w:r>
          </w:p>
        </w:tc>
      </w:tr>
      <w:tr w:rsidR="00D40526" w:rsidRPr="00D40526" w14:paraId="703E7CD9" w14:textId="77777777" w:rsidTr="00FF7D99">
        <w:trPr>
          <w:trHeight w:val="414"/>
          <w:jc w:val="center"/>
        </w:trPr>
        <w:tc>
          <w:tcPr>
            <w:tcW w:w="2098" w:type="dxa"/>
            <w:tcBorders>
              <w:bottom w:val="single" w:sz="8" w:space="0" w:color="auto"/>
            </w:tcBorders>
            <w:vAlign w:val="center"/>
          </w:tcPr>
          <w:p w14:paraId="0B4D6564"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Analytical solution</w:t>
            </w:r>
          </w:p>
        </w:tc>
        <w:tc>
          <w:tcPr>
            <w:tcW w:w="6384" w:type="dxa"/>
            <w:gridSpan w:val="6"/>
            <w:tcBorders>
              <w:bottom w:val="single" w:sz="8" w:space="0" w:color="auto"/>
            </w:tcBorders>
            <w:vAlign w:val="center"/>
          </w:tcPr>
          <w:p w14:paraId="33376C32"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rPr>
              <w:t>0.0238</w:t>
            </w:r>
          </w:p>
        </w:tc>
      </w:tr>
    </w:tbl>
    <w:p w14:paraId="28488400" w14:textId="0BA5F8E1" w:rsidR="00EA15F8" w:rsidRPr="00D40526" w:rsidRDefault="00EA15F8" w:rsidP="00EA15F8">
      <w:pPr>
        <w:widowControl w:val="0"/>
        <w:autoSpaceDE w:val="0"/>
        <w:autoSpaceDN w:val="0"/>
        <w:adjustRightInd w:val="0"/>
        <w:spacing w:beforeLines="100" w:before="240"/>
        <w:jc w:val="center"/>
        <w:rPr>
          <w:b/>
          <w:color w:val="000000" w:themeColor="text1"/>
          <w:lang w:val="en-US"/>
        </w:rPr>
      </w:pPr>
      <w:r w:rsidRPr="00D40526">
        <w:rPr>
          <w:b/>
          <w:color w:val="000000" w:themeColor="text1"/>
          <w:lang w:val="en-US"/>
        </w:rPr>
        <w:t>T</w:t>
      </w:r>
      <w:r w:rsidR="00C35E07" w:rsidRPr="00D40526">
        <w:rPr>
          <w:b/>
          <w:color w:val="000000" w:themeColor="text1"/>
          <w:lang w:val="en-US"/>
        </w:rPr>
        <w:t>able</w:t>
      </w:r>
      <w:r w:rsidRPr="00D40526">
        <w:rPr>
          <w:b/>
          <w:color w:val="000000" w:themeColor="text1"/>
          <w:lang w:val="en-US"/>
        </w:rPr>
        <w:t xml:space="preserve"> </w:t>
      </w:r>
      <w:r w:rsidRPr="00D40526">
        <w:rPr>
          <w:b/>
          <w:color w:val="000000" w:themeColor="text1"/>
          <w:lang w:val="en-US" w:eastAsia="zh-CN"/>
        </w:rPr>
        <w:t>3</w:t>
      </w:r>
      <w:r w:rsidRPr="00D40526">
        <w:rPr>
          <w:b/>
          <w:color w:val="000000" w:themeColor="text1"/>
          <w:lang w:val="en-US"/>
        </w:rPr>
        <w:t xml:space="preserve">a. Standard deviations of </w:t>
      </w:r>
      <w:r w:rsidRPr="00D40526">
        <w:rPr>
          <w:rFonts w:hint="eastAsia"/>
          <w:b/>
          <w:color w:val="000000" w:themeColor="text1"/>
          <w:lang w:val="en-US" w:eastAsia="zh-CN"/>
        </w:rPr>
        <w:t>particle</w:t>
      </w:r>
      <w:r w:rsidRPr="00D40526">
        <w:rPr>
          <w:b/>
          <w:color w:val="000000" w:themeColor="text1"/>
          <w:lang w:val="en-US"/>
        </w:rPr>
        <w:t xml:space="preserve"> density fluctuations in the pure MD domain.</w:t>
      </w:r>
    </w:p>
    <w:tbl>
      <w:tblPr>
        <w:tblStyle w:val="TableGrid"/>
        <w:tblW w:w="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2268"/>
      </w:tblGrid>
      <w:tr w:rsidR="00D40526" w:rsidRPr="00D40526" w14:paraId="35874FA8" w14:textId="77777777" w:rsidTr="00FF7D99">
        <w:trPr>
          <w:trHeight w:val="20"/>
          <w:jc w:val="center"/>
        </w:trPr>
        <w:tc>
          <w:tcPr>
            <w:tcW w:w="2268" w:type="dxa"/>
            <w:tcBorders>
              <w:top w:val="single" w:sz="8" w:space="0" w:color="auto"/>
              <w:bottom w:val="single" w:sz="2" w:space="0" w:color="auto"/>
            </w:tcBorders>
            <w:vAlign w:val="center"/>
          </w:tcPr>
          <w:p w14:paraId="00FCAE86" w14:textId="77777777" w:rsidR="00EA15F8" w:rsidRPr="00D40526" w:rsidRDefault="00EA15F8" w:rsidP="00FF7D99">
            <w:pPr>
              <w:jc w:val="center"/>
              <w:rPr>
                <w:rFonts w:ascii="Times New Roman" w:hAnsi="Times New Roman" w:cs="Times New Roman"/>
                <w:color w:val="000000" w:themeColor="text1"/>
              </w:rPr>
            </w:pPr>
          </w:p>
        </w:tc>
        <w:tc>
          <w:tcPr>
            <w:tcW w:w="2268" w:type="dxa"/>
            <w:tcBorders>
              <w:top w:val="single" w:sz="8" w:space="0" w:color="auto"/>
              <w:bottom w:val="single" w:sz="2" w:space="0" w:color="auto"/>
            </w:tcBorders>
            <w:vAlign w:val="center"/>
          </w:tcPr>
          <w:p w14:paraId="78BFF8D5"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8"/>
              </w:rPr>
              <w:object w:dxaOrig="639" w:dyaOrig="240" w14:anchorId="032709EA">
                <v:shape id="_x0000_i1131" type="#_x0000_t75" style="width:33.75pt;height:12.75pt" o:ole="">
                  <v:imagedata r:id="rId223" o:title=""/>
                </v:shape>
                <o:OLEObject Type="Embed" ProgID="Equation.DSMT4" ShapeID="_x0000_i1131" DrawAspect="Content" ObjectID="_1701512230" r:id="rId224"/>
              </w:object>
            </w:r>
          </w:p>
          <w:p w14:paraId="77B9FF62"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(amu·nm</w:t>
            </w:r>
            <w:r w:rsidRPr="00D40526">
              <w:rPr>
                <w:rFonts w:ascii="Times New Roman" w:hAnsi="Times New Roman" w:cs="Times New Roman"/>
                <w:color w:val="000000" w:themeColor="text1"/>
                <w:vertAlign w:val="superscript"/>
                <w:lang w:eastAsia="zh-CN"/>
              </w:rPr>
              <w:t>-3</w:t>
            </w:r>
            <w:r w:rsidRPr="00D40526">
              <w:rPr>
                <w:rFonts w:ascii="Times New Roman" w:hAnsi="Times New Roman" w:cs="Times New Roman"/>
                <w:color w:val="000000" w:themeColor="text1"/>
                <w:lang w:eastAsia="zh-CN"/>
              </w:rPr>
              <w:t>)</w:t>
            </w:r>
          </w:p>
        </w:tc>
      </w:tr>
      <w:tr w:rsidR="00D40526" w:rsidRPr="00D40526" w14:paraId="43C8C5A8" w14:textId="77777777" w:rsidTr="00FF7D99">
        <w:trPr>
          <w:trHeight w:val="567"/>
          <w:jc w:val="center"/>
        </w:trPr>
        <w:tc>
          <w:tcPr>
            <w:tcW w:w="2268" w:type="dxa"/>
            <w:tcBorders>
              <w:top w:val="single" w:sz="2" w:space="0" w:color="auto"/>
            </w:tcBorders>
            <w:vAlign w:val="center"/>
          </w:tcPr>
          <w:p w14:paraId="2307C004"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7B5E2713"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(FH cells 9×9×9)</w:t>
            </w:r>
          </w:p>
        </w:tc>
        <w:tc>
          <w:tcPr>
            <w:tcW w:w="2268" w:type="dxa"/>
            <w:tcBorders>
              <w:top w:val="single" w:sz="2" w:space="0" w:color="auto"/>
            </w:tcBorders>
            <w:vAlign w:val="center"/>
          </w:tcPr>
          <w:p w14:paraId="660E0AFF"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0.9721</w:t>
            </w:r>
          </w:p>
        </w:tc>
      </w:tr>
      <w:tr w:rsidR="00D40526" w:rsidRPr="00D40526" w14:paraId="541478C3" w14:textId="77777777" w:rsidTr="00FF7D99">
        <w:trPr>
          <w:trHeight w:val="567"/>
          <w:jc w:val="center"/>
        </w:trPr>
        <w:tc>
          <w:tcPr>
            <w:tcW w:w="2268" w:type="dxa"/>
            <w:vAlign w:val="center"/>
          </w:tcPr>
          <w:p w14:paraId="0853A2E3"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0B9CA4AD"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(FH cells 9×9×9)</w:t>
            </w:r>
          </w:p>
        </w:tc>
        <w:tc>
          <w:tcPr>
            <w:tcW w:w="2268" w:type="dxa"/>
            <w:vAlign w:val="center"/>
          </w:tcPr>
          <w:p w14:paraId="13663BE5"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0.972</w:t>
            </w:r>
            <w:r w:rsidRPr="00D40526">
              <w:rPr>
                <w:rFonts w:ascii="Times New Roman" w:hAnsi="Times New Roman" w:cs="Times New Roman" w:hint="eastAsia"/>
                <w:color w:val="000000" w:themeColor="text1"/>
                <w:lang w:eastAsia="zh-CN"/>
              </w:rPr>
              <w:t>2</w:t>
            </w:r>
          </w:p>
        </w:tc>
      </w:tr>
      <w:tr w:rsidR="00D40526" w:rsidRPr="00D40526" w14:paraId="1529BF66" w14:textId="77777777" w:rsidTr="00FF7D99">
        <w:trPr>
          <w:trHeight w:val="567"/>
          <w:jc w:val="center"/>
        </w:trPr>
        <w:tc>
          <w:tcPr>
            <w:tcW w:w="2268" w:type="dxa"/>
            <w:vAlign w:val="center"/>
          </w:tcPr>
          <w:p w14:paraId="3069B000"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6191BDB3"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(FH cells 17×17×17)</w:t>
            </w:r>
          </w:p>
        </w:tc>
        <w:tc>
          <w:tcPr>
            <w:tcW w:w="2268" w:type="dxa"/>
            <w:vAlign w:val="center"/>
          </w:tcPr>
          <w:p w14:paraId="2F2763BB"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0.976</w:t>
            </w:r>
            <w:r w:rsidRPr="00D40526">
              <w:rPr>
                <w:rFonts w:ascii="Times New Roman" w:hAnsi="Times New Roman" w:cs="Times New Roman" w:hint="eastAsia"/>
                <w:color w:val="000000" w:themeColor="text1"/>
                <w:lang w:eastAsia="zh-CN"/>
              </w:rPr>
              <w:t>9</w:t>
            </w:r>
          </w:p>
        </w:tc>
      </w:tr>
      <w:tr w:rsidR="00D40526" w:rsidRPr="00D40526" w14:paraId="74A2B516" w14:textId="77777777" w:rsidTr="00FF7D99">
        <w:trPr>
          <w:trHeight w:val="567"/>
          <w:jc w:val="center"/>
        </w:trPr>
        <w:tc>
          <w:tcPr>
            <w:tcW w:w="2268" w:type="dxa"/>
            <w:vAlign w:val="center"/>
          </w:tcPr>
          <w:p w14:paraId="7DA063F3"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0D274E74"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(FH cells 17×17×17)</w:t>
            </w:r>
          </w:p>
        </w:tc>
        <w:tc>
          <w:tcPr>
            <w:tcW w:w="2268" w:type="dxa"/>
            <w:vAlign w:val="center"/>
          </w:tcPr>
          <w:p w14:paraId="37F95E48"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0.9722</w:t>
            </w:r>
          </w:p>
        </w:tc>
      </w:tr>
      <w:tr w:rsidR="00D40526" w:rsidRPr="00D40526" w14:paraId="242EDCE2" w14:textId="77777777" w:rsidTr="00FF7D99">
        <w:trPr>
          <w:trHeight w:val="567"/>
          <w:jc w:val="center"/>
        </w:trPr>
        <w:tc>
          <w:tcPr>
            <w:tcW w:w="2268" w:type="dxa"/>
            <w:tcBorders>
              <w:bottom w:val="single" w:sz="8" w:space="0" w:color="auto"/>
            </w:tcBorders>
            <w:vAlign w:val="center"/>
          </w:tcPr>
          <w:p w14:paraId="210A1165" w14:textId="77777777" w:rsidR="00EA15F8" w:rsidRPr="00393433" w:rsidRDefault="00EA15F8" w:rsidP="00FF7D99">
            <w:pPr>
              <w:jc w:val="center"/>
              <w:rPr>
                <w:rFonts w:ascii="Times New Roman" w:hAnsi="Times New Roman" w:cs="Times New Roman"/>
                <w:color w:val="000000" w:themeColor="text1"/>
                <w:lang w:val="en-GB" w:eastAsia="zh-CN"/>
              </w:rPr>
            </w:pPr>
            <w:r w:rsidRPr="00393433">
              <w:rPr>
                <w:rFonts w:ascii="Times New Roman" w:hAnsi="Times New Roman" w:cs="Times New Roman"/>
                <w:color w:val="000000" w:themeColor="text1"/>
                <w:lang w:val="en-GB" w:eastAsia="zh-CN"/>
              </w:rPr>
              <w:t>Reference all-atom MD solution</w:t>
            </w:r>
          </w:p>
        </w:tc>
        <w:tc>
          <w:tcPr>
            <w:tcW w:w="2268" w:type="dxa"/>
            <w:tcBorders>
              <w:bottom w:val="single" w:sz="8" w:space="0" w:color="auto"/>
            </w:tcBorders>
            <w:vAlign w:val="center"/>
          </w:tcPr>
          <w:p w14:paraId="1A4A01AC"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0.972</w:t>
            </w:r>
            <w:r w:rsidRPr="00D40526">
              <w:rPr>
                <w:rFonts w:ascii="Times New Roman" w:hAnsi="Times New Roman" w:cs="Times New Roman" w:hint="eastAsia"/>
                <w:color w:val="000000" w:themeColor="text1"/>
                <w:lang w:eastAsia="zh-CN"/>
              </w:rPr>
              <w:t>1</w:t>
            </w:r>
          </w:p>
        </w:tc>
      </w:tr>
    </w:tbl>
    <w:p w14:paraId="34DC82D3" w14:textId="50BC50F9" w:rsidR="00EA15F8" w:rsidRPr="00D40526" w:rsidRDefault="00EA15F8" w:rsidP="00EA15F8">
      <w:pPr>
        <w:widowControl w:val="0"/>
        <w:autoSpaceDE w:val="0"/>
        <w:autoSpaceDN w:val="0"/>
        <w:adjustRightInd w:val="0"/>
        <w:spacing w:beforeLines="100" w:before="240"/>
        <w:jc w:val="center"/>
        <w:rPr>
          <w:b/>
          <w:color w:val="000000" w:themeColor="text1"/>
          <w:lang w:val="en-US"/>
        </w:rPr>
      </w:pPr>
      <w:r w:rsidRPr="00D40526">
        <w:rPr>
          <w:b/>
          <w:color w:val="000000" w:themeColor="text1"/>
          <w:lang w:val="en-US"/>
        </w:rPr>
        <w:t>T</w:t>
      </w:r>
      <w:r w:rsidR="00C35E07" w:rsidRPr="00D40526">
        <w:rPr>
          <w:b/>
          <w:color w:val="000000" w:themeColor="text1"/>
          <w:lang w:val="en-US"/>
        </w:rPr>
        <w:t>able</w:t>
      </w:r>
      <w:r w:rsidRPr="00D40526">
        <w:rPr>
          <w:b/>
          <w:color w:val="000000" w:themeColor="text1"/>
          <w:lang w:val="en-US"/>
        </w:rPr>
        <w:t xml:space="preserve"> </w:t>
      </w:r>
      <w:r w:rsidRPr="00D40526">
        <w:rPr>
          <w:b/>
          <w:color w:val="000000" w:themeColor="text1"/>
          <w:lang w:val="en-US" w:eastAsia="zh-CN"/>
        </w:rPr>
        <w:t>3</w:t>
      </w:r>
      <w:r w:rsidRPr="00D40526">
        <w:rPr>
          <w:b/>
          <w:color w:val="000000" w:themeColor="text1"/>
          <w:lang w:val="en-US"/>
        </w:rPr>
        <w:t xml:space="preserve">b. Standard deviations of </w:t>
      </w:r>
      <w:r w:rsidRPr="00D40526">
        <w:rPr>
          <w:rFonts w:hint="eastAsia"/>
          <w:b/>
          <w:color w:val="000000" w:themeColor="text1"/>
          <w:lang w:val="en-US" w:eastAsia="zh-CN"/>
        </w:rPr>
        <w:t>particle</w:t>
      </w:r>
      <w:r w:rsidRPr="00D40526">
        <w:rPr>
          <w:b/>
          <w:color w:val="000000" w:themeColor="text1"/>
          <w:lang w:val="en-US"/>
        </w:rPr>
        <w:t xml:space="preserve"> velocity fluctuations in the pure MD domain.</w:t>
      </w:r>
    </w:p>
    <w:tbl>
      <w:tblPr>
        <w:tblStyle w:val="TableGrid"/>
        <w:tblW w:w="54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064"/>
        <w:gridCol w:w="1064"/>
        <w:gridCol w:w="1064"/>
      </w:tblGrid>
      <w:tr w:rsidR="00D40526" w:rsidRPr="00D40526" w14:paraId="77D1C48D" w14:textId="77777777" w:rsidTr="00FF7D99">
        <w:trPr>
          <w:trHeight w:val="567"/>
          <w:jc w:val="center"/>
        </w:trPr>
        <w:tc>
          <w:tcPr>
            <w:tcW w:w="2268" w:type="dxa"/>
            <w:tcBorders>
              <w:top w:val="single" w:sz="8" w:space="0" w:color="auto"/>
              <w:bottom w:val="single" w:sz="2" w:space="0" w:color="auto"/>
            </w:tcBorders>
            <w:vAlign w:val="center"/>
          </w:tcPr>
          <w:p w14:paraId="0A939F63" w14:textId="77777777" w:rsidR="00EA15F8" w:rsidRPr="00D40526" w:rsidRDefault="00EA15F8" w:rsidP="00FF7D99">
            <w:pPr>
              <w:jc w:val="center"/>
              <w:rPr>
                <w:rFonts w:ascii="Times New Roman" w:hAnsi="Times New Roman" w:cs="Times New Roman"/>
                <w:color w:val="000000" w:themeColor="text1"/>
              </w:rPr>
            </w:pPr>
          </w:p>
        </w:tc>
        <w:tc>
          <w:tcPr>
            <w:tcW w:w="1064" w:type="dxa"/>
            <w:tcBorders>
              <w:top w:val="single" w:sz="8" w:space="0" w:color="auto"/>
              <w:bottom w:val="single" w:sz="2" w:space="0" w:color="auto"/>
            </w:tcBorders>
            <w:vAlign w:val="center"/>
          </w:tcPr>
          <w:p w14:paraId="5C565E6C"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2"/>
              </w:rPr>
              <w:object w:dxaOrig="700" w:dyaOrig="360" w14:anchorId="0BB41660">
                <v:shape id="_x0000_i1132" type="#_x0000_t75" style="width:30pt;height:14.25pt" o:ole="">
                  <v:imagedata r:id="rId225" o:title=""/>
                </v:shape>
                <o:OLEObject Type="Embed" ProgID="Equation.DSMT4" ShapeID="_x0000_i1132" DrawAspect="Content" ObjectID="_1701512231" r:id="rId226"/>
              </w:object>
            </w:r>
          </w:p>
          <w:p w14:paraId="78713DAE"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c>
          <w:tcPr>
            <w:tcW w:w="1064" w:type="dxa"/>
            <w:tcBorders>
              <w:top w:val="single" w:sz="8" w:space="0" w:color="auto"/>
              <w:bottom w:val="single" w:sz="2" w:space="0" w:color="auto"/>
            </w:tcBorders>
            <w:vAlign w:val="center"/>
          </w:tcPr>
          <w:p w14:paraId="2B58445B"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4"/>
              </w:rPr>
              <w:object w:dxaOrig="700" w:dyaOrig="380" w14:anchorId="16CB157B">
                <v:shape id="_x0000_i1133" type="#_x0000_t75" style="width:30pt;height:15.75pt" o:ole="">
                  <v:imagedata r:id="rId227" o:title=""/>
                </v:shape>
                <o:OLEObject Type="Embed" ProgID="Equation.DSMT4" ShapeID="_x0000_i1133" DrawAspect="Content" ObjectID="_1701512232" r:id="rId228"/>
              </w:object>
            </w:r>
          </w:p>
          <w:p w14:paraId="7443328B"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c>
          <w:tcPr>
            <w:tcW w:w="1064" w:type="dxa"/>
            <w:tcBorders>
              <w:top w:val="single" w:sz="8" w:space="0" w:color="auto"/>
              <w:bottom w:val="single" w:sz="2" w:space="0" w:color="auto"/>
            </w:tcBorders>
            <w:vAlign w:val="center"/>
          </w:tcPr>
          <w:p w14:paraId="50F6F661" w14:textId="77777777" w:rsidR="00EA15F8" w:rsidRPr="00D40526" w:rsidRDefault="00EA15F8" w:rsidP="00FF7D99">
            <w:pPr>
              <w:ind w:leftChars="-50" w:left="-120"/>
              <w:jc w:val="center"/>
              <w:rPr>
                <w:rFonts w:ascii="Times New Roman" w:hAnsi="Times New Roman" w:cs="Times New Roman"/>
                <w:color w:val="000000" w:themeColor="text1"/>
              </w:rPr>
            </w:pPr>
            <w:r w:rsidRPr="00D40526">
              <w:rPr>
                <w:rFonts w:ascii="Times New Roman" w:eastAsia="MS Mincho" w:hAnsi="Times New Roman" w:cs="Times New Roman"/>
                <w:color w:val="000000" w:themeColor="text1"/>
                <w:position w:val="-12"/>
              </w:rPr>
              <w:object w:dxaOrig="680" w:dyaOrig="360" w14:anchorId="0803C76D">
                <v:shape id="_x0000_i1134" type="#_x0000_t75" style="width:30pt;height:14.25pt" o:ole="">
                  <v:imagedata r:id="rId229" o:title=""/>
                </v:shape>
                <o:OLEObject Type="Embed" ProgID="Equation.DSMT4" ShapeID="_x0000_i1134" DrawAspect="Content" ObjectID="_1701512233" r:id="rId230"/>
              </w:object>
            </w:r>
          </w:p>
          <w:p w14:paraId="2D56D90E" w14:textId="77777777" w:rsidR="00EA15F8" w:rsidRPr="00D40526" w:rsidRDefault="00EA15F8" w:rsidP="00FF7D99">
            <w:pPr>
              <w:ind w:leftChars="-50" w:left="-120"/>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(nm·ps</w:t>
            </w:r>
            <w:r w:rsidRPr="00D40526">
              <w:rPr>
                <w:rFonts w:ascii="Times New Roman" w:hAnsi="Times New Roman" w:cs="Times New Roman"/>
                <w:color w:val="000000" w:themeColor="text1"/>
                <w:vertAlign w:val="superscript"/>
                <w:lang w:eastAsia="zh-CN"/>
              </w:rPr>
              <w:t>-1</w:t>
            </w:r>
            <w:r w:rsidRPr="00D40526">
              <w:rPr>
                <w:rFonts w:ascii="Times New Roman" w:hAnsi="Times New Roman" w:cs="Times New Roman"/>
                <w:color w:val="000000" w:themeColor="text1"/>
                <w:lang w:eastAsia="zh-CN"/>
              </w:rPr>
              <w:t>)</w:t>
            </w:r>
          </w:p>
        </w:tc>
      </w:tr>
      <w:tr w:rsidR="00D40526" w:rsidRPr="00D40526" w14:paraId="6FDC2ECE" w14:textId="77777777" w:rsidTr="00FF7D99">
        <w:trPr>
          <w:trHeight w:val="567"/>
          <w:jc w:val="center"/>
        </w:trPr>
        <w:tc>
          <w:tcPr>
            <w:tcW w:w="2268" w:type="dxa"/>
            <w:tcBorders>
              <w:top w:val="single" w:sz="2" w:space="0" w:color="auto"/>
            </w:tcBorders>
            <w:vAlign w:val="center"/>
          </w:tcPr>
          <w:p w14:paraId="456E4697"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3296E1F4"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(FH cells 9×9×9)</w:t>
            </w:r>
          </w:p>
        </w:tc>
        <w:tc>
          <w:tcPr>
            <w:tcW w:w="1064" w:type="dxa"/>
            <w:tcBorders>
              <w:top w:val="single" w:sz="2" w:space="0" w:color="auto"/>
            </w:tcBorders>
            <w:vAlign w:val="center"/>
          </w:tcPr>
          <w:p w14:paraId="616711F9"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0.9588</w:t>
            </w:r>
          </w:p>
        </w:tc>
        <w:tc>
          <w:tcPr>
            <w:tcW w:w="1064" w:type="dxa"/>
            <w:tcBorders>
              <w:top w:val="single" w:sz="2" w:space="0" w:color="auto"/>
            </w:tcBorders>
            <w:vAlign w:val="center"/>
          </w:tcPr>
          <w:p w14:paraId="4A297079"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0.957</w:t>
            </w:r>
            <w:r w:rsidRPr="00D40526">
              <w:rPr>
                <w:rFonts w:ascii="Times New Roman" w:hAnsi="Times New Roman" w:cs="Times New Roman" w:hint="eastAsia"/>
                <w:color w:val="000000" w:themeColor="text1"/>
                <w:lang w:eastAsia="zh-CN"/>
              </w:rPr>
              <w:t>2</w:t>
            </w:r>
          </w:p>
        </w:tc>
        <w:tc>
          <w:tcPr>
            <w:tcW w:w="1064" w:type="dxa"/>
            <w:tcBorders>
              <w:top w:val="single" w:sz="2" w:space="0" w:color="auto"/>
            </w:tcBorders>
            <w:vAlign w:val="center"/>
          </w:tcPr>
          <w:p w14:paraId="32CCA4D4"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0.9609</w:t>
            </w:r>
          </w:p>
        </w:tc>
      </w:tr>
      <w:tr w:rsidR="00D40526" w:rsidRPr="00D40526" w14:paraId="7E58B791" w14:textId="77777777" w:rsidTr="00FF7D99">
        <w:trPr>
          <w:trHeight w:val="567"/>
          <w:jc w:val="center"/>
        </w:trPr>
        <w:tc>
          <w:tcPr>
            <w:tcW w:w="2268" w:type="dxa"/>
            <w:vAlign w:val="center"/>
          </w:tcPr>
          <w:p w14:paraId="6CFC9436"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30CED3BA"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(FH cells 9×9×9)</w:t>
            </w:r>
          </w:p>
        </w:tc>
        <w:tc>
          <w:tcPr>
            <w:tcW w:w="1064" w:type="dxa"/>
            <w:vAlign w:val="center"/>
          </w:tcPr>
          <w:p w14:paraId="099D6702"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0.9595</w:t>
            </w:r>
          </w:p>
        </w:tc>
        <w:tc>
          <w:tcPr>
            <w:tcW w:w="1064" w:type="dxa"/>
            <w:vAlign w:val="center"/>
          </w:tcPr>
          <w:p w14:paraId="7685626F"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0.960</w:t>
            </w:r>
            <w:r w:rsidRPr="00D40526">
              <w:rPr>
                <w:rFonts w:ascii="Times New Roman" w:hAnsi="Times New Roman" w:cs="Times New Roman" w:hint="eastAsia"/>
                <w:color w:val="000000" w:themeColor="text1"/>
                <w:lang w:eastAsia="zh-CN"/>
              </w:rPr>
              <w:t>1</w:t>
            </w:r>
          </w:p>
        </w:tc>
        <w:tc>
          <w:tcPr>
            <w:tcW w:w="1064" w:type="dxa"/>
            <w:vAlign w:val="center"/>
          </w:tcPr>
          <w:p w14:paraId="761E2AB1"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0.9588</w:t>
            </w:r>
          </w:p>
        </w:tc>
      </w:tr>
      <w:tr w:rsidR="00D40526" w:rsidRPr="00D40526" w14:paraId="4324C428" w14:textId="77777777" w:rsidTr="00FF7D99">
        <w:trPr>
          <w:trHeight w:val="567"/>
          <w:jc w:val="center"/>
        </w:trPr>
        <w:tc>
          <w:tcPr>
            <w:tcW w:w="2268" w:type="dxa"/>
            <w:vAlign w:val="center"/>
          </w:tcPr>
          <w:p w14:paraId="2C872BD7"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Cut-off </w:t>
            </w:r>
          </w:p>
          <w:p w14:paraId="58A99BD0"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(FH cells 17×17×17)</w:t>
            </w:r>
          </w:p>
        </w:tc>
        <w:tc>
          <w:tcPr>
            <w:tcW w:w="1064" w:type="dxa"/>
            <w:vAlign w:val="center"/>
          </w:tcPr>
          <w:p w14:paraId="7DCB6A0D"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0.957</w:t>
            </w:r>
            <w:r w:rsidRPr="00D40526">
              <w:rPr>
                <w:rFonts w:ascii="Times New Roman" w:hAnsi="Times New Roman" w:cs="Times New Roman" w:hint="eastAsia"/>
                <w:color w:val="000000" w:themeColor="text1"/>
                <w:lang w:eastAsia="zh-CN"/>
              </w:rPr>
              <w:t>2</w:t>
            </w:r>
          </w:p>
        </w:tc>
        <w:tc>
          <w:tcPr>
            <w:tcW w:w="1064" w:type="dxa"/>
            <w:vAlign w:val="center"/>
          </w:tcPr>
          <w:p w14:paraId="7FB07FB6"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0.9610</w:t>
            </w:r>
          </w:p>
        </w:tc>
        <w:tc>
          <w:tcPr>
            <w:tcW w:w="1064" w:type="dxa"/>
            <w:vAlign w:val="center"/>
          </w:tcPr>
          <w:p w14:paraId="31206739"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0.958</w:t>
            </w:r>
            <w:r w:rsidRPr="00D40526">
              <w:rPr>
                <w:rFonts w:ascii="Times New Roman" w:hAnsi="Times New Roman" w:cs="Times New Roman" w:hint="eastAsia"/>
                <w:color w:val="000000" w:themeColor="text1"/>
                <w:lang w:eastAsia="zh-CN"/>
              </w:rPr>
              <w:t>4</w:t>
            </w:r>
          </w:p>
        </w:tc>
      </w:tr>
      <w:tr w:rsidR="00D40526" w:rsidRPr="00D40526" w14:paraId="75C345A4" w14:textId="77777777" w:rsidTr="00FF7D99">
        <w:trPr>
          <w:trHeight w:val="567"/>
          <w:jc w:val="center"/>
        </w:trPr>
        <w:tc>
          <w:tcPr>
            <w:tcW w:w="2268" w:type="dxa"/>
            <w:vAlign w:val="center"/>
          </w:tcPr>
          <w:p w14:paraId="74861330"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 xml:space="preserve">Reaction-field </w:t>
            </w:r>
          </w:p>
          <w:p w14:paraId="569AFE6A"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(FH cells 17×17×17)</w:t>
            </w:r>
          </w:p>
        </w:tc>
        <w:tc>
          <w:tcPr>
            <w:tcW w:w="1064" w:type="dxa"/>
            <w:vAlign w:val="center"/>
          </w:tcPr>
          <w:p w14:paraId="131F0A98"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0.9587</w:t>
            </w:r>
          </w:p>
        </w:tc>
        <w:tc>
          <w:tcPr>
            <w:tcW w:w="1064" w:type="dxa"/>
            <w:vAlign w:val="center"/>
          </w:tcPr>
          <w:p w14:paraId="28E613C8"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0.959</w:t>
            </w:r>
            <w:r w:rsidRPr="00D40526">
              <w:rPr>
                <w:rFonts w:ascii="Times New Roman" w:hAnsi="Times New Roman" w:cs="Times New Roman" w:hint="eastAsia"/>
                <w:color w:val="000000" w:themeColor="text1"/>
                <w:lang w:eastAsia="zh-CN"/>
              </w:rPr>
              <w:t>1</w:t>
            </w:r>
          </w:p>
        </w:tc>
        <w:tc>
          <w:tcPr>
            <w:tcW w:w="1064" w:type="dxa"/>
            <w:vAlign w:val="center"/>
          </w:tcPr>
          <w:p w14:paraId="1D9199BA"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0.9599</w:t>
            </w:r>
          </w:p>
        </w:tc>
      </w:tr>
      <w:tr w:rsidR="00D40526" w:rsidRPr="00D40526" w14:paraId="31AE645D" w14:textId="77777777" w:rsidTr="00FF7D99">
        <w:trPr>
          <w:trHeight w:val="567"/>
          <w:jc w:val="center"/>
        </w:trPr>
        <w:tc>
          <w:tcPr>
            <w:tcW w:w="2268" w:type="dxa"/>
            <w:tcBorders>
              <w:bottom w:val="single" w:sz="8" w:space="0" w:color="auto"/>
            </w:tcBorders>
            <w:vAlign w:val="center"/>
          </w:tcPr>
          <w:p w14:paraId="5F5392F2" w14:textId="77777777" w:rsidR="00EA15F8" w:rsidRPr="00393433" w:rsidRDefault="00EA15F8" w:rsidP="00FF7D99">
            <w:pPr>
              <w:jc w:val="center"/>
              <w:rPr>
                <w:rFonts w:ascii="Times New Roman" w:hAnsi="Times New Roman" w:cs="Times New Roman"/>
                <w:color w:val="000000" w:themeColor="text1"/>
                <w:lang w:val="en-GB" w:eastAsia="zh-CN"/>
              </w:rPr>
            </w:pPr>
            <w:r w:rsidRPr="00393433">
              <w:rPr>
                <w:rFonts w:ascii="Times New Roman" w:hAnsi="Times New Roman" w:cs="Times New Roman"/>
                <w:color w:val="000000" w:themeColor="text1"/>
                <w:lang w:val="en-GB" w:eastAsia="zh-CN"/>
              </w:rPr>
              <w:t>Reference all-atom MD solution</w:t>
            </w:r>
          </w:p>
        </w:tc>
        <w:tc>
          <w:tcPr>
            <w:tcW w:w="1064" w:type="dxa"/>
            <w:tcBorders>
              <w:bottom w:val="single" w:sz="8" w:space="0" w:color="auto"/>
            </w:tcBorders>
            <w:vAlign w:val="center"/>
          </w:tcPr>
          <w:p w14:paraId="24393D2F"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0.9575</w:t>
            </w:r>
          </w:p>
        </w:tc>
        <w:tc>
          <w:tcPr>
            <w:tcW w:w="1064" w:type="dxa"/>
            <w:tcBorders>
              <w:bottom w:val="single" w:sz="8" w:space="0" w:color="auto"/>
            </w:tcBorders>
            <w:vAlign w:val="center"/>
          </w:tcPr>
          <w:p w14:paraId="42ED03CC"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0.9578</w:t>
            </w:r>
          </w:p>
        </w:tc>
        <w:tc>
          <w:tcPr>
            <w:tcW w:w="1064" w:type="dxa"/>
            <w:tcBorders>
              <w:bottom w:val="single" w:sz="8" w:space="0" w:color="auto"/>
            </w:tcBorders>
            <w:vAlign w:val="center"/>
          </w:tcPr>
          <w:p w14:paraId="19B78D24"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0.9576</w:t>
            </w:r>
          </w:p>
        </w:tc>
      </w:tr>
    </w:tbl>
    <w:p w14:paraId="0A4D05CD" w14:textId="37201547" w:rsidR="00EA15F8" w:rsidRPr="00393433" w:rsidRDefault="002D2EA1" w:rsidP="00EA15F8">
      <w:pPr>
        <w:spacing w:beforeLines="100" w:before="240" w:line="480" w:lineRule="auto"/>
        <w:ind w:firstLineChars="200" w:firstLine="480"/>
        <w:jc w:val="both"/>
        <w:rPr>
          <w:color w:val="000000" w:themeColor="text1"/>
          <w:lang w:val="en-GB"/>
        </w:rPr>
      </w:pPr>
      <w:r w:rsidRPr="00393433">
        <w:rPr>
          <w:color w:val="000000" w:themeColor="text1"/>
          <w:lang w:val="en-GB"/>
        </w:rPr>
        <w:t xml:space="preserve">Figure </w:t>
      </w:r>
      <w:r w:rsidR="00EA15F8" w:rsidRPr="00393433">
        <w:rPr>
          <w:color w:val="000000" w:themeColor="text1"/>
          <w:lang w:val="en-GB"/>
        </w:rPr>
        <w:t xml:space="preserve">4 shows the time history of volume-averaged density and temperature computed in the pure MD zone for the same four cases. Thanks to the local thermostat implemented in the GLL-FH model, the temperature in the pure MD zone is well controlled in all cases. No </w:t>
      </w:r>
      <w:r w:rsidR="00EA15F8" w:rsidRPr="00393433">
        <w:rPr>
          <w:color w:val="000000" w:themeColor="text1"/>
          <w:lang w:val="en-GB"/>
        </w:rPr>
        <w:lastRenderedPageBreak/>
        <w:t xml:space="preserve">influence of the hydrodynamic domain size on the predicted temperature and density signals can be noted. </w:t>
      </w:r>
    </w:p>
    <w:p w14:paraId="47E43DEC" w14:textId="77777777"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rPr>
        <w:t xml:space="preserve">However, depending on the choice of the method for computing long-range interactions, the mean density calculation shows some variability: </w:t>
      </w:r>
      <w:proofErr w:type="gramStart"/>
      <w:r w:rsidRPr="00393433">
        <w:rPr>
          <w:color w:val="000000" w:themeColor="text1"/>
          <w:lang w:val="en-GB"/>
        </w:rPr>
        <w:t>the</w:t>
      </w:r>
      <w:proofErr w:type="gramEnd"/>
      <w:r w:rsidRPr="00393433">
        <w:rPr>
          <w:color w:val="000000" w:themeColor="text1"/>
          <w:lang w:val="en-GB"/>
        </w:rPr>
        <w:t xml:space="preserve"> Cut-off method overestimates the cell-averaged water density by about 7</w:t>
      </w:r>
      <w:r w:rsidRPr="00393433">
        <w:rPr>
          <w:color w:val="000000" w:themeColor="text1"/>
          <w:lang w:val="en-GB" w:eastAsia="zh-CN"/>
        </w:rPr>
        <w:t>.5</w:t>
      </w:r>
      <w:r w:rsidRPr="00393433">
        <w:rPr>
          <w:color w:val="000000" w:themeColor="text1"/>
          <w:lang w:val="en-GB"/>
        </w:rPr>
        <w:t>-</w:t>
      </w:r>
      <w:r w:rsidRPr="00393433">
        <w:rPr>
          <w:color w:val="000000" w:themeColor="text1"/>
          <w:lang w:val="en-GB" w:eastAsia="zh-CN"/>
        </w:rPr>
        <w:t>8.7</w:t>
      </w:r>
      <w:r w:rsidRPr="00393433">
        <w:rPr>
          <w:color w:val="000000" w:themeColor="text1"/>
          <w:lang w:val="en-GB"/>
        </w:rPr>
        <w:t>% while the reaction-field overestimates by only about 1</w:t>
      </w:r>
      <w:r w:rsidRPr="00393433">
        <w:rPr>
          <w:color w:val="000000" w:themeColor="text1"/>
          <w:lang w:val="en-GB" w:eastAsia="zh-CN"/>
        </w:rPr>
        <w:t>%.</w:t>
      </w:r>
      <w:r w:rsidRPr="00393433">
        <w:rPr>
          <w:color w:val="000000" w:themeColor="text1"/>
          <w:lang w:val="en-GB"/>
        </w:rPr>
        <w:t xml:space="preserve"> </w:t>
      </w:r>
      <w:r w:rsidRPr="00393433">
        <w:rPr>
          <w:color w:val="000000" w:themeColor="text1"/>
          <w:lang w:val="en-GB" w:eastAsia="zh-CN"/>
        </w:rPr>
        <w:t xml:space="preserve">As water is a </w:t>
      </w:r>
      <w:r w:rsidRPr="00393433">
        <w:rPr>
          <w:color w:val="000000" w:themeColor="text1"/>
          <w:lang w:val="en-GB"/>
        </w:rPr>
        <w:t xml:space="preserve">highly incompressible substance, the </w:t>
      </w:r>
      <w:proofErr w:type="gramStart"/>
      <w:r w:rsidRPr="00393433">
        <w:rPr>
          <w:color w:val="000000" w:themeColor="text1"/>
          <w:lang w:val="en-GB" w:eastAsia="zh-CN"/>
        </w:rPr>
        <w:t>7-8 fold</w:t>
      </w:r>
      <w:proofErr w:type="gramEnd"/>
      <w:r w:rsidRPr="00393433">
        <w:rPr>
          <w:color w:val="000000" w:themeColor="text1"/>
          <w:lang w:val="en-GB" w:eastAsia="zh-CN"/>
        </w:rPr>
        <w:t xml:space="preserve"> </w:t>
      </w:r>
      <w:r w:rsidRPr="00393433">
        <w:rPr>
          <w:color w:val="000000" w:themeColor="text1"/>
          <w:lang w:val="en-GB"/>
        </w:rPr>
        <w:t xml:space="preserve">reduced error in density suggests that the Reaction-Field method leads to an improved preservation of the local reference pressure in comparison with the Cut-off method. </w:t>
      </w:r>
    </w:p>
    <w:p w14:paraId="1A286645" w14:textId="301EE144" w:rsidR="00EA15F8" w:rsidRPr="00D40526" w:rsidRDefault="000233C9" w:rsidP="00EA15F8">
      <w:pPr>
        <w:jc w:val="center"/>
        <w:rPr>
          <w:color w:val="000000" w:themeColor="text1"/>
        </w:rPr>
      </w:pPr>
      <w:r w:rsidRPr="00D40526">
        <w:rPr>
          <w:color w:val="000000" w:themeColor="text1"/>
        </w:rPr>
        <w:object w:dxaOrig="7294" w:dyaOrig="5569" w14:anchorId="14064A39">
          <v:shape id="_x0000_i1135" type="#_x0000_t75" style="width:207pt;height:158.25pt" o:ole="">
            <v:imagedata r:id="rId231" o:title=""/>
          </v:shape>
          <o:OLEObject Type="Embed" ProgID="Origin95.Graph" ShapeID="_x0000_i1135" DrawAspect="Content" ObjectID="_1701512234" r:id="rId232"/>
        </w:object>
      </w:r>
      <w:r w:rsidRPr="00D40526">
        <w:rPr>
          <w:color w:val="000000" w:themeColor="text1"/>
        </w:rPr>
        <w:object w:dxaOrig="7294" w:dyaOrig="5569" w14:anchorId="505A2F94">
          <v:shape id="_x0000_i1136" type="#_x0000_t75" style="width:207pt;height:158.25pt" o:ole="">
            <v:imagedata r:id="rId233" o:title=""/>
          </v:shape>
          <o:OLEObject Type="Embed" ProgID="Origin95.Graph" ShapeID="_x0000_i1136" DrawAspect="Content" ObjectID="_1701512235" r:id="rId234"/>
        </w:object>
      </w:r>
    </w:p>
    <w:p w14:paraId="5C3AC5E1" w14:textId="354F1E92" w:rsidR="00EA15F8" w:rsidRPr="00393433" w:rsidRDefault="002D2EA1" w:rsidP="00BB6F9E">
      <w:pPr>
        <w:jc w:val="center"/>
        <w:rPr>
          <w:rFonts w:eastAsiaTheme="minorEastAsia"/>
          <w:color w:val="000000" w:themeColor="text1"/>
          <w:lang w:val="en-GB" w:eastAsia="zh-CN"/>
        </w:rPr>
      </w:pPr>
      <w:r w:rsidRPr="00393433">
        <w:rPr>
          <w:b/>
          <w:color w:val="000000" w:themeColor="text1"/>
          <w:lang w:val="en-GB"/>
        </w:rPr>
        <w:t>Figure</w:t>
      </w:r>
      <w:r w:rsidR="00EA15F8" w:rsidRPr="00393433">
        <w:rPr>
          <w:b/>
          <w:color w:val="000000" w:themeColor="text1"/>
          <w:lang w:val="en-GB"/>
        </w:rPr>
        <w:t xml:space="preserve"> 4</w:t>
      </w:r>
      <w:r w:rsidR="00BB6F9E" w:rsidRPr="00393433">
        <w:rPr>
          <w:b/>
          <w:color w:val="000000" w:themeColor="text1"/>
          <w:lang w:val="en-GB"/>
        </w:rPr>
        <w:t>.</w:t>
      </w:r>
      <w:r w:rsidR="00EA15F8" w:rsidRPr="00393433">
        <w:rPr>
          <w:b/>
          <w:color w:val="000000" w:themeColor="text1"/>
          <w:lang w:val="en-GB"/>
        </w:rPr>
        <w:t xml:space="preserve"> </w:t>
      </w:r>
      <w:r w:rsidR="00EA15F8" w:rsidRPr="00393433">
        <w:rPr>
          <w:bCs/>
          <w:color w:val="000000" w:themeColor="text1"/>
          <w:lang w:val="en-GB"/>
        </w:rPr>
        <w:t>Dependence of the temperature (a) and density (b) in the pure MD region of the computational domain on the domain size and the electrostatics interaction method: Cut-off method in the 9×9×9 domain, Cut-off method in the 17×17×17 domain, Reaction-Field method in the 9×9×9 domain, and Reaction-Field method in the 17×17×17 domain.</w:t>
      </w:r>
    </w:p>
    <w:p w14:paraId="64F2EE21" w14:textId="77777777" w:rsidR="00FF7D99" w:rsidRPr="00D40526" w:rsidRDefault="00FF7D99" w:rsidP="007D063F">
      <w:pPr>
        <w:pStyle w:val="Head1"/>
        <w:rPr>
          <w:b w:val="0"/>
          <w:color w:val="000000" w:themeColor="text1"/>
        </w:rPr>
      </w:pPr>
    </w:p>
    <w:p w14:paraId="0476C7EE" w14:textId="160E69B4" w:rsidR="00FF7D99" w:rsidRPr="00D40526" w:rsidRDefault="008921F1" w:rsidP="00FF7D99">
      <w:pPr>
        <w:pStyle w:val="Head1"/>
        <w:rPr>
          <w:b w:val="0"/>
          <w:color w:val="000000" w:themeColor="text1"/>
        </w:rPr>
      </w:pPr>
      <w:r w:rsidRPr="00D40526">
        <w:rPr>
          <w:b w:val="0"/>
          <w:color w:val="000000" w:themeColor="text1"/>
        </w:rPr>
        <w:t>To complete this sub-section, d</w:t>
      </w:r>
      <w:r w:rsidR="00B955BF" w:rsidRPr="00D40526">
        <w:rPr>
          <w:b w:val="0"/>
          <w:color w:val="000000" w:themeColor="text1"/>
        </w:rPr>
        <w:t>istributions of the c</w:t>
      </w:r>
      <w:r w:rsidR="00DA20E7" w:rsidRPr="00D40526">
        <w:rPr>
          <w:b w:val="0"/>
          <w:color w:val="000000" w:themeColor="text1"/>
        </w:rPr>
        <w:t xml:space="preserve">ell-averaged </w:t>
      </w:r>
      <w:r w:rsidR="00FF7D99" w:rsidRPr="00D40526">
        <w:rPr>
          <w:b w:val="0"/>
          <w:color w:val="000000" w:themeColor="text1"/>
        </w:rPr>
        <w:t xml:space="preserve">temperature </w:t>
      </w:r>
      <w:r w:rsidR="00B955BF" w:rsidRPr="00D40526">
        <w:rPr>
          <w:b w:val="0"/>
          <w:color w:val="000000" w:themeColor="text1"/>
        </w:rPr>
        <w:t>of MD</w:t>
      </w:r>
      <w:r w:rsidR="00D96EAA" w:rsidRPr="00D40526">
        <w:rPr>
          <w:b w:val="0"/>
          <w:color w:val="000000" w:themeColor="text1"/>
        </w:rPr>
        <w:t xml:space="preserve"> </w:t>
      </w:r>
      <w:r w:rsidR="00DA20E7" w:rsidRPr="00D40526">
        <w:rPr>
          <w:b w:val="0"/>
          <w:color w:val="000000" w:themeColor="text1"/>
        </w:rPr>
        <w:t>particles</w:t>
      </w:r>
      <w:r w:rsidR="00D96EAA" w:rsidRPr="00D40526">
        <w:rPr>
          <w:b w:val="0"/>
          <w:color w:val="000000" w:themeColor="text1"/>
        </w:rPr>
        <w:t xml:space="preserve"> </w:t>
      </w:r>
      <w:r w:rsidR="00D96EAA" w:rsidRPr="00D40526">
        <w:rPr>
          <w:rFonts w:hint="eastAsia"/>
          <w:b w:val="0"/>
          <w:color w:val="000000" w:themeColor="text1"/>
        </w:rPr>
        <w:t>along</w:t>
      </w:r>
      <w:r w:rsidR="00FF7D99" w:rsidRPr="00D40526">
        <w:rPr>
          <w:b w:val="0"/>
          <w:color w:val="000000" w:themeColor="text1"/>
        </w:rPr>
        <w:t xml:space="preserve"> </w:t>
      </w:r>
      <w:r w:rsidR="00D96EAA" w:rsidRPr="00D40526">
        <w:rPr>
          <w:b w:val="0"/>
          <w:color w:val="000000" w:themeColor="text1"/>
        </w:rPr>
        <w:t xml:space="preserve">the flow </w:t>
      </w:r>
      <w:r w:rsidR="00FF7D99" w:rsidRPr="00D40526">
        <w:rPr>
          <w:rFonts w:hint="eastAsia"/>
          <w:b w:val="0"/>
          <w:color w:val="000000" w:themeColor="text1"/>
        </w:rPr>
        <w:t>stream-wise,</w:t>
      </w:r>
      <w:r w:rsidR="00FF7D99" w:rsidRPr="00D40526">
        <w:rPr>
          <w:b w:val="0"/>
          <w:color w:val="000000" w:themeColor="text1"/>
        </w:rPr>
        <w:t xml:space="preserve"> shea</w:t>
      </w:r>
      <w:r w:rsidR="00D96EAA" w:rsidRPr="00D40526">
        <w:rPr>
          <w:b w:val="0"/>
          <w:color w:val="000000" w:themeColor="text1"/>
        </w:rPr>
        <w:t>r-wise, and span-wise directions</w:t>
      </w:r>
      <w:r w:rsidR="00B955BF" w:rsidRPr="00D40526">
        <w:rPr>
          <w:b w:val="0"/>
          <w:color w:val="000000" w:themeColor="text1"/>
        </w:rPr>
        <w:t xml:space="preserve">, which are </w:t>
      </w:r>
      <w:proofErr w:type="spellStart"/>
      <w:r w:rsidR="00B955BF" w:rsidRPr="00D40526">
        <w:rPr>
          <w:b w:val="0"/>
          <w:color w:val="000000" w:themeColor="text1"/>
        </w:rPr>
        <w:t>centred</w:t>
      </w:r>
      <w:proofErr w:type="spellEnd"/>
      <w:r w:rsidR="00B955BF" w:rsidRPr="00D40526">
        <w:rPr>
          <w:b w:val="0"/>
          <w:color w:val="000000" w:themeColor="text1"/>
        </w:rPr>
        <w:t xml:space="preserve"> in the pure MD region, </w:t>
      </w:r>
      <w:r w:rsidR="00D96EAA" w:rsidRPr="00D40526">
        <w:rPr>
          <w:b w:val="0"/>
          <w:color w:val="000000" w:themeColor="text1"/>
        </w:rPr>
        <w:t>are shown in Fig.5</w:t>
      </w:r>
      <w:r w:rsidR="00B955BF" w:rsidRPr="00D40526">
        <w:rPr>
          <w:b w:val="0"/>
          <w:color w:val="000000" w:themeColor="text1"/>
        </w:rPr>
        <w:t xml:space="preserve">. </w:t>
      </w:r>
      <w:r w:rsidRPr="00D40526">
        <w:rPr>
          <w:b w:val="0"/>
          <w:color w:val="000000" w:themeColor="text1"/>
        </w:rPr>
        <w:t xml:space="preserve">The solutions presented correspond to </w:t>
      </w:r>
      <w:r w:rsidRPr="00D40526">
        <w:rPr>
          <w:b w:val="0"/>
          <w:bCs/>
          <w:color w:val="000000" w:themeColor="text1"/>
        </w:rPr>
        <w:t>Reaction-Field method and</w:t>
      </w:r>
      <w:r w:rsidR="00D96EAA" w:rsidRPr="00D40526">
        <w:rPr>
          <w:b w:val="0"/>
          <w:bCs/>
          <w:color w:val="000000" w:themeColor="text1"/>
        </w:rPr>
        <w:t xml:space="preserve"> the 9×9×9 cell computational domain</w:t>
      </w:r>
      <w:r w:rsidRPr="00D40526">
        <w:rPr>
          <w:b w:val="0"/>
          <w:bCs/>
          <w:color w:val="000000" w:themeColor="text1"/>
        </w:rPr>
        <w:t xml:space="preserve">. Other choices of the force field and computational domain sizes lead to very similar temperature distributions, hence, are not included. </w:t>
      </w:r>
      <w:r w:rsidR="00D96EAA" w:rsidRPr="00D40526">
        <w:rPr>
          <w:b w:val="0"/>
          <w:bCs/>
          <w:color w:val="000000" w:themeColor="text1"/>
        </w:rPr>
        <w:t>Fig. 5a shows the particle temperature measured co</w:t>
      </w:r>
      <w:r w:rsidR="00BC5B51" w:rsidRPr="00D40526">
        <w:rPr>
          <w:b w:val="0"/>
          <w:bCs/>
          <w:color w:val="000000" w:themeColor="text1"/>
        </w:rPr>
        <w:t>mputed from the equipartition</w:t>
      </w:r>
      <w:r w:rsidR="00D96EAA" w:rsidRPr="00D40526">
        <w:rPr>
          <w:b w:val="0"/>
          <w:bCs/>
          <w:color w:val="000000" w:themeColor="text1"/>
        </w:rPr>
        <w:t xml:space="preserve"> theorem.</w:t>
      </w:r>
      <w:r w:rsidR="001B550B" w:rsidRPr="00D40526">
        <w:rPr>
          <w:b w:val="0"/>
          <w:bCs/>
          <w:color w:val="000000" w:themeColor="text1"/>
        </w:rPr>
        <w:t xml:space="preserve"> The temperature profiles in all 3 coordinate directions virtually </w:t>
      </w:r>
      <w:r w:rsidR="00DA20E7" w:rsidRPr="00D40526">
        <w:rPr>
          <w:b w:val="0"/>
          <w:bCs/>
          <w:color w:val="000000" w:themeColor="text1"/>
        </w:rPr>
        <w:t>coincide, and the particle temperature in the central pure MD region is equal to the target</w:t>
      </w:r>
      <w:r w:rsidRPr="00D40526">
        <w:rPr>
          <w:b w:val="0"/>
          <w:bCs/>
          <w:color w:val="000000" w:themeColor="text1"/>
        </w:rPr>
        <w:t xml:space="preserve"> value</w:t>
      </w:r>
      <w:r w:rsidR="00DA20E7" w:rsidRPr="00D40526">
        <w:rPr>
          <w:b w:val="0"/>
          <w:bCs/>
          <w:color w:val="000000" w:themeColor="text1"/>
        </w:rPr>
        <w:t xml:space="preserve">, </w:t>
      </w:r>
      <w:r w:rsidR="00DA20E7" w:rsidRPr="00D40526">
        <w:rPr>
          <w:b w:val="0"/>
          <w:i/>
          <w:iCs/>
          <w:color w:val="000000" w:themeColor="text1"/>
        </w:rPr>
        <w:t>T</w:t>
      </w:r>
      <w:r w:rsidR="00DA20E7" w:rsidRPr="00D40526">
        <w:rPr>
          <w:rFonts w:hint="eastAsia"/>
          <w:b w:val="0"/>
          <w:i/>
          <w:iCs/>
          <w:color w:val="000000" w:themeColor="text1"/>
          <w:vertAlign w:val="subscript"/>
        </w:rPr>
        <w:t>0</w:t>
      </w:r>
      <w:r w:rsidR="001B550B" w:rsidRPr="00D40526">
        <w:rPr>
          <w:b w:val="0"/>
          <w:bCs/>
          <w:color w:val="000000" w:themeColor="text1"/>
        </w:rPr>
        <w:t xml:space="preserve">. </w:t>
      </w:r>
      <w:r w:rsidR="00D96EAA" w:rsidRPr="00D40526">
        <w:rPr>
          <w:b w:val="0"/>
          <w:bCs/>
          <w:color w:val="000000" w:themeColor="text1"/>
        </w:rPr>
        <w:t xml:space="preserve">Fig.5b shows the reconstructed full temperature including the hydrodynamic </w:t>
      </w:r>
      <w:r w:rsidR="00BC5B51" w:rsidRPr="00D40526">
        <w:rPr>
          <w:b w:val="0"/>
          <w:bCs/>
          <w:color w:val="000000" w:themeColor="text1"/>
        </w:rPr>
        <w:t xml:space="preserve">phase </w:t>
      </w:r>
      <w:r w:rsidR="00D96EAA" w:rsidRPr="00D40526">
        <w:rPr>
          <w:b w:val="0"/>
          <w:bCs/>
          <w:color w:val="000000" w:themeColor="text1"/>
        </w:rPr>
        <w:t xml:space="preserve">contribution in accordance with </w:t>
      </w:r>
      <w:proofErr w:type="gramStart"/>
      <w:r w:rsidR="00D96EAA" w:rsidRPr="00D40526">
        <w:rPr>
          <w:b w:val="0"/>
          <w:color w:val="000000" w:themeColor="text1"/>
        </w:rPr>
        <w:t>Eq</w:t>
      </w:r>
      <w:r w:rsidR="003C3271" w:rsidRPr="00D40526">
        <w:rPr>
          <w:b w:val="0"/>
          <w:color w:val="000000" w:themeColor="text1"/>
        </w:rPr>
        <w:t>.</w:t>
      </w:r>
      <w:r w:rsidR="00D96EAA" w:rsidRPr="00D40526">
        <w:rPr>
          <w:b w:val="0"/>
          <w:color w:val="000000" w:themeColor="text1"/>
        </w:rPr>
        <w:t>(</w:t>
      </w:r>
      <w:proofErr w:type="gramEnd"/>
      <w:r w:rsidR="00D96EAA" w:rsidRPr="00D40526">
        <w:rPr>
          <w:b w:val="0"/>
          <w:color w:val="000000" w:themeColor="text1"/>
        </w:rPr>
        <w:t xml:space="preserve">17). Good agreement with the target </w:t>
      </w:r>
      <w:r w:rsidR="00BC5B51" w:rsidRPr="00D40526">
        <w:rPr>
          <w:b w:val="0"/>
          <w:color w:val="000000" w:themeColor="text1"/>
        </w:rPr>
        <w:t>temperature</w:t>
      </w:r>
      <w:r w:rsidR="00D96EAA" w:rsidRPr="00D40526">
        <w:rPr>
          <w:b w:val="0"/>
          <w:color w:val="000000" w:themeColor="text1"/>
        </w:rPr>
        <w:t xml:space="preserve"> </w:t>
      </w:r>
      <w:r w:rsidR="00D96EAA" w:rsidRPr="00D40526">
        <w:rPr>
          <w:b w:val="0"/>
          <w:i/>
          <w:iCs/>
          <w:color w:val="000000" w:themeColor="text1"/>
        </w:rPr>
        <w:t>T</w:t>
      </w:r>
      <w:r w:rsidR="00D96EAA" w:rsidRPr="00D40526">
        <w:rPr>
          <w:rFonts w:hint="eastAsia"/>
          <w:b w:val="0"/>
          <w:i/>
          <w:iCs/>
          <w:color w:val="000000" w:themeColor="text1"/>
          <w:vertAlign w:val="subscript"/>
        </w:rPr>
        <w:t>0</w:t>
      </w:r>
      <w:r w:rsidR="00D96EAA" w:rsidRPr="00D40526">
        <w:rPr>
          <w:i/>
          <w:iCs/>
          <w:color w:val="000000" w:themeColor="text1"/>
          <w:vertAlign w:val="subscript"/>
        </w:rPr>
        <w:t xml:space="preserve"> </w:t>
      </w:r>
      <w:r w:rsidR="00D96EAA" w:rsidRPr="00D40526">
        <w:rPr>
          <w:b w:val="0"/>
          <w:color w:val="000000" w:themeColor="text1"/>
        </w:rPr>
        <w:t xml:space="preserve">is evident for all </w:t>
      </w:r>
      <w:r w:rsidR="0002328A" w:rsidRPr="00D40526">
        <w:rPr>
          <w:b w:val="0"/>
          <w:color w:val="000000" w:themeColor="text1"/>
        </w:rPr>
        <w:t>spatial</w:t>
      </w:r>
      <w:r w:rsidR="00BC5B51" w:rsidRPr="00D40526">
        <w:rPr>
          <w:b w:val="0"/>
          <w:color w:val="000000" w:themeColor="text1"/>
        </w:rPr>
        <w:t xml:space="preserve"> </w:t>
      </w:r>
      <w:r w:rsidR="00D96EAA" w:rsidRPr="00D40526">
        <w:rPr>
          <w:b w:val="0"/>
          <w:color w:val="000000" w:themeColor="text1"/>
        </w:rPr>
        <w:t>locations</w:t>
      </w:r>
      <w:r w:rsidR="00DA20E7" w:rsidRPr="00D40526">
        <w:rPr>
          <w:b w:val="0"/>
          <w:color w:val="000000" w:themeColor="text1"/>
        </w:rPr>
        <w:t xml:space="preserve"> including the hydrodynamics-dominated regions near the boundaries</w:t>
      </w:r>
      <w:r w:rsidR="0002328A" w:rsidRPr="00D40526">
        <w:rPr>
          <w:b w:val="0"/>
          <w:color w:val="000000" w:themeColor="text1"/>
        </w:rPr>
        <w:t xml:space="preserve"> of the </w:t>
      </w:r>
      <w:r w:rsidR="0002328A" w:rsidRPr="00D40526">
        <w:rPr>
          <w:b w:val="0"/>
          <w:color w:val="000000" w:themeColor="text1"/>
        </w:rPr>
        <w:lastRenderedPageBreak/>
        <w:t>MD box</w:t>
      </w:r>
      <w:r w:rsidR="00DA20E7" w:rsidRPr="00D40526">
        <w:rPr>
          <w:b w:val="0"/>
          <w:color w:val="000000" w:themeColor="text1"/>
        </w:rPr>
        <w:t>. This</w:t>
      </w:r>
      <w:r w:rsidR="00BC5B51" w:rsidRPr="00D40526">
        <w:rPr>
          <w:b w:val="0"/>
          <w:color w:val="000000" w:themeColor="text1"/>
        </w:rPr>
        <w:t xml:space="preserve"> confirms </w:t>
      </w:r>
      <w:r w:rsidR="00FF7D99" w:rsidRPr="00D40526">
        <w:rPr>
          <w:rFonts w:hint="eastAsia"/>
          <w:b w:val="0"/>
          <w:color w:val="000000" w:themeColor="text1"/>
        </w:rPr>
        <w:t>that</w:t>
      </w:r>
      <w:r w:rsidR="00FF7D99" w:rsidRPr="00D40526">
        <w:rPr>
          <w:b w:val="0"/>
          <w:color w:val="000000" w:themeColor="text1"/>
        </w:rPr>
        <w:t xml:space="preserve"> </w:t>
      </w:r>
      <w:r w:rsidR="00FF7D99" w:rsidRPr="00D40526">
        <w:rPr>
          <w:rFonts w:hint="eastAsia"/>
          <w:b w:val="0"/>
          <w:color w:val="000000" w:themeColor="text1"/>
        </w:rPr>
        <w:t>the</w:t>
      </w:r>
      <w:r w:rsidR="00FF7D99" w:rsidRPr="00D40526">
        <w:rPr>
          <w:b w:val="0"/>
          <w:color w:val="000000" w:themeColor="text1"/>
        </w:rPr>
        <w:t xml:space="preserve"> </w:t>
      </w:r>
      <w:r w:rsidR="008E6E9A" w:rsidRPr="00D40526">
        <w:rPr>
          <w:b w:val="0"/>
          <w:color w:val="000000" w:themeColor="text1"/>
        </w:rPr>
        <w:t xml:space="preserve">implemented </w:t>
      </w:r>
      <w:r w:rsidR="00FF7D99" w:rsidRPr="00D40526">
        <w:rPr>
          <w:rFonts w:hint="eastAsia"/>
          <w:b w:val="0"/>
          <w:color w:val="000000" w:themeColor="text1"/>
        </w:rPr>
        <w:t>local</w:t>
      </w:r>
      <w:r w:rsidR="00FF7D99" w:rsidRPr="00D40526">
        <w:rPr>
          <w:b w:val="0"/>
          <w:color w:val="000000" w:themeColor="text1"/>
        </w:rPr>
        <w:t xml:space="preserve"> </w:t>
      </w:r>
      <w:r w:rsidR="00FF7D99" w:rsidRPr="00D40526">
        <w:rPr>
          <w:rFonts w:hint="eastAsia"/>
          <w:b w:val="0"/>
          <w:color w:val="000000" w:themeColor="text1"/>
        </w:rPr>
        <w:t>thermostat</w:t>
      </w:r>
      <w:r w:rsidR="00FF7D99" w:rsidRPr="00D40526">
        <w:rPr>
          <w:b w:val="0"/>
          <w:color w:val="000000" w:themeColor="text1"/>
        </w:rPr>
        <w:t xml:space="preserve"> </w:t>
      </w:r>
      <w:r w:rsidR="00FF7D99" w:rsidRPr="00D40526">
        <w:rPr>
          <w:rFonts w:hint="eastAsia"/>
          <w:b w:val="0"/>
          <w:color w:val="000000" w:themeColor="text1"/>
        </w:rPr>
        <w:t>work</w:t>
      </w:r>
      <w:r w:rsidR="00BC5B51" w:rsidRPr="00D40526">
        <w:rPr>
          <w:b w:val="0"/>
          <w:color w:val="000000" w:themeColor="text1"/>
        </w:rPr>
        <w:t>s</w:t>
      </w:r>
      <w:r w:rsidR="00FF7D99" w:rsidRPr="00D40526">
        <w:rPr>
          <w:b w:val="0"/>
          <w:color w:val="000000" w:themeColor="text1"/>
        </w:rPr>
        <w:t xml:space="preserve"> </w:t>
      </w:r>
      <w:r w:rsidR="00FF7D99" w:rsidRPr="00D40526">
        <w:rPr>
          <w:rFonts w:hint="eastAsia"/>
          <w:b w:val="0"/>
          <w:color w:val="000000" w:themeColor="text1"/>
        </w:rPr>
        <w:t>well</w:t>
      </w:r>
      <w:r w:rsidR="00FF7D99" w:rsidRPr="00D40526">
        <w:rPr>
          <w:b w:val="0"/>
          <w:color w:val="000000" w:themeColor="text1"/>
        </w:rPr>
        <w:t xml:space="preserve"> </w:t>
      </w:r>
      <w:r w:rsidR="00BC5B51" w:rsidRPr="00D40526">
        <w:rPr>
          <w:b w:val="0"/>
          <w:color w:val="000000" w:themeColor="text1"/>
        </w:rPr>
        <w:t>for the non-equilibrium flow problem considered</w:t>
      </w:r>
      <w:r w:rsidR="00FF7D99" w:rsidRPr="00D40526">
        <w:rPr>
          <w:b w:val="0"/>
          <w:color w:val="000000" w:themeColor="text1"/>
        </w:rPr>
        <w:t>.</w:t>
      </w:r>
    </w:p>
    <w:p w14:paraId="5BE0A663" w14:textId="5E3BA73B" w:rsidR="00FF7D99" w:rsidRPr="00D40526" w:rsidRDefault="00FF7D99" w:rsidP="00FF7D99">
      <w:pPr>
        <w:autoSpaceDE w:val="0"/>
        <w:autoSpaceDN w:val="0"/>
        <w:adjustRightInd w:val="0"/>
        <w:jc w:val="center"/>
        <w:rPr>
          <w:color w:val="000000" w:themeColor="text1"/>
        </w:rPr>
      </w:pPr>
      <w:r w:rsidRPr="00D40526">
        <w:rPr>
          <w:color w:val="000000" w:themeColor="text1"/>
        </w:rPr>
        <w:object w:dxaOrig="7295" w:dyaOrig="5570" w14:anchorId="3A7DC208">
          <v:shape id="_x0000_i1137" type="#_x0000_t75" style="width:207pt;height:158.25pt;mso-position-horizontal:absolute" o:ole="">
            <v:imagedata r:id="rId235" o:title=""/>
          </v:shape>
          <o:OLEObject Type="Embed" ProgID="Origin95.Graph" ShapeID="_x0000_i1137" DrawAspect="Content" ObjectID="_1701512236" r:id="rId236"/>
        </w:object>
      </w:r>
      <w:r w:rsidR="00B955BF" w:rsidRPr="00D40526">
        <w:rPr>
          <w:color w:val="000000" w:themeColor="text1"/>
        </w:rPr>
        <w:object w:dxaOrig="7294" w:dyaOrig="5569" w14:anchorId="0EBF5C11">
          <v:shape id="_x0000_i1138" type="#_x0000_t75" style="width:207pt;height:158.25pt" o:ole="">
            <v:imagedata r:id="rId237" o:title=""/>
          </v:shape>
          <o:OLEObject Type="Embed" ProgID="Origin95.Graph" ShapeID="_x0000_i1138" DrawAspect="Content" ObjectID="_1701512237" r:id="rId238"/>
        </w:object>
      </w:r>
    </w:p>
    <w:p w14:paraId="545C1541" w14:textId="63C1C185" w:rsidR="00FF7D99" w:rsidRPr="00393433" w:rsidRDefault="00FF7D99" w:rsidP="00FF7D99">
      <w:pPr>
        <w:autoSpaceDE w:val="0"/>
        <w:autoSpaceDN w:val="0"/>
        <w:adjustRightInd w:val="0"/>
        <w:jc w:val="center"/>
        <w:rPr>
          <w:b/>
          <w:color w:val="000000" w:themeColor="text1"/>
          <w:lang w:val="en-GB"/>
        </w:rPr>
      </w:pPr>
      <w:r w:rsidRPr="00393433">
        <w:rPr>
          <w:b/>
          <w:color w:val="000000" w:themeColor="text1"/>
          <w:lang w:val="en-GB"/>
        </w:rPr>
        <w:t>F</w:t>
      </w:r>
      <w:r w:rsidRPr="00393433">
        <w:rPr>
          <w:rFonts w:hint="eastAsia"/>
          <w:b/>
          <w:color w:val="000000" w:themeColor="text1"/>
          <w:lang w:val="en-GB"/>
        </w:rPr>
        <w:t>igure</w:t>
      </w:r>
      <w:r w:rsidRPr="00393433">
        <w:rPr>
          <w:b/>
          <w:color w:val="000000" w:themeColor="text1"/>
          <w:lang w:val="en-GB"/>
        </w:rPr>
        <w:t xml:space="preserve"> </w:t>
      </w:r>
      <w:r w:rsidR="00BC5B51" w:rsidRPr="00393433">
        <w:rPr>
          <w:rFonts w:hint="eastAsia"/>
          <w:b/>
          <w:color w:val="000000" w:themeColor="text1"/>
          <w:lang w:val="en-GB"/>
        </w:rPr>
        <w:t>5.</w:t>
      </w:r>
      <w:r w:rsidRPr="00393433">
        <w:rPr>
          <w:b/>
          <w:color w:val="000000" w:themeColor="text1"/>
          <w:lang w:val="en-GB"/>
        </w:rPr>
        <w:t xml:space="preserve"> </w:t>
      </w:r>
      <w:r w:rsidR="00B955BF" w:rsidRPr="00393433">
        <w:rPr>
          <w:b/>
          <w:color w:val="000000" w:themeColor="text1"/>
          <w:lang w:val="en-GB"/>
        </w:rPr>
        <w:t xml:space="preserve">Profiles of </w:t>
      </w:r>
      <w:r w:rsidR="008921F1" w:rsidRPr="00393433">
        <w:rPr>
          <w:b/>
          <w:color w:val="000000" w:themeColor="text1"/>
          <w:lang w:val="en-GB"/>
        </w:rPr>
        <w:t xml:space="preserve">the </w:t>
      </w:r>
      <w:r w:rsidR="00B955BF" w:rsidRPr="00393433">
        <w:rPr>
          <w:b/>
          <w:color w:val="000000" w:themeColor="text1"/>
          <w:lang w:val="en-GB"/>
        </w:rPr>
        <w:t>cell-averaged temperature</w:t>
      </w:r>
      <w:r w:rsidRPr="00393433">
        <w:rPr>
          <w:b/>
          <w:color w:val="000000" w:themeColor="text1"/>
          <w:lang w:val="en-GB"/>
        </w:rPr>
        <w:t xml:space="preserve"> </w:t>
      </w:r>
      <w:r w:rsidR="00B955BF" w:rsidRPr="00393433">
        <w:rPr>
          <w:b/>
          <w:color w:val="000000" w:themeColor="text1"/>
          <w:lang w:val="en-GB"/>
        </w:rPr>
        <w:t>of MD particles along the</w:t>
      </w:r>
      <w:r w:rsidR="008921F1" w:rsidRPr="00393433">
        <w:rPr>
          <w:b/>
          <w:color w:val="000000" w:themeColor="text1"/>
          <w:lang w:val="en-GB"/>
        </w:rPr>
        <w:t xml:space="preserve"> </w:t>
      </w:r>
      <w:r w:rsidRPr="00393433">
        <w:rPr>
          <w:b/>
          <w:color w:val="000000" w:themeColor="text1"/>
          <w:lang w:val="en-GB"/>
        </w:rPr>
        <w:t>stream-wise (</w:t>
      </w:r>
      <w:r w:rsidRPr="00393433">
        <w:rPr>
          <w:b/>
          <w:i/>
          <w:iCs/>
          <w:color w:val="000000" w:themeColor="text1"/>
          <w:lang w:val="en-GB"/>
        </w:rPr>
        <w:t>x</w:t>
      </w:r>
      <w:r w:rsidRPr="00393433">
        <w:rPr>
          <w:b/>
          <w:color w:val="000000" w:themeColor="text1"/>
          <w:vertAlign w:val="subscript"/>
          <w:lang w:val="en-GB"/>
        </w:rPr>
        <w:t>1</w:t>
      </w:r>
      <w:r w:rsidRPr="00393433">
        <w:rPr>
          <w:b/>
          <w:color w:val="000000" w:themeColor="text1"/>
          <w:lang w:val="en-GB"/>
        </w:rPr>
        <w:t>), shear-wise (</w:t>
      </w:r>
      <w:r w:rsidRPr="00393433">
        <w:rPr>
          <w:b/>
          <w:i/>
          <w:iCs/>
          <w:color w:val="000000" w:themeColor="text1"/>
          <w:lang w:val="en-GB"/>
        </w:rPr>
        <w:t>x</w:t>
      </w:r>
      <w:r w:rsidRPr="00393433">
        <w:rPr>
          <w:b/>
          <w:color w:val="000000" w:themeColor="text1"/>
          <w:vertAlign w:val="subscript"/>
          <w:lang w:val="en-GB"/>
        </w:rPr>
        <w:t>2</w:t>
      </w:r>
      <w:r w:rsidRPr="00393433">
        <w:rPr>
          <w:b/>
          <w:color w:val="000000" w:themeColor="text1"/>
          <w:lang w:val="en-GB"/>
        </w:rPr>
        <w:t>), and span-wise (</w:t>
      </w:r>
      <w:r w:rsidRPr="00393433">
        <w:rPr>
          <w:b/>
          <w:i/>
          <w:iCs/>
          <w:color w:val="000000" w:themeColor="text1"/>
          <w:lang w:val="en-GB"/>
        </w:rPr>
        <w:t>x</w:t>
      </w:r>
      <w:r w:rsidRPr="00393433">
        <w:rPr>
          <w:b/>
          <w:color w:val="000000" w:themeColor="text1"/>
          <w:vertAlign w:val="subscript"/>
          <w:lang w:val="en-GB"/>
        </w:rPr>
        <w:t>3</w:t>
      </w:r>
      <w:r w:rsidRPr="00393433">
        <w:rPr>
          <w:b/>
          <w:color w:val="000000" w:themeColor="text1"/>
          <w:lang w:val="en-GB"/>
        </w:rPr>
        <w:t xml:space="preserve">) </w:t>
      </w:r>
      <w:r w:rsidR="00B955BF" w:rsidRPr="00393433">
        <w:rPr>
          <w:b/>
          <w:color w:val="000000" w:themeColor="text1"/>
          <w:lang w:val="en-GB"/>
        </w:rPr>
        <w:t>directions</w:t>
      </w:r>
      <w:r w:rsidR="00BC5B51" w:rsidRPr="00393433">
        <w:rPr>
          <w:b/>
          <w:color w:val="000000" w:themeColor="text1"/>
          <w:lang w:val="en-GB"/>
        </w:rPr>
        <w:t xml:space="preserve"> </w:t>
      </w:r>
      <w:r w:rsidR="00B955BF" w:rsidRPr="00393433">
        <w:rPr>
          <w:b/>
          <w:color w:val="000000" w:themeColor="text1"/>
          <w:lang w:val="en-GB"/>
        </w:rPr>
        <w:t>normalised on</w:t>
      </w:r>
      <w:r w:rsidR="00BC5B51" w:rsidRPr="00393433">
        <w:rPr>
          <w:b/>
          <w:color w:val="000000" w:themeColor="text1"/>
          <w:lang w:val="en-GB"/>
        </w:rPr>
        <w:t xml:space="preserve"> the target temperature</w:t>
      </w:r>
      <w:r w:rsidRPr="00393433">
        <w:rPr>
          <w:b/>
          <w:color w:val="000000" w:themeColor="text1"/>
          <w:lang w:val="en-GB"/>
        </w:rPr>
        <w:t xml:space="preserve"> </w:t>
      </w:r>
      <w:r w:rsidRPr="00393433">
        <w:rPr>
          <w:b/>
          <w:i/>
          <w:iCs/>
          <w:color w:val="000000" w:themeColor="text1"/>
          <w:lang w:val="en-GB"/>
        </w:rPr>
        <w:t>T</w:t>
      </w:r>
      <w:r w:rsidRPr="00393433">
        <w:rPr>
          <w:rFonts w:hint="eastAsia"/>
          <w:b/>
          <w:i/>
          <w:iCs/>
          <w:color w:val="000000" w:themeColor="text1"/>
          <w:vertAlign w:val="subscript"/>
          <w:lang w:val="en-GB"/>
        </w:rPr>
        <w:t>0</w:t>
      </w:r>
      <w:r w:rsidR="00BC5B51" w:rsidRPr="00393433">
        <w:rPr>
          <w:b/>
          <w:color w:val="000000" w:themeColor="text1"/>
          <w:lang w:val="en-GB"/>
        </w:rPr>
        <w:t xml:space="preserve"> </w:t>
      </w:r>
      <w:r w:rsidR="00B955BF" w:rsidRPr="00393433">
        <w:rPr>
          <w:b/>
          <w:color w:val="000000" w:themeColor="text1"/>
          <w:lang w:val="en-GB"/>
        </w:rPr>
        <w:t>and</w:t>
      </w:r>
      <w:r w:rsidR="00BC5B51" w:rsidRPr="00393433">
        <w:rPr>
          <w:b/>
          <w:color w:val="000000" w:themeColor="text1"/>
          <w:lang w:val="en-GB"/>
        </w:rPr>
        <w:t xml:space="preserve"> computed from (a) the equipartion theorem </w:t>
      </w:r>
      <w:r w:rsidRPr="00393433">
        <w:rPr>
          <w:b/>
          <w:color w:val="000000" w:themeColor="text1"/>
          <w:lang w:val="en-GB"/>
        </w:rPr>
        <w:t xml:space="preserve">and (b) </w:t>
      </w:r>
      <w:r w:rsidR="008E6E9A" w:rsidRPr="00393433">
        <w:rPr>
          <w:b/>
          <w:color w:val="000000" w:themeColor="text1"/>
          <w:lang w:val="en-GB"/>
        </w:rPr>
        <w:t>the equipartion theorem</w:t>
      </w:r>
      <w:r w:rsidR="00BC5B51" w:rsidRPr="00393433">
        <w:rPr>
          <w:b/>
          <w:color w:val="000000" w:themeColor="text1"/>
          <w:lang w:val="en-GB"/>
        </w:rPr>
        <w:t xml:space="preserve"> including the hydrodynamic phase contribution </w:t>
      </w:r>
      <w:r w:rsidR="00A26E6F" w:rsidRPr="00393433">
        <w:rPr>
          <w:b/>
          <w:color w:val="000000" w:themeColor="text1"/>
          <w:lang w:val="en-GB"/>
        </w:rPr>
        <w:t>in accordance with Eq.</w:t>
      </w:r>
      <w:r w:rsidR="00BC5B51" w:rsidRPr="00393433">
        <w:rPr>
          <w:b/>
          <w:color w:val="000000" w:themeColor="text1"/>
          <w:lang w:val="en-GB"/>
        </w:rPr>
        <w:t>(17)</w:t>
      </w:r>
      <w:r w:rsidR="00B955BF" w:rsidRPr="00393433">
        <w:rPr>
          <w:b/>
          <w:color w:val="000000" w:themeColor="text1"/>
          <w:lang w:val="en-GB"/>
        </w:rPr>
        <w:t xml:space="preserve">. The model corresponds to </w:t>
      </w:r>
      <w:r w:rsidR="00A26E6F" w:rsidRPr="00393433">
        <w:rPr>
          <w:b/>
          <w:color w:val="000000" w:themeColor="text1"/>
          <w:lang w:val="en-GB"/>
        </w:rPr>
        <w:t xml:space="preserve">the </w:t>
      </w:r>
      <w:r w:rsidRPr="00393433">
        <w:rPr>
          <w:b/>
          <w:color w:val="000000" w:themeColor="text1"/>
          <w:lang w:val="en-GB"/>
        </w:rPr>
        <w:t>R</w:t>
      </w:r>
      <w:r w:rsidR="00BC5B51" w:rsidRPr="00393433">
        <w:rPr>
          <w:b/>
          <w:color w:val="000000" w:themeColor="text1"/>
          <w:lang w:val="en-GB"/>
        </w:rPr>
        <w:t>eaction-F</w:t>
      </w:r>
      <w:r w:rsidRPr="00393433">
        <w:rPr>
          <w:b/>
          <w:color w:val="000000" w:themeColor="text1"/>
          <w:lang w:val="en-GB"/>
        </w:rPr>
        <w:t>ield method in the 9×9×9 domain</w:t>
      </w:r>
      <w:r w:rsidRPr="00393433">
        <w:rPr>
          <w:rFonts w:hint="eastAsia"/>
          <w:b/>
          <w:color w:val="000000" w:themeColor="text1"/>
          <w:lang w:val="en-GB"/>
        </w:rPr>
        <w:t>.</w:t>
      </w:r>
      <w:r w:rsidRPr="00393433">
        <w:rPr>
          <w:b/>
          <w:color w:val="000000" w:themeColor="text1"/>
          <w:lang w:val="en-GB"/>
        </w:rPr>
        <w:t xml:space="preserve"> </w:t>
      </w:r>
    </w:p>
    <w:p w14:paraId="4EE73BA2" w14:textId="77777777" w:rsidR="00FF7D99" w:rsidRPr="00D40526" w:rsidRDefault="00FF7D99" w:rsidP="007D063F">
      <w:pPr>
        <w:pStyle w:val="Head1"/>
        <w:rPr>
          <w:b w:val="0"/>
          <w:color w:val="000000" w:themeColor="text1"/>
        </w:rPr>
      </w:pPr>
    </w:p>
    <w:p w14:paraId="55C63BC1" w14:textId="6ED07A0D" w:rsidR="00EA15F8" w:rsidRPr="00D40526" w:rsidRDefault="00EA15F8" w:rsidP="007D063F">
      <w:pPr>
        <w:pStyle w:val="Head1"/>
        <w:rPr>
          <w:color w:val="000000" w:themeColor="text1"/>
        </w:rPr>
      </w:pPr>
      <w:r w:rsidRPr="00D40526">
        <w:rPr>
          <w:color w:val="000000" w:themeColor="text1"/>
        </w:rPr>
        <w:t>3.3 Radial distribution function</w:t>
      </w:r>
    </w:p>
    <w:p w14:paraId="30EF2DFC" w14:textId="03DD62A1" w:rsidR="00EA15F8" w:rsidRPr="00393433" w:rsidRDefault="00EA15F8" w:rsidP="00EA15F8">
      <w:pPr>
        <w:spacing w:line="480" w:lineRule="auto"/>
        <w:ind w:firstLineChars="200" w:firstLine="480"/>
        <w:jc w:val="both"/>
        <w:rPr>
          <w:color w:val="000000" w:themeColor="text1"/>
          <w:lang w:val="en-GB"/>
        </w:rPr>
      </w:pPr>
      <w:r w:rsidRPr="00393433">
        <w:rPr>
          <w:color w:val="000000" w:themeColor="text1"/>
          <w:lang w:val="en-GB"/>
        </w:rPr>
        <w:t xml:space="preserve">The radial distribution function (RDF) is an important indicator showing whether the interatomic forces in water have been accurately reproduced. Hence, RDF of water atoms has been computed in the pure MD region for all 4 GLL-FH models and compared with the reference all-atom equilibrium MD solution. The results for O-O atoms are shown in </w:t>
      </w:r>
      <w:r w:rsidR="002D2EA1" w:rsidRPr="00393433">
        <w:rPr>
          <w:color w:val="000000" w:themeColor="text1"/>
          <w:lang w:val="en-GB"/>
        </w:rPr>
        <w:t xml:space="preserve">Figure </w:t>
      </w:r>
      <w:r w:rsidR="001B550B" w:rsidRPr="00393433">
        <w:rPr>
          <w:color w:val="000000" w:themeColor="text1"/>
          <w:lang w:val="en-GB"/>
        </w:rPr>
        <w:t>6</w:t>
      </w:r>
      <w:r w:rsidRPr="00393433">
        <w:rPr>
          <w:color w:val="000000" w:themeColor="text1"/>
          <w:lang w:val="en-GB"/>
        </w:rPr>
        <w:t>. Again, no influence of the hydrodynamic domain size on the predicted RDF function can be noted. However, it can be observed that the solutions of the Cut-off model correctly capture the first hydration layer and yet smear the subsequent dip associated with repulsion, which is likely to be due to the water density overestimation. In comparison with this, the Reaction-Field models capture both the features of the RDF curve and are in excellent agreement with the reference all-atom MD solution.</w:t>
      </w:r>
    </w:p>
    <w:p w14:paraId="62C3F257" w14:textId="29F1BA7E" w:rsidR="00EA15F8" w:rsidRPr="00D40526" w:rsidRDefault="004E48CA" w:rsidP="00EA15F8">
      <w:pPr>
        <w:jc w:val="center"/>
        <w:rPr>
          <w:color w:val="000000" w:themeColor="text1"/>
        </w:rPr>
      </w:pPr>
      <w:r w:rsidRPr="00D40526">
        <w:rPr>
          <w:color w:val="000000" w:themeColor="text1"/>
        </w:rPr>
        <w:object w:dxaOrig="7294" w:dyaOrig="5569" w14:anchorId="2EE0322C">
          <v:shape id="_x0000_i1139" type="#_x0000_t75" style="width:207pt;height:158.25pt;mso-position-vertical:absolute" o:ole="">
            <v:imagedata r:id="rId239" o:title=""/>
          </v:shape>
          <o:OLEObject Type="Embed" ProgID="Origin95.Graph" ShapeID="_x0000_i1139" DrawAspect="Content" ObjectID="_1701512238" r:id="rId240"/>
        </w:object>
      </w:r>
      <w:r w:rsidR="00EA15F8" w:rsidRPr="00D40526">
        <w:rPr>
          <w:color w:val="000000" w:themeColor="text1"/>
        </w:rPr>
        <w:t xml:space="preserve"> </w:t>
      </w:r>
      <w:r w:rsidRPr="00D40526">
        <w:rPr>
          <w:color w:val="000000" w:themeColor="text1"/>
        </w:rPr>
        <w:object w:dxaOrig="7294" w:dyaOrig="5569" w14:anchorId="69F18545">
          <v:shape id="_x0000_i1140" type="#_x0000_t75" style="width:207pt;height:158.25pt;mso-position-vertical:absolute" o:ole="">
            <v:imagedata r:id="rId241" o:title=""/>
          </v:shape>
          <o:OLEObject Type="Embed" ProgID="Origin95.Graph" ShapeID="_x0000_i1140" DrawAspect="Content" ObjectID="_1701512239" r:id="rId242"/>
        </w:object>
      </w:r>
    </w:p>
    <w:p w14:paraId="0E9AC183" w14:textId="21CDBF3D" w:rsidR="00EA15F8" w:rsidRPr="00393433" w:rsidRDefault="002D2EA1" w:rsidP="00EA15F8">
      <w:pPr>
        <w:jc w:val="center"/>
        <w:rPr>
          <w:b/>
          <w:color w:val="000000" w:themeColor="text1"/>
          <w:lang w:val="en-GB"/>
        </w:rPr>
      </w:pPr>
      <w:r w:rsidRPr="00393433">
        <w:rPr>
          <w:b/>
          <w:color w:val="000000" w:themeColor="text1"/>
          <w:lang w:val="en-GB"/>
        </w:rPr>
        <w:t>Figure</w:t>
      </w:r>
      <w:r w:rsidR="001B550B" w:rsidRPr="00393433">
        <w:rPr>
          <w:b/>
          <w:color w:val="000000" w:themeColor="text1"/>
          <w:lang w:val="en-GB"/>
        </w:rPr>
        <w:t xml:space="preserve"> 6</w:t>
      </w:r>
      <w:r w:rsidR="00BB6F9E" w:rsidRPr="00393433">
        <w:rPr>
          <w:b/>
          <w:color w:val="000000" w:themeColor="text1"/>
          <w:lang w:val="en-GB"/>
        </w:rPr>
        <w:t>.</w:t>
      </w:r>
      <w:r w:rsidR="00EA15F8" w:rsidRPr="00393433">
        <w:rPr>
          <w:b/>
          <w:color w:val="000000" w:themeColor="text1"/>
          <w:lang w:val="en-GB"/>
        </w:rPr>
        <w:t xml:space="preserve"> </w:t>
      </w:r>
      <w:r w:rsidR="00EA15F8" w:rsidRPr="00393433">
        <w:rPr>
          <w:bCs/>
          <w:color w:val="000000" w:themeColor="text1"/>
          <w:lang w:val="en-GB"/>
        </w:rPr>
        <w:t xml:space="preserve">Radial distribution functions of O-O atoms for different electrostatics methods Cut-off method (a) and Reaction-field </w:t>
      </w:r>
      <w:r w:rsidR="00EA15F8" w:rsidRPr="00393433">
        <w:rPr>
          <w:rFonts w:hint="eastAsia"/>
          <w:bCs/>
          <w:color w:val="000000" w:themeColor="text1"/>
          <w:lang w:val="en-GB" w:eastAsia="zh-CN"/>
        </w:rPr>
        <w:t>method</w:t>
      </w:r>
      <w:r w:rsidR="00EA15F8" w:rsidRPr="00393433">
        <w:rPr>
          <w:bCs/>
          <w:color w:val="000000" w:themeColor="text1"/>
          <w:lang w:val="en-GB"/>
        </w:rPr>
        <w:t xml:space="preserve">(b): Cut-off method </w:t>
      </w:r>
      <w:r w:rsidR="00EA15F8" w:rsidRPr="00393433">
        <w:rPr>
          <w:rFonts w:hint="eastAsia"/>
          <w:bCs/>
          <w:color w:val="000000" w:themeColor="text1"/>
          <w:lang w:val="en-GB" w:eastAsia="zh-CN"/>
        </w:rPr>
        <w:t>in</w:t>
      </w:r>
      <w:r w:rsidR="00EA15F8" w:rsidRPr="00393433">
        <w:rPr>
          <w:bCs/>
          <w:color w:val="000000" w:themeColor="text1"/>
          <w:lang w:val="en-GB"/>
        </w:rPr>
        <w:t xml:space="preserve"> the 9×9×9 domain, Cut-off method </w:t>
      </w:r>
      <w:r w:rsidR="00EA15F8" w:rsidRPr="00393433">
        <w:rPr>
          <w:rFonts w:hint="eastAsia"/>
          <w:bCs/>
          <w:color w:val="000000" w:themeColor="text1"/>
          <w:lang w:val="en-GB" w:eastAsia="zh-CN"/>
        </w:rPr>
        <w:t>in</w:t>
      </w:r>
      <w:r w:rsidR="00EA15F8" w:rsidRPr="00393433">
        <w:rPr>
          <w:bCs/>
          <w:color w:val="000000" w:themeColor="text1"/>
          <w:lang w:val="en-GB"/>
        </w:rPr>
        <w:t xml:space="preserve"> the 17×17×17 domain, Reaction-field method </w:t>
      </w:r>
      <w:r w:rsidR="00EA15F8" w:rsidRPr="00393433">
        <w:rPr>
          <w:rFonts w:hint="eastAsia"/>
          <w:bCs/>
          <w:color w:val="000000" w:themeColor="text1"/>
          <w:lang w:val="en-GB" w:eastAsia="zh-CN"/>
        </w:rPr>
        <w:t>in</w:t>
      </w:r>
      <w:r w:rsidR="00EA15F8" w:rsidRPr="00393433">
        <w:rPr>
          <w:bCs/>
          <w:color w:val="000000" w:themeColor="text1"/>
          <w:lang w:val="en-GB"/>
        </w:rPr>
        <w:t xml:space="preserve"> the 9×9×9 domain and Reaction-field method </w:t>
      </w:r>
      <w:r w:rsidR="00EA15F8" w:rsidRPr="00393433">
        <w:rPr>
          <w:rFonts w:hint="eastAsia"/>
          <w:bCs/>
          <w:color w:val="000000" w:themeColor="text1"/>
          <w:lang w:val="en-GB" w:eastAsia="zh-CN"/>
        </w:rPr>
        <w:t>in</w:t>
      </w:r>
      <w:r w:rsidR="00EA15F8" w:rsidRPr="00393433">
        <w:rPr>
          <w:bCs/>
          <w:color w:val="000000" w:themeColor="text1"/>
          <w:lang w:val="en-GB"/>
        </w:rPr>
        <w:t xml:space="preserve"> the 17×17×17 domain. The reference pure all-atom MD solution is included for comparison.</w:t>
      </w:r>
    </w:p>
    <w:p w14:paraId="61FE7895" w14:textId="77777777" w:rsidR="00EA15F8" w:rsidRPr="00D40526" w:rsidRDefault="00EA15F8" w:rsidP="007D063F">
      <w:pPr>
        <w:pStyle w:val="Head1"/>
        <w:rPr>
          <w:color w:val="000000" w:themeColor="text1"/>
        </w:rPr>
      </w:pPr>
      <w:r w:rsidRPr="00D40526">
        <w:rPr>
          <w:color w:val="000000" w:themeColor="text1"/>
        </w:rPr>
        <w:t xml:space="preserve">3.4 Evaluation of computational efficiency </w:t>
      </w:r>
    </w:p>
    <w:p w14:paraId="7A64DC98" w14:textId="77777777" w:rsidR="00EA15F8" w:rsidRPr="00393433" w:rsidRDefault="00EA15F8" w:rsidP="009C4EFB">
      <w:pPr>
        <w:spacing w:beforeLines="100" w:before="240" w:line="480" w:lineRule="auto"/>
        <w:ind w:firstLineChars="200" w:firstLine="480"/>
        <w:jc w:val="both"/>
        <w:rPr>
          <w:color w:val="000000" w:themeColor="text1"/>
          <w:lang w:val="en-GB" w:eastAsia="zh-CN"/>
        </w:rPr>
      </w:pPr>
      <w:r w:rsidRPr="00393433">
        <w:rPr>
          <w:color w:val="000000" w:themeColor="text1"/>
          <w:lang w:val="en-GB" w:eastAsia="zh-CN"/>
        </w:rPr>
        <w:t xml:space="preserve">Since hybrid atomistic-scale resolving multiscale methods are considerably more complex in comparison with the single-scale methods like Molecular Dynamics, computational efficiency of the suggested multiscale method is of great interest. All current GLL-FH models have been implemented in GROMACS and run on a workstation computer. The computational cost of the multiscale solution does not depend on the type of the long-range </w:t>
      </w:r>
      <w:proofErr w:type="gramStart"/>
      <w:r w:rsidRPr="00393433">
        <w:rPr>
          <w:color w:val="000000" w:themeColor="text1"/>
          <w:lang w:val="en-GB" w:eastAsia="zh-CN"/>
        </w:rPr>
        <w:t>electrostatics</w:t>
      </w:r>
      <w:proofErr w:type="gramEnd"/>
      <w:r w:rsidRPr="00393433">
        <w:rPr>
          <w:color w:val="000000" w:themeColor="text1"/>
          <w:lang w:val="en-GB" w:eastAsia="zh-CN"/>
        </w:rPr>
        <w:t xml:space="preserve"> method, cut-off and reaction-field and only weakly depends on the size of the hydrodynamics box computational domain. Since the main cost is associated with solving the MD particle equations in the small interior domain, the equivalent cost of equilibrium all-atom MD simulation in the entire computational domain is much greater. The difference in the computational cost of the hybrid multiscale method and the all-atom MD model in the same computational domains, 9×9×9 and 17×17×17 control volumes are summarised in Table 4. </w:t>
      </w:r>
      <w:r w:rsidRPr="00393433">
        <w:rPr>
          <w:color w:val="000000" w:themeColor="text1"/>
          <w:lang w:val="en-GB"/>
        </w:rPr>
        <w:t xml:space="preserve">Notably, for the smaller computational domain, </w:t>
      </w:r>
      <w:r w:rsidRPr="00393433">
        <w:rPr>
          <w:color w:val="000000" w:themeColor="text1"/>
          <w:lang w:val="en-GB" w:eastAsia="zh-CN"/>
        </w:rPr>
        <w:t>9×9×9</w:t>
      </w:r>
      <w:r w:rsidRPr="00393433">
        <w:rPr>
          <w:color w:val="000000" w:themeColor="text1"/>
          <w:lang w:val="en-GB"/>
        </w:rPr>
        <w:t>,</w:t>
      </w:r>
      <w:r w:rsidRPr="00393433">
        <w:rPr>
          <w:color w:val="000000" w:themeColor="text1"/>
          <w:lang w:val="en-GB" w:eastAsia="zh-CN"/>
        </w:rPr>
        <w:t xml:space="preserve"> the suggested multiscale model is a factor of 4 faster that the all-atom equilibrium </w:t>
      </w:r>
      <w:r w:rsidRPr="00393433">
        <w:rPr>
          <w:color w:val="000000" w:themeColor="text1"/>
          <w:lang w:val="en-GB"/>
        </w:rPr>
        <w:t xml:space="preserve">MD simulation. For the larger size domain of </w:t>
      </w:r>
      <w:r w:rsidRPr="00393433">
        <w:rPr>
          <w:color w:val="000000" w:themeColor="text1"/>
          <w:lang w:val="en-GB" w:eastAsia="zh-CN"/>
        </w:rPr>
        <w:t xml:space="preserve">17×17×17 volumes, the hybrid method already becomes a factor of 18 faster in comparison with the all-atom simulation. For large problems, the computational benefits of the hybrid </w:t>
      </w:r>
      <w:r w:rsidRPr="00393433">
        <w:rPr>
          <w:color w:val="000000" w:themeColor="text1"/>
          <w:lang w:val="en-GB" w:eastAsia="zh-CN"/>
        </w:rPr>
        <w:lastRenderedPageBreak/>
        <w:t xml:space="preserve">method in comparison with the pure MD method should increase proportionally to the size of the hydrodynamics box simulation domain. </w:t>
      </w:r>
    </w:p>
    <w:p w14:paraId="0A6FA5B6" w14:textId="77777777" w:rsidR="00EA15F8" w:rsidRPr="00D40526" w:rsidRDefault="00EA15F8" w:rsidP="00EA15F8">
      <w:pPr>
        <w:widowControl w:val="0"/>
        <w:autoSpaceDE w:val="0"/>
        <w:autoSpaceDN w:val="0"/>
        <w:adjustRightInd w:val="0"/>
        <w:jc w:val="center"/>
        <w:rPr>
          <w:b/>
          <w:color w:val="000000" w:themeColor="text1"/>
          <w:lang w:val="en-US"/>
        </w:rPr>
      </w:pPr>
      <w:r w:rsidRPr="00D40526">
        <w:rPr>
          <w:b/>
          <w:color w:val="000000" w:themeColor="text1"/>
          <w:lang w:val="en-US"/>
        </w:rPr>
        <w:t xml:space="preserve">Table 4. </w:t>
      </w:r>
      <w:r w:rsidRPr="00D40526">
        <w:rPr>
          <w:bCs/>
          <w:color w:val="000000" w:themeColor="text1"/>
          <w:lang w:val="en-US"/>
        </w:rPr>
        <w:t>Simulation times of the hybrid multiscale method against the all-atom equilibrium molecular dynamics for different computational domains, CPU hours for nanosecond simulated.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622"/>
        <w:gridCol w:w="2623"/>
      </w:tblGrid>
      <w:tr w:rsidR="00D40526" w:rsidRPr="00D40526" w14:paraId="1D420916" w14:textId="77777777" w:rsidTr="00FF7D99">
        <w:tc>
          <w:tcPr>
            <w:tcW w:w="3681" w:type="dxa"/>
            <w:tcBorders>
              <w:top w:val="single" w:sz="6" w:space="0" w:color="auto"/>
              <w:bottom w:val="single" w:sz="2" w:space="0" w:color="auto"/>
            </w:tcBorders>
            <w:vAlign w:val="center"/>
          </w:tcPr>
          <w:p w14:paraId="7834FF92"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Domain size</w:t>
            </w:r>
          </w:p>
        </w:tc>
        <w:tc>
          <w:tcPr>
            <w:tcW w:w="2622" w:type="dxa"/>
            <w:tcBorders>
              <w:top w:val="single" w:sz="6" w:space="0" w:color="auto"/>
              <w:bottom w:val="single" w:sz="2" w:space="0" w:color="auto"/>
            </w:tcBorders>
            <w:vAlign w:val="center"/>
          </w:tcPr>
          <w:p w14:paraId="243D76AE"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(9×9×9)</w:t>
            </w:r>
          </w:p>
        </w:tc>
        <w:tc>
          <w:tcPr>
            <w:tcW w:w="2623" w:type="dxa"/>
            <w:tcBorders>
              <w:top w:val="single" w:sz="6" w:space="0" w:color="auto"/>
              <w:bottom w:val="single" w:sz="2" w:space="0" w:color="auto"/>
            </w:tcBorders>
            <w:vAlign w:val="center"/>
          </w:tcPr>
          <w:p w14:paraId="64FEC7C0" w14:textId="77777777" w:rsidR="00EA15F8" w:rsidRPr="00D40526" w:rsidRDefault="00EA15F8" w:rsidP="00FF7D99">
            <w:pPr>
              <w:jc w:val="center"/>
              <w:rPr>
                <w:rFonts w:ascii="Times New Roman" w:hAnsi="Times New Roman" w:cs="Times New Roman"/>
                <w:color w:val="000000" w:themeColor="text1"/>
              </w:rPr>
            </w:pPr>
            <w:r w:rsidRPr="00D40526">
              <w:rPr>
                <w:rFonts w:ascii="Times New Roman" w:hAnsi="Times New Roman" w:cs="Times New Roman"/>
                <w:color w:val="000000" w:themeColor="text1"/>
                <w:lang w:eastAsia="zh-CN"/>
              </w:rPr>
              <w:t>(17×17×17)</w:t>
            </w:r>
          </w:p>
        </w:tc>
      </w:tr>
      <w:tr w:rsidR="00D40526" w:rsidRPr="00D40526" w14:paraId="589DFC28" w14:textId="77777777" w:rsidTr="00FF7D99">
        <w:tc>
          <w:tcPr>
            <w:tcW w:w="3681" w:type="dxa"/>
            <w:tcBorders>
              <w:top w:val="single" w:sz="2" w:space="0" w:color="auto"/>
              <w:bottom w:val="single" w:sz="6" w:space="0" w:color="auto"/>
            </w:tcBorders>
            <w:vAlign w:val="center"/>
          </w:tcPr>
          <w:p w14:paraId="09635FE5" w14:textId="77777777" w:rsidR="00EA15F8" w:rsidRPr="00393433" w:rsidRDefault="00EA15F8" w:rsidP="00FF7D99">
            <w:pPr>
              <w:jc w:val="center"/>
              <w:rPr>
                <w:rFonts w:ascii="Times New Roman" w:hAnsi="Times New Roman" w:cs="Times New Roman"/>
                <w:color w:val="000000" w:themeColor="text1"/>
                <w:lang w:val="en-GB"/>
              </w:rPr>
            </w:pPr>
            <w:r w:rsidRPr="00393433">
              <w:rPr>
                <w:rFonts w:ascii="Times New Roman" w:hAnsi="Times New Roman" w:cs="Times New Roman"/>
                <w:color w:val="000000" w:themeColor="text1"/>
                <w:lang w:val="en-GB"/>
              </w:rPr>
              <w:t xml:space="preserve">CPU hours of the hybrid method /CPU hours of the all-atom MD </w:t>
            </w:r>
            <w:r w:rsidRPr="00393433">
              <w:rPr>
                <w:rFonts w:ascii="Times New Roman" w:hAnsi="Times New Roman" w:cs="Times New Roman"/>
                <w:color w:val="000000" w:themeColor="text1"/>
                <w:lang w:val="en-GB" w:eastAsia="zh-CN"/>
              </w:rPr>
              <w:t>s</w:t>
            </w:r>
            <w:r w:rsidRPr="00393433">
              <w:rPr>
                <w:rFonts w:ascii="Times New Roman" w:hAnsi="Times New Roman" w:cs="Times New Roman"/>
                <w:color w:val="000000" w:themeColor="text1"/>
                <w:lang w:val="en-GB"/>
              </w:rPr>
              <w:t>imulation</w:t>
            </w:r>
          </w:p>
        </w:tc>
        <w:tc>
          <w:tcPr>
            <w:tcW w:w="2622" w:type="dxa"/>
            <w:tcBorders>
              <w:top w:val="single" w:sz="2" w:space="0" w:color="auto"/>
              <w:bottom w:val="single" w:sz="6" w:space="0" w:color="auto"/>
            </w:tcBorders>
            <w:vAlign w:val="center"/>
          </w:tcPr>
          <w:p w14:paraId="446291EF"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5.81/21.24=0.274</w:t>
            </w:r>
          </w:p>
        </w:tc>
        <w:tc>
          <w:tcPr>
            <w:tcW w:w="2623" w:type="dxa"/>
            <w:tcBorders>
              <w:top w:val="single" w:sz="2" w:space="0" w:color="auto"/>
              <w:bottom w:val="single" w:sz="6" w:space="0" w:color="auto"/>
            </w:tcBorders>
            <w:vAlign w:val="center"/>
          </w:tcPr>
          <w:p w14:paraId="14854B14" w14:textId="77777777" w:rsidR="00EA15F8" w:rsidRPr="00D40526" w:rsidRDefault="00EA15F8" w:rsidP="00FF7D99">
            <w:pPr>
              <w:jc w:val="center"/>
              <w:rPr>
                <w:rFonts w:ascii="Times New Roman" w:hAnsi="Times New Roman" w:cs="Times New Roman"/>
                <w:color w:val="000000" w:themeColor="text1"/>
                <w:lang w:eastAsia="zh-CN"/>
              </w:rPr>
            </w:pPr>
            <w:r w:rsidRPr="00D40526">
              <w:rPr>
                <w:rFonts w:ascii="Times New Roman" w:hAnsi="Times New Roman" w:cs="Times New Roman"/>
                <w:color w:val="000000" w:themeColor="text1"/>
                <w:lang w:eastAsia="zh-CN"/>
              </w:rPr>
              <w:t>7</w:t>
            </w:r>
            <w:r w:rsidRPr="00D40526">
              <w:rPr>
                <w:rFonts w:ascii="Times New Roman" w:hAnsi="Times New Roman" w:cs="Times New Roman" w:hint="eastAsia"/>
                <w:color w:val="000000" w:themeColor="text1"/>
                <w:lang w:eastAsia="zh-CN"/>
              </w:rPr>
              <w:t>.78</w:t>
            </w:r>
            <w:r w:rsidRPr="00D40526">
              <w:rPr>
                <w:rFonts w:ascii="Times New Roman" w:hAnsi="Times New Roman" w:cs="Times New Roman"/>
                <w:color w:val="000000" w:themeColor="text1"/>
                <w:lang w:eastAsia="zh-CN"/>
              </w:rPr>
              <w:t>/138.34=0.056</w:t>
            </w:r>
          </w:p>
        </w:tc>
      </w:tr>
    </w:tbl>
    <w:p w14:paraId="3FDF65B8" w14:textId="77777777" w:rsidR="00EA15F8" w:rsidRPr="00D40526" w:rsidRDefault="00EA15F8" w:rsidP="007D063F">
      <w:pPr>
        <w:pStyle w:val="Head1"/>
        <w:rPr>
          <w:color w:val="000000" w:themeColor="text1"/>
        </w:rPr>
      </w:pPr>
      <w:r w:rsidRPr="00D40526">
        <w:rPr>
          <w:color w:val="000000" w:themeColor="text1"/>
        </w:rPr>
        <w:t>4. Conclusions</w:t>
      </w:r>
    </w:p>
    <w:p w14:paraId="784E1FDA" w14:textId="77777777" w:rsidR="00EA15F8" w:rsidRPr="00393433" w:rsidRDefault="00EA15F8" w:rsidP="00EA15F8">
      <w:pPr>
        <w:spacing w:line="480" w:lineRule="auto"/>
        <w:ind w:firstLineChars="200" w:firstLine="480"/>
        <w:jc w:val="both"/>
        <w:rPr>
          <w:color w:val="000000" w:themeColor="text1"/>
          <w:lang w:val="en-GB" w:eastAsia="zh-CN"/>
        </w:rPr>
      </w:pPr>
      <w:r w:rsidRPr="00393433">
        <w:rPr>
          <w:rFonts w:hint="eastAsia"/>
          <w:color w:val="000000" w:themeColor="text1"/>
          <w:lang w:val="en-GB" w:eastAsia="zh-CN"/>
        </w:rPr>
        <w:t>T</w:t>
      </w:r>
      <w:r w:rsidRPr="00393433">
        <w:rPr>
          <w:color w:val="000000" w:themeColor="text1"/>
          <w:lang w:val="en-GB" w:eastAsia="zh-CN"/>
        </w:rPr>
        <w:t xml:space="preserve">he thermostat-consistent fully coupled molecular dynamics – generalised fluctuating hydrodynamics model has been extended to non-equilibrium water flow simulations. The key ingredients of this extension are the increased robustness of the method due to the use of a more stable approximation of the source terms in the governing fluctuating hydrodynamics equations and the linearization formulation, which simplifies setting up of the boundary conditions. The strong coupling and improved numerical stability of the hybrid multiscale method allow using the advanced algorithms of modelling of long-range electrostatic interactions in water, such as the Reaction-Field and </w:t>
      </w:r>
      <w:r w:rsidRPr="00393433">
        <w:rPr>
          <w:rFonts w:eastAsia="SimSun"/>
          <w:color w:val="000000" w:themeColor="text1"/>
          <w:bdr w:val="none" w:sz="0" w:space="0" w:color="auto" w:frame="1"/>
          <w:lang w:val="en-GB"/>
        </w:rPr>
        <w:t xml:space="preserve">Particle-Mesh Ewald </w:t>
      </w:r>
      <w:r w:rsidRPr="00393433">
        <w:rPr>
          <w:color w:val="000000" w:themeColor="text1"/>
          <w:lang w:val="en-GB" w:eastAsia="zh-CN"/>
        </w:rPr>
        <w:t>methods</w:t>
      </w:r>
      <w:r w:rsidRPr="00393433">
        <w:rPr>
          <w:rFonts w:eastAsia="SimSun"/>
          <w:color w:val="000000" w:themeColor="text1"/>
          <w:bdr w:val="none" w:sz="0" w:space="0" w:color="auto" w:frame="1"/>
          <w:lang w:val="en-GB"/>
        </w:rPr>
        <w:t xml:space="preserve"> </w:t>
      </w:r>
      <w:r w:rsidRPr="00393433">
        <w:rPr>
          <w:color w:val="000000" w:themeColor="text1"/>
          <w:lang w:val="en-GB" w:eastAsia="zh-CN"/>
        </w:rPr>
        <w:t xml:space="preserve">in GROMACS, both of which give similar results. </w:t>
      </w:r>
    </w:p>
    <w:p w14:paraId="58E30134" w14:textId="0E2F0403" w:rsidR="0002328A" w:rsidRPr="00393433" w:rsidRDefault="00EA15F8" w:rsidP="00EA15F8">
      <w:pPr>
        <w:spacing w:line="480" w:lineRule="auto"/>
        <w:ind w:firstLineChars="200" w:firstLine="480"/>
        <w:jc w:val="both"/>
        <w:rPr>
          <w:bCs/>
          <w:color w:val="000000" w:themeColor="text1"/>
          <w:lang w:val="en-GB" w:eastAsia="zh-CN"/>
        </w:rPr>
      </w:pPr>
      <w:r w:rsidRPr="00393433">
        <w:rPr>
          <w:color w:val="000000" w:themeColor="text1"/>
          <w:lang w:val="en-GB" w:eastAsia="zh-CN"/>
        </w:rPr>
        <w:t xml:space="preserve">For validation, the method is applied for a multi-resolution simulation of the periodic Poiseuille flow of SPC/E water. It is shown that the time-averaged flow velocity profile compares well with the analytical solution, the thermal density and velocity fluctuations are within the expected tolerance from the theoretical predictions of the grand canonical ensemble fluctuating hydrodynamics theory, and the fluctuations in the pure molecular </w:t>
      </w:r>
      <w:proofErr w:type="gramStart"/>
      <w:r w:rsidRPr="00393433">
        <w:rPr>
          <w:color w:val="000000" w:themeColor="text1"/>
          <w:lang w:val="en-GB" w:eastAsia="zh-CN"/>
        </w:rPr>
        <w:t>dynamics</w:t>
      </w:r>
      <w:proofErr w:type="gramEnd"/>
      <w:r w:rsidRPr="00393433">
        <w:rPr>
          <w:color w:val="000000" w:themeColor="text1"/>
          <w:lang w:val="en-GB" w:eastAsia="zh-CN"/>
        </w:rPr>
        <w:t xml:space="preserve"> region are within </w:t>
      </w:r>
      <w:r w:rsidRPr="00393433">
        <w:rPr>
          <w:rFonts w:hint="eastAsia"/>
          <w:color w:val="000000" w:themeColor="text1"/>
          <w:lang w:val="en-GB" w:eastAsia="zh-CN"/>
        </w:rPr>
        <w:t>0.5</w:t>
      </w:r>
      <w:r w:rsidRPr="00393433">
        <w:rPr>
          <w:color w:val="000000" w:themeColor="text1"/>
          <w:lang w:val="en-GB" w:eastAsia="zh-CN"/>
        </w:rPr>
        <w:t xml:space="preserve">% from the reference all-atom molecular dynamics simulation. </w:t>
      </w:r>
      <w:r w:rsidR="0002328A" w:rsidRPr="00393433">
        <w:rPr>
          <w:bCs/>
          <w:color w:val="000000" w:themeColor="text1"/>
          <w:lang w:val="en-GB"/>
        </w:rPr>
        <w:t xml:space="preserve">In addition, distributions of the cell-averaged temperature of MD particles </w:t>
      </w:r>
      <w:r w:rsidR="0002328A" w:rsidRPr="00393433">
        <w:rPr>
          <w:rFonts w:hint="eastAsia"/>
          <w:bCs/>
          <w:color w:val="000000" w:themeColor="text1"/>
          <w:lang w:val="en-GB"/>
        </w:rPr>
        <w:t>along</w:t>
      </w:r>
      <w:r w:rsidR="0002328A" w:rsidRPr="00393433">
        <w:rPr>
          <w:bCs/>
          <w:color w:val="000000" w:themeColor="text1"/>
          <w:lang w:val="en-GB"/>
        </w:rPr>
        <w:t xml:space="preserve"> the flow </w:t>
      </w:r>
      <w:r w:rsidR="0002328A" w:rsidRPr="00393433">
        <w:rPr>
          <w:rFonts w:hint="eastAsia"/>
          <w:bCs/>
          <w:color w:val="000000" w:themeColor="text1"/>
          <w:lang w:val="en-GB"/>
        </w:rPr>
        <w:t>stream-wise,</w:t>
      </w:r>
      <w:r w:rsidR="0002328A" w:rsidRPr="00393433">
        <w:rPr>
          <w:bCs/>
          <w:color w:val="000000" w:themeColor="text1"/>
          <w:lang w:val="en-GB"/>
        </w:rPr>
        <w:t xml:space="preserve"> shear-wise, and span-wise directions are shown to be in good agreement with the target temperature value in all spatial locations including those dominated by hydrodynamics.</w:t>
      </w:r>
    </w:p>
    <w:p w14:paraId="6828F07E" w14:textId="35715BFE" w:rsidR="00EA15F8" w:rsidRPr="00393433" w:rsidRDefault="00EA15F8" w:rsidP="00EA15F8">
      <w:pPr>
        <w:spacing w:line="480" w:lineRule="auto"/>
        <w:ind w:firstLineChars="200" w:firstLine="480"/>
        <w:jc w:val="both"/>
        <w:rPr>
          <w:color w:val="000000" w:themeColor="text1"/>
          <w:lang w:val="en-GB" w:eastAsia="zh-CN"/>
        </w:rPr>
      </w:pPr>
      <w:r w:rsidRPr="00393433">
        <w:rPr>
          <w:color w:val="000000" w:themeColor="text1"/>
          <w:lang w:val="en-GB" w:eastAsia="zh-CN"/>
        </w:rPr>
        <w:lastRenderedPageBreak/>
        <w:t xml:space="preserve">It is shown that the solution based on the Reaction-Field method captures both the mean temperature and density in the atomistic region of the hybrid model within 1% from the specified conditions and captures well both the hydration layer peak and the subsequent deep of the RDF function. </w:t>
      </w:r>
    </w:p>
    <w:p w14:paraId="059F0D2F" w14:textId="1DB0AEE4" w:rsidR="00EA15F8" w:rsidRPr="00D40526" w:rsidRDefault="00EA15F8" w:rsidP="00EA15F8">
      <w:pPr>
        <w:pStyle w:val="xmsonormal"/>
        <w:shd w:val="clear" w:color="auto" w:fill="FFFFFF"/>
        <w:spacing w:before="0" w:beforeAutospacing="0" w:after="0" w:afterAutospacing="0" w:line="480" w:lineRule="auto"/>
        <w:ind w:firstLine="440"/>
        <w:jc w:val="both"/>
        <w:rPr>
          <w:color w:val="000000" w:themeColor="text1"/>
          <w:lang w:eastAsia="zh-CN"/>
        </w:rPr>
      </w:pPr>
      <w:r w:rsidRPr="00D40526">
        <w:rPr>
          <w:color w:val="000000" w:themeColor="text1"/>
          <w:lang w:eastAsia="zh-CN"/>
        </w:rPr>
        <w:t xml:space="preserve">The computational efficiency of the non-equilibrium fully coupled molecular dynamics – generalised fluctuating hydrodynamics model is </w:t>
      </w:r>
      <w:proofErr w:type="gramStart"/>
      <w:r w:rsidRPr="00D40526">
        <w:rPr>
          <w:color w:val="000000" w:themeColor="text1"/>
          <w:lang w:eastAsia="zh-CN"/>
        </w:rPr>
        <w:t>similar to</w:t>
      </w:r>
      <w:proofErr w:type="gramEnd"/>
      <w:r w:rsidRPr="00D40526">
        <w:rPr>
          <w:color w:val="000000" w:themeColor="text1"/>
          <w:lang w:eastAsia="zh-CN"/>
        </w:rPr>
        <w:t xml:space="preserve"> the previously reported equilibrium version of the same model: it is a factor of 4 to 18 faster compared to the all-atom equilibrium molecular dynamics model depending on the overall domain size. The current implementation in the popular open-source code such as GROMACS makes the suggested model available to other researchers working </w:t>
      </w:r>
      <w:proofErr w:type="gramStart"/>
      <w:r w:rsidRPr="00D40526">
        <w:rPr>
          <w:color w:val="000000" w:themeColor="text1"/>
          <w:lang w:eastAsia="zh-CN"/>
        </w:rPr>
        <w:t>in the area of</w:t>
      </w:r>
      <w:proofErr w:type="gramEnd"/>
      <w:r w:rsidRPr="00D40526">
        <w:rPr>
          <w:color w:val="000000" w:themeColor="text1"/>
          <w:lang w:eastAsia="zh-CN"/>
        </w:rPr>
        <w:t xml:space="preserve"> atomistic scale resolving simulations of non-equilibrium flows. </w:t>
      </w:r>
    </w:p>
    <w:p w14:paraId="6D76FD70" w14:textId="77777777" w:rsidR="00587C2C" w:rsidRPr="00D40526" w:rsidRDefault="00587C2C" w:rsidP="007D063F">
      <w:pPr>
        <w:pStyle w:val="Head1"/>
        <w:rPr>
          <w:color w:val="000000" w:themeColor="text1"/>
        </w:rPr>
      </w:pPr>
      <w:r w:rsidRPr="00D40526">
        <w:rPr>
          <w:color w:val="000000" w:themeColor="text1"/>
        </w:rPr>
        <w:t>Code availability</w:t>
      </w:r>
    </w:p>
    <w:p w14:paraId="1E322EFB" w14:textId="6B03DE9E" w:rsidR="00587C2C" w:rsidRPr="00393433" w:rsidRDefault="00587C2C" w:rsidP="00587C2C">
      <w:pPr>
        <w:widowControl w:val="0"/>
        <w:autoSpaceDE w:val="0"/>
        <w:autoSpaceDN w:val="0"/>
        <w:adjustRightInd w:val="0"/>
        <w:spacing w:line="480" w:lineRule="auto"/>
        <w:jc w:val="both"/>
        <w:rPr>
          <w:rStyle w:val="Hyperlink"/>
          <w:color w:val="000000" w:themeColor="text1"/>
          <w:u w:val="none"/>
          <w:lang w:val="en-GB"/>
        </w:rPr>
      </w:pPr>
      <w:r w:rsidRPr="00393433">
        <w:rPr>
          <w:color w:val="000000" w:themeColor="text1"/>
          <w:lang w:val="en-GB"/>
        </w:rPr>
        <w:t>The multiscale code with all parameter files and README can be downloaded following the GitHub link: https://github.com/ikorotkin/gromacs_fhmd-langevin_non-equilibrium</w:t>
      </w:r>
    </w:p>
    <w:p w14:paraId="300E83E3" w14:textId="77777777" w:rsidR="002D16A0" w:rsidRPr="00D40526" w:rsidRDefault="002D16A0" w:rsidP="007D063F">
      <w:pPr>
        <w:pStyle w:val="Head1"/>
        <w:rPr>
          <w:color w:val="000000" w:themeColor="text1"/>
        </w:rPr>
      </w:pPr>
      <w:r w:rsidRPr="00D40526">
        <w:rPr>
          <w:color w:val="000000" w:themeColor="text1"/>
        </w:rPr>
        <w:t>Acknowledgements</w:t>
      </w:r>
    </w:p>
    <w:p w14:paraId="37E6686B" w14:textId="7B2063A4" w:rsidR="007B7A09" w:rsidRPr="00D40526" w:rsidRDefault="001A18A6" w:rsidP="001A18A6">
      <w:pPr>
        <w:pStyle w:val="MainText"/>
        <w:spacing w:line="240" w:lineRule="auto"/>
        <w:jc w:val="both"/>
        <w:rPr>
          <w:color w:val="000000" w:themeColor="text1"/>
        </w:rPr>
      </w:pPr>
      <w:r w:rsidRPr="00D40526">
        <w:rPr>
          <w:color w:val="000000" w:themeColor="text1"/>
        </w:rPr>
        <w:t xml:space="preserve">The work of XL was supported by the China Scholarship Council (CSC) and Postgraduate Research &amp; Practice Innovation Program of Jiangsu Province, Grant No. KYCX21_2174. IK and SK gratefully acknowledge the funding under the European Commission Marie </w:t>
      </w:r>
      <w:proofErr w:type="spellStart"/>
      <w:r w:rsidRPr="00D40526">
        <w:rPr>
          <w:color w:val="000000" w:themeColor="text1"/>
        </w:rPr>
        <w:t>Skłodowska</w:t>
      </w:r>
      <w:proofErr w:type="spellEnd"/>
      <w:r w:rsidRPr="00D40526">
        <w:rPr>
          <w:color w:val="000000" w:themeColor="text1"/>
        </w:rPr>
        <w:t>-Curie Individual Fellowship Grant No. H2020-MSCA-IF-2015-700276 (HIPPOGRIFFE). The work was also supported by European Commission in the framework of the RISE program, Grant No. H2020-MSCA-RISE-2018-824022-ATM2BT and the National Natural Science Foundation of China, Grant No.51776218.</w:t>
      </w:r>
    </w:p>
    <w:p w14:paraId="1D409941" w14:textId="77777777" w:rsidR="00C56CD4" w:rsidRPr="00D40526" w:rsidRDefault="00C56CD4" w:rsidP="00C56CD4">
      <w:pPr>
        <w:pStyle w:val="Acknowledgements"/>
        <w:rPr>
          <w:b/>
          <w:color w:val="000000" w:themeColor="text1"/>
        </w:rPr>
      </w:pPr>
    </w:p>
    <w:p w14:paraId="295BC1E9" w14:textId="77777777" w:rsidR="00FE4D5F" w:rsidRPr="00D40526" w:rsidRDefault="00FE4D5F" w:rsidP="00004A23">
      <w:pPr>
        <w:pStyle w:val="MainText"/>
        <w:rPr>
          <w:color w:val="000000" w:themeColor="text1"/>
        </w:rPr>
      </w:pPr>
      <w:r w:rsidRPr="00D40526">
        <w:rPr>
          <w:color w:val="000000" w:themeColor="text1"/>
        </w:rPr>
        <w:t>References</w:t>
      </w:r>
    </w:p>
    <w:p w14:paraId="6DF58F22" w14:textId="77777777" w:rsidR="004E40F6" w:rsidRPr="00D40526" w:rsidRDefault="00644826" w:rsidP="00471222">
      <w:pPr>
        <w:pStyle w:val="EndNoteBibliography"/>
        <w:spacing w:after="0" w:line="360" w:lineRule="auto"/>
        <w:rPr>
          <w:color w:val="000000" w:themeColor="text1"/>
        </w:rPr>
      </w:pPr>
      <w:r w:rsidRPr="00D40526">
        <w:rPr>
          <w:color w:val="000000" w:themeColor="text1"/>
        </w:rPr>
        <w:fldChar w:fldCharType="begin"/>
      </w:r>
      <w:r w:rsidRPr="00D40526">
        <w:rPr>
          <w:color w:val="000000" w:themeColor="text1"/>
        </w:rPr>
        <w:instrText xml:space="preserve"> ADDIN EN.SECTION.REFLIST </w:instrText>
      </w:r>
      <w:r w:rsidRPr="00D40526">
        <w:rPr>
          <w:color w:val="000000" w:themeColor="text1"/>
        </w:rPr>
        <w:fldChar w:fldCharType="separate"/>
      </w:r>
      <w:r w:rsidR="004E40F6" w:rsidRPr="00D40526">
        <w:rPr>
          <w:color w:val="000000" w:themeColor="text1"/>
        </w:rPr>
        <w:t xml:space="preserve">[1] O’connell, S. T.; Thompson, P. A., </w:t>
      </w:r>
      <w:r w:rsidR="004E40F6" w:rsidRPr="00D40526">
        <w:rPr>
          <w:i/>
          <w:color w:val="000000" w:themeColor="text1"/>
        </w:rPr>
        <w:t xml:space="preserve">Phys. Rev. E </w:t>
      </w:r>
      <w:r w:rsidR="004E40F6" w:rsidRPr="00D40526">
        <w:rPr>
          <w:b/>
          <w:color w:val="000000" w:themeColor="text1"/>
        </w:rPr>
        <w:t>1995,</w:t>
      </w:r>
      <w:r w:rsidR="004E40F6" w:rsidRPr="00D40526">
        <w:rPr>
          <w:color w:val="000000" w:themeColor="text1"/>
        </w:rPr>
        <w:t xml:space="preserve"> </w:t>
      </w:r>
      <w:r w:rsidR="004E40F6" w:rsidRPr="00D40526">
        <w:rPr>
          <w:i/>
          <w:color w:val="000000" w:themeColor="text1"/>
        </w:rPr>
        <w:t>52</w:t>
      </w:r>
      <w:r w:rsidR="004E40F6" w:rsidRPr="00D40526">
        <w:rPr>
          <w:color w:val="000000" w:themeColor="text1"/>
        </w:rPr>
        <w:t xml:space="preserve"> (6), R5792.</w:t>
      </w:r>
    </w:p>
    <w:p w14:paraId="6FE4AC81"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[2] Landau, L. D.; Lifshitz, E. M., </w:t>
      </w:r>
      <w:r w:rsidRPr="00D40526">
        <w:rPr>
          <w:i/>
          <w:color w:val="000000" w:themeColor="text1"/>
        </w:rPr>
        <w:t>Statistical Physics , Part 1</w:t>
      </w:r>
      <w:r w:rsidRPr="00D40526">
        <w:rPr>
          <w:color w:val="000000" w:themeColor="text1"/>
        </w:rPr>
        <w:t>. Elsevier, Amsterdam: 1980; Vol. 5.</w:t>
      </w:r>
    </w:p>
    <w:p w14:paraId="79189E59"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[3] De Fabritiis, G.; Delgado-Buscalioni, R.; Coveney, P., </w:t>
      </w:r>
      <w:r w:rsidRPr="00D40526">
        <w:rPr>
          <w:i/>
          <w:color w:val="000000" w:themeColor="text1"/>
        </w:rPr>
        <w:t xml:space="preserve">Phys. Rev. Lett. </w:t>
      </w:r>
      <w:r w:rsidRPr="00D40526">
        <w:rPr>
          <w:b/>
          <w:color w:val="000000" w:themeColor="text1"/>
        </w:rPr>
        <w:t>2006,</w:t>
      </w:r>
      <w:r w:rsidRPr="00D40526">
        <w:rPr>
          <w:color w:val="000000" w:themeColor="text1"/>
        </w:rPr>
        <w:t xml:space="preserve"> </w:t>
      </w:r>
      <w:r w:rsidRPr="00D40526">
        <w:rPr>
          <w:i/>
          <w:color w:val="000000" w:themeColor="text1"/>
        </w:rPr>
        <w:t>97</w:t>
      </w:r>
      <w:r w:rsidRPr="00D40526">
        <w:rPr>
          <w:color w:val="000000" w:themeColor="text1"/>
        </w:rPr>
        <w:t xml:space="preserve"> (13), 134501.</w:t>
      </w:r>
    </w:p>
    <w:p w14:paraId="7E3FF339"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[4] De Fabritiis, G.; Serrano, M.; Delgado-Buscalioni, R.; Coveney, P., </w:t>
      </w:r>
      <w:r w:rsidRPr="00D40526">
        <w:rPr>
          <w:i/>
          <w:color w:val="000000" w:themeColor="text1"/>
        </w:rPr>
        <w:t xml:space="preserve">Phys. Rev. E </w:t>
      </w:r>
      <w:r w:rsidRPr="00D40526">
        <w:rPr>
          <w:b/>
          <w:color w:val="000000" w:themeColor="text1"/>
        </w:rPr>
        <w:t>2007,</w:t>
      </w:r>
      <w:r w:rsidRPr="00D40526">
        <w:rPr>
          <w:color w:val="000000" w:themeColor="text1"/>
        </w:rPr>
        <w:t xml:space="preserve"> </w:t>
      </w:r>
      <w:r w:rsidRPr="00D40526">
        <w:rPr>
          <w:i/>
          <w:color w:val="000000" w:themeColor="text1"/>
        </w:rPr>
        <w:t>75</w:t>
      </w:r>
      <w:r w:rsidRPr="00D40526">
        <w:rPr>
          <w:color w:val="000000" w:themeColor="text1"/>
        </w:rPr>
        <w:t xml:space="preserve"> (2), 026307.</w:t>
      </w:r>
    </w:p>
    <w:p w14:paraId="458F26AC"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[5] Voulgarakis, N. K.; Chu, J.-W., </w:t>
      </w:r>
      <w:r w:rsidRPr="00D40526">
        <w:rPr>
          <w:i/>
          <w:color w:val="000000" w:themeColor="text1"/>
        </w:rPr>
        <w:t xml:space="preserve">J. Chem. Phys. </w:t>
      </w:r>
      <w:r w:rsidRPr="00D40526">
        <w:rPr>
          <w:b/>
          <w:color w:val="000000" w:themeColor="text1"/>
        </w:rPr>
        <w:t>2009,</w:t>
      </w:r>
      <w:r w:rsidRPr="00D40526">
        <w:rPr>
          <w:color w:val="000000" w:themeColor="text1"/>
        </w:rPr>
        <w:t xml:space="preserve"> </w:t>
      </w:r>
      <w:r w:rsidRPr="00D40526">
        <w:rPr>
          <w:i/>
          <w:color w:val="000000" w:themeColor="text1"/>
        </w:rPr>
        <w:t>130</w:t>
      </w:r>
      <w:r w:rsidRPr="00D40526">
        <w:rPr>
          <w:color w:val="000000" w:themeColor="text1"/>
        </w:rPr>
        <w:t xml:space="preserve"> (13), 04B605.</w:t>
      </w:r>
    </w:p>
    <w:p w14:paraId="20BDDE0D"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lastRenderedPageBreak/>
        <w:t xml:space="preserve">[6] Nie, X.; Chen, S.; Robbins, M., </w:t>
      </w:r>
      <w:r w:rsidRPr="00D40526">
        <w:rPr>
          <w:i/>
          <w:color w:val="000000" w:themeColor="text1"/>
        </w:rPr>
        <w:t xml:space="preserve">J. Fluid Mech. </w:t>
      </w:r>
      <w:r w:rsidRPr="00D40526">
        <w:rPr>
          <w:b/>
          <w:color w:val="000000" w:themeColor="text1"/>
        </w:rPr>
        <w:t>2004,</w:t>
      </w:r>
      <w:r w:rsidRPr="00D40526">
        <w:rPr>
          <w:color w:val="000000" w:themeColor="text1"/>
        </w:rPr>
        <w:t xml:space="preserve"> </w:t>
      </w:r>
      <w:r w:rsidRPr="00D40526">
        <w:rPr>
          <w:i/>
          <w:color w:val="000000" w:themeColor="text1"/>
        </w:rPr>
        <w:t>500</w:t>
      </w:r>
      <w:r w:rsidRPr="00D40526">
        <w:rPr>
          <w:color w:val="000000" w:themeColor="text1"/>
        </w:rPr>
        <w:t>, 55.</w:t>
      </w:r>
    </w:p>
    <w:p w14:paraId="234E4C4F"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[7] Praprotnik, M.; Delle Site, L.; Kremer, K., </w:t>
      </w:r>
      <w:r w:rsidRPr="00D40526">
        <w:rPr>
          <w:i/>
          <w:color w:val="000000" w:themeColor="text1"/>
        </w:rPr>
        <w:t xml:space="preserve">J. Chem. Phys. </w:t>
      </w:r>
      <w:r w:rsidRPr="00D40526">
        <w:rPr>
          <w:b/>
          <w:color w:val="000000" w:themeColor="text1"/>
        </w:rPr>
        <w:t>2005,</w:t>
      </w:r>
      <w:r w:rsidRPr="00D40526">
        <w:rPr>
          <w:color w:val="000000" w:themeColor="text1"/>
        </w:rPr>
        <w:t xml:space="preserve"> </w:t>
      </w:r>
      <w:r w:rsidRPr="00D40526">
        <w:rPr>
          <w:i/>
          <w:color w:val="000000" w:themeColor="text1"/>
        </w:rPr>
        <w:t>123</w:t>
      </w:r>
      <w:r w:rsidRPr="00D40526">
        <w:rPr>
          <w:color w:val="000000" w:themeColor="text1"/>
        </w:rPr>
        <w:t xml:space="preserve"> (22), 224106.</w:t>
      </w:r>
    </w:p>
    <w:p w14:paraId="55035C01"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[8] Delgado-Buscalioni, R.; Kremer, K.; Praprotnik, M., </w:t>
      </w:r>
      <w:r w:rsidRPr="00D40526">
        <w:rPr>
          <w:i/>
          <w:color w:val="000000" w:themeColor="text1"/>
        </w:rPr>
        <w:t xml:space="preserve">J. Chem. Phys. </w:t>
      </w:r>
      <w:r w:rsidRPr="00D40526">
        <w:rPr>
          <w:b/>
          <w:color w:val="000000" w:themeColor="text1"/>
        </w:rPr>
        <w:t>2008,</w:t>
      </w:r>
      <w:r w:rsidRPr="00D40526">
        <w:rPr>
          <w:color w:val="000000" w:themeColor="text1"/>
        </w:rPr>
        <w:t xml:space="preserve"> </w:t>
      </w:r>
      <w:r w:rsidRPr="00D40526">
        <w:rPr>
          <w:i/>
          <w:color w:val="000000" w:themeColor="text1"/>
        </w:rPr>
        <w:t>128</w:t>
      </w:r>
      <w:r w:rsidRPr="00D40526">
        <w:rPr>
          <w:color w:val="000000" w:themeColor="text1"/>
        </w:rPr>
        <w:t xml:space="preserve"> (11), 114110.</w:t>
      </w:r>
    </w:p>
    <w:p w14:paraId="599ED68E"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[9] Delle Site, L.; Praprotnik, M.; Bell, J. B.; Klein, R., </w:t>
      </w:r>
      <w:r w:rsidRPr="00D40526">
        <w:rPr>
          <w:i/>
          <w:color w:val="000000" w:themeColor="text1"/>
        </w:rPr>
        <w:t xml:space="preserve">Adv. Theory Simul. </w:t>
      </w:r>
      <w:r w:rsidRPr="00D40526">
        <w:rPr>
          <w:b/>
          <w:color w:val="000000" w:themeColor="text1"/>
        </w:rPr>
        <w:t>2020,</w:t>
      </w:r>
      <w:r w:rsidRPr="00D40526">
        <w:rPr>
          <w:color w:val="000000" w:themeColor="text1"/>
        </w:rPr>
        <w:t xml:space="preserve"> </w:t>
      </w:r>
      <w:r w:rsidRPr="00D40526">
        <w:rPr>
          <w:i/>
          <w:color w:val="000000" w:themeColor="text1"/>
        </w:rPr>
        <w:t>3</w:t>
      </w:r>
      <w:r w:rsidRPr="00D40526">
        <w:rPr>
          <w:color w:val="000000" w:themeColor="text1"/>
        </w:rPr>
        <w:t xml:space="preserve"> (5), 1900232.</w:t>
      </w:r>
    </w:p>
    <w:p w14:paraId="56562527"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[10] Markesteijn, A. P.; Karabasov, S. A.; Glotov, V. Y.; Goloviznin, V. M., </w:t>
      </w:r>
      <w:r w:rsidRPr="00D40526">
        <w:rPr>
          <w:i/>
          <w:color w:val="000000" w:themeColor="text1"/>
        </w:rPr>
        <w:t xml:space="preserve">Comput. Methods Appl. Mech. Eng. </w:t>
      </w:r>
      <w:r w:rsidRPr="00D40526">
        <w:rPr>
          <w:b/>
          <w:color w:val="000000" w:themeColor="text1"/>
        </w:rPr>
        <w:t>2014,</w:t>
      </w:r>
      <w:r w:rsidRPr="00D40526">
        <w:rPr>
          <w:color w:val="000000" w:themeColor="text1"/>
        </w:rPr>
        <w:t xml:space="preserve"> </w:t>
      </w:r>
      <w:r w:rsidRPr="00D40526">
        <w:rPr>
          <w:i/>
          <w:color w:val="000000" w:themeColor="text1"/>
        </w:rPr>
        <w:t>281</w:t>
      </w:r>
      <w:r w:rsidRPr="00D40526">
        <w:rPr>
          <w:color w:val="000000" w:themeColor="text1"/>
        </w:rPr>
        <w:t>, 29-53.</w:t>
      </w:r>
    </w:p>
    <w:p w14:paraId="1E4A0497"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[11] Pavlov, E.; Taiji, M.; Scukins, A.; Markesteijn, A.; Karabasov, S.; Nerukh, D., </w:t>
      </w:r>
      <w:r w:rsidRPr="00D40526">
        <w:rPr>
          <w:i/>
          <w:color w:val="000000" w:themeColor="text1"/>
        </w:rPr>
        <w:t xml:space="preserve">Faraday Discuss. </w:t>
      </w:r>
      <w:r w:rsidRPr="00D40526">
        <w:rPr>
          <w:b/>
          <w:color w:val="000000" w:themeColor="text1"/>
        </w:rPr>
        <w:t>2014,</w:t>
      </w:r>
      <w:r w:rsidRPr="00D40526">
        <w:rPr>
          <w:color w:val="000000" w:themeColor="text1"/>
        </w:rPr>
        <w:t xml:space="preserve"> </w:t>
      </w:r>
      <w:r w:rsidRPr="00D40526">
        <w:rPr>
          <w:i/>
          <w:color w:val="000000" w:themeColor="text1"/>
        </w:rPr>
        <w:t>169</w:t>
      </w:r>
      <w:r w:rsidRPr="00D40526">
        <w:rPr>
          <w:color w:val="000000" w:themeColor="text1"/>
        </w:rPr>
        <w:t>, 285-302.</w:t>
      </w:r>
    </w:p>
    <w:p w14:paraId="2146D639"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[12] Korotkin, I.; Nerukh, D.; Tarasova, E.; Farafonov, V.; Karabasov, S., </w:t>
      </w:r>
      <w:r w:rsidRPr="00D40526">
        <w:rPr>
          <w:i/>
          <w:color w:val="000000" w:themeColor="text1"/>
        </w:rPr>
        <w:t xml:space="preserve">J. Comput. Sci. </w:t>
      </w:r>
      <w:r w:rsidRPr="00D40526">
        <w:rPr>
          <w:b/>
          <w:color w:val="000000" w:themeColor="text1"/>
        </w:rPr>
        <w:t>2016,</w:t>
      </w:r>
      <w:r w:rsidRPr="00D40526">
        <w:rPr>
          <w:color w:val="000000" w:themeColor="text1"/>
        </w:rPr>
        <w:t xml:space="preserve"> </w:t>
      </w:r>
      <w:r w:rsidRPr="00D40526">
        <w:rPr>
          <w:i/>
          <w:color w:val="000000" w:themeColor="text1"/>
        </w:rPr>
        <w:t>17</w:t>
      </w:r>
      <w:r w:rsidRPr="00D40526">
        <w:rPr>
          <w:color w:val="000000" w:themeColor="text1"/>
        </w:rPr>
        <w:t>, 446-456.</w:t>
      </w:r>
    </w:p>
    <w:p w14:paraId="42C26157"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[13] Korotkin, I.; Karabasov, S.; Nerukh, D.; Markesteijn, A.; Scukins, A.; Farafonov, V.; Pavlov, E., </w:t>
      </w:r>
      <w:r w:rsidRPr="00D40526">
        <w:rPr>
          <w:i/>
          <w:color w:val="000000" w:themeColor="text1"/>
        </w:rPr>
        <w:t xml:space="preserve">J. Chem. Phys. </w:t>
      </w:r>
      <w:r w:rsidRPr="00D40526">
        <w:rPr>
          <w:b/>
          <w:color w:val="000000" w:themeColor="text1"/>
        </w:rPr>
        <w:t>2015,</w:t>
      </w:r>
      <w:r w:rsidRPr="00D40526">
        <w:rPr>
          <w:color w:val="000000" w:themeColor="text1"/>
        </w:rPr>
        <w:t xml:space="preserve"> </w:t>
      </w:r>
      <w:r w:rsidRPr="00D40526">
        <w:rPr>
          <w:i/>
          <w:color w:val="000000" w:themeColor="text1"/>
        </w:rPr>
        <w:t>143</w:t>
      </w:r>
      <w:r w:rsidRPr="00D40526">
        <w:rPr>
          <w:color w:val="000000" w:themeColor="text1"/>
        </w:rPr>
        <w:t xml:space="preserve"> (1), 014110.</w:t>
      </w:r>
    </w:p>
    <w:p w14:paraId="18864F2A"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[14] Hu, J.; Korotkin, I.; Karabasov, S., </w:t>
      </w:r>
      <w:r w:rsidRPr="00D40526">
        <w:rPr>
          <w:i/>
          <w:color w:val="000000" w:themeColor="text1"/>
        </w:rPr>
        <w:t xml:space="preserve">J. Chem. Phys. </w:t>
      </w:r>
      <w:r w:rsidRPr="00D40526">
        <w:rPr>
          <w:b/>
          <w:color w:val="000000" w:themeColor="text1"/>
        </w:rPr>
        <w:t>2018,</w:t>
      </w:r>
      <w:r w:rsidRPr="00D40526">
        <w:rPr>
          <w:color w:val="000000" w:themeColor="text1"/>
        </w:rPr>
        <w:t xml:space="preserve"> </w:t>
      </w:r>
      <w:r w:rsidRPr="00D40526">
        <w:rPr>
          <w:i/>
          <w:color w:val="000000" w:themeColor="text1"/>
        </w:rPr>
        <w:t>149</w:t>
      </w:r>
      <w:r w:rsidRPr="00D40526">
        <w:rPr>
          <w:color w:val="000000" w:themeColor="text1"/>
        </w:rPr>
        <w:t xml:space="preserve"> (8), 084108.</w:t>
      </w:r>
    </w:p>
    <w:p w14:paraId="1E33E357"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[15] Hu, J.; Korotkin, I.; Karabasov, S., </w:t>
      </w:r>
      <w:r w:rsidRPr="00D40526">
        <w:rPr>
          <w:i/>
          <w:color w:val="000000" w:themeColor="text1"/>
        </w:rPr>
        <w:t xml:space="preserve">J. Mol. Liq. </w:t>
      </w:r>
      <w:r w:rsidRPr="00D40526">
        <w:rPr>
          <w:b/>
          <w:color w:val="000000" w:themeColor="text1"/>
        </w:rPr>
        <w:t>2019,</w:t>
      </w:r>
      <w:r w:rsidRPr="00D40526">
        <w:rPr>
          <w:color w:val="000000" w:themeColor="text1"/>
        </w:rPr>
        <w:t xml:space="preserve"> </w:t>
      </w:r>
      <w:r w:rsidRPr="00D40526">
        <w:rPr>
          <w:i/>
          <w:color w:val="000000" w:themeColor="text1"/>
        </w:rPr>
        <w:t>280</w:t>
      </w:r>
      <w:r w:rsidRPr="00D40526">
        <w:rPr>
          <w:color w:val="000000" w:themeColor="text1"/>
        </w:rPr>
        <w:t>, 285-297.</w:t>
      </w:r>
    </w:p>
    <w:p w14:paraId="328719D8"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[16] Li, F.; Korotkin, I.; Farafonov, V.; Karabasov, S. A., </w:t>
      </w:r>
      <w:r w:rsidRPr="00D40526">
        <w:rPr>
          <w:i/>
          <w:color w:val="000000" w:themeColor="text1"/>
        </w:rPr>
        <w:t xml:space="preserve">J. Mol. Liq. </w:t>
      </w:r>
      <w:r w:rsidRPr="00D40526">
        <w:rPr>
          <w:b/>
          <w:color w:val="000000" w:themeColor="text1"/>
        </w:rPr>
        <w:t>2021,</w:t>
      </w:r>
      <w:r w:rsidRPr="00D40526">
        <w:rPr>
          <w:color w:val="000000" w:themeColor="text1"/>
        </w:rPr>
        <w:t xml:space="preserve"> </w:t>
      </w:r>
      <w:r w:rsidRPr="00D40526">
        <w:rPr>
          <w:i/>
          <w:color w:val="000000" w:themeColor="text1"/>
        </w:rPr>
        <w:t>337</w:t>
      </w:r>
      <w:r w:rsidRPr="00D40526">
        <w:rPr>
          <w:color w:val="000000" w:themeColor="text1"/>
        </w:rPr>
        <w:t>, 116111.</w:t>
      </w:r>
    </w:p>
    <w:p w14:paraId="41214416"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[17] Tarasova, E.; Korotkin, I.; Farafonov, V.; Karabasov, S.; Nerukh, D., </w:t>
      </w:r>
      <w:r w:rsidRPr="00D40526">
        <w:rPr>
          <w:i/>
          <w:color w:val="000000" w:themeColor="text1"/>
        </w:rPr>
        <w:t xml:space="preserve">J. Mol. Liq. </w:t>
      </w:r>
      <w:r w:rsidRPr="00D40526">
        <w:rPr>
          <w:b/>
          <w:color w:val="000000" w:themeColor="text1"/>
        </w:rPr>
        <w:t>2017,</w:t>
      </w:r>
      <w:r w:rsidRPr="00D40526">
        <w:rPr>
          <w:color w:val="000000" w:themeColor="text1"/>
        </w:rPr>
        <w:t xml:space="preserve"> </w:t>
      </w:r>
      <w:r w:rsidRPr="00D40526">
        <w:rPr>
          <w:i/>
          <w:color w:val="000000" w:themeColor="text1"/>
        </w:rPr>
        <w:t>245</w:t>
      </w:r>
      <w:r w:rsidRPr="00D40526">
        <w:rPr>
          <w:color w:val="000000" w:themeColor="text1"/>
        </w:rPr>
        <w:t>, 109-114.</w:t>
      </w:r>
    </w:p>
    <w:p w14:paraId="4541E1E3"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[18] Li, F.; Korotkin, I.; Taiji, M.; Karabasov, S., </w:t>
      </w:r>
      <w:r w:rsidRPr="00D40526">
        <w:rPr>
          <w:b/>
          <w:color w:val="000000" w:themeColor="text1"/>
        </w:rPr>
        <w:t>2020,</w:t>
      </w:r>
      <w:r w:rsidRPr="00D40526">
        <w:rPr>
          <w:color w:val="000000" w:themeColor="text1"/>
        </w:rPr>
        <w:t xml:space="preserve"> </w:t>
      </w:r>
      <w:r w:rsidRPr="00D40526">
        <w:rPr>
          <w:i/>
          <w:color w:val="000000" w:themeColor="text1"/>
        </w:rPr>
        <w:t>DOI: 10.13140/RG.2.2.14247.57763</w:t>
      </w:r>
      <w:r w:rsidRPr="00D40526">
        <w:rPr>
          <w:color w:val="000000" w:themeColor="text1"/>
        </w:rPr>
        <w:t>.</w:t>
      </w:r>
    </w:p>
    <w:p w14:paraId="032101B9"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[19] Scukins, A.; Nerukh, D.; Pavlov, E.; Karabasov, S.; Markesteijn, A., </w:t>
      </w:r>
      <w:r w:rsidRPr="00D40526">
        <w:rPr>
          <w:i/>
          <w:color w:val="000000" w:themeColor="text1"/>
        </w:rPr>
        <w:t xml:space="preserve">Eur. Phys. J.: Spec. Top. </w:t>
      </w:r>
      <w:r w:rsidRPr="00D40526">
        <w:rPr>
          <w:b/>
          <w:color w:val="000000" w:themeColor="text1"/>
        </w:rPr>
        <w:t>2015,</w:t>
      </w:r>
      <w:r w:rsidRPr="00D40526">
        <w:rPr>
          <w:color w:val="000000" w:themeColor="text1"/>
        </w:rPr>
        <w:t xml:space="preserve"> </w:t>
      </w:r>
      <w:r w:rsidRPr="00D40526">
        <w:rPr>
          <w:i/>
          <w:color w:val="000000" w:themeColor="text1"/>
        </w:rPr>
        <w:t>224</w:t>
      </w:r>
      <w:r w:rsidRPr="00D40526">
        <w:rPr>
          <w:color w:val="000000" w:themeColor="text1"/>
        </w:rPr>
        <w:t xml:space="preserve"> (12), 2217-2238.</w:t>
      </w:r>
    </w:p>
    <w:p w14:paraId="07A5315C"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[20] Van Der Spoel, D.; Lindahl, E.; Hess, B.; Groenhof, G.; Mark, A. E.; Berendsen, H. J., </w:t>
      </w:r>
      <w:r w:rsidRPr="00D40526">
        <w:rPr>
          <w:i/>
          <w:color w:val="000000" w:themeColor="text1"/>
        </w:rPr>
        <w:t xml:space="preserve">J. Comput. Chem. </w:t>
      </w:r>
      <w:r w:rsidRPr="00D40526">
        <w:rPr>
          <w:b/>
          <w:color w:val="000000" w:themeColor="text1"/>
        </w:rPr>
        <w:t>2005,</w:t>
      </w:r>
      <w:r w:rsidRPr="00D40526">
        <w:rPr>
          <w:color w:val="000000" w:themeColor="text1"/>
        </w:rPr>
        <w:t xml:space="preserve"> </w:t>
      </w:r>
      <w:r w:rsidRPr="00D40526">
        <w:rPr>
          <w:i/>
          <w:color w:val="000000" w:themeColor="text1"/>
        </w:rPr>
        <w:t>26</w:t>
      </w:r>
      <w:r w:rsidRPr="00D40526">
        <w:rPr>
          <w:color w:val="000000" w:themeColor="text1"/>
        </w:rPr>
        <w:t xml:space="preserve"> (16), 1701-1718.</w:t>
      </w:r>
    </w:p>
    <w:p w14:paraId="5352FD8A"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[21] Korotkin, I.; Karabasov, S., </w:t>
      </w:r>
      <w:r w:rsidRPr="00D40526">
        <w:rPr>
          <w:i/>
          <w:color w:val="000000" w:themeColor="text1"/>
        </w:rPr>
        <w:t xml:space="preserve">J. Chem. Phys. </w:t>
      </w:r>
      <w:r w:rsidRPr="00D40526">
        <w:rPr>
          <w:b/>
          <w:color w:val="000000" w:themeColor="text1"/>
        </w:rPr>
        <w:t>2018,</w:t>
      </w:r>
      <w:r w:rsidRPr="00D40526">
        <w:rPr>
          <w:color w:val="000000" w:themeColor="text1"/>
        </w:rPr>
        <w:t xml:space="preserve"> </w:t>
      </w:r>
      <w:r w:rsidRPr="00D40526">
        <w:rPr>
          <w:i/>
          <w:color w:val="000000" w:themeColor="text1"/>
        </w:rPr>
        <w:t>149</w:t>
      </w:r>
      <w:r w:rsidRPr="00D40526">
        <w:rPr>
          <w:color w:val="000000" w:themeColor="text1"/>
        </w:rPr>
        <w:t xml:space="preserve"> (24), 244101.</w:t>
      </w:r>
    </w:p>
    <w:p w14:paraId="65250913"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[22] Liu, X.; Korotkin, I.; Rao, Z.; Karabasov, S., </w:t>
      </w:r>
      <w:r w:rsidRPr="00D40526">
        <w:rPr>
          <w:i/>
          <w:color w:val="000000" w:themeColor="text1"/>
        </w:rPr>
        <w:t xml:space="preserve">Adv. Theory Simul. </w:t>
      </w:r>
      <w:r w:rsidRPr="00D40526">
        <w:rPr>
          <w:b/>
          <w:color w:val="000000" w:themeColor="text1"/>
        </w:rPr>
        <w:t>2021,</w:t>
      </w:r>
      <w:r w:rsidRPr="00D40526">
        <w:rPr>
          <w:color w:val="000000" w:themeColor="text1"/>
        </w:rPr>
        <w:t xml:space="preserve"> </w:t>
      </w:r>
      <w:r w:rsidRPr="00D40526">
        <w:rPr>
          <w:i/>
          <w:color w:val="000000" w:themeColor="text1"/>
        </w:rPr>
        <w:t>4</w:t>
      </w:r>
      <w:r w:rsidRPr="00D40526">
        <w:rPr>
          <w:color w:val="000000" w:themeColor="text1"/>
        </w:rPr>
        <w:t xml:space="preserve"> (4), 2000209.</w:t>
      </w:r>
    </w:p>
    <w:p w14:paraId="73A49CCF"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[23] Berendsen, H. J.; Postma, J. v.; van Gunsteren, W. F.; DiNola, A.; Haak, J. R., </w:t>
      </w:r>
      <w:r w:rsidRPr="00D40526">
        <w:rPr>
          <w:i/>
          <w:color w:val="000000" w:themeColor="text1"/>
        </w:rPr>
        <w:t xml:space="preserve">J. Chem. Phys. </w:t>
      </w:r>
      <w:r w:rsidRPr="00D40526">
        <w:rPr>
          <w:b/>
          <w:color w:val="000000" w:themeColor="text1"/>
        </w:rPr>
        <w:t>1984,</w:t>
      </w:r>
      <w:r w:rsidRPr="00D40526">
        <w:rPr>
          <w:color w:val="000000" w:themeColor="text1"/>
        </w:rPr>
        <w:t xml:space="preserve"> </w:t>
      </w:r>
      <w:r w:rsidRPr="00D40526">
        <w:rPr>
          <w:i/>
          <w:color w:val="000000" w:themeColor="text1"/>
        </w:rPr>
        <w:t>81</w:t>
      </w:r>
      <w:r w:rsidRPr="00D40526">
        <w:rPr>
          <w:color w:val="000000" w:themeColor="text1"/>
        </w:rPr>
        <w:t xml:space="preserve"> (8), 3684-3690.</w:t>
      </w:r>
    </w:p>
    <w:p w14:paraId="3A7EEB60" w14:textId="77777777" w:rsidR="004E40F6" w:rsidRPr="00D40526" w:rsidRDefault="004E40F6" w:rsidP="00471222">
      <w:pPr>
        <w:pStyle w:val="EndNoteBibliography"/>
        <w:spacing w:after="0" w:line="360" w:lineRule="auto"/>
        <w:rPr>
          <w:color w:val="000000" w:themeColor="text1"/>
        </w:rPr>
      </w:pPr>
      <w:r w:rsidRPr="00D40526">
        <w:rPr>
          <w:color w:val="000000" w:themeColor="text1"/>
        </w:rPr>
        <w:t xml:space="preserve">[24] Barker, J. A.; Watts, R. O., </w:t>
      </w:r>
      <w:r w:rsidRPr="00D40526">
        <w:rPr>
          <w:i/>
          <w:color w:val="000000" w:themeColor="text1"/>
        </w:rPr>
        <w:t xml:space="preserve">Mol. Phys. </w:t>
      </w:r>
      <w:r w:rsidRPr="00D40526">
        <w:rPr>
          <w:b/>
          <w:color w:val="000000" w:themeColor="text1"/>
        </w:rPr>
        <w:t>1973,</w:t>
      </w:r>
      <w:r w:rsidRPr="00D40526">
        <w:rPr>
          <w:color w:val="000000" w:themeColor="text1"/>
        </w:rPr>
        <w:t xml:space="preserve"> </w:t>
      </w:r>
      <w:r w:rsidRPr="00D40526">
        <w:rPr>
          <w:i/>
          <w:color w:val="000000" w:themeColor="text1"/>
        </w:rPr>
        <w:t>26</w:t>
      </w:r>
      <w:r w:rsidRPr="00D40526">
        <w:rPr>
          <w:color w:val="000000" w:themeColor="text1"/>
        </w:rPr>
        <w:t xml:space="preserve"> (3), 789-792.</w:t>
      </w:r>
    </w:p>
    <w:p w14:paraId="7390BEDE" w14:textId="77777777" w:rsidR="004E40F6" w:rsidRPr="00D40526" w:rsidRDefault="004E40F6" w:rsidP="00471222">
      <w:pPr>
        <w:pStyle w:val="EndNoteBibliography"/>
        <w:spacing w:line="360" w:lineRule="auto"/>
        <w:rPr>
          <w:color w:val="000000" w:themeColor="text1"/>
        </w:rPr>
      </w:pPr>
      <w:r w:rsidRPr="00D40526">
        <w:rPr>
          <w:color w:val="000000" w:themeColor="text1"/>
        </w:rPr>
        <w:t xml:space="preserve">[25] Miyamoto, S.; Kollman, P. A., </w:t>
      </w:r>
      <w:r w:rsidRPr="00D40526">
        <w:rPr>
          <w:i/>
          <w:color w:val="000000" w:themeColor="text1"/>
        </w:rPr>
        <w:t xml:space="preserve">J. Comput. Chem. </w:t>
      </w:r>
      <w:r w:rsidRPr="00D40526">
        <w:rPr>
          <w:b/>
          <w:color w:val="000000" w:themeColor="text1"/>
        </w:rPr>
        <w:t>1992,</w:t>
      </w:r>
      <w:r w:rsidRPr="00D40526">
        <w:rPr>
          <w:color w:val="000000" w:themeColor="text1"/>
        </w:rPr>
        <w:t xml:space="preserve"> </w:t>
      </w:r>
      <w:r w:rsidRPr="00D40526">
        <w:rPr>
          <w:i/>
          <w:color w:val="000000" w:themeColor="text1"/>
        </w:rPr>
        <w:t>13</w:t>
      </w:r>
      <w:r w:rsidRPr="00D40526">
        <w:rPr>
          <w:color w:val="000000" w:themeColor="text1"/>
        </w:rPr>
        <w:t xml:space="preserve"> (8), 952-962.</w:t>
      </w:r>
    </w:p>
    <w:p w14:paraId="70465C77" w14:textId="0B38F17D" w:rsidR="00004A23" w:rsidRPr="00D40526" w:rsidRDefault="00644826" w:rsidP="00D40526">
      <w:pPr>
        <w:pStyle w:val="Literature"/>
        <w:spacing w:line="360" w:lineRule="auto"/>
        <w:jc w:val="both"/>
        <w:rPr>
          <w:color w:val="000000" w:themeColor="text1"/>
        </w:rPr>
      </w:pPr>
      <w:r w:rsidRPr="00D40526">
        <w:rPr>
          <w:color w:val="000000" w:themeColor="text1"/>
          <w:lang w:val="en-US"/>
        </w:rPr>
        <w:fldChar w:fldCharType="end"/>
      </w:r>
    </w:p>
    <w:p w14:paraId="21FC4904" w14:textId="200F7D8D" w:rsidR="00DE4A6F" w:rsidRPr="00D40526" w:rsidRDefault="00DE4A6F" w:rsidP="0047088F">
      <w:pPr>
        <w:pStyle w:val="Tableofcontents"/>
        <w:jc w:val="center"/>
        <w:rPr>
          <w:color w:val="000000" w:themeColor="text1"/>
        </w:rPr>
      </w:pPr>
    </w:p>
    <w:sectPr w:rsidR="00DE4A6F" w:rsidRPr="00D40526" w:rsidSect="00404548">
      <w:headerReference w:type="default" r:id="rId243"/>
      <w:footerReference w:type="default" r:id="rId244"/>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B7BF1" w14:textId="77777777" w:rsidR="00A30244" w:rsidRDefault="00A30244">
      <w:r>
        <w:separator/>
      </w:r>
    </w:p>
  </w:endnote>
  <w:endnote w:type="continuationSeparator" w:id="0">
    <w:p w14:paraId="6F90964F" w14:textId="77777777" w:rsidR="00A30244" w:rsidRDefault="00A30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469924FF-9C8D-4E21-B9EA-1FC484ED0E7D}"/>
    <w:embedBold r:id="rId2" w:fontKey="{D8388725-7DC1-4159-B1DC-D5487FC94BCB}"/>
    <w:embedItalic r:id="rId3" w:fontKey="{D5CD5456-3E4A-471B-A085-7A888D3264EF}"/>
    <w:embedBoldItalic r:id="rId4" w:fontKey="{D31521B4-FA2F-429A-A56C-8D5E67A0394B}"/>
  </w:font>
  <w:font w:name="MS Mincho">
    <w:altName w:val="ＭＳ 明朝"/>
    <w:panose1 w:val="02020609040205080304"/>
    <w:charset w:val="80"/>
    <w:family w:val="modern"/>
    <w:pitch w:val="fixed"/>
    <w:sig w:usb0="E00002FF" w:usb1="6AC7FDFB" w:usb2="08000012" w:usb3="00000000" w:csb0="0002009F" w:csb1="00000000"/>
    <w:embedRegular r:id="rId5" w:subsetted="1" w:fontKey="{9FE631FA-82AE-4387-96A7-AE5C77D0B543}"/>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embedRegular r:id="rId6" w:subsetted="1" w:fontKey="{AC363FF8-4267-4B9F-9BBD-795EE320E261}"/>
  </w:font>
  <w:font w:name="Cambria Math">
    <w:panose1 w:val="02040503050406030204"/>
    <w:charset w:val="00"/>
    <w:family w:val="roman"/>
    <w:pitch w:val="variable"/>
    <w:sig w:usb0="E00006FF" w:usb1="420024FF" w:usb2="02000000" w:usb3="00000000" w:csb0="0000019F" w:csb1="00000000"/>
    <w:embedRegular r:id="rId7" w:fontKey="{7EB182AD-6B79-43BC-8542-9E07E197B806}"/>
    <w:embedItalic r:id="rId8" w:fontKey="{FB2C3A45-DD8E-4C84-A900-C49A5E666668}"/>
  </w:font>
  <w:font w:name="NimbusRomNo9L-Regu">
    <w:altName w:val="Yu Gothic"/>
    <w:panose1 w:val="00000000000000000000"/>
    <w:charset w:val="80"/>
    <w:family w:val="auto"/>
    <w:notTrueType/>
    <w:pitch w:val="default"/>
    <w:sig w:usb0="00000001" w:usb1="08070000" w:usb2="00000010" w:usb3="00000000" w:csb0="00020000" w:csb1="00000000"/>
  </w:font>
  <w:font w:name="rtxmi7">
    <w:altName w:val="Malgun Gothic"/>
    <w:panose1 w:val="00000000000000000000"/>
    <w:charset w:val="81"/>
    <w:family w:val="auto"/>
    <w:notTrueType/>
    <w:pitch w:val="default"/>
    <w:sig w:usb0="00000001" w:usb1="09060000" w:usb2="00000010" w:usb3="00000000" w:csb0="00080000" w:csb1="00000000"/>
  </w:font>
  <w:font w:name="txsy">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B96A1" w14:textId="36E4F6A1" w:rsidR="00FF7D99" w:rsidRDefault="00FF7D99">
    <w:pPr>
      <w:pStyle w:val="Footer"/>
      <w:jc w:val="center"/>
    </w:pPr>
    <w:r>
      <w:fldChar w:fldCharType="begin"/>
    </w:r>
    <w:r>
      <w:instrText>PAGE   \* MERGEFORMAT</w:instrText>
    </w:r>
    <w:r>
      <w:fldChar w:fldCharType="separate"/>
    </w:r>
    <w:r w:rsidR="003C3271">
      <w:rPr>
        <w:noProof/>
      </w:rPr>
      <w:t>1</w:t>
    </w:r>
    <w:r w:rsidR="003C3271">
      <w:rPr>
        <w:noProof/>
      </w:rPr>
      <w:t>8</w:t>
    </w:r>
    <w:r>
      <w:fldChar w:fldCharType="end"/>
    </w:r>
  </w:p>
  <w:p w14:paraId="76AE581B" w14:textId="77777777" w:rsidR="00FF7D99" w:rsidRDefault="00FF7D99"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F25418" w14:textId="77777777" w:rsidR="00A30244" w:rsidRDefault="00A30244">
      <w:r>
        <w:separator/>
      </w:r>
    </w:p>
  </w:footnote>
  <w:footnote w:type="continuationSeparator" w:id="0">
    <w:p w14:paraId="6427A1F1" w14:textId="77777777" w:rsidR="00A30244" w:rsidRDefault="00A30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A9236" w14:textId="15D8040D" w:rsidR="00FF7D99" w:rsidRPr="009B44CC" w:rsidRDefault="00FF7D99" w:rsidP="009B44CC">
    <w:pPr>
      <w:pStyle w:val="Header"/>
      <w:tabs>
        <w:tab w:val="left" w:pos="5003"/>
      </w:tabs>
      <w:jc w:val="right"/>
      <w:rPr>
        <w:lang w:val="en-U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C63C04"/>
    <w:multiLevelType w:val="hybridMultilevel"/>
    <w:tmpl w:val="9BAA60F0"/>
    <w:lvl w:ilvl="0" w:tplc="F3AE07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62658E4"/>
    <w:multiLevelType w:val="hybridMultilevel"/>
    <w:tmpl w:val="31AABB06"/>
    <w:lvl w:ilvl="0" w:tplc="7B1C4C1C">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embedSystemFonts/>
  <w:saveSubset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theory and sim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few9s5xuzd0fkexrp852fpetz5dda0wzve0&quot;&gt;NC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2D16A0"/>
    <w:rsid w:val="000003BB"/>
    <w:rsid w:val="0000374D"/>
    <w:rsid w:val="00004A23"/>
    <w:rsid w:val="00006A0A"/>
    <w:rsid w:val="0000703E"/>
    <w:rsid w:val="000112FC"/>
    <w:rsid w:val="000118B0"/>
    <w:rsid w:val="00011F40"/>
    <w:rsid w:val="0001454A"/>
    <w:rsid w:val="0001683C"/>
    <w:rsid w:val="000172E7"/>
    <w:rsid w:val="000214A8"/>
    <w:rsid w:val="0002328A"/>
    <w:rsid w:val="000233C9"/>
    <w:rsid w:val="00023F64"/>
    <w:rsid w:val="00027FB5"/>
    <w:rsid w:val="000314D2"/>
    <w:rsid w:val="0003318F"/>
    <w:rsid w:val="0004094E"/>
    <w:rsid w:val="00040B7B"/>
    <w:rsid w:val="00041C1B"/>
    <w:rsid w:val="000437F7"/>
    <w:rsid w:val="00050985"/>
    <w:rsid w:val="00050E60"/>
    <w:rsid w:val="0005501E"/>
    <w:rsid w:val="00055883"/>
    <w:rsid w:val="0006044D"/>
    <w:rsid w:val="00060D37"/>
    <w:rsid w:val="00062324"/>
    <w:rsid w:val="000625BA"/>
    <w:rsid w:val="00063C0E"/>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4120"/>
    <w:rsid w:val="000C6252"/>
    <w:rsid w:val="000C6F8A"/>
    <w:rsid w:val="000D2D4B"/>
    <w:rsid w:val="000D45F4"/>
    <w:rsid w:val="000D5AB4"/>
    <w:rsid w:val="000D66DB"/>
    <w:rsid w:val="000D7EBA"/>
    <w:rsid w:val="000E41FF"/>
    <w:rsid w:val="000E788B"/>
    <w:rsid w:val="000E7A5B"/>
    <w:rsid w:val="000E7BBA"/>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57DEF"/>
    <w:rsid w:val="0016390D"/>
    <w:rsid w:val="00164057"/>
    <w:rsid w:val="00165B37"/>
    <w:rsid w:val="00170369"/>
    <w:rsid w:val="00173757"/>
    <w:rsid w:val="00174176"/>
    <w:rsid w:val="00181D92"/>
    <w:rsid w:val="001823B6"/>
    <w:rsid w:val="001848EB"/>
    <w:rsid w:val="00187DB9"/>
    <w:rsid w:val="0019077D"/>
    <w:rsid w:val="0019194D"/>
    <w:rsid w:val="00195667"/>
    <w:rsid w:val="0019723B"/>
    <w:rsid w:val="001A18A6"/>
    <w:rsid w:val="001A3B4A"/>
    <w:rsid w:val="001A4240"/>
    <w:rsid w:val="001A6821"/>
    <w:rsid w:val="001A734D"/>
    <w:rsid w:val="001B4224"/>
    <w:rsid w:val="001B550B"/>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547C"/>
    <w:rsid w:val="002072AB"/>
    <w:rsid w:val="00210140"/>
    <w:rsid w:val="00211942"/>
    <w:rsid w:val="00214D95"/>
    <w:rsid w:val="00215531"/>
    <w:rsid w:val="002162B2"/>
    <w:rsid w:val="00216F54"/>
    <w:rsid w:val="00220933"/>
    <w:rsid w:val="00220C72"/>
    <w:rsid w:val="0022540C"/>
    <w:rsid w:val="00226AA4"/>
    <w:rsid w:val="00233C8A"/>
    <w:rsid w:val="00236036"/>
    <w:rsid w:val="00240D90"/>
    <w:rsid w:val="0024266B"/>
    <w:rsid w:val="00253CB1"/>
    <w:rsid w:val="002543F9"/>
    <w:rsid w:val="00257ADD"/>
    <w:rsid w:val="00260B12"/>
    <w:rsid w:val="00263723"/>
    <w:rsid w:val="00263CF8"/>
    <w:rsid w:val="00265635"/>
    <w:rsid w:val="00266389"/>
    <w:rsid w:val="002675F7"/>
    <w:rsid w:val="00270A53"/>
    <w:rsid w:val="002725A5"/>
    <w:rsid w:val="0027314F"/>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D09B9"/>
    <w:rsid w:val="002D16A0"/>
    <w:rsid w:val="002D2930"/>
    <w:rsid w:val="002D2DFF"/>
    <w:rsid w:val="002D2EA1"/>
    <w:rsid w:val="002D3D6D"/>
    <w:rsid w:val="002D420B"/>
    <w:rsid w:val="002D5BF8"/>
    <w:rsid w:val="002D7ECC"/>
    <w:rsid w:val="002E1B8F"/>
    <w:rsid w:val="002E2DEF"/>
    <w:rsid w:val="002E4E3E"/>
    <w:rsid w:val="002E76B2"/>
    <w:rsid w:val="002E79A2"/>
    <w:rsid w:val="002F4F4B"/>
    <w:rsid w:val="002F55FD"/>
    <w:rsid w:val="002F594C"/>
    <w:rsid w:val="00301984"/>
    <w:rsid w:val="00301B0B"/>
    <w:rsid w:val="00301E84"/>
    <w:rsid w:val="00302E7A"/>
    <w:rsid w:val="00303D1B"/>
    <w:rsid w:val="003046B7"/>
    <w:rsid w:val="00310592"/>
    <w:rsid w:val="00314C57"/>
    <w:rsid w:val="00317A57"/>
    <w:rsid w:val="00320A99"/>
    <w:rsid w:val="0032144B"/>
    <w:rsid w:val="00322D5B"/>
    <w:rsid w:val="00325AC2"/>
    <w:rsid w:val="00326A1C"/>
    <w:rsid w:val="00327FDC"/>
    <w:rsid w:val="00332806"/>
    <w:rsid w:val="003360E3"/>
    <w:rsid w:val="003371D5"/>
    <w:rsid w:val="003376CD"/>
    <w:rsid w:val="003452C3"/>
    <w:rsid w:val="003501A7"/>
    <w:rsid w:val="0035048A"/>
    <w:rsid w:val="0036263B"/>
    <w:rsid w:val="00363B62"/>
    <w:rsid w:val="003645B0"/>
    <w:rsid w:val="00364B2C"/>
    <w:rsid w:val="003664F1"/>
    <w:rsid w:val="00366F60"/>
    <w:rsid w:val="00367E3F"/>
    <w:rsid w:val="00377EA5"/>
    <w:rsid w:val="00377F77"/>
    <w:rsid w:val="00383073"/>
    <w:rsid w:val="0038438F"/>
    <w:rsid w:val="00387C67"/>
    <w:rsid w:val="00387D98"/>
    <w:rsid w:val="00390B0F"/>
    <w:rsid w:val="00390B38"/>
    <w:rsid w:val="00390B6B"/>
    <w:rsid w:val="00391CFE"/>
    <w:rsid w:val="00393433"/>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517D"/>
    <w:rsid w:val="003B60EC"/>
    <w:rsid w:val="003C00ED"/>
    <w:rsid w:val="003C1C0A"/>
    <w:rsid w:val="003C3271"/>
    <w:rsid w:val="003C35DF"/>
    <w:rsid w:val="003C4A68"/>
    <w:rsid w:val="003C554F"/>
    <w:rsid w:val="003C61DD"/>
    <w:rsid w:val="003D5A95"/>
    <w:rsid w:val="003D63E7"/>
    <w:rsid w:val="003E05F1"/>
    <w:rsid w:val="003E113B"/>
    <w:rsid w:val="003E5092"/>
    <w:rsid w:val="003E715D"/>
    <w:rsid w:val="003F103E"/>
    <w:rsid w:val="003F2855"/>
    <w:rsid w:val="003F2B96"/>
    <w:rsid w:val="003F2E48"/>
    <w:rsid w:val="003F440C"/>
    <w:rsid w:val="003F525A"/>
    <w:rsid w:val="003F7BE6"/>
    <w:rsid w:val="004006A9"/>
    <w:rsid w:val="00404548"/>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7FE2"/>
    <w:rsid w:val="004507E5"/>
    <w:rsid w:val="004519AD"/>
    <w:rsid w:val="0045459A"/>
    <w:rsid w:val="004545DB"/>
    <w:rsid w:val="00456A61"/>
    <w:rsid w:val="0045786A"/>
    <w:rsid w:val="00460F76"/>
    <w:rsid w:val="00462F12"/>
    <w:rsid w:val="00463050"/>
    <w:rsid w:val="0046340F"/>
    <w:rsid w:val="00466168"/>
    <w:rsid w:val="0046778B"/>
    <w:rsid w:val="0047088F"/>
    <w:rsid w:val="00471222"/>
    <w:rsid w:val="004714D4"/>
    <w:rsid w:val="00475712"/>
    <w:rsid w:val="00480CCE"/>
    <w:rsid w:val="00481F75"/>
    <w:rsid w:val="00482FAA"/>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19CE"/>
    <w:rsid w:val="004E40F6"/>
    <w:rsid w:val="004E48CA"/>
    <w:rsid w:val="004E7CE8"/>
    <w:rsid w:val="004F271D"/>
    <w:rsid w:val="004F5114"/>
    <w:rsid w:val="004F756C"/>
    <w:rsid w:val="005001FA"/>
    <w:rsid w:val="00501302"/>
    <w:rsid w:val="005019AF"/>
    <w:rsid w:val="0050488D"/>
    <w:rsid w:val="00504D12"/>
    <w:rsid w:val="0050527A"/>
    <w:rsid w:val="0050535A"/>
    <w:rsid w:val="005106F5"/>
    <w:rsid w:val="00511192"/>
    <w:rsid w:val="005118AD"/>
    <w:rsid w:val="00512353"/>
    <w:rsid w:val="005220C2"/>
    <w:rsid w:val="00522E88"/>
    <w:rsid w:val="00523369"/>
    <w:rsid w:val="0052398F"/>
    <w:rsid w:val="00526E69"/>
    <w:rsid w:val="00532960"/>
    <w:rsid w:val="00534983"/>
    <w:rsid w:val="00545A73"/>
    <w:rsid w:val="00546DEB"/>
    <w:rsid w:val="00546F0F"/>
    <w:rsid w:val="005477E7"/>
    <w:rsid w:val="00550159"/>
    <w:rsid w:val="00551897"/>
    <w:rsid w:val="00551FFD"/>
    <w:rsid w:val="00552A0F"/>
    <w:rsid w:val="005551ED"/>
    <w:rsid w:val="00556419"/>
    <w:rsid w:val="0055680A"/>
    <w:rsid w:val="005572B4"/>
    <w:rsid w:val="005572DD"/>
    <w:rsid w:val="00560564"/>
    <w:rsid w:val="00562E2B"/>
    <w:rsid w:val="00563CE9"/>
    <w:rsid w:val="00564668"/>
    <w:rsid w:val="00564FE0"/>
    <w:rsid w:val="00570353"/>
    <w:rsid w:val="005715F5"/>
    <w:rsid w:val="0057171E"/>
    <w:rsid w:val="00571EEC"/>
    <w:rsid w:val="00572666"/>
    <w:rsid w:val="0057267E"/>
    <w:rsid w:val="005726BD"/>
    <w:rsid w:val="005736AE"/>
    <w:rsid w:val="00574A5A"/>
    <w:rsid w:val="005753B8"/>
    <w:rsid w:val="00583ED5"/>
    <w:rsid w:val="005855BA"/>
    <w:rsid w:val="00587437"/>
    <w:rsid w:val="00587C2C"/>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2EFE"/>
    <w:rsid w:val="006364B8"/>
    <w:rsid w:val="00636A64"/>
    <w:rsid w:val="00636B93"/>
    <w:rsid w:val="00640550"/>
    <w:rsid w:val="0064326A"/>
    <w:rsid w:val="00644826"/>
    <w:rsid w:val="00644D5D"/>
    <w:rsid w:val="00646DC7"/>
    <w:rsid w:val="006511FB"/>
    <w:rsid w:val="00651A9D"/>
    <w:rsid w:val="00654C93"/>
    <w:rsid w:val="006558C3"/>
    <w:rsid w:val="00656092"/>
    <w:rsid w:val="0065741C"/>
    <w:rsid w:val="00660B85"/>
    <w:rsid w:val="006622E0"/>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2F6F"/>
    <w:rsid w:val="0070346C"/>
    <w:rsid w:val="007051A0"/>
    <w:rsid w:val="00706496"/>
    <w:rsid w:val="00711A12"/>
    <w:rsid w:val="00711F11"/>
    <w:rsid w:val="007154C4"/>
    <w:rsid w:val="00715DB9"/>
    <w:rsid w:val="007174BE"/>
    <w:rsid w:val="007218A0"/>
    <w:rsid w:val="007238AF"/>
    <w:rsid w:val="00726908"/>
    <w:rsid w:val="007270C7"/>
    <w:rsid w:val="00730F3A"/>
    <w:rsid w:val="00735F34"/>
    <w:rsid w:val="00736944"/>
    <w:rsid w:val="00741200"/>
    <w:rsid w:val="00741333"/>
    <w:rsid w:val="00742FF2"/>
    <w:rsid w:val="00744D6A"/>
    <w:rsid w:val="00746138"/>
    <w:rsid w:val="0074620A"/>
    <w:rsid w:val="00751D50"/>
    <w:rsid w:val="007527D5"/>
    <w:rsid w:val="00752F3C"/>
    <w:rsid w:val="007561FC"/>
    <w:rsid w:val="00761D34"/>
    <w:rsid w:val="00762D2D"/>
    <w:rsid w:val="00764622"/>
    <w:rsid w:val="00764CAD"/>
    <w:rsid w:val="007700B4"/>
    <w:rsid w:val="00770FA1"/>
    <w:rsid w:val="00773884"/>
    <w:rsid w:val="00774813"/>
    <w:rsid w:val="0078052A"/>
    <w:rsid w:val="007812FB"/>
    <w:rsid w:val="00784032"/>
    <w:rsid w:val="00786E79"/>
    <w:rsid w:val="00787925"/>
    <w:rsid w:val="00790E31"/>
    <w:rsid w:val="00791578"/>
    <w:rsid w:val="00793B87"/>
    <w:rsid w:val="0079566E"/>
    <w:rsid w:val="00796509"/>
    <w:rsid w:val="0079691E"/>
    <w:rsid w:val="00797723"/>
    <w:rsid w:val="007B1EEE"/>
    <w:rsid w:val="007B249B"/>
    <w:rsid w:val="007B6D4D"/>
    <w:rsid w:val="007B6FAF"/>
    <w:rsid w:val="007B7A09"/>
    <w:rsid w:val="007C0160"/>
    <w:rsid w:val="007C0F7A"/>
    <w:rsid w:val="007D063F"/>
    <w:rsid w:val="007D24A9"/>
    <w:rsid w:val="007D27FA"/>
    <w:rsid w:val="007D30B5"/>
    <w:rsid w:val="007D6218"/>
    <w:rsid w:val="007D6699"/>
    <w:rsid w:val="007D7E30"/>
    <w:rsid w:val="007E0A75"/>
    <w:rsid w:val="007E6419"/>
    <w:rsid w:val="007F1308"/>
    <w:rsid w:val="007F6815"/>
    <w:rsid w:val="007F6BA8"/>
    <w:rsid w:val="00800C94"/>
    <w:rsid w:val="0080681B"/>
    <w:rsid w:val="0080738C"/>
    <w:rsid w:val="00810B77"/>
    <w:rsid w:val="00817436"/>
    <w:rsid w:val="00822217"/>
    <w:rsid w:val="0082542D"/>
    <w:rsid w:val="00827834"/>
    <w:rsid w:val="00832835"/>
    <w:rsid w:val="00835110"/>
    <w:rsid w:val="008351FC"/>
    <w:rsid w:val="00841F50"/>
    <w:rsid w:val="00843A0E"/>
    <w:rsid w:val="00845DFE"/>
    <w:rsid w:val="00846E17"/>
    <w:rsid w:val="0085200A"/>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1F1"/>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6950"/>
    <w:rsid w:val="008C7226"/>
    <w:rsid w:val="008D7B80"/>
    <w:rsid w:val="008E4184"/>
    <w:rsid w:val="008E549F"/>
    <w:rsid w:val="008E6301"/>
    <w:rsid w:val="008E6E9A"/>
    <w:rsid w:val="008F10BC"/>
    <w:rsid w:val="008F18D8"/>
    <w:rsid w:val="008F2052"/>
    <w:rsid w:val="008F26ED"/>
    <w:rsid w:val="008F2A38"/>
    <w:rsid w:val="008F3012"/>
    <w:rsid w:val="008F592B"/>
    <w:rsid w:val="00901D14"/>
    <w:rsid w:val="00903775"/>
    <w:rsid w:val="00904AF7"/>
    <w:rsid w:val="009109F7"/>
    <w:rsid w:val="00912137"/>
    <w:rsid w:val="00915BED"/>
    <w:rsid w:val="00916B64"/>
    <w:rsid w:val="0092145D"/>
    <w:rsid w:val="009245DE"/>
    <w:rsid w:val="00930762"/>
    <w:rsid w:val="00930C0C"/>
    <w:rsid w:val="00936B81"/>
    <w:rsid w:val="009415E0"/>
    <w:rsid w:val="00944701"/>
    <w:rsid w:val="00950ED1"/>
    <w:rsid w:val="00952A7A"/>
    <w:rsid w:val="00953A02"/>
    <w:rsid w:val="0095444E"/>
    <w:rsid w:val="00955C67"/>
    <w:rsid w:val="00957B65"/>
    <w:rsid w:val="00960AFF"/>
    <w:rsid w:val="00963F62"/>
    <w:rsid w:val="00965EFC"/>
    <w:rsid w:val="0097161B"/>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C4EFB"/>
    <w:rsid w:val="009D109E"/>
    <w:rsid w:val="009D1CD9"/>
    <w:rsid w:val="009D1F28"/>
    <w:rsid w:val="009D28E5"/>
    <w:rsid w:val="009D4830"/>
    <w:rsid w:val="009D797A"/>
    <w:rsid w:val="009E026A"/>
    <w:rsid w:val="009E3B56"/>
    <w:rsid w:val="009E49B5"/>
    <w:rsid w:val="009E551E"/>
    <w:rsid w:val="009E7066"/>
    <w:rsid w:val="009F1EF8"/>
    <w:rsid w:val="009F4604"/>
    <w:rsid w:val="009F4B78"/>
    <w:rsid w:val="009F606B"/>
    <w:rsid w:val="009F6E66"/>
    <w:rsid w:val="00A02AC3"/>
    <w:rsid w:val="00A06840"/>
    <w:rsid w:val="00A06EAD"/>
    <w:rsid w:val="00A1293C"/>
    <w:rsid w:val="00A14F9B"/>
    <w:rsid w:val="00A167F1"/>
    <w:rsid w:val="00A2085F"/>
    <w:rsid w:val="00A20EC0"/>
    <w:rsid w:val="00A2150B"/>
    <w:rsid w:val="00A215D9"/>
    <w:rsid w:val="00A2292C"/>
    <w:rsid w:val="00A23FC3"/>
    <w:rsid w:val="00A25F1B"/>
    <w:rsid w:val="00A26E6F"/>
    <w:rsid w:val="00A30244"/>
    <w:rsid w:val="00A3288D"/>
    <w:rsid w:val="00A329DC"/>
    <w:rsid w:val="00A41135"/>
    <w:rsid w:val="00A41FEB"/>
    <w:rsid w:val="00A42FBA"/>
    <w:rsid w:val="00A44DA6"/>
    <w:rsid w:val="00A46F21"/>
    <w:rsid w:val="00A50921"/>
    <w:rsid w:val="00A5160D"/>
    <w:rsid w:val="00A56CA4"/>
    <w:rsid w:val="00A65F04"/>
    <w:rsid w:val="00A65F2E"/>
    <w:rsid w:val="00A71AD5"/>
    <w:rsid w:val="00A8073E"/>
    <w:rsid w:val="00A80883"/>
    <w:rsid w:val="00A81BED"/>
    <w:rsid w:val="00A82FC6"/>
    <w:rsid w:val="00A85A0D"/>
    <w:rsid w:val="00A92270"/>
    <w:rsid w:val="00AA10AE"/>
    <w:rsid w:val="00AA329F"/>
    <w:rsid w:val="00AA7B6A"/>
    <w:rsid w:val="00AB593E"/>
    <w:rsid w:val="00AB5D37"/>
    <w:rsid w:val="00AB683F"/>
    <w:rsid w:val="00AC4A2E"/>
    <w:rsid w:val="00AD1885"/>
    <w:rsid w:val="00AD45E4"/>
    <w:rsid w:val="00AD50BA"/>
    <w:rsid w:val="00AE02E7"/>
    <w:rsid w:val="00AE0F75"/>
    <w:rsid w:val="00AE319E"/>
    <w:rsid w:val="00AE3B2C"/>
    <w:rsid w:val="00AE3B4E"/>
    <w:rsid w:val="00AE676F"/>
    <w:rsid w:val="00AE709C"/>
    <w:rsid w:val="00AE7DD9"/>
    <w:rsid w:val="00AF2B38"/>
    <w:rsid w:val="00AF4796"/>
    <w:rsid w:val="00B004C1"/>
    <w:rsid w:val="00B0168B"/>
    <w:rsid w:val="00B03458"/>
    <w:rsid w:val="00B04B8E"/>
    <w:rsid w:val="00B1072F"/>
    <w:rsid w:val="00B15820"/>
    <w:rsid w:val="00B17F98"/>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188"/>
    <w:rsid w:val="00B86C54"/>
    <w:rsid w:val="00B874C4"/>
    <w:rsid w:val="00B955BF"/>
    <w:rsid w:val="00B97AA2"/>
    <w:rsid w:val="00B97B8E"/>
    <w:rsid w:val="00BA00A8"/>
    <w:rsid w:val="00BA0378"/>
    <w:rsid w:val="00BA37A4"/>
    <w:rsid w:val="00BA4FB0"/>
    <w:rsid w:val="00BA6138"/>
    <w:rsid w:val="00BB1930"/>
    <w:rsid w:val="00BB3478"/>
    <w:rsid w:val="00BB6F9E"/>
    <w:rsid w:val="00BC2247"/>
    <w:rsid w:val="00BC29D9"/>
    <w:rsid w:val="00BC5572"/>
    <w:rsid w:val="00BC5B51"/>
    <w:rsid w:val="00BD497C"/>
    <w:rsid w:val="00BD57EE"/>
    <w:rsid w:val="00BE4E8A"/>
    <w:rsid w:val="00BF2A79"/>
    <w:rsid w:val="00BF375F"/>
    <w:rsid w:val="00BF7D3B"/>
    <w:rsid w:val="00C02372"/>
    <w:rsid w:val="00C044C3"/>
    <w:rsid w:val="00C10453"/>
    <w:rsid w:val="00C13BCA"/>
    <w:rsid w:val="00C141B9"/>
    <w:rsid w:val="00C151AF"/>
    <w:rsid w:val="00C158CF"/>
    <w:rsid w:val="00C16518"/>
    <w:rsid w:val="00C1787D"/>
    <w:rsid w:val="00C20F14"/>
    <w:rsid w:val="00C22B7C"/>
    <w:rsid w:val="00C23B8E"/>
    <w:rsid w:val="00C3184D"/>
    <w:rsid w:val="00C331FD"/>
    <w:rsid w:val="00C34DCB"/>
    <w:rsid w:val="00C35E07"/>
    <w:rsid w:val="00C36D0C"/>
    <w:rsid w:val="00C3708D"/>
    <w:rsid w:val="00C4138A"/>
    <w:rsid w:val="00C440B4"/>
    <w:rsid w:val="00C446F9"/>
    <w:rsid w:val="00C462CB"/>
    <w:rsid w:val="00C46F39"/>
    <w:rsid w:val="00C47AFE"/>
    <w:rsid w:val="00C5067F"/>
    <w:rsid w:val="00C515C3"/>
    <w:rsid w:val="00C51AA2"/>
    <w:rsid w:val="00C52E43"/>
    <w:rsid w:val="00C56CD4"/>
    <w:rsid w:val="00C609C3"/>
    <w:rsid w:val="00C60E16"/>
    <w:rsid w:val="00C65E4E"/>
    <w:rsid w:val="00C66610"/>
    <w:rsid w:val="00C66648"/>
    <w:rsid w:val="00C66FEF"/>
    <w:rsid w:val="00C70CB4"/>
    <w:rsid w:val="00C727A7"/>
    <w:rsid w:val="00C728D5"/>
    <w:rsid w:val="00C72CF7"/>
    <w:rsid w:val="00C75119"/>
    <w:rsid w:val="00C76DD6"/>
    <w:rsid w:val="00C7706E"/>
    <w:rsid w:val="00C90B62"/>
    <w:rsid w:val="00C91C08"/>
    <w:rsid w:val="00C959F3"/>
    <w:rsid w:val="00C97F0E"/>
    <w:rsid w:val="00CA06AC"/>
    <w:rsid w:val="00CA1D9E"/>
    <w:rsid w:val="00CA242A"/>
    <w:rsid w:val="00CA27BD"/>
    <w:rsid w:val="00CA2AB6"/>
    <w:rsid w:val="00CA36DE"/>
    <w:rsid w:val="00CA4BCC"/>
    <w:rsid w:val="00CA5313"/>
    <w:rsid w:val="00CB01D6"/>
    <w:rsid w:val="00CB311E"/>
    <w:rsid w:val="00CB71E1"/>
    <w:rsid w:val="00CC0ED3"/>
    <w:rsid w:val="00CC1894"/>
    <w:rsid w:val="00CC2EE2"/>
    <w:rsid w:val="00CC3D03"/>
    <w:rsid w:val="00CC45DB"/>
    <w:rsid w:val="00CC5651"/>
    <w:rsid w:val="00CC73FF"/>
    <w:rsid w:val="00CD141E"/>
    <w:rsid w:val="00CD45DA"/>
    <w:rsid w:val="00CE2EA4"/>
    <w:rsid w:val="00CE5714"/>
    <w:rsid w:val="00CE6138"/>
    <w:rsid w:val="00CE6F59"/>
    <w:rsid w:val="00CE7AAB"/>
    <w:rsid w:val="00CF2673"/>
    <w:rsid w:val="00CF2DA1"/>
    <w:rsid w:val="00CF43B1"/>
    <w:rsid w:val="00D0614B"/>
    <w:rsid w:val="00D06AD1"/>
    <w:rsid w:val="00D10611"/>
    <w:rsid w:val="00D17549"/>
    <w:rsid w:val="00D24D97"/>
    <w:rsid w:val="00D275F5"/>
    <w:rsid w:val="00D376F1"/>
    <w:rsid w:val="00D40526"/>
    <w:rsid w:val="00D43CA8"/>
    <w:rsid w:val="00D4523D"/>
    <w:rsid w:val="00D4593F"/>
    <w:rsid w:val="00D45BD4"/>
    <w:rsid w:val="00D4775B"/>
    <w:rsid w:val="00D47AB8"/>
    <w:rsid w:val="00D52787"/>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96EAA"/>
    <w:rsid w:val="00DA039C"/>
    <w:rsid w:val="00DA10B4"/>
    <w:rsid w:val="00DA20E7"/>
    <w:rsid w:val="00DA6EBE"/>
    <w:rsid w:val="00DB27CC"/>
    <w:rsid w:val="00DB2A54"/>
    <w:rsid w:val="00DB4EF9"/>
    <w:rsid w:val="00DC29FE"/>
    <w:rsid w:val="00DC430C"/>
    <w:rsid w:val="00DC4C23"/>
    <w:rsid w:val="00DC60FB"/>
    <w:rsid w:val="00DC7319"/>
    <w:rsid w:val="00DC742E"/>
    <w:rsid w:val="00DD38DC"/>
    <w:rsid w:val="00DD63FF"/>
    <w:rsid w:val="00DE4A6F"/>
    <w:rsid w:val="00DF1BBF"/>
    <w:rsid w:val="00DF3145"/>
    <w:rsid w:val="00DF4B0E"/>
    <w:rsid w:val="00E01E4B"/>
    <w:rsid w:val="00E062B0"/>
    <w:rsid w:val="00E0711E"/>
    <w:rsid w:val="00E0770C"/>
    <w:rsid w:val="00E105B2"/>
    <w:rsid w:val="00E14DFA"/>
    <w:rsid w:val="00E17EA5"/>
    <w:rsid w:val="00E229DB"/>
    <w:rsid w:val="00E2571A"/>
    <w:rsid w:val="00E26EDC"/>
    <w:rsid w:val="00E2713C"/>
    <w:rsid w:val="00E30B42"/>
    <w:rsid w:val="00E342D7"/>
    <w:rsid w:val="00E34D1F"/>
    <w:rsid w:val="00E35C26"/>
    <w:rsid w:val="00E40701"/>
    <w:rsid w:val="00E410EA"/>
    <w:rsid w:val="00E41D47"/>
    <w:rsid w:val="00E41D5C"/>
    <w:rsid w:val="00E42D02"/>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15F8"/>
    <w:rsid w:val="00EA24D4"/>
    <w:rsid w:val="00EA2851"/>
    <w:rsid w:val="00EA3515"/>
    <w:rsid w:val="00EA55FE"/>
    <w:rsid w:val="00EA7416"/>
    <w:rsid w:val="00EB0B4F"/>
    <w:rsid w:val="00EB1B59"/>
    <w:rsid w:val="00EB4384"/>
    <w:rsid w:val="00EB6065"/>
    <w:rsid w:val="00EC0826"/>
    <w:rsid w:val="00EC4C40"/>
    <w:rsid w:val="00EC4E99"/>
    <w:rsid w:val="00EC7E23"/>
    <w:rsid w:val="00ED3A21"/>
    <w:rsid w:val="00ED54F9"/>
    <w:rsid w:val="00ED6982"/>
    <w:rsid w:val="00EE0218"/>
    <w:rsid w:val="00EE0E54"/>
    <w:rsid w:val="00EE1033"/>
    <w:rsid w:val="00EE114E"/>
    <w:rsid w:val="00EF24BB"/>
    <w:rsid w:val="00EF2B90"/>
    <w:rsid w:val="00EF32F6"/>
    <w:rsid w:val="00EF4114"/>
    <w:rsid w:val="00EF448F"/>
    <w:rsid w:val="00EF4634"/>
    <w:rsid w:val="00EF472E"/>
    <w:rsid w:val="00EF4A5A"/>
    <w:rsid w:val="00EF4EC4"/>
    <w:rsid w:val="00EF66A9"/>
    <w:rsid w:val="00EF74D8"/>
    <w:rsid w:val="00F01898"/>
    <w:rsid w:val="00F05EE0"/>
    <w:rsid w:val="00F0673B"/>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0CB1"/>
    <w:rsid w:val="00F515AF"/>
    <w:rsid w:val="00F53E05"/>
    <w:rsid w:val="00F5550A"/>
    <w:rsid w:val="00F55A56"/>
    <w:rsid w:val="00F56088"/>
    <w:rsid w:val="00F6031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119A"/>
    <w:rsid w:val="00FB3597"/>
    <w:rsid w:val="00FB53CA"/>
    <w:rsid w:val="00FC3750"/>
    <w:rsid w:val="00FC487C"/>
    <w:rsid w:val="00FC51A5"/>
    <w:rsid w:val="00FC58FE"/>
    <w:rsid w:val="00FD0B36"/>
    <w:rsid w:val="00FD168A"/>
    <w:rsid w:val="00FD3643"/>
    <w:rsid w:val="00FD553C"/>
    <w:rsid w:val="00FD6F5E"/>
    <w:rsid w:val="00FE087D"/>
    <w:rsid w:val="00FE133D"/>
    <w:rsid w:val="00FE2090"/>
    <w:rsid w:val="00FE359D"/>
    <w:rsid w:val="00FE47EA"/>
    <w:rsid w:val="00FE4D5F"/>
    <w:rsid w:val="00FE7BC4"/>
    <w:rsid w:val="00FF29D4"/>
    <w:rsid w:val="00FF388D"/>
    <w:rsid w:val="00FF7D9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paragraph" w:styleId="Heading2">
    <w:name w:val="heading 2"/>
    <w:basedOn w:val="Normal"/>
    <w:next w:val="Normal"/>
    <w:link w:val="Heading2Char"/>
    <w:uiPriority w:val="9"/>
    <w:unhideWhenUsed/>
    <w:qFormat/>
    <w:rsid w:val="00EA15F8"/>
    <w:pPr>
      <w:keepNext/>
      <w:keepLines/>
      <w:spacing w:before="120" w:after="120" w:line="360" w:lineRule="auto"/>
      <w:jc w:val="both"/>
      <w:outlineLvl w:val="1"/>
    </w:pPr>
    <w:rPr>
      <w:rFonts w:eastAsiaTheme="majorEastAsia" w:cstheme="majorBidi"/>
      <w:b/>
      <w:szCs w:val="26"/>
      <w:lang w:val="ru-R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paragraph" w:styleId="Header">
    <w:name w:val="header"/>
    <w:basedOn w:val="Normal"/>
    <w:link w:val="HeaderChar"/>
    <w:uiPriority w:val="99"/>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7D063F"/>
    <w:pPr>
      <w:spacing w:line="360" w:lineRule="auto"/>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uiPriority w:val="99"/>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2Char">
    <w:name w:val="Heading 2 Char"/>
    <w:basedOn w:val="DefaultParagraphFont"/>
    <w:link w:val="Heading2"/>
    <w:uiPriority w:val="9"/>
    <w:rsid w:val="00EA15F8"/>
    <w:rPr>
      <w:rFonts w:eastAsiaTheme="majorEastAsia" w:cstheme="majorBidi"/>
      <w:b/>
      <w:sz w:val="24"/>
      <w:szCs w:val="26"/>
      <w:lang w:val="ru-RU" w:eastAsia="en-US"/>
    </w:rPr>
  </w:style>
  <w:style w:type="character" w:styleId="PlaceholderText">
    <w:name w:val="Placeholder Text"/>
    <w:basedOn w:val="DefaultParagraphFont"/>
    <w:uiPriority w:val="99"/>
    <w:semiHidden/>
    <w:rsid w:val="00EA15F8"/>
    <w:rPr>
      <w:color w:val="808080"/>
    </w:rPr>
  </w:style>
  <w:style w:type="paragraph" w:styleId="ListParagraph">
    <w:name w:val="List Paragraph"/>
    <w:basedOn w:val="Normal"/>
    <w:uiPriority w:val="34"/>
    <w:qFormat/>
    <w:rsid w:val="00EA15F8"/>
    <w:pPr>
      <w:spacing w:after="160" w:line="259" w:lineRule="auto"/>
      <w:ind w:left="720"/>
      <w:contextualSpacing/>
    </w:pPr>
    <w:rPr>
      <w:rFonts w:asciiTheme="minorHAnsi" w:eastAsiaTheme="minorEastAsia" w:hAnsiTheme="minorHAnsi" w:cstheme="minorBidi"/>
      <w:sz w:val="22"/>
      <w:szCs w:val="22"/>
      <w:lang w:val="en-GB" w:eastAsia="en-US"/>
    </w:rPr>
  </w:style>
  <w:style w:type="paragraph" w:customStyle="1" w:styleId="EndNoteBibliographyTitle">
    <w:name w:val="EndNote Bibliography Title"/>
    <w:basedOn w:val="Normal"/>
    <w:link w:val="EndNoteBibliographyTitle0"/>
    <w:rsid w:val="00EA15F8"/>
    <w:pPr>
      <w:spacing w:line="259" w:lineRule="auto"/>
      <w:jc w:val="center"/>
    </w:pPr>
    <w:rPr>
      <w:rFonts w:eastAsiaTheme="minorEastAsia"/>
      <w:noProof/>
      <w:szCs w:val="22"/>
      <w:lang w:val="en-US" w:eastAsia="en-US"/>
    </w:rPr>
  </w:style>
  <w:style w:type="character" w:customStyle="1" w:styleId="EndNoteBibliographyTitle0">
    <w:name w:val="EndNote Bibliography Title 字符"/>
    <w:basedOn w:val="DefaultParagraphFont"/>
    <w:link w:val="EndNoteBibliographyTitle"/>
    <w:rsid w:val="00EA15F8"/>
    <w:rPr>
      <w:rFonts w:eastAsiaTheme="minorEastAsia"/>
      <w:noProof/>
      <w:sz w:val="24"/>
      <w:szCs w:val="22"/>
      <w:lang w:val="en-US" w:eastAsia="en-US"/>
    </w:rPr>
  </w:style>
  <w:style w:type="paragraph" w:customStyle="1" w:styleId="EndNoteBibliography">
    <w:name w:val="EndNote Bibliography"/>
    <w:basedOn w:val="Normal"/>
    <w:link w:val="EndNoteBibliography0"/>
    <w:rsid w:val="00EA15F8"/>
    <w:pPr>
      <w:spacing w:after="160"/>
      <w:jc w:val="both"/>
    </w:pPr>
    <w:rPr>
      <w:rFonts w:eastAsiaTheme="minorEastAsia"/>
      <w:noProof/>
      <w:szCs w:val="22"/>
      <w:lang w:val="en-US" w:eastAsia="en-US"/>
    </w:rPr>
  </w:style>
  <w:style w:type="character" w:customStyle="1" w:styleId="EndNoteBibliography0">
    <w:name w:val="EndNote Bibliography 字符"/>
    <w:basedOn w:val="DefaultParagraphFont"/>
    <w:link w:val="EndNoteBibliography"/>
    <w:rsid w:val="00EA15F8"/>
    <w:rPr>
      <w:rFonts w:eastAsiaTheme="minorEastAsia"/>
      <w:noProof/>
      <w:sz w:val="24"/>
      <w:szCs w:val="22"/>
      <w:lang w:val="en-US" w:eastAsia="en-US"/>
    </w:rPr>
  </w:style>
  <w:style w:type="paragraph" w:customStyle="1" w:styleId="MTDisplayEquation">
    <w:name w:val="MTDisplayEquation"/>
    <w:basedOn w:val="Normal"/>
    <w:next w:val="Normal"/>
    <w:link w:val="MTDisplayEquation0"/>
    <w:rsid w:val="00EA15F8"/>
    <w:pPr>
      <w:tabs>
        <w:tab w:val="center" w:pos="4880"/>
        <w:tab w:val="right" w:pos="9740"/>
      </w:tabs>
      <w:spacing w:before="120" w:after="120" w:line="360" w:lineRule="auto"/>
      <w:jc w:val="both"/>
    </w:pPr>
    <w:rPr>
      <w:rFonts w:eastAsiaTheme="minorEastAsia" w:cstheme="minorBidi"/>
      <w:noProof/>
      <w:szCs w:val="22"/>
      <w:lang w:val="en-US" w:eastAsia="en-US"/>
    </w:rPr>
  </w:style>
  <w:style w:type="character" w:customStyle="1" w:styleId="MTDisplayEquation0">
    <w:name w:val="MTDisplayEquation Знак"/>
    <w:basedOn w:val="DefaultParagraphFont"/>
    <w:link w:val="MTDisplayEquation"/>
    <w:rsid w:val="00EA15F8"/>
    <w:rPr>
      <w:rFonts w:eastAsiaTheme="minorEastAsia" w:cstheme="minorBidi"/>
      <w:noProof/>
      <w:sz w:val="24"/>
      <w:szCs w:val="22"/>
      <w:lang w:val="en-US" w:eastAsia="en-US"/>
    </w:rPr>
  </w:style>
  <w:style w:type="table" w:styleId="TableGrid">
    <w:name w:val="Table Grid"/>
    <w:basedOn w:val="TableNormal"/>
    <w:uiPriority w:val="39"/>
    <w:rsid w:val="00EA15F8"/>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EA15F8"/>
    <w:rPr>
      <w:rFonts w:ascii="Tahoma" w:hAnsi="Tahoma" w:cs="Tahoma"/>
      <w:sz w:val="16"/>
      <w:szCs w:val="16"/>
      <w:lang w:val="de-DE" w:eastAsia="ja-JP"/>
    </w:rPr>
  </w:style>
  <w:style w:type="paragraph" w:customStyle="1" w:styleId="xxxxxxmsonormal">
    <w:name w:val="x_xxxxxmsonormal"/>
    <w:basedOn w:val="Normal"/>
    <w:rsid w:val="00EA15F8"/>
    <w:pPr>
      <w:spacing w:before="100" w:beforeAutospacing="1" w:after="100" w:afterAutospacing="1"/>
    </w:pPr>
    <w:rPr>
      <w:rFonts w:eastAsia="Times New Roman"/>
      <w:lang w:val="en-GB" w:eastAsia="en-GB"/>
    </w:rPr>
  </w:style>
  <w:style w:type="character" w:styleId="LineNumber">
    <w:name w:val="line number"/>
    <w:basedOn w:val="DefaultParagraphFont"/>
    <w:uiPriority w:val="99"/>
    <w:semiHidden/>
    <w:unhideWhenUsed/>
    <w:rsid w:val="00EA15F8"/>
  </w:style>
  <w:style w:type="paragraph" w:styleId="NormalWeb">
    <w:name w:val="Normal (Web)"/>
    <w:basedOn w:val="Normal"/>
    <w:uiPriority w:val="99"/>
    <w:unhideWhenUsed/>
    <w:rsid w:val="00EA15F8"/>
    <w:pPr>
      <w:spacing w:before="100" w:beforeAutospacing="1" w:after="100" w:afterAutospacing="1"/>
    </w:pPr>
    <w:rPr>
      <w:rFonts w:ascii="SimSun" w:eastAsia="SimSun" w:hAnsi="SimSun" w:cs="SimSun"/>
      <w:lang w:val="en-US" w:eastAsia="zh-CN"/>
    </w:rPr>
  </w:style>
  <w:style w:type="character" w:customStyle="1" w:styleId="keywords-mean">
    <w:name w:val="keywords-mean"/>
    <w:basedOn w:val="DefaultParagraphFont"/>
    <w:rsid w:val="00EA15F8"/>
  </w:style>
  <w:style w:type="paragraph" w:customStyle="1" w:styleId="xmsonormal">
    <w:name w:val="x_msonormal"/>
    <w:basedOn w:val="Normal"/>
    <w:rsid w:val="00EA15F8"/>
    <w:pPr>
      <w:spacing w:before="100" w:beforeAutospacing="1" w:after="100" w:afterAutospacing="1"/>
    </w:pPr>
    <w:rPr>
      <w:rFonts w:eastAsia="Times New Roman"/>
      <w:lang w:val="en-GB" w:eastAsia="en-GB"/>
    </w:rPr>
  </w:style>
  <w:style w:type="character" w:styleId="Hyperlink">
    <w:name w:val="Hyperlink"/>
    <w:basedOn w:val="DefaultParagraphFont"/>
    <w:uiPriority w:val="99"/>
    <w:unhideWhenUsed/>
    <w:rsid w:val="00EA15F8"/>
    <w:rPr>
      <w:color w:val="0000FF"/>
      <w:u w:val="single"/>
    </w:rPr>
  </w:style>
  <w:style w:type="character" w:customStyle="1" w:styleId="1">
    <w:name w:val="未处理的提及1"/>
    <w:basedOn w:val="DefaultParagraphFont"/>
    <w:uiPriority w:val="99"/>
    <w:semiHidden/>
    <w:unhideWhenUsed/>
    <w:rsid w:val="00EA15F8"/>
    <w:rPr>
      <w:color w:val="605E5C"/>
      <w:shd w:val="clear" w:color="auto" w:fill="E1DFDD"/>
    </w:rPr>
  </w:style>
  <w:style w:type="character" w:customStyle="1" w:styleId="2">
    <w:name w:val="未处理的提及2"/>
    <w:basedOn w:val="DefaultParagraphFont"/>
    <w:uiPriority w:val="99"/>
    <w:semiHidden/>
    <w:unhideWhenUsed/>
    <w:rsid w:val="00EA1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6.wmf"/><Relationship Id="rId42" Type="http://schemas.openxmlformats.org/officeDocument/2006/relationships/oleObject" Target="embeddings/oleObject16.bin"/><Relationship Id="rId63" Type="http://schemas.openxmlformats.org/officeDocument/2006/relationships/oleObject" Target="embeddings/oleObject27.bin"/><Relationship Id="rId84" Type="http://schemas.openxmlformats.org/officeDocument/2006/relationships/image" Target="media/image37.wmf"/><Relationship Id="rId138" Type="http://schemas.openxmlformats.org/officeDocument/2006/relationships/oleObject" Target="embeddings/oleObject65.bin"/><Relationship Id="rId159" Type="http://schemas.openxmlformats.org/officeDocument/2006/relationships/oleObject" Target="embeddings/oleObject75.bin"/><Relationship Id="rId170" Type="http://schemas.openxmlformats.org/officeDocument/2006/relationships/image" Target="media/image80.png"/><Relationship Id="rId191" Type="http://schemas.openxmlformats.org/officeDocument/2006/relationships/image" Target="media/image91.emf"/><Relationship Id="rId205" Type="http://schemas.openxmlformats.org/officeDocument/2006/relationships/image" Target="media/image98.wmf"/><Relationship Id="rId226" Type="http://schemas.openxmlformats.org/officeDocument/2006/relationships/oleObject" Target="embeddings/oleObject108.bin"/><Relationship Id="rId107" Type="http://schemas.openxmlformats.org/officeDocument/2006/relationships/oleObject" Target="embeddings/oleObject49.bin"/><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image" Target="media/image69.wmf"/><Relationship Id="rId5" Type="http://schemas.openxmlformats.org/officeDocument/2006/relationships/numbering" Target="numbering.xml"/><Relationship Id="rId95" Type="http://schemas.openxmlformats.org/officeDocument/2006/relationships/oleObject" Target="embeddings/oleObject43.bin"/><Relationship Id="rId160" Type="http://schemas.openxmlformats.org/officeDocument/2006/relationships/image" Target="media/image75.wmf"/><Relationship Id="rId181" Type="http://schemas.openxmlformats.org/officeDocument/2006/relationships/image" Target="media/image86.wmf"/><Relationship Id="rId216" Type="http://schemas.openxmlformats.org/officeDocument/2006/relationships/oleObject" Target="embeddings/oleObject103.bin"/><Relationship Id="rId237" Type="http://schemas.openxmlformats.org/officeDocument/2006/relationships/image" Target="media/image114.emf"/><Relationship Id="rId22" Type="http://schemas.openxmlformats.org/officeDocument/2006/relationships/oleObject" Target="embeddings/oleObject6.bin"/><Relationship Id="rId43" Type="http://schemas.openxmlformats.org/officeDocument/2006/relationships/image" Target="media/image17.wmf"/><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image" Target="media/image64.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image" Target="media/image81.wmf"/><Relationship Id="rId192" Type="http://schemas.openxmlformats.org/officeDocument/2006/relationships/oleObject" Target="embeddings/oleObject91.bin"/><Relationship Id="rId206" Type="http://schemas.openxmlformats.org/officeDocument/2006/relationships/oleObject" Target="embeddings/oleObject98.bin"/><Relationship Id="rId227" Type="http://schemas.openxmlformats.org/officeDocument/2006/relationships/image" Target="media/image109.wmf"/><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image" Target="media/image49.wmf"/><Relationship Id="rId129" Type="http://schemas.openxmlformats.org/officeDocument/2006/relationships/oleObject" Target="embeddings/oleObject60.bin"/><Relationship Id="rId54" Type="http://schemas.openxmlformats.org/officeDocument/2006/relationships/oleObject" Target="embeddings/oleObject22.bin"/><Relationship Id="rId75" Type="http://schemas.openxmlformats.org/officeDocument/2006/relationships/oleObject" Target="embeddings/oleObject33.bin"/><Relationship Id="rId96" Type="http://schemas.openxmlformats.org/officeDocument/2006/relationships/image" Target="media/image43.wmf"/><Relationship Id="rId140" Type="http://schemas.openxmlformats.org/officeDocument/2006/relationships/oleObject" Target="embeddings/oleObject66.bin"/><Relationship Id="rId161" Type="http://schemas.openxmlformats.org/officeDocument/2006/relationships/oleObject" Target="embeddings/oleObject76.bin"/><Relationship Id="rId182" Type="http://schemas.openxmlformats.org/officeDocument/2006/relationships/oleObject" Target="embeddings/oleObject86.bin"/><Relationship Id="rId217" Type="http://schemas.openxmlformats.org/officeDocument/2006/relationships/image" Target="media/image104.wmf"/><Relationship Id="rId6" Type="http://schemas.openxmlformats.org/officeDocument/2006/relationships/styles" Target="styles.xml"/><Relationship Id="rId238" Type="http://schemas.openxmlformats.org/officeDocument/2006/relationships/oleObject" Target="embeddings/oleObject114.bin"/><Relationship Id="rId23" Type="http://schemas.openxmlformats.org/officeDocument/2006/relationships/image" Target="media/image7.wmf"/><Relationship Id="rId119" Type="http://schemas.openxmlformats.org/officeDocument/2006/relationships/oleObject" Target="embeddings/oleObject55.bin"/><Relationship Id="rId44" Type="http://schemas.openxmlformats.org/officeDocument/2006/relationships/oleObject" Target="embeddings/oleObject17.bin"/><Relationship Id="rId65" Type="http://schemas.openxmlformats.org/officeDocument/2006/relationships/oleObject" Target="embeddings/oleObject28.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image" Target="media/image70.wmf"/><Relationship Id="rId172" Type="http://schemas.openxmlformats.org/officeDocument/2006/relationships/oleObject" Target="embeddings/oleObject81.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9.bin"/><Relationship Id="rId13" Type="http://schemas.openxmlformats.org/officeDocument/2006/relationships/image" Target="media/image2.wmf"/><Relationship Id="rId109" Type="http://schemas.openxmlformats.org/officeDocument/2006/relationships/oleObject" Target="embeddings/oleObject50.bin"/><Relationship Id="rId34" Type="http://schemas.openxmlformats.org/officeDocument/2006/relationships/oleObject" Target="embeddings/oleObject12.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4.bin"/><Relationship Id="rId120" Type="http://schemas.openxmlformats.org/officeDocument/2006/relationships/image" Target="media/image55.wmf"/><Relationship Id="rId141" Type="http://schemas.openxmlformats.org/officeDocument/2006/relationships/image" Target="media/image65.wmf"/><Relationship Id="rId7" Type="http://schemas.openxmlformats.org/officeDocument/2006/relationships/settings" Target="settings.xml"/><Relationship Id="rId162" Type="http://schemas.openxmlformats.org/officeDocument/2006/relationships/image" Target="media/image76.wmf"/><Relationship Id="rId183" Type="http://schemas.openxmlformats.org/officeDocument/2006/relationships/image" Target="media/image87.wmf"/><Relationship Id="rId218" Type="http://schemas.openxmlformats.org/officeDocument/2006/relationships/oleObject" Target="embeddings/oleObject104.bin"/><Relationship Id="rId239" Type="http://schemas.openxmlformats.org/officeDocument/2006/relationships/image" Target="media/image115.emf"/><Relationship Id="rId24" Type="http://schemas.openxmlformats.org/officeDocument/2006/relationships/oleObject" Target="embeddings/oleObject7.bin"/><Relationship Id="rId45" Type="http://schemas.openxmlformats.org/officeDocument/2006/relationships/image" Target="media/image18.wmf"/><Relationship Id="rId66" Type="http://schemas.openxmlformats.org/officeDocument/2006/relationships/image" Target="media/image28.wmf"/><Relationship Id="rId87" Type="http://schemas.openxmlformats.org/officeDocument/2006/relationships/oleObject" Target="embeddings/oleObject39.bin"/><Relationship Id="rId110" Type="http://schemas.openxmlformats.org/officeDocument/2006/relationships/image" Target="media/image50.wmf"/><Relationship Id="rId131" Type="http://schemas.openxmlformats.org/officeDocument/2006/relationships/oleObject" Target="embeddings/oleObject61.bin"/><Relationship Id="rId152" Type="http://schemas.openxmlformats.org/officeDocument/2006/relationships/oleObject" Target="embeddings/oleObject72.bin"/><Relationship Id="rId173" Type="http://schemas.openxmlformats.org/officeDocument/2006/relationships/image" Target="media/image82.wmf"/><Relationship Id="rId194" Type="http://schemas.openxmlformats.org/officeDocument/2006/relationships/oleObject" Target="embeddings/oleObject92.bin"/><Relationship Id="rId208" Type="http://schemas.openxmlformats.org/officeDocument/2006/relationships/oleObject" Target="embeddings/oleObject99.bin"/><Relationship Id="rId229" Type="http://schemas.openxmlformats.org/officeDocument/2006/relationships/image" Target="media/image110.wmf"/><Relationship Id="rId240" Type="http://schemas.openxmlformats.org/officeDocument/2006/relationships/oleObject" Target="embeddings/oleObject115.bin"/><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oleObject" Target="embeddings/oleObject56.bin"/><Relationship Id="rId142" Type="http://schemas.openxmlformats.org/officeDocument/2006/relationships/oleObject" Target="embeddings/oleObject67.bin"/><Relationship Id="rId163" Type="http://schemas.openxmlformats.org/officeDocument/2006/relationships/oleObject" Target="embeddings/oleObject77.bin"/><Relationship Id="rId184" Type="http://schemas.openxmlformats.org/officeDocument/2006/relationships/oleObject" Target="embeddings/oleObject87.bin"/><Relationship Id="rId219" Type="http://schemas.openxmlformats.org/officeDocument/2006/relationships/image" Target="media/image105.wmf"/><Relationship Id="rId230" Type="http://schemas.openxmlformats.org/officeDocument/2006/relationships/oleObject" Target="embeddings/oleObject110.bin"/><Relationship Id="rId25" Type="http://schemas.openxmlformats.org/officeDocument/2006/relationships/image" Target="media/image8.wmf"/><Relationship Id="rId46" Type="http://schemas.openxmlformats.org/officeDocument/2006/relationships/oleObject" Target="embeddings/oleObject18.bin"/><Relationship Id="rId67" Type="http://schemas.openxmlformats.org/officeDocument/2006/relationships/oleObject" Target="embeddings/oleObject29.bin"/><Relationship Id="rId88" Type="http://schemas.openxmlformats.org/officeDocument/2006/relationships/image" Target="media/image39.wmf"/><Relationship Id="rId111" Type="http://schemas.openxmlformats.org/officeDocument/2006/relationships/oleObject" Target="embeddings/oleObject51.bin"/><Relationship Id="rId132" Type="http://schemas.openxmlformats.org/officeDocument/2006/relationships/image" Target="media/image61.wmf"/><Relationship Id="rId153" Type="http://schemas.openxmlformats.org/officeDocument/2006/relationships/image" Target="media/image71.wmf"/><Relationship Id="rId174" Type="http://schemas.openxmlformats.org/officeDocument/2006/relationships/oleObject" Target="embeddings/oleObject82.bin"/><Relationship Id="rId195" Type="http://schemas.openxmlformats.org/officeDocument/2006/relationships/image" Target="media/image93.wmf"/><Relationship Id="rId209" Type="http://schemas.openxmlformats.org/officeDocument/2006/relationships/image" Target="media/image100.wmf"/><Relationship Id="rId220" Type="http://schemas.openxmlformats.org/officeDocument/2006/relationships/oleObject" Target="embeddings/oleObject105.bin"/><Relationship Id="rId241" Type="http://schemas.openxmlformats.org/officeDocument/2006/relationships/image" Target="media/image116.emf"/><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oleObject" Target="embeddings/oleObject24.bin"/><Relationship Id="rId10" Type="http://schemas.openxmlformats.org/officeDocument/2006/relationships/endnotes" Target="endnotes.xml"/><Relationship Id="rId31" Type="http://schemas.openxmlformats.org/officeDocument/2006/relationships/image" Target="media/image11.wmf"/><Relationship Id="rId52" Type="http://schemas.openxmlformats.org/officeDocument/2006/relationships/oleObject" Target="embeddings/oleObject21.bin"/><Relationship Id="rId73" Type="http://schemas.openxmlformats.org/officeDocument/2006/relationships/oleObject" Target="embeddings/oleObject32.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6.wmf"/><Relationship Id="rId143" Type="http://schemas.openxmlformats.org/officeDocument/2006/relationships/image" Target="media/image66.wmf"/><Relationship Id="rId148" Type="http://schemas.openxmlformats.org/officeDocument/2006/relationships/oleObject" Target="embeddings/oleObject70.bin"/><Relationship Id="rId164" Type="http://schemas.openxmlformats.org/officeDocument/2006/relationships/image" Target="media/image77.wmf"/><Relationship Id="rId169" Type="http://schemas.openxmlformats.org/officeDocument/2006/relationships/oleObject" Target="embeddings/oleObject80.bin"/><Relationship Id="rId185" Type="http://schemas.openxmlformats.org/officeDocument/2006/relationships/image" Target="media/image88.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85.bin"/><Relationship Id="rId210" Type="http://schemas.openxmlformats.org/officeDocument/2006/relationships/oleObject" Target="embeddings/oleObject100.bin"/><Relationship Id="rId215" Type="http://schemas.openxmlformats.org/officeDocument/2006/relationships/image" Target="media/image103.wmf"/><Relationship Id="rId236" Type="http://schemas.openxmlformats.org/officeDocument/2006/relationships/oleObject" Target="embeddings/oleObject113.bin"/><Relationship Id="rId26" Type="http://schemas.openxmlformats.org/officeDocument/2006/relationships/oleObject" Target="embeddings/oleObject8.bin"/><Relationship Id="rId231" Type="http://schemas.openxmlformats.org/officeDocument/2006/relationships/image" Target="media/image111.emf"/><Relationship Id="rId47" Type="http://schemas.openxmlformats.org/officeDocument/2006/relationships/image" Target="media/image19.wmf"/><Relationship Id="rId68" Type="http://schemas.openxmlformats.org/officeDocument/2006/relationships/image" Target="media/image29.wmf"/><Relationship Id="rId89" Type="http://schemas.openxmlformats.org/officeDocument/2006/relationships/oleObject" Target="embeddings/oleObject40.bin"/><Relationship Id="rId112" Type="http://schemas.openxmlformats.org/officeDocument/2006/relationships/image" Target="media/image51.wmf"/><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image" Target="media/image83.wmf"/><Relationship Id="rId196" Type="http://schemas.openxmlformats.org/officeDocument/2006/relationships/oleObject" Target="embeddings/oleObject93.bin"/><Relationship Id="rId200" Type="http://schemas.openxmlformats.org/officeDocument/2006/relationships/oleObject" Target="embeddings/oleObject95.bin"/><Relationship Id="rId16" Type="http://schemas.openxmlformats.org/officeDocument/2006/relationships/oleObject" Target="embeddings/oleObject3.bin"/><Relationship Id="rId221" Type="http://schemas.openxmlformats.org/officeDocument/2006/relationships/image" Target="media/image106.wmf"/><Relationship Id="rId242" Type="http://schemas.openxmlformats.org/officeDocument/2006/relationships/oleObject" Target="embeddings/oleObject116.bin"/><Relationship Id="rId37" Type="http://schemas.openxmlformats.org/officeDocument/2006/relationships/image" Target="media/image14.wmf"/><Relationship Id="rId58" Type="http://schemas.openxmlformats.org/officeDocument/2006/relationships/image" Target="media/image24.wmf"/><Relationship Id="rId79" Type="http://schemas.openxmlformats.org/officeDocument/2006/relationships/oleObject" Target="embeddings/oleObject35.bin"/><Relationship Id="rId102" Type="http://schemas.openxmlformats.org/officeDocument/2006/relationships/image" Target="media/image46.wmf"/><Relationship Id="rId123" Type="http://schemas.openxmlformats.org/officeDocument/2006/relationships/oleObject" Target="embeddings/oleObject57.bin"/><Relationship Id="rId144" Type="http://schemas.openxmlformats.org/officeDocument/2006/relationships/oleObject" Target="embeddings/oleObject68.bin"/><Relationship Id="rId90" Type="http://schemas.openxmlformats.org/officeDocument/2006/relationships/image" Target="media/image40.wmf"/><Relationship Id="rId165" Type="http://schemas.openxmlformats.org/officeDocument/2006/relationships/oleObject" Target="embeddings/oleObject78.bin"/><Relationship Id="rId186" Type="http://schemas.openxmlformats.org/officeDocument/2006/relationships/oleObject" Target="embeddings/oleObject88.bin"/><Relationship Id="rId211" Type="http://schemas.openxmlformats.org/officeDocument/2006/relationships/image" Target="media/image101.wmf"/><Relationship Id="rId232" Type="http://schemas.openxmlformats.org/officeDocument/2006/relationships/oleObject" Target="embeddings/oleObject111.bin"/><Relationship Id="rId27" Type="http://schemas.openxmlformats.org/officeDocument/2006/relationships/image" Target="media/image9.wmf"/><Relationship Id="rId48" Type="http://schemas.openxmlformats.org/officeDocument/2006/relationships/oleObject" Target="embeddings/oleObject19.bin"/><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image" Target="media/image72.wmf"/><Relationship Id="rId176" Type="http://schemas.openxmlformats.org/officeDocument/2006/relationships/oleObject" Target="embeddings/oleObject83.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oleObject" Target="embeddings/oleObject106.bin"/><Relationship Id="rId243" Type="http://schemas.openxmlformats.org/officeDocument/2006/relationships/header" Target="header1.xml"/><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57.wmf"/><Relationship Id="rId70" Type="http://schemas.openxmlformats.org/officeDocument/2006/relationships/image" Target="media/image30.wmf"/><Relationship Id="rId91" Type="http://schemas.openxmlformats.org/officeDocument/2006/relationships/oleObject" Target="embeddings/oleObject41.bin"/><Relationship Id="rId145" Type="http://schemas.openxmlformats.org/officeDocument/2006/relationships/image" Target="media/image67.wmf"/><Relationship Id="rId166" Type="http://schemas.openxmlformats.org/officeDocument/2006/relationships/image" Target="media/image78.wmf"/><Relationship Id="rId187" Type="http://schemas.openxmlformats.org/officeDocument/2006/relationships/image" Target="media/image89.emf"/><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2.emf"/><Relationship Id="rId28" Type="http://schemas.openxmlformats.org/officeDocument/2006/relationships/oleObject" Target="embeddings/oleObject9.bin"/><Relationship Id="rId49" Type="http://schemas.openxmlformats.org/officeDocument/2006/relationships/image" Target="media/image20.wmf"/><Relationship Id="rId114" Type="http://schemas.openxmlformats.org/officeDocument/2006/relationships/image" Target="media/image52.wmf"/><Relationship Id="rId60" Type="http://schemas.openxmlformats.org/officeDocument/2006/relationships/image" Target="media/image25.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image" Target="media/image84.wmf"/><Relationship Id="rId198" Type="http://schemas.openxmlformats.org/officeDocument/2006/relationships/oleObject" Target="embeddings/oleObject94.bin"/><Relationship Id="rId202" Type="http://schemas.openxmlformats.org/officeDocument/2006/relationships/oleObject" Target="embeddings/oleObject96.bin"/><Relationship Id="rId223" Type="http://schemas.openxmlformats.org/officeDocument/2006/relationships/image" Target="media/image107.wmf"/><Relationship Id="rId244" Type="http://schemas.openxmlformats.org/officeDocument/2006/relationships/footer" Target="footer1.xml"/><Relationship Id="rId18" Type="http://schemas.openxmlformats.org/officeDocument/2006/relationships/oleObject" Target="embeddings/oleObject4.bin"/><Relationship Id="rId39" Type="http://schemas.openxmlformats.org/officeDocument/2006/relationships/image" Target="media/image15.wmf"/><Relationship Id="rId50" Type="http://schemas.openxmlformats.org/officeDocument/2006/relationships/oleObject" Target="embeddings/oleObject20.bin"/><Relationship Id="rId104" Type="http://schemas.openxmlformats.org/officeDocument/2006/relationships/image" Target="media/image47.wmf"/><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oleObject" Target="embeddings/oleObject79.bin"/><Relationship Id="rId188" Type="http://schemas.openxmlformats.org/officeDocument/2006/relationships/oleObject" Target="embeddings/oleObject89.bin"/><Relationship Id="rId71" Type="http://schemas.openxmlformats.org/officeDocument/2006/relationships/oleObject" Target="embeddings/oleObject31.bin"/><Relationship Id="rId92" Type="http://schemas.openxmlformats.org/officeDocument/2006/relationships/image" Target="media/image41.wmf"/><Relationship Id="rId213" Type="http://schemas.openxmlformats.org/officeDocument/2006/relationships/image" Target="media/image102.wmf"/><Relationship Id="rId234" Type="http://schemas.openxmlformats.org/officeDocument/2006/relationships/oleObject" Target="embeddings/oleObject112.bin"/><Relationship Id="rId2" Type="http://schemas.openxmlformats.org/officeDocument/2006/relationships/customXml" Target="../customXml/item2.xml"/><Relationship Id="rId29" Type="http://schemas.openxmlformats.org/officeDocument/2006/relationships/image" Target="media/image10.wmf"/><Relationship Id="rId40" Type="http://schemas.openxmlformats.org/officeDocument/2006/relationships/oleObject" Target="embeddings/oleObject15.bin"/><Relationship Id="rId115" Type="http://schemas.openxmlformats.org/officeDocument/2006/relationships/oleObject" Target="embeddings/oleObject53.bin"/><Relationship Id="rId136" Type="http://schemas.openxmlformats.org/officeDocument/2006/relationships/oleObject" Target="embeddings/oleObject64.bin"/><Relationship Id="rId157" Type="http://schemas.openxmlformats.org/officeDocument/2006/relationships/image" Target="media/image73.png"/><Relationship Id="rId178" Type="http://schemas.openxmlformats.org/officeDocument/2006/relationships/oleObject" Target="embeddings/oleObject84.bin"/><Relationship Id="rId61" Type="http://schemas.openxmlformats.org/officeDocument/2006/relationships/oleObject" Target="embeddings/oleObject26.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5.wmf"/><Relationship Id="rId224" Type="http://schemas.openxmlformats.org/officeDocument/2006/relationships/oleObject" Target="embeddings/oleObject107.bin"/><Relationship Id="rId245" Type="http://schemas.openxmlformats.org/officeDocument/2006/relationships/fontTable" Target="fontTable.xml"/><Relationship Id="rId30" Type="http://schemas.openxmlformats.org/officeDocument/2006/relationships/oleObject" Target="embeddings/oleObject10.bin"/><Relationship Id="rId105" Type="http://schemas.openxmlformats.org/officeDocument/2006/relationships/oleObject" Target="embeddings/oleObject48.bin"/><Relationship Id="rId126" Type="http://schemas.openxmlformats.org/officeDocument/2006/relationships/image" Target="media/image58.wmf"/><Relationship Id="rId147" Type="http://schemas.openxmlformats.org/officeDocument/2006/relationships/image" Target="media/image68.wmf"/><Relationship Id="rId168" Type="http://schemas.openxmlformats.org/officeDocument/2006/relationships/image" Target="media/image79.wmf"/><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2.bin"/><Relationship Id="rId189" Type="http://schemas.openxmlformats.org/officeDocument/2006/relationships/image" Target="media/image90.emf"/><Relationship Id="rId3" Type="http://schemas.openxmlformats.org/officeDocument/2006/relationships/customXml" Target="../customXml/item3.xml"/><Relationship Id="rId214" Type="http://schemas.openxmlformats.org/officeDocument/2006/relationships/oleObject" Target="embeddings/oleObject102.bin"/><Relationship Id="rId235" Type="http://schemas.openxmlformats.org/officeDocument/2006/relationships/image" Target="media/image113.emf"/><Relationship Id="rId116" Type="http://schemas.openxmlformats.org/officeDocument/2006/relationships/image" Target="media/image53.wmf"/><Relationship Id="rId137" Type="http://schemas.openxmlformats.org/officeDocument/2006/relationships/image" Target="media/image63.wmf"/><Relationship Id="rId158" Type="http://schemas.openxmlformats.org/officeDocument/2006/relationships/image" Target="media/image74.wmf"/><Relationship Id="rId20" Type="http://schemas.openxmlformats.org/officeDocument/2006/relationships/oleObject" Target="embeddings/oleObject5.bin"/><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oleObject" Target="embeddings/oleObject37.bin"/><Relationship Id="rId179" Type="http://schemas.openxmlformats.org/officeDocument/2006/relationships/image" Target="media/image85.wmf"/><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08.wmf"/><Relationship Id="rId246" Type="http://schemas.openxmlformats.org/officeDocument/2006/relationships/theme" Target="theme/theme1.xml"/><Relationship Id="rId106" Type="http://schemas.openxmlformats.org/officeDocument/2006/relationships/image" Target="media/image48.wmf"/><Relationship Id="rId127" Type="http://schemas.openxmlformats.org/officeDocument/2006/relationships/oleObject" Target="embeddings/oleObject59.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446C3525B3CB46BD92ABA5C2617223" ma:contentTypeVersion="12" ma:contentTypeDescription="Create a new document." ma:contentTypeScope="" ma:versionID="0d9e554da4927b860e5f07724327eaf6">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a7e62f4257e4f0ea935a53209ab68767"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3.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0FA278-80C1-4919-97CF-D69885245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10001</Words>
  <Characters>57009</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2021-12-20T13:27:00Z</dcterms:created>
  <dcterms:modified xsi:type="dcterms:W3CDTF">2021-12-20T13:27:00Z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