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420"/>
        <w:jc w:val="center"/>
        <w:rPr>
          <w:rFonts w:eastAsiaTheme="majorEastAsia" w:cstheme="majorEastAsia"/>
          <w:b/>
          <w:bCs/>
          <w:sz w:val="21"/>
          <w:szCs w:val="21"/>
          <w:lang w:val="en"/>
        </w:rPr>
      </w:pPr>
      <w:r>
        <w:rPr>
          <w:b/>
          <w:bCs/>
        </w:rPr>
        <w:t>Spatial segregation in a sexually-dimorphic central place forager: competitive exclusion or niche divergence?</w:t>
      </w:r>
    </w:p>
    <w:p>
      <w:pPr>
        <w:spacing w:line="480" w:lineRule="auto"/>
        <w:jc w:val="center"/>
        <w:rPr>
          <w:rFonts w:eastAsiaTheme="majorEastAsia" w:cstheme="majorEastAsia"/>
          <w:sz w:val="21"/>
          <w:szCs w:val="21"/>
          <w:vertAlign w:val="superscript"/>
          <w:lang w:val="en"/>
        </w:rPr>
      </w:pPr>
      <w:r>
        <w:rPr>
          <w:rFonts w:eastAsiaTheme="majorEastAsia" w:cstheme="majorEastAsia"/>
          <w:sz w:val="21"/>
          <w:szCs w:val="21"/>
          <w:lang w:val="en"/>
        </w:rPr>
        <w:t>Florian Orgeret</w:t>
      </w:r>
      <w:r>
        <w:rPr>
          <w:rFonts w:eastAsiaTheme="majorEastAsia" w:cstheme="majorEastAsia"/>
          <w:sz w:val="21"/>
          <w:szCs w:val="21"/>
          <w:vertAlign w:val="superscript"/>
          <w:lang w:val="en"/>
        </w:rPr>
        <w:t>1,*</w:t>
      </w:r>
      <w:r>
        <w:rPr>
          <w:rFonts w:eastAsiaTheme="majorEastAsia" w:cstheme="majorEastAsia"/>
          <w:sz w:val="21"/>
          <w:szCs w:val="21"/>
          <w:lang w:val="en"/>
        </w:rPr>
        <w:t>, Ryan R. Reisinger</w:t>
      </w:r>
      <w:r>
        <w:rPr>
          <w:rFonts w:eastAsiaTheme="majorEastAsia" w:cstheme="majorEastAsia"/>
          <w:sz w:val="21"/>
          <w:szCs w:val="21"/>
          <w:vertAlign w:val="superscript"/>
          <w:lang w:val="en"/>
        </w:rPr>
        <w:t>2</w:t>
      </w:r>
      <w:r>
        <w:rPr>
          <w:rFonts w:eastAsiaTheme="majorEastAsia" w:cstheme="majorEastAsia"/>
          <w:sz w:val="21"/>
          <w:szCs w:val="21"/>
          <w:lang w:val="en"/>
        </w:rPr>
        <w:t>, Tegan Carpenter-Kling</w:t>
      </w:r>
      <w:r>
        <w:rPr>
          <w:rFonts w:eastAsiaTheme="majorEastAsia" w:cstheme="majorEastAsia"/>
          <w:sz w:val="21"/>
          <w:szCs w:val="21"/>
          <w:vertAlign w:val="superscript"/>
          <w:lang w:val="en"/>
        </w:rPr>
        <w:t>1,3</w:t>
      </w:r>
      <w:r>
        <w:rPr>
          <w:rFonts w:eastAsiaTheme="majorEastAsia" w:cstheme="majorEastAsia"/>
          <w:sz w:val="21"/>
          <w:szCs w:val="21"/>
          <w:lang w:val="en"/>
        </w:rPr>
        <w:t>, Danielle Z. Keys</w:t>
      </w:r>
      <w:r>
        <w:rPr>
          <w:rFonts w:eastAsiaTheme="majorEastAsia" w:cstheme="majorEastAsia"/>
          <w:sz w:val="21"/>
          <w:szCs w:val="21"/>
          <w:vertAlign w:val="superscript"/>
          <w:lang w:val="en"/>
        </w:rPr>
        <w:t>1</w:t>
      </w:r>
      <w:r>
        <w:rPr>
          <w:rFonts w:eastAsiaTheme="majorEastAsia" w:cstheme="majorEastAsia"/>
          <w:sz w:val="21"/>
          <w:szCs w:val="21"/>
          <w:lang w:val="en"/>
        </w:rPr>
        <w:t>, Alexandre Corbeau</w:t>
      </w:r>
      <w:r>
        <w:rPr>
          <w:rFonts w:eastAsiaTheme="majorEastAsia" w:cstheme="majorEastAsia"/>
          <w:sz w:val="21"/>
          <w:szCs w:val="21"/>
          <w:vertAlign w:val="superscript"/>
          <w:lang w:val="en"/>
        </w:rPr>
        <w:t>4</w:t>
      </w:r>
      <w:r>
        <w:rPr>
          <w:rFonts w:eastAsiaTheme="majorEastAsia" w:cstheme="majorEastAsia"/>
          <w:sz w:val="21"/>
          <w:szCs w:val="21"/>
          <w:lang w:val="en"/>
        </w:rPr>
        <w:t>, Charles-André Bost</w:t>
      </w:r>
      <w:r>
        <w:rPr>
          <w:rFonts w:eastAsiaTheme="majorEastAsia" w:cstheme="majorEastAsia"/>
          <w:sz w:val="21"/>
          <w:szCs w:val="21"/>
          <w:vertAlign w:val="superscript"/>
          <w:lang w:val="en"/>
        </w:rPr>
        <w:t>4</w:t>
      </w:r>
      <w:r>
        <w:rPr>
          <w:rFonts w:eastAsiaTheme="majorEastAsia" w:cstheme="majorEastAsia"/>
          <w:sz w:val="21"/>
          <w:szCs w:val="21"/>
          <w:lang w:val="en"/>
        </w:rPr>
        <w:t>, Henri Weirmerskirch</w:t>
      </w:r>
      <w:r>
        <w:rPr>
          <w:rFonts w:eastAsiaTheme="majorEastAsia" w:cstheme="majorEastAsia"/>
          <w:sz w:val="21"/>
          <w:szCs w:val="21"/>
          <w:vertAlign w:val="superscript"/>
          <w:lang w:val="en"/>
        </w:rPr>
        <w:t>4</w:t>
      </w:r>
      <w:r>
        <w:rPr>
          <w:rFonts w:eastAsiaTheme="majorEastAsia" w:cstheme="majorEastAsia"/>
          <w:sz w:val="21"/>
          <w:szCs w:val="21"/>
          <w:lang w:val="en"/>
        </w:rPr>
        <w:t>, Pierre A. Pistorius</w:t>
      </w:r>
      <w:r>
        <w:rPr>
          <w:rFonts w:eastAsiaTheme="majorEastAsia" w:cstheme="majorEastAsia"/>
          <w:sz w:val="21"/>
          <w:szCs w:val="21"/>
          <w:vertAlign w:val="superscript"/>
          <w:lang w:val="en"/>
        </w:rPr>
        <w:t>1,3</w:t>
      </w:r>
    </w:p>
    <w:p>
      <w:pPr>
        <w:spacing w:line="480" w:lineRule="auto"/>
        <w:jc w:val="both"/>
        <w:rPr>
          <w:rFonts w:eastAsiaTheme="majorEastAsia" w:cstheme="majorEastAsia"/>
          <w:b/>
          <w:bCs/>
          <w:sz w:val="21"/>
          <w:szCs w:val="21"/>
          <w:lang w:val="en"/>
        </w:rPr>
      </w:pPr>
      <w:r>
        <w:rPr>
          <w:rFonts w:eastAsiaTheme="majorEastAsia" w:cstheme="majorEastAsia"/>
          <w:b/>
          <w:bCs/>
          <w:sz w:val="21"/>
          <w:szCs w:val="21"/>
          <w:lang w:val="en"/>
        </w:rPr>
        <w:t>Affiliations</w:t>
      </w:r>
    </w:p>
    <w:p>
      <w:pPr>
        <w:numPr>
          <w:ilvl w:val="0"/>
          <w:numId w:val="1"/>
        </w:numPr>
        <w:spacing w:line="480" w:lineRule="auto"/>
        <w:rPr>
          <w:rFonts w:eastAsiaTheme="majorEastAsia" w:cstheme="majorEastAsia"/>
          <w:sz w:val="21"/>
          <w:szCs w:val="21"/>
          <w:lang w:val="en"/>
        </w:rPr>
      </w:pPr>
      <w:r>
        <w:rPr>
          <w:rFonts w:eastAsiaTheme="majorEastAsia" w:cstheme="majorEastAsia"/>
          <w:sz w:val="21"/>
          <w:szCs w:val="21"/>
          <w:lang w:val="en"/>
        </w:rPr>
        <w:t>Marine Apex Predator Research Unit (MAPRU), Department of Zoology, Institute for Coastal and Marine Research, Nelson Mandela University, Port Elizabeth, South Africa</w:t>
      </w:r>
    </w:p>
    <w:p>
      <w:pPr>
        <w:numPr>
          <w:ilvl w:val="0"/>
          <w:numId w:val="1"/>
        </w:numPr>
        <w:spacing w:line="480" w:lineRule="auto"/>
        <w:rPr>
          <w:rFonts w:eastAsiaTheme="majorEastAsia" w:cstheme="majorEastAsia"/>
          <w:sz w:val="21"/>
          <w:szCs w:val="21"/>
          <w:lang w:val="en"/>
        </w:rPr>
      </w:pPr>
      <w:r>
        <w:rPr>
          <w:rFonts w:eastAsiaTheme="majorEastAsia" w:cstheme="majorEastAsia"/>
          <w:sz w:val="21"/>
          <w:szCs w:val="21"/>
          <w:lang w:val="en"/>
        </w:rPr>
        <w:t>Institute of Marine Sciences, University of California Santa Cruz, 115 McAllister Way, Santa Cruz, CA 95060, USA</w:t>
      </w:r>
    </w:p>
    <w:p>
      <w:pPr>
        <w:numPr>
          <w:ilvl w:val="0"/>
          <w:numId w:val="1"/>
        </w:numPr>
        <w:spacing w:line="480" w:lineRule="auto"/>
        <w:rPr>
          <w:rFonts w:eastAsiaTheme="majorEastAsia" w:cstheme="majorEastAsia"/>
          <w:sz w:val="21"/>
          <w:szCs w:val="21"/>
          <w:lang w:val="en"/>
        </w:rPr>
      </w:pPr>
      <w:r>
        <w:rPr>
          <w:rFonts w:eastAsia="SimSun" w:cs="Calibri"/>
          <w:sz w:val="22"/>
          <w:szCs w:val="22"/>
          <w:lang w:val="en-ZA" w:eastAsia="en-ZA"/>
        </w:rPr>
        <w:t>DST-NRF Centre of Excellence at the FitzPatrick Institute of African Ornithology, Nelson</w:t>
      </w:r>
      <w:r>
        <w:rPr>
          <w:rFonts w:eastAsia="SimSun" w:cs="Calibri"/>
          <w:sz w:val="22"/>
          <w:szCs w:val="22"/>
          <w:lang w:val="en" w:eastAsia="en-ZA"/>
        </w:rPr>
        <w:t xml:space="preserve"> </w:t>
      </w:r>
      <w:r>
        <w:rPr>
          <w:rFonts w:eastAsia="SimSun" w:cs="Calibri"/>
          <w:sz w:val="22"/>
          <w:szCs w:val="22"/>
          <w:lang w:val="en-ZA" w:eastAsia="en-ZA"/>
        </w:rPr>
        <w:t>Mandela University, Port Elizabeth, South Africa</w:t>
      </w:r>
    </w:p>
    <w:p>
      <w:pPr>
        <w:numPr>
          <w:ilvl w:val="0"/>
          <w:numId w:val="1"/>
        </w:numPr>
        <w:spacing w:line="480" w:lineRule="auto"/>
        <w:rPr>
          <w:rFonts w:eastAsiaTheme="majorEastAsia" w:cstheme="majorEastAsia"/>
          <w:sz w:val="21"/>
          <w:szCs w:val="21"/>
          <w:lang w:val="fr-FR"/>
        </w:rPr>
      </w:pPr>
      <w:r>
        <w:rPr>
          <w:rFonts w:eastAsiaTheme="majorEastAsia" w:cstheme="majorEastAsia"/>
          <w:sz w:val="21"/>
          <w:szCs w:val="21"/>
          <w:lang w:val="fr-FR"/>
        </w:rPr>
        <w:t>Centre d’Etudes Biologiques de Chizé, UMR 7372 du CNRS-Université de La Rochelle, Villiers-en-Bois, France</w:t>
      </w:r>
    </w:p>
    <w:p>
      <w:pPr>
        <w:spacing w:line="480" w:lineRule="auto"/>
        <w:rPr>
          <w:rFonts w:eastAsiaTheme="majorEastAsia" w:cstheme="majorEastAsia"/>
          <w:sz w:val="21"/>
          <w:szCs w:val="21"/>
          <w:lang w:val="en"/>
        </w:rPr>
      </w:pPr>
      <w:r>
        <w:rPr>
          <w:rFonts w:eastAsiaTheme="majorEastAsia" w:cstheme="majorEastAsia"/>
          <w:sz w:val="21"/>
          <w:szCs w:val="21"/>
          <w:lang w:val="en"/>
        </w:rPr>
        <w:t xml:space="preserve">*correspondence: </w:t>
      </w:r>
      <w:r>
        <w:fldChar w:fldCharType="begin"/>
      </w:r>
      <w:r>
        <w:instrText xml:space="preserve"> HYPERLINK "mailto:florianorgeret@gmail.com" </w:instrText>
      </w:r>
      <w:r>
        <w:fldChar w:fldCharType="separate"/>
      </w:r>
      <w:r>
        <w:rPr>
          <w:rStyle w:val="14"/>
          <w:rFonts w:eastAsiaTheme="majorEastAsia" w:cstheme="majorEastAsia"/>
          <w:sz w:val="21"/>
          <w:szCs w:val="21"/>
          <w:lang w:val="en"/>
        </w:rPr>
        <w:t>florianorgeret@gmail.com</w:t>
      </w:r>
      <w:r>
        <w:rPr>
          <w:rStyle w:val="14"/>
          <w:rFonts w:eastAsiaTheme="majorEastAsia" w:cstheme="majorEastAsia"/>
          <w:sz w:val="21"/>
          <w:szCs w:val="21"/>
          <w:lang w:val="en"/>
        </w:rPr>
        <w:fldChar w:fldCharType="end"/>
      </w:r>
    </w:p>
    <w:p>
      <w:pPr>
        <w:spacing w:line="480" w:lineRule="auto"/>
        <w:rPr>
          <w:rFonts w:eastAsiaTheme="majorEastAsia" w:cstheme="majorEastAsia"/>
          <w:b/>
          <w:bCs/>
          <w:sz w:val="21"/>
          <w:szCs w:val="21"/>
          <w:lang w:val="en"/>
        </w:rPr>
      </w:pPr>
      <w:r>
        <w:rPr>
          <w:rFonts w:eastAsiaTheme="majorEastAsia" w:cstheme="majorEastAsia"/>
          <w:b/>
          <w:bCs/>
          <w:sz w:val="21"/>
          <w:szCs w:val="21"/>
          <w:lang w:val="en"/>
        </w:rPr>
        <w:t>ORCIDs</w:t>
      </w:r>
    </w:p>
    <w:p>
      <w:pPr>
        <w:spacing w:line="240" w:lineRule="auto"/>
        <w:jc w:val="both"/>
        <w:rPr>
          <w:rFonts w:eastAsiaTheme="majorEastAsia" w:cstheme="majorEastAsia"/>
          <w:sz w:val="18"/>
          <w:szCs w:val="18"/>
          <w:lang w:val="en"/>
        </w:rPr>
      </w:pPr>
      <w:r>
        <w:rPr>
          <w:rFonts w:eastAsiaTheme="majorEastAsia" w:cstheme="majorEastAsia"/>
          <w:sz w:val="18"/>
          <w:szCs w:val="18"/>
          <w:lang w:val="en"/>
        </w:rPr>
        <w:t xml:space="preserve">Florian Orgeret: </w:t>
      </w:r>
      <w:r>
        <w:fldChar w:fldCharType="begin"/>
      </w:r>
      <w:r>
        <w:instrText xml:space="preserve"> HYPERLINK "https://orcid.org/0000-0002-1940-7797" </w:instrText>
      </w:r>
      <w:r>
        <w:fldChar w:fldCharType="separate"/>
      </w:r>
      <w:r>
        <w:rPr>
          <w:rFonts w:eastAsiaTheme="majorEastAsia" w:cstheme="majorEastAsia"/>
          <w:sz w:val="18"/>
          <w:szCs w:val="18"/>
          <w:lang w:val="en"/>
        </w:rPr>
        <w:t>https://orcid.org/0000-0002-1940-7797</w:t>
      </w:r>
      <w:r>
        <w:rPr>
          <w:rFonts w:eastAsiaTheme="majorEastAsia" w:cstheme="majorEastAsia"/>
          <w:sz w:val="18"/>
          <w:szCs w:val="18"/>
          <w:lang w:val="en"/>
        </w:rPr>
        <w:fldChar w:fldCharType="end"/>
      </w:r>
    </w:p>
    <w:p>
      <w:pPr>
        <w:spacing w:line="240" w:lineRule="auto"/>
        <w:jc w:val="both"/>
        <w:rPr>
          <w:rStyle w:val="14"/>
          <w:rFonts w:eastAsiaTheme="majorEastAsia" w:cstheme="majorEastAsia"/>
          <w:sz w:val="18"/>
          <w:szCs w:val="18"/>
          <w:lang w:val="en"/>
        </w:rPr>
      </w:pPr>
      <w:r>
        <w:rPr>
          <w:rFonts w:eastAsiaTheme="majorEastAsia" w:cstheme="majorEastAsia"/>
          <w:sz w:val="18"/>
          <w:szCs w:val="18"/>
          <w:lang w:val="en"/>
        </w:rPr>
        <w:t xml:space="preserve">Ryan R. Reisinger: </w:t>
      </w:r>
      <w:r>
        <w:fldChar w:fldCharType="begin"/>
      </w:r>
      <w:r>
        <w:instrText xml:space="preserve"> HYPERLINK "https://orcid.org/0000-0002-8933-6875" </w:instrText>
      </w:r>
      <w:r>
        <w:fldChar w:fldCharType="separate"/>
      </w:r>
      <w:r>
        <w:rPr>
          <w:rFonts w:eastAsiaTheme="majorEastAsia" w:cstheme="majorEastAsia"/>
          <w:sz w:val="18"/>
          <w:szCs w:val="18"/>
          <w:lang w:val="en"/>
        </w:rPr>
        <w:t>https://orcid.org/0000-0002-8933-6875</w:t>
      </w:r>
      <w:r>
        <w:rPr>
          <w:rFonts w:eastAsiaTheme="majorEastAsia" w:cstheme="majorEastAsia"/>
          <w:sz w:val="18"/>
          <w:szCs w:val="18"/>
          <w:lang w:val="en"/>
        </w:rPr>
        <w:fldChar w:fldCharType="end"/>
      </w:r>
    </w:p>
    <w:p>
      <w:pPr>
        <w:spacing w:line="240" w:lineRule="auto"/>
        <w:jc w:val="both"/>
        <w:rPr>
          <w:rFonts w:eastAsiaTheme="majorEastAsia" w:cstheme="majorEastAsia"/>
          <w:sz w:val="18"/>
          <w:szCs w:val="18"/>
          <w:lang w:val="fr-FR"/>
        </w:rPr>
      </w:pPr>
      <w:r>
        <w:rPr>
          <w:rFonts w:eastAsiaTheme="majorEastAsia" w:cstheme="majorEastAsia"/>
          <w:sz w:val="18"/>
          <w:szCs w:val="18"/>
          <w:lang w:val="fr-FR"/>
        </w:rPr>
        <w:t>Tegan Carpenter-Kling:</w:t>
      </w:r>
      <w:r>
        <w:rPr>
          <w:rFonts w:eastAsia="SimSun" w:cs="Calibri-Bold"/>
          <w:b/>
          <w:bCs/>
          <w:sz w:val="22"/>
          <w:szCs w:val="22"/>
          <w:lang w:val="en-ZA" w:eastAsia="en-ZA"/>
        </w:rPr>
        <w:t xml:space="preserve"> </w:t>
      </w:r>
      <w:r>
        <w:rPr>
          <w:rFonts w:eastAsia="SimSun" w:cs="Calibri-Bold"/>
          <w:sz w:val="18"/>
          <w:szCs w:val="18"/>
          <w:lang w:val="en-ZA" w:eastAsia="en-ZA"/>
        </w:rPr>
        <w:t>https://orcid.org/0000-0001-8449-2409</w:t>
      </w:r>
    </w:p>
    <w:p>
      <w:pPr>
        <w:spacing w:line="240" w:lineRule="auto"/>
        <w:jc w:val="both"/>
        <w:rPr>
          <w:rFonts w:eastAsiaTheme="majorEastAsia" w:cstheme="majorEastAsia"/>
          <w:sz w:val="18"/>
          <w:szCs w:val="18"/>
          <w:lang w:val="en"/>
        </w:rPr>
      </w:pPr>
      <w:r>
        <w:rPr>
          <w:rFonts w:eastAsiaTheme="majorEastAsia" w:cstheme="majorEastAsia"/>
          <w:sz w:val="18"/>
          <w:szCs w:val="18"/>
          <w:lang w:val="fr-FR"/>
        </w:rPr>
        <w:t>Danielle Z. Keys</w:t>
      </w:r>
      <w:r>
        <w:rPr>
          <w:rFonts w:eastAsiaTheme="majorEastAsia" w:cstheme="majorEastAsia"/>
          <w:sz w:val="18"/>
          <w:szCs w:val="18"/>
          <w:lang w:val="en"/>
        </w:rPr>
        <w:t xml:space="preserve">: </w:t>
      </w:r>
      <w:r>
        <w:fldChar w:fldCharType="begin"/>
      </w:r>
      <w:r>
        <w:instrText xml:space="preserve"> HYPERLINK "https://orcid.org/0000-0003-1812-5058" \t "_blank" </w:instrText>
      </w:r>
      <w:r>
        <w:fldChar w:fldCharType="separate"/>
      </w:r>
      <w:r>
        <w:rPr>
          <w:rFonts w:eastAsiaTheme="majorEastAsia" w:cstheme="majorEastAsia"/>
          <w:sz w:val="18"/>
          <w:szCs w:val="18"/>
          <w:lang w:val="en"/>
        </w:rPr>
        <w:t>https://orcid.org/0000-0003-1812-5058</w:t>
      </w:r>
      <w:r>
        <w:rPr>
          <w:rFonts w:eastAsiaTheme="majorEastAsia" w:cstheme="majorEastAsia"/>
          <w:sz w:val="18"/>
          <w:szCs w:val="18"/>
          <w:lang w:val="en"/>
        </w:rPr>
        <w:fldChar w:fldCharType="end"/>
      </w:r>
    </w:p>
    <w:p>
      <w:pPr>
        <w:spacing w:line="240" w:lineRule="auto"/>
        <w:jc w:val="both"/>
        <w:rPr>
          <w:rFonts w:eastAsiaTheme="majorEastAsia" w:cstheme="majorEastAsia"/>
          <w:sz w:val="18"/>
          <w:szCs w:val="18"/>
          <w:lang w:val="fr-FR"/>
        </w:rPr>
      </w:pPr>
      <w:r>
        <w:rPr>
          <w:rFonts w:eastAsiaTheme="majorEastAsia" w:cstheme="majorEastAsia"/>
          <w:sz w:val="18"/>
          <w:szCs w:val="18"/>
          <w:lang w:val="fr-FR"/>
        </w:rPr>
        <w:t>Alexandre Corbeau:</w:t>
      </w:r>
      <w:r>
        <w:rPr>
          <w:rFonts w:eastAsiaTheme="majorEastAsia" w:cstheme="majorEastAsia"/>
          <w:sz w:val="18"/>
          <w:szCs w:val="18"/>
          <w:lang w:val="fr-FR" w:eastAsia="fr-FR"/>
        </w:rPr>
        <w:fldChar w:fldCharType="begin"/>
      </w:r>
      <w:r>
        <w:rPr>
          <w:rFonts w:eastAsiaTheme="majorEastAsia" w:cstheme="majorEastAsia"/>
          <w:sz w:val="18"/>
          <w:szCs w:val="18"/>
          <w:lang w:val="fr-FR" w:eastAsia="fr-FR"/>
        </w:rPr>
        <w:instrText xml:space="preserve"> HYPERLINK "https://orcid.org/0000-0002-7728-7199" </w:instrText>
      </w:r>
      <w:r>
        <w:rPr>
          <w:rFonts w:eastAsiaTheme="majorEastAsia" w:cstheme="majorEastAsia"/>
          <w:sz w:val="18"/>
          <w:szCs w:val="18"/>
          <w:lang w:val="fr-FR" w:eastAsia="fr-FR"/>
        </w:rPr>
        <w:fldChar w:fldCharType="separate"/>
      </w:r>
      <w:r>
        <w:rPr>
          <w:rFonts w:eastAsiaTheme="majorEastAsia" w:cstheme="majorEastAsia"/>
          <w:sz w:val="18"/>
          <w:szCs w:val="18"/>
          <w:lang w:val="fr-FR" w:eastAsia="fr-FR"/>
        </w:rPr>
        <w:t>https://orcid.org/0000-0002-7728-7199</w:t>
      </w:r>
      <w:r>
        <w:rPr>
          <w:rFonts w:eastAsiaTheme="majorEastAsia" w:cstheme="majorEastAsia"/>
          <w:sz w:val="18"/>
          <w:szCs w:val="18"/>
          <w:lang w:val="fr-FR" w:eastAsia="fr-FR"/>
        </w:rPr>
        <w:fldChar w:fldCharType="end"/>
      </w:r>
    </w:p>
    <w:p>
      <w:pPr>
        <w:spacing w:line="240" w:lineRule="auto"/>
        <w:jc w:val="both"/>
        <w:rPr>
          <w:rFonts w:eastAsiaTheme="majorEastAsia" w:cstheme="majorEastAsia"/>
          <w:sz w:val="18"/>
          <w:szCs w:val="18"/>
          <w:lang w:val="en"/>
        </w:rPr>
      </w:pPr>
      <w:r>
        <w:rPr>
          <w:rFonts w:eastAsiaTheme="majorEastAsia" w:cstheme="majorEastAsia"/>
          <w:sz w:val="18"/>
          <w:szCs w:val="18"/>
          <w:lang w:val="fr-FR"/>
        </w:rPr>
        <w:t>Charles-André Bost</w:t>
      </w:r>
      <w:r>
        <w:rPr>
          <w:rFonts w:eastAsiaTheme="majorEastAsia" w:cstheme="majorEastAsia"/>
          <w:sz w:val="18"/>
          <w:szCs w:val="18"/>
          <w:lang w:val="en"/>
        </w:rPr>
        <w:t>:https://orcid.org/0000-0002-5259-9073</w:t>
      </w:r>
    </w:p>
    <w:p>
      <w:pPr>
        <w:spacing w:line="240" w:lineRule="auto"/>
        <w:jc w:val="both"/>
        <w:rPr>
          <w:rFonts w:eastAsiaTheme="majorEastAsia" w:cstheme="majorEastAsia"/>
          <w:sz w:val="18"/>
          <w:szCs w:val="18"/>
          <w:lang w:val="en"/>
        </w:rPr>
      </w:pPr>
      <w:r>
        <w:rPr>
          <w:rFonts w:eastAsiaTheme="majorEastAsia" w:cstheme="majorEastAsia"/>
          <w:sz w:val="18"/>
          <w:szCs w:val="18"/>
          <w:lang w:val="en"/>
        </w:rPr>
        <w:t>Henri Weirmerskirch:https://orcid.org/0000-0002-0457-586X</w:t>
      </w:r>
    </w:p>
    <w:p>
      <w:pPr>
        <w:spacing w:line="240" w:lineRule="auto"/>
        <w:jc w:val="both"/>
        <w:rPr>
          <w:rFonts w:eastAsiaTheme="majorEastAsia" w:cstheme="majorEastAsia"/>
          <w:sz w:val="18"/>
          <w:szCs w:val="18"/>
          <w:lang w:val="en"/>
        </w:rPr>
      </w:pPr>
      <w:r>
        <w:rPr>
          <w:rFonts w:eastAsiaTheme="majorEastAsia" w:cstheme="majorEastAsia"/>
          <w:sz w:val="18"/>
          <w:szCs w:val="18"/>
          <w:lang w:val="en"/>
        </w:rPr>
        <w:t>Pierre A. Pistorius:https://orcid.org/0000-0001-6561-7069</w:t>
      </w:r>
    </w:p>
    <w:p>
      <w:pPr>
        <w:spacing w:line="240" w:lineRule="auto"/>
        <w:jc w:val="both"/>
        <w:rPr>
          <w:rFonts w:eastAsiaTheme="majorEastAsia" w:cstheme="majorEastAsia"/>
          <w:sz w:val="16"/>
          <w:szCs w:val="16"/>
          <w:lang w:val="en"/>
        </w:rPr>
      </w:pPr>
    </w:p>
    <w:p>
      <w:pPr>
        <w:spacing w:line="480" w:lineRule="auto"/>
        <w:rPr>
          <w:rFonts w:eastAsiaTheme="majorEastAsia" w:cstheme="majorEastAsia"/>
          <w:b/>
          <w:bCs/>
          <w:sz w:val="21"/>
          <w:szCs w:val="21"/>
          <w:lang w:val="en"/>
        </w:rPr>
      </w:pPr>
    </w:p>
    <w:p>
      <w:pPr>
        <w:rPr>
          <w:rFonts w:eastAsiaTheme="majorEastAsia" w:cstheme="majorEastAsia"/>
          <w:b/>
          <w:bCs/>
          <w:sz w:val="21"/>
          <w:szCs w:val="21"/>
          <w:lang w:val="en"/>
        </w:rPr>
      </w:pPr>
      <w:r>
        <w:rPr>
          <w:rFonts w:eastAsiaTheme="majorEastAsia" w:cstheme="majorEastAsia"/>
          <w:b/>
          <w:bCs/>
          <w:sz w:val="21"/>
          <w:szCs w:val="21"/>
          <w:lang w:val="en"/>
        </w:rPr>
        <w:br w:type="page"/>
      </w:r>
    </w:p>
    <w:p>
      <w:pPr>
        <w:spacing w:line="480" w:lineRule="auto"/>
        <w:rPr>
          <w:rFonts w:eastAsiaTheme="majorEastAsia" w:cstheme="majorEastAsia"/>
          <w:b/>
          <w:bCs/>
          <w:sz w:val="21"/>
          <w:szCs w:val="21"/>
          <w:lang w:val="en"/>
        </w:rPr>
      </w:pPr>
      <w:r>
        <w:rPr>
          <w:rFonts w:eastAsiaTheme="majorEastAsia" w:cstheme="majorEastAsia"/>
          <w:b/>
          <w:bCs/>
          <w:sz w:val="21"/>
          <w:szCs w:val="21"/>
          <w:lang w:val="en"/>
        </w:rPr>
        <w:t xml:space="preserve">Abstract </w:t>
      </w:r>
    </w:p>
    <w:p>
      <w:pPr>
        <w:pStyle w:val="16"/>
        <w:numPr>
          <w:ilvl w:val="0"/>
          <w:numId w:val="2"/>
        </w:numPr>
        <w:spacing w:before="240" w:beforeAutospacing="0" w:after="240" w:afterAutospacing="0" w:line="480" w:lineRule="auto"/>
        <w:rPr>
          <w:rFonts w:asciiTheme="minorHAnsi" w:hAnsiTheme="minorHAnsi"/>
        </w:rPr>
      </w:pPr>
      <w:r>
        <w:rPr>
          <w:rFonts w:cs="sans-serif" w:asciiTheme="minorHAnsi" w:hAnsiTheme="minorHAnsi"/>
          <w:color w:val="000000"/>
          <w:sz w:val="21"/>
          <w:szCs w:val="21"/>
          <w:lang w:val="en"/>
        </w:rPr>
        <w:t>Sexual competition</w:t>
      </w:r>
      <w:r>
        <w:rPr>
          <w:rFonts w:cs="sans-serif" w:asciiTheme="minorHAnsi" w:hAnsiTheme="minorHAnsi"/>
          <w:color w:val="000000"/>
          <w:sz w:val="21"/>
          <w:szCs w:val="21"/>
        </w:rPr>
        <w:t xml:space="preserve"> is increasingly recognized as an important selective pressure driving species distributions. However, few studies have investigated the relative importance of inter- </w:t>
      </w:r>
      <w:r>
        <w:rPr>
          <w:rFonts w:cs="sans-serif" w:asciiTheme="minorHAnsi" w:hAnsiTheme="minorHAnsi"/>
          <w:i/>
          <w:color w:val="000000"/>
          <w:sz w:val="21"/>
          <w:szCs w:val="21"/>
        </w:rPr>
        <w:t>vs.</w:t>
      </w:r>
      <w:r>
        <w:rPr>
          <w:rFonts w:cs="sans-serif" w:asciiTheme="minorHAnsi" w:hAnsiTheme="minorHAnsi"/>
          <w:color w:val="000000"/>
          <w:sz w:val="21"/>
          <w:szCs w:val="21"/>
        </w:rPr>
        <w:t xml:space="preserve"> intrapopulation competition in relation to habitat availability and selection. </w:t>
      </w:r>
    </w:p>
    <w:p>
      <w:pPr>
        <w:pStyle w:val="16"/>
        <w:numPr>
          <w:ilvl w:val="0"/>
          <w:numId w:val="2"/>
        </w:numPr>
        <w:spacing w:before="240" w:beforeAutospacing="0" w:after="240" w:afterAutospacing="0" w:line="480" w:lineRule="auto"/>
        <w:rPr>
          <w:rFonts w:asciiTheme="minorHAnsi" w:hAnsiTheme="minorHAnsi"/>
        </w:rPr>
      </w:pPr>
      <w:r>
        <w:rPr>
          <w:rFonts w:cs="sans-serif" w:asciiTheme="minorHAnsi" w:hAnsiTheme="minorHAnsi"/>
          <w:color w:val="000000"/>
          <w:sz w:val="21"/>
          <w:szCs w:val="21"/>
          <w:lang w:val="en"/>
        </w:rPr>
        <w:t>To explain spatial segregation between sexes that often occurs in non-territorial and central place foragers, such as seabirds, two hypotheses are commonly used. The ‘competitive exclusion’ hypothesis states that dominant individuals should exclude subordinate individuals through direct competition whereas the</w:t>
      </w:r>
      <w:r>
        <w:rPr>
          <w:rFonts w:cs="sans-serif" w:asciiTheme="minorHAnsi" w:hAnsiTheme="minorHAnsi"/>
          <w:color w:val="000000"/>
          <w:sz w:val="21"/>
          <w:szCs w:val="21"/>
        </w:rPr>
        <w:t> </w:t>
      </w:r>
      <w:r>
        <w:rPr>
          <w:rFonts w:cs="sans-serif" w:asciiTheme="minorHAnsi" w:hAnsiTheme="minorHAnsi"/>
          <w:color w:val="000000"/>
          <w:sz w:val="21"/>
          <w:szCs w:val="21"/>
          <w:lang w:val="en"/>
        </w:rPr>
        <w:t>’niche divergence’ hypothesis states that segregation occurs due to past competition and habitat specialization.</w:t>
      </w:r>
    </w:p>
    <w:p>
      <w:pPr>
        <w:pStyle w:val="16"/>
        <w:numPr>
          <w:ilvl w:val="0"/>
          <w:numId w:val="2"/>
        </w:numPr>
        <w:spacing w:before="240" w:beforeAutospacing="0" w:after="240" w:afterAutospacing="0" w:line="480" w:lineRule="auto"/>
        <w:rPr>
          <w:rFonts w:asciiTheme="minorHAnsi" w:hAnsiTheme="minorHAnsi"/>
        </w:rPr>
      </w:pPr>
      <w:r>
        <w:rPr>
          <w:rFonts w:cs="sans-serif" w:asciiTheme="minorHAnsi" w:hAnsiTheme="minorHAnsi"/>
          <w:color w:val="000000"/>
          <w:sz w:val="21"/>
          <w:szCs w:val="21"/>
        </w:rPr>
        <w:t>We tested th</w:t>
      </w:r>
      <w:r>
        <w:rPr>
          <w:rFonts w:cs="sans-serif" w:asciiTheme="minorHAnsi" w:hAnsiTheme="minorHAnsi"/>
          <w:color w:val="000000"/>
          <w:sz w:val="21"/>
          <w:szCs w:val="21"/>
          <w:lang w:val="en"/>
        </w:rPr>
        <w:t>e</w:t>
      </w:r>
      <w:r>
        <w:rPr>
          <w:rFonts w:cs="sans-serif" w:asciiTheme="minorHAnsi" w:hAnsiTheme="minorHAnsi"/>
          <w:color w:val="000000"/>
          <w:sz w:val="21"/>
          <w:szCs w:val="21"/>
        </w:rPr>
        <w:t>s</w:t>
      </w:r>
      <w:r>
        <w:rPr>
          <w:rFonts w:cs="sans-serif" w:asciiTheme="minorHAnsi" w:hAnsiTheme="minorHAnsi"/>
          <w:color w:val="000000"/>
          <w:sz w:val="21"/>
          <w:szCs w:val="21"/>
          <w:lang w:val="en"/>
        </w:rPr>
        <w:t>e</w:t>
      </w:r>
      <w:r>
        <w:rPr>
          <w:rFonts w:cs="sans-serif" w:asciiTheme="minorHAnsi" w:hAnsiTheme="minorHAnsi"/>
          <w:color w:val="000000"/>
          <w:sz w:val="21"/>
          <w:szCs w:val="21"/>
        </w:rPr>
        <w:t xml:space="preserve"> hypothes</w:t>
      </w:r>
      <w:r>
        <w:rPr>
          <w:rFonts w:cs="sans-serif" w:asciiTheme="minorHAnsi" w:hAnsiTheme="minorHAnsi"/>
          <w:color w:val="000000"/>
          <w:sz w:val="21"/>
          <w:szCs w:val="21"/>
          <w:lang w:val="en"/>
        </w:rPr>
        <w:t>e</w:t>
      </w:r>
      <w:r>
        <w:rPr>
          <w:rFonts w:cs="sans-serif" w:asciiTheme="minorHAnsi" w:hAnsiTheme="minorHAnsi"/>
          <w:color w:val="000000"/>
          <w:sz w:val="21"/>
          <w:szCs w:val="21"/>
        </w:rPr>
        <w:t>s in two populations of an extreme wide-ranging and sexually dimorphic seabird, investigating the relative</w:t>
      </w:r>
      <w:r>
        <w:rPr>
          <w:rFonts w:cs="sans-serif" w:asciiTheme="minorHAnsi" w:hAnsiTheme="minorHAnsi"/>
          <w:color w:val="000000"/>
          <w:sz w:val="21"/>
          <w:szCs w:val="21"/>
          <w:lang w:val="en"/>
        </w:rPr>
        <w:t xml:space="preserve"> role</w:t>
      </w:r>
      <w:r>
        <w:rPr>
          <w:rFonts w:cs="sans-serif" w:asciiTheme="minorHAnsi" w:hAnsiTheme="minorHAnsi"/>
          <w:color w:val="000000"/>
          <w:sz w:val="21"/>
          <w:szCs w:val="21"/>
        </w:rPr>
        <w:t xml:space="preserve"> of intrapopulation and interpopulation competition in influencing </w:t>
      </w:r>
      <w:r>
        <w:rPr>
          <w:rFonts w:cs="sans-serif" w:asciiTheme="minorHAnsi" w:hAnsiTheme="minorHAnsi"/>
          <w:color w:val="000000"/>
          <w:sz w:val="21"/>
          <w:szCs w:val="21"/>
          <w:lang w:val="en"/>
        </w:rPr>
        <w:t xml:space="preserve">sex specific </w:t>
      </w:r>
      <w:r>
        <w:rPr>
          <w:rFonts w:cs="sans-serif" w:asciiTheme="minorHAnsi" w:hAnsiTheme="minorHAnsi"/>
          <w:color w:val="000000"/>
          <w:sz w:val="21"/>
          <w:szCs w:val="21"/>
        </w:rPr>
        <w:t>distribution and habitat preferences.</w:t>
      </w:r>
    </w:p>
    <w:p>
      <w:pPr>
        <w:pStyle w:val="16"/>
        <w:numPr>
          <w:ilvl w:val="0"/>
          <w:numId w:val="2"/>
        </w:numPr>
        <w:spacing w:before="240" w:beforeAutospacing="0" w:after="240" w:afterAutospacing="0" w:line="480" w:lineRule="auto"/>
        <w:rPr>
          <w:rFonts w:asciiTheme="minorHAnsi" w:hAnsiTheme="minorHAnsi"/>
        </w:rPr>
      </w:pPr>
      <w:r>
        <w:rPr>
          <w:rFonts w:cs="sans-serif" w:asciiTheme="minorHAnsi" w:hAnsiTheme="minorHAnsi"/>
          <w:color w:val="000000"/>
          <w:sz w:val="21"/>
          <w:szCs w:val="21"/>
        </w:rPr>
        <w:t>Using GPS loggers, we tracked 192 wandering albatrosses</w:t>
      </w:r>
      <w:r>
        <w:rPr>
          <w:rFonts w:cs="sans-serif" w:asciiTheme="minorHAnsi" w:hAnsiTheme="minorHAnsi"/>
          <w:i/>
          <w:color w:val="000000"/>
          <w:sz w:val="21"/>
          <w:szCs w:val="21"/>
        </w:rPr>
        <w:t xml:space="preserve"> Diomedea exulans </w:t>
      </w:r>
      <w:r>
        <w:rPr>
          <w:rFonts w:cs="sans-serif" w:asciiTheme="minorHAnsi" w:hAnsiTheme="minorHAnsi"/>
          <w:color w:val="000000"/>
          <w:sz w:val="21"/>
          <w:szCs w:val="21"/>
        </w:rPr>
        <w:t xml:space="preserve">during four consecutive years (2016-2019), from two neighbouring populations in the Southern Ocean (Prince Edward and Crozet archipelagos). We simulated pseudo-tracks to create a null spatial distribution and used Kernel Density Estimates (KDE) and Resource Selection Functions (RSF) to distinguish the relative importance of </w:t>
      </w:r>
      <w:r>
        <w:rPr>
          <w:rFonts w:cs="sans-serif" w:asciiTheme="minorHAnsi" w:hAnsiTheme="minorHAnsi"/>
          <w:color w:val="000000"/>
          <w:sz w:val="21"/>
          <w:szCs w:val="21"/>
          <w:lang w:val="en"/>
        </w:rPr>
        <w:t>within vs. between population</w:t>
      </w:r>
      <w:r>
        <w:rPr>
          <w:rFonts w:cs="sans-serif" w:asciiTheme="minorHAnsi" w:hAnsiTheme="minorHAnsi"/>
          <w:color w:val="000000"/>
          <w:sz w:val="21"/>
          <w:szCs w:val="21"/>
        </w:rPr>
        <w:t xml:space="preserve"> competition.</w:t>
      </w:r>
    </w:p>
    <w:p>
      <w:pPr>
        <w:pStyle w:val="16"/>
        <w:numPr>
          <w:ilvl w:val="0"/>
          <w:numId w:val="2"/>
        </w:numPr>
        <w:spacing w:before="240" w:beforeAutospacing="0" w:after="240" w:afterAutospacing="0" w:line="480" w:lineRule="auto"/>
        <w:rPr>
          <w:rFonts w:asciiTheme="minorHAnsi" w:hAnsiTheme="minorHAnsi"/>
        </w:rPr>
      </w:pPr>
      <w:r>
        <w:rPr>
          <w:rFonts w:cs="sans-serif" w:asciiTheme="minorHAnsi" w:hAnsiTheme="minorHAnsi"/>
          <w:color w:val="000000"/>
          <w:sz w:val="21"/>
          <w:szCs w:val="21"/>
        </w:rPr>
        <w:t>KDE showed that only intrapopulation sexual segregation was significant</w:t>
      </w:r>
      <w:r>
        <w:rPr>
          <w:rFonts w:cs="sans-serif" w:asciiTheme="minorHAnsi" w:hAnsiTheme="minorHAnsi"/>
          <w:color w:val="000000"/>
          <w:sz w:val="21"/>
          <w:szCs w:val="21"/>
          <w:lang w:val="en"/>
        </w:rPr>
        <w:t xml:space="preserve"> for each monitoring year</w:t>
      </w:r>
      <w:r>
        <w:rPr>
          <w:rFonts w:cs="sans-serif" w:asciiTheme="minorHAnsi" w:hAnsiTheme="minorHAnsi"/>
          <w:color w:val="000000"/>
          <w:sz w:val="21"/>
          <w:szCs w:val="21"/>
        </w:rPr>
        <w:t>, and that tracks between the two colonies resulted in greater overlap than expected from the null distribution</w:t>
      </w:r>
      <w:r>
        <w:rPr>
          <w:rFonts w:cs="sans-serif" w:asciiTheme="minorHAnsi" w:hAnsiTheme="minorHAnsi"/>
          <w:color w:val="000000"/>
          <w:sz w:val="21"/>
          <w:szCs w:val="21"/>
          <w:lang w:val="en"/>
        </w:rPr>
        <w:t>, especially for the females</w:t>
      </w:r>
      <w:r>
        <w:rPr>
          <w:rFonts w:cs="sans-serif" w:asciiTheme="minorHAnsi" w:hAnsiTheme="minorHAnsi"/>
          <w:color w:val="000000"/>
          <w:sz w:val="21"/>
          <w:szCs w:val="21"/>
        </w:rPr>
        <w:t xml:space="preserve">. RSF confirmed these results </w:t>
      </w:r>
      <w:r>
        <w:rPr>
          <w:rFonts w:cs="sans-serif" w:asciiTheme="minorHAnsi" w:hAnsiTheme="minorHAnsi"/>
          <w:color w:val="000000"/>
          <w:sz w:val="21"/>
          <w:szCs w:val="21"/>
          <w:lang w:val="en"/>
        </w:rPr>
        <w:t>and</w:t>
      </w:r>
      <w:r>
        <w:rPr>
          <w:rFonts w:cs="sans-serif" w:asciiTheme="minorHAnsi" w:hAnsiTheme="minorHAnsi"/>
          <w:color w:val="000000"/>
          <w:sz w:val="21"/>
          <w:szCs w:val="21"/>
        </w:rPr>
        <w:t xml:space="preserve"> highlighted </w:t>
      </w:r>
      <w:r>
        <w:rPr>
          <w:rFonts w:cs="sans-serif" w:asciiTheme="minorHAnsi" w:hAnsiTheme="minorHAnsi"/>
          <w:color w:val="000000"/>
          <w:sz w:val="21"/>
          <w:szCs w:val="21"/>
          <w:lang w:val="en"/>
        </w:rPr>
        <w:t xml:space="preserve">key at-sea foraging areas, even if the estimated of at-sea densities were extremely low. </w:t>
      </w:r>
      <w:r>
        <w:rPr>
          <w:rFonts w:cs="sans-serif" w:asciiTheme="minorHAnsi" w:hAnsiTheme="minorHAnsi"/>
          <w:color w:val="000000"/>
          <w:sz w:val="21"/>
          <w:szCs w:val="21"/>
        </w:rPr>
        <w:t>These differences in</w:t>
      </w:r>
      <w:r>
        <w:rPr>
          <w:rFonts w:cs="sans-serif" w:asciiTheme="minorHAnsi" w:hAnsiTheme="minorHAnsi"/>
          <w:color w:val="000000"/>
          <w:sz w:val="21"/>
          <w:szCs w:val="21"/>
          <w:lang w:val="en"/>
        </w:rPr>
        <w:t xml:space="preserve"> selected areas between sites and sexes were, however, </w:t>
      </w:r>
      <w:r>
        <w:rPr>
          <w:rFonts w:cs="sans-serif" w:asciiTheme="minorHAnsi" w:hAnsiTheme="minorHAnsi"/>
          <w:color w:val="000000"/>
          <w:sz w:val="21"/>
          <w:szCs w:val="21"/>
        </w:rPr>
        <w:t xml:space="preserve">associated with </w:t>
      </w:r>
      <w:r>
        <w:rPr>
          <w:rFonts w:cs="sans-serif" w:asciiTheme="minorHAnsi" w:hAnsiTheme="minorHAnsi"/>
          <w:color w:val="000000"/>
          <w:sz w:val="21"/>
          <w:szCs w:val="21"/>
          <w:lang w:val="en"/>
        </w:rPr>
        <w:t>high interannual variability</w:t>
      </w:r>
      <w:r>
        <w:rPr>
          <w:rFonts w:cs="sans-serif" w:asciiTheme="minorHAnsi" w:hAnsiTheme="minorHAnsi"/>
          <w:color w:val="000000"/>
          <w:sz w:val="21"/>
          <w:szCs w:val="21"/>
        </w:rPr>
        <w:t xml:space="preserve"> in habitat preferences</w:t>
      </w:r>
      <w:r>
        <w:rPr>
          <w:rFonts w:cs="sans-serif" w:asciiTheme="minorHAnsi" w:hAnsiTheme="minorHAnsi"/>
          <w:color w:val="000000"/>
          <w:sz w:val="21"/>
          <w:szCs w:val="21"/>
          <w:lang w:val="en"/>
        </w:rPr>
        <w:t>, with no clear specific preferences per site and sex.</w:t>
      </w:r>
    </w:p>
    <w:p>
      <w:pPr>
        <w:pStyle w:val="16"/>
        <w:numPr>
          <w:ilvl w:val="0"/>
          <w:numId w:val="2"/>
        </w:numPr>
        <w:spacing w:before="240" w:beforeAutospacing="0" w:after="240" w:afterAutospacing="0" w:line="480" w:lineRule="auto"/>
        <w:rPr>
          <w:rFonts w:asciiTheme="minorHAnsi" w:hAnsiTheme="minorHAnsi"/>
        </w:rPr>
      </w:pPr>
      <w:r>
        <w:rPr>
          <w:rFonts w:cs="sans-serif" w:asciiTheme="minorHAnsi" w:hAnsiTheme="minorHAnsi"/>
          <w:color w:val="000000"/>
          <w:sz w:val="21"/>
          <w:szCs w:val="21"/>
        </w:rPr>
        <w:t>Our results suggest that even with low at-sea population densities, historic intrapopulation competition in wide-ranging seabirds may have led to sexual dimorphism and niche specialization</w:t>
      </w:r>
      <w:r>
        <w:rPr>
          <w:rFonts w:cs="sans-serif" w:asciiTheme="minorHAnsi" w:hAnsiTheme="minorHAnsi"/>
          <w:color w:val="000000"/>
          <w:sz w:val="21"/>
          <w:szCs w:val="21"/>
          <w:lang w:val="en"/>
        </w:rPr>
        <w:t>,</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favouring the ‘niche divergence’ hypothesis. In this study</w:t>
      </w:r>
      <w:r>
        <w:rPr>
          <w:rFonts w:cs="sans-serif" w:asciiTheme="minorHAnsi" w:hAnsiTheme="minorHAnsi"/>
          <w:color w:val="000000"/>
          <w:sz w:val="21"/>
          <w:szCs w:val="21"/>
        </w:rPr>
        <w:t xml:space="preserve">, we provide a </w:t>
      </w:r>
      <w:r>
        <w:rPr>
          <w:rFonts w:cs="sans-serif" w:asciiTheme="minorHAnsi" w:hAnsiTheme="minorHAnsi"/>
          <w:color w:val="000000"/>
          <w:sz w:val="21"/>
          <w:szCs w:val="21"/>
          <w:lang w:val="en"/>
        </w:rPr>
        <w:t>protocol</w:t>
      </w:r>
      <w:r>
        <w:rPr>
          <w:rFonts w:cs="sans-serif" w:asciiTheme="minorHAnsi" w:hAnsiTheme="minorHAnsi"/>
          <w:color w:val="000000"/>
          <w:sz w:val="21"/>
          <w:szCs w:val="21"/>
        </w:rPr>
        <w:t xml:space="preserve"> to study competition within as well as between populations of </w:t>
      </w:r>
      <w:r>
        <w:rPr>
          <w:rFonts w:cs="sans-serif" w:asciiTheme="minorHAnsi" w:hAnsiTheme="minorHAnsi"/>
          <w:color w:val="000000"/>
          <w:sz w:val="21"/>
          <w:szCs w:val="21"/>
          <w:lang w:val="en"/>
        </w:rPr>
        <w:t>central place foragers</w:t>
      </w:r>
      <w:r>
        <w:rPr>
          <w:rFonts w:cs="sans-serif" w:asciiTheme="minorHAnsi" w:hAnsiTheme="minorHAnsi"/>
          <w:color w:val="000000"/>
          <w:sz w:val="21"/>
          <w:szCs w:val="21"/>
        </w:rPr>
        <w:t xml:space="preserve">. This is relevant for understanding their distribution patterns and population regulation, which could potentially improve management of threatened populations. </w:t>
      </w:r>
    </w:p>
    <w:p>
      <w:pPr>
        <w:pStyle w:val="16"/>
        <w:spacing w:before="240" w:beforeAutospacing="0" w:after="240" w:afterAutospacing="0" w:line="480" w:lineRule="auto"/>
        <w:rPr>
          <w:rFonts w:asciiTheme="minorHAnsi" w:hAnsiTheme="minorHAnsi"/>
        </w:rPr>
      </w:pPr>
      <w:r>
        <w:rPr>
          <w:rFonts w:cs="sans-serif" w:asciiTheme="minorHAnsi" w:hAnsiTheme="minorHAnsi"/>
          <w:b/>
          <w:color w:val="000000"/>
          <w:sz w:val="21"/>
          <w:szCs w:val="21"/>
        </w:rPr>
        <w:t>KEYWORDS</w:t>
      </w:r>
    </w:p>
    <w:p>
      <w:pPr>
        <w:pStyle w:val="16"/>
        <w:spacing w:before="240" w:beforeAutospacing="0" w:after="240" w:afterAutospacing="0" w:line="480" w:lineRule="auto"/>
        <w:rPr>
          <w:rFonts w:asciiTheme="minorHAnsi" w:hAnsiTheme="minorHAnsi"/>
        </w:rPr>
      </w:pPr>
      <w:r>
        <w:rPr>
          <w:rFonts w:cs="sans-serif" w:asciiTheme="minorHAnsi" w:hAnsiTheme="minorHAnsi"/>
          <w:color w:val="000000"/>
          <w:sz w:val="21"/>
          <w:szCs w:val="21"/>
        </w:rPr>
        <w:t>biologging, intraspecific competition, sexual segregation, kernel density estimates, resource selection functions, central-place foraging, ecological niche theory, wandering albatross</w:t>
      </w:r>
    </w:p>
    <w:p>
      <w:pPr>
        <w:pStyle w:val="16"/>
        <w:spacing w:before="240" w:beforeAutospacing="0" w:after="240" w:afterAutospacing="0" w:line="480" w:lineRule="auto"/>
        <w:rPr>
          <w:rFonts w:asciiTheme="minorHAnsi" w:hAnsiTheme="minorHAnsi"/>
        </w:rPr>
      </w:pPr>
      <w:r>
        <w:rPr>
          <w:rFonts w:cs="sans-serif" w:asciiTheme="minorHAnsi" w:hAnsiTheme="minorHAnsi"/>
          <w:b/>
          <w:color w:val="000000"/>
          <w:sz w:val="21"/>
          <w:szCs w:val="21"/>
        </w:rPr>
        <w:t>Introduction</w:t>
      </w:r>
    </w:p>
    <w:p>
      <w:pPr>
        <w:pStyle w:val="16"/>
        <w:spacing w:before="240" w:beforeAutospacing="0" w:after="240" w:afterAutospacing="0" w:line="480" w:lineRule="auto"/>
        <w:rPr>
          <w:rFonts w:cs="sans-serif" w:asciiTheme="minorHAnsi" w:hAnsiTheme="minorHAnsi"/>
          <w:color w:val="000000"/>
          <w:sz w:val="21"/>
          <w:szCs w:val="21"/>
          <w:lang w:val="en"/>
        </w:rPr>
      </w:pPr>
      <w:r>
        <w:rPr>
          <w:rFonts w:cs="sans-serif" w:asciiTheme="minorHAnsi" w:hAnsiTheme="minorHAnsi"/>
          <w:color w:val="000000"/>
          <w:sz w:val="21"/>
          <w:szCs w:val="21"/>
          <w:lang w:val="en"/>
        </w:rPr>
        <w:t>A fundamental goal in the field of population ecology is to understand the factors that drive population distribution and abundance. With increasing population density, intraspecific competition becomes an important regulating mechanism that can largely impact on population growth and distribution (May et al. 1974, Turchin 2001). The distribution of an organism is, however, not only determined by competition but by its entire ecological niche, which can be formalized as an n-dimensional hypervolume, with each dimension influencing the persistence of an organism in its environment (Hutchinson, 1957). Together, e</w:t>
      </w:r>
      <w:r>
        <w:rPr>
          <w:rFonts w:cs="sans-serif" w:asciiTheme="minorHAnsi" w:hAnsiTheme="minorHAnsi"/>
          <w:color w:val="000000"/>
          <w:sz w:val="21"/>
          <w:szCs w:val="21"/>
        </w:rPr>
        <w:t>cological niche theory</w:t>
      </w:r>
      <w:r>
        <w:rPr>
          <w:rFonts w:cs="sans-serif" w:asciiTheme="minorHAnsi" w:hAnsiTheme="minorHAnsi"/>
          <w:color w:val="000000"/>
          <w:sz w:val="21"/>
          <w:szCs w:val="21"/>
          <w:lang w:val="en"/>
        </w:rPr>
        <w:t xml:space="preserve"> and density dependence mechanisms </w:t>
      </w:r>
      <w:r>
        <w:rPr>
          <w:rFonts w:cs="sans-serif" w:asciiTheme="minorHAnsi" w:hAnsiTheme="minorHAnsi"/>
          <w:color w:val="000000"/>
          <w:sz w:val="21"/>
          <w:szCs w:val="21"/>
        </w:rPr>
        <w:t xml:space="preserve">predict that </w:t>
      </w:r>
      <w:r>
        <w:rPr>
          <w:rFonts w:cs="sans-serif" w:asciiTheme="minorHAnsi" w:hAnsiTheme="minorHAnsi"/>
          <w:color w:val="000000"/>
          <w:sz w:val="21"/>
          <w:szCs w:val="21"/>
          <w:lang w:val="en"/>
        </w:rPr>
        <w:t xml:space="preserve">organisms </w:t>
      </w:r>
      <w:r>
        <w:rPr>
          <w:rFonts w:cs="sans-serif" w:asciiTheme="minorHAnsi" w:hAnsiTheme="minorHAnsi"/>
          <w:color w:val="000000"/>
          <w:sz w:val="21"/>
          <w:szCs w:val="21"/>
        </w:rPr>
        <w:t xml:space="preserve">with similar ecological niches should segregate spatially, temporally or trophically, </w:t>
      </w:r>
      <w:r>
        <w:rPr>
          <w:rFonts w:cs="sans-serif" w:asciiTheme="minorHAnsi" w:hAnsiTheme="minorHAnsi"/>
          <w:color w:val="000000"/>
          <w:sz w:val="21"/>
          <w:szCs w:val="21"/>
          <w:lang w:val="en"/>
        </w:rPr>
        <w:t>to</w:t>
      </w:r>
      <w:r>
        <w:rPr>
          <w:rFonts w:cs="sans-serif" w:asciiTheme="minorHAnsi" w:hAnsiTheme="minorHAnsi"/>
          <w:color w:val="000000"/>
          <w:sz w:val="21"/>
          <w:szCs w:val="21"/>
        </w:rPr>
        <w:t xml:space="preserve"> limit competition for resources </w:t>
      </w:r>
      <w:r>
        <w:fldChar w:fldCharType="begin"/>
      </w:r>
      <w:r>
        <w:instrText xml:space="preserve"> HYPERLINK "https://www.zotero.org/google-docs/?Epf66C" </w:instrText>
      </w:r>
      <w:r>
        <w:fldChar w:fldCharType="separate"/>
      </w:r>
      <w:r>
        <w:rPr>
          <w:rStyle w:val="14"/>
          <w:rFonts w:cs="sans-serif" w:asciiTheme="minorHAnsi" w:hAnsiTheme="minorHAnsi"/>
          <w:color w:val="000000"/>
          <w:sz w:val="21"/>
          <w:szCs w:val="21"/>
          <w:u w:val="none"/>
        </w:rPr>
        <w:t>(</w:t>
      </w:r>
      <w:r>
        <w:rPr>
          <w:rFonts w:cs="sans-serif" w:asciiTheme="minorHAnsi" w:hAnsiTheme="minorHAnsi"/>
          <w:color w:val="000000"/>
          <w:sz w:val="21"/>
          <w:szCs w:val="21"/>
          <w:lang w:val="en"/>
        </w:rPr>
        <w:t>Hutchinson, 1957</w:t>
      </w:r>
      <w:r>
        <w:rPr>
          <w:rStyle w:val="14"/>
          <w:rFonts w:cs="sans-serif" w:asciiTheme="minorHAnsi" w:hAnsiTheme="minorHAnsi"/>
          <w:color w:val="000000"/>
          <w:sz w:val="21"/>
          <w:szCs w:val="21"/>
          <w:u w:val="none"/>
        </w:rPr>
        <w:t xml:space="preserve">; </w:t>
      </w:r>
      <w:r>
        <w:rPr>
          <w:rStyle w:val="14"/>
          <w:rFonts w:cs="sans-serif" w:asciiTheme="minorHAnsi" w:hAnsiTheme="minorHAnsi"/>
          <w:color w:val="000000"/>
          <w:sz w:val="21"/>
          <w:szCs w:val="21"/>
          <w:u w:val="none"/>
          <w:lang w:val="en"/>
        </w:rPr>
        <w:t xml:space="preserve">Pianka 1981, </w:t>
      </w:r>
      <w:r>
        <w:rPr>
          <w:rStyle w:val="14"/>
          <w:rFonts w:cs="sans-serif" w:asciiTheme="minorHAnsi" w:hAnsiTheme="minorHAnsi"/>
          <w:color w:val="000000"/>
          <w:sz w:val="21"/>
          <w:szCs w:val="21"/>
          <w:u w:val="none"/>
        </w:rPr>
        <w:t>Schoener, 1974)</w:t>
      </w:r>
      <w:r>
        <w:rPr>
          <w:rStyle w:val="14"/>
          <w:rFonts w:cs="sans-serif" w:asciiTheme="minorHAnsi" w:hAnsiTheme="minorHAnsi"/>
          <w:color w:val="000000"/>
          <w:sz w:val="21"/>
          <w:szCs w:val="21"/>
          <w:u w:val="none"/>
        </w:rPr>
        <w:fldChar w:fldCharType="end"/>
      </w:r>
      <w:r>
        <w:rPr>
          <w:rStyle w:val="14"/>
          <w:rFonts w:cs="sans-serif" w:asciiTheme="minorHAnsi" w:hAnsiTheme="minorHAnsi"/>
          <w:color w:val="000000"/>
          <w:sz w:val="21"/>
          <w:szCs w:val="21"/>
          <w:u w:val="none"/>
          <w:lang w:val="en"/>
        </w:rPr>
        <w:t xml:space="preserve">. At the species level, </w:t>
      </w:r>
      <w:r>
        <w:rPr>
          <w:rFonts w:cs="sans-serif" w:asciiTheme="minorHAnsi" w:hAnsiTheme="minorHAnsi"/>
          <w:color w:val="000000"/>
          <w:sz w:val="21"/>
          <w:szCs w:val="21"/>
          <w:lang w:val="en"/>
        </w:rPr>
        <w:t>i</w:t>
      </w:r>
      <w:r>
        <w:rPr>
          <w:rFonts w:cs="sans-serif" w:asciiTheme="minorHAnsi" w:hAnsiTheme="minorHAnsi"/>
          <w:color w:val="000000"/>
          <w:sz w:val="21"/>
          <w:szCs w:val="21"/>
        </w:rPr>
        <w:t xml:space="preserve">ntraspecific </w:t>
      </w:r>
      <w:r>
        <w:rPr>
          <w:rFonts w:cs="sans-serif" w:asciiTheme="minorHAnsi" w:hAnsiTheme="minorHAnsi"/>
          <w:color w:val="000000"/>
          <w:sz w:val="21"/>
          <w:szCs w:val="21"/>
          <w:lang w:val="en"/>
        </w:rPr>
        <w:t xml:space="preserve">competition is therefore expected to </w:t>
      </w:r>
      <w:r>
        <w:rPr>
          <w:rFonts w:cs="sans-serif" w:asciiTheme="minorHAnsi" w:hAnsiTheme="minorHAnsi"/>
          <w:color w:val="000000"/>
          <w:sz w:val="21"/>
          <w:szCs w:val="21"/>
        </w:rPr>
        <w:t xml:space="preserve">play an important role in driving the distribution of individuals, and potentially gives rise to diverging behaviours, diet preferences or habitat specializations </w:t>
      </w:r>
      <w:r>
        <w:fldChar w:fldCharType="begin"/>
      </w:r>
      <w:r>
        <w:instrText xml:space="preserve"> HYPERLINK "https://www.zotero.org/google-docs/?fpKkCH" </w:instrText>
      </w:r>
      <w:r>
        <w:fldChar w:fldCharType="separate"/>
      </w:r>
      <w:r>
        <w:rPr>
          <w:rStyle w:val="14"/>
          <w:rFonts w:cs="sans-serif" w:asciiTheme="minorHAnsi" w:hAnsiTheme="minorHAnsi"/>
          <w:color w:val="000000"/>
          <w:sz w:val="21"/>
          <w:szCs w:val="21"/>
          <w:u w:val="none"/>
        </w:rPr>
        <w:t>(Bolnick et al., 2003; Polis, 1984)</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 </w:t>
      </w:r>
    </w:p>
    <w:p>
      <w:pPr>
        <w:pStyle w:val="16"/>
        <w:spacing w:before="240" w:beforeAutospacing="0" w:after="240" w:afterAutospacing="0" w:line="480" w:lineRule="auto"/>
        <w:ind w:firstLine="420"/>
        <w:rPr>
          <w:rFonts w:cs="sans-serif" w:asciiTheme="minorHAnsi" w:hAnsiTheme="minorHAnsi"/>
          <w:color w:val="000000"/>
          <w:sz w:val="21"/>
          <w:szCs w:val="21"/>
        </w:rPr>
      </w:pPr>
      <w:r>
        <w:rPr>
          <w:rFonts w:cs="sans-serif" w:asciiTheme="minorHAnsi" w:hAnsiTheme="minorHAnsi"/>
          <w:color w:val="000000"/>
          <w:sz w:val="21"/>
          <w:szCs w:val="21"/>
          <w:lang w:val="en"/>
        </w:rPr>
        <w:t xml:space="preserve">Animals, including birds, mammals, and reptiles, often breed colonially, placing a high demand on surrounding resources (Ashmole 1963, Cairns 1989). As such, intraspecific competition often results in spatial segregation between foraging individuals to minimize the negative effects of intraspecific competition (Ashmole 1963, Cairns 1989). This extends beyond single colonies, with competition between neighboring colonies also often resulting in clear inter-colony segregation in foraging areas (e.g., in raptors, Cecere et al. 2018, seals, Breed et al. 2013, or seabirds, Wakefield et al. 2013). </w:t>
      </w:r>
      <w:r>
        <w:rPr>
          <w:rFonts w:cs="sans-serif" w:asciiTheme="minorHAnsi" w:hAnsiTheme="minorHAnsi"/>
          <w:color w:val="000000"/>
          <w:sz w:val="21"/>
          <w:szCs w:val="21"/>
        </w:rPr>
        <w:t xml:space="preserve">Thanks to advances in bio-logging technologies, distributional segregation within and between different </w:t>
      </w:r>
      <w:r>
        <w:rPr>
          <w:rFonts w:cs="sans-serif" w:asciiTheme="minorHAnsi" w:hAnsiTheme="minorHAnsi"/>
          <w:color w:val="000000"/>
          <w:sz w:val="21"/>
          <w:szCs w:val="21"/>
          <w:lang w:val="en"/>
        </w:rPr>
        <w:t>colonies</w:t>
      </w:r>
      <w:r>
        <w:rPr>
          <w:rFonts w:cs="sans-serif" w:asciiTheme="minorHAnsi" w:hAnsiTheme="minorHAnsi"/>
          <w:color w:val="000000"/>
          <w:sz w:val="21"/>
          <w:szCs w:val="21"/>
        </w:rPr>
        <w:t xml:space="preserve"> have increasingly been reported for marine predator species, especially in the case of seabirds (reviewed in </w:t>
      </w:r>
      <w:r>
        <w:fldChar w:fldCharType="begin"/>
      </w:r>
      <w:r>
        <w:instrText xml:space="preserve"> HYPERLINK "https://www.zotero.org/google-docs/?MVPFz8" </w:instrText>
      </w:r>
      <w:r>
        <w:fldChar w:fldCharType="separate"/>
      </w:r>
      <w:r>
        <w:rPr>
          <w:rStyle w:val="14"/>
          <w:rFonts w:cs="sans-serif" w:asciiTheme="minorHAnsi" w:hAnsiTheme="minorHAnsi"/>
          <w:color w:val="000000"/>
          <w:sz w:val="21"/>
          <w:szCs w:val="21"/>
          <w:u w:val="none"/>
        </w:rPr>
        <w:t>Bolton, Conolly, Carroll, Wakefield, &amp; Caldow, 2019</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Many marine top predators, including seabirds, are central place foragers </w:t>
      </w:r>
      <w:r>
        <w:fldChar w:fldCharType="begin"/>
      </w:r>
      <w:r>
        <w:instrText xml:space="preserve"> HYPERLINK "https://www.zotero.org/google-docs/?g6yYTn" </w:instrText>
      </w:r>
      <w:r>
        <w:fldChar w:fldCharType="separate"/>
      </w:r>
      <w:r>
        <w:rPr>
          <w:rStyle w:val="14"/>
          <w:rFonts w:cs="sans-serif" w:asciiTheme="minorHAnsi" w:hAnsiTheme="minorHAnsi"/>
          <w:color w:val="000000"/>
          <w:sz w:val="21"/>
          <w:szCs w:val="21"/>
          <w:u w:val="none"/>
        </w:rPr>
        <w:t>(Orians &amp; Pearson, 1979)</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which means that they must commute between at-sea foraging areas and a central place on land where they breed in colonies, fulfilling their breeding duties (swapping with brooding or incubating partner, feeding and care of young). In addition, accessibility to potential foraging grounds is restricted in space and time, accessibility being inversely related to the distance travelled from the central place </w:t>
      </w:r>
      <w:r>
        <w:fldChar w:fldCharType="begin"/>
      </w:r>
      <w:r>
        <w:instrText xml:space="preserve"> HYPERLINK "https://www.zotero.org/google-docs/?ZPP6OI" </w:instrText>
      </w:r>
      <w:r>
        <w:fldChar w:fldCharType="separate"/>
      </w:r>
      <w:r>
        <w:rPr>
          <w:rStyle w:val="14"/>
          <w:rFonts w:cs="sans-serif" w:asciiTheme="minorHAnsi" w:hAnsiTheme="minorHAnsi"/>
          <w:color w:val="000000"/>
          <w:sz w:val="21"/>
          <w:szCs w:val="21"/>
          <w:u w:val="none"/>
        </w:rPr>
        <w:t>(Matthiopoulos, 2003; Orians &amp; Pearson, 1979)</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In a dynamic marine environment characterized by patchy</w:t>
      </w:r>
      <w:r>
        <w:rPr>
          <w:rFonts w:cs="sans-serif" w:asciiTheme="minorHAnsi" w:hAnsiTheme="minorHAnsi"/>
          <w:color w:val="000000"/>
          <w:sz w:val="21"/>
          <w:szCs w:val="21"/>
          <w:lang w:val="en"/>
        </w:rPr>
        <w:t xml:space="preserve"> and ephemeral</w:t>
      </w:r>
      <w:r>
        <w:rPr>
          <w:rFonts w:cs="sans-serif" w:asciiTheme="minorHAnsi" w:hAnsiTheme="minorHAnsi"/>
          <w:color w:val="000000"/>
          <w:sz w:val="21"/>
          <w:szCs w:val="21"/>
        </w:rPr>
        <w:t xml:space="preserve"> resource availability, segregation between colonies is likely to be dependent on prey field distribution, species dispersion capacities, distances between colonies and their relative population sizes, as characterized by the Density Dependent Hinterland model (DDH, </w:t>
      </w:r>
      <w:r>
        <w:fldChar w:fldCharType="begin"/>
      </w:r>
      <w:r>
        <w:instrText xml:space="preserve"> HYPERLINK "https://www.zotero.org/google-docs/?b07N7z" </w:instrText>
      </w:r>
      <w:r>
        <w:fldChar w:fldCharType="separate"/>
      </w:r>
      <w:r>
        <w:rPr>
          <w:rStyle w:val="14"/>
          <w:rFonts w:cs="sans-serif" w:asciiTheme="minorHAnsi" w:hAnsiTheme="minorHAnsi"/>
          <w:color w:val="000000"/>
          <w:sz w:val="21"/>
          <w:szCs w:val="21"/>
          <w:u w:val="none"/>
        </w:rPr>
        <w:t>Wakefield et al., 2013</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In the DDH model, which combines both Ashmole’s (1963) and Cairns’s (1989) models, competition is a function of both population size and distance of foraging grounds from the colony. Therefore, the DDH model predicts elevated competition at the interface of dense, neighbouring colonies </w:t>
      </w:r>
      <w:r>
        <w:rPr>
          <w:rFonts w:cs="sans-serif" w:asciiTheme="minorHAnsi" w:hAnsiTheme="minorHAnsi"/>
          <w:color w:val="000000"/>
          <w:sz w:val="21"/>
          <w:szCs w:val="21"/>
          <w:lang w:val="en"/>
        </w:rPr>
        <w:t>and, conversely,</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less segregation</w:t>
      </w:r>
      <w:r>
        <w:rPr>
          <w:rFonts w:cs="sans-serif" w:asciiTheme="minorHAnsi" w:hAnsiTheme="minorHAnsi"/>
          <w:color w:val="000000"/>
          <w:sz w:val="21"/>
          <w:szCs w:val="21"/>
        </w:rPr>
        <w:t xml:space="preserve"> of individuals from small colonies </w:t>
      </w:r>
      <w:r>
        <w:rPr>
          <w:rFonts w:cs="sans-serif" w:asciiTheme="minorHAnsi" w:hAnsiTheme="minorHAnsi"/>
          <w:color w:val="000000"/>
          <w:sz w:val="21"/>
          <w:szCs w:val="21"/>
          <w:lang w:val="en"/>
        </w:rPr>
        <w:t xml:space="preserve">and/or </w:t>
      </w:r>
      <w:r>
        <w:rPr>
          <w:rFonts w:cs="sans-serif" w:asciiTheme="minorHAnsi" w:hAnsiTheme="minorHAnsi"/>
          <w:color w:val="000000"/>
          <w:sz w:val="21"/>
          <w:szCs w:val="21"/>
        </w:rPr>
        <w:t xml:space="preserve">at more distant foraging grounds </w:t>
      </w:r>
      <w:r>
        <w:fldChar w:fldCharType="begin"/>
      </w:r>
      <w:r>
        <w:instrText xml:space="preserve"> HYPERLINK "https://www.zotero.org/google-docs/?8VElVV" </w:instrText>
      </w:r>
      <w:r>
        <w:fldChar w:fldCharType="separate"/>
      </w:r>
      <w:r>
        <w:rPr>
          <w:rStyle w:val="14"/>
          <w:rFonts w:cs="sans-serif" w:asciiTheme="minorHAnsi" w:hAnsiTheme="minorHAnsi"/>
          <w:color w:val="000000"/>
          <w:sz w:val="21"/>
          <w:szCs w:val="21"/>
          <w:u w:val="none"/>
        </w:rPr>
        <w:t>(Bolton et al., 2019)</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w:t>
      </w:r>
    </w:p>
    <w:p>
      <w:pPr>
        <w:pStyle w:val="16"/>
        <w:spacing w:before="240" w:beforeAutospacing="0" w:after="240" w:afterAutospacing="0" w:line="480" w:lineRule="auto"/>
        <w:ind w:firstLine="420"/>
        <w:rPr>
          <w:rFonts w:cs="sans-serif" w:asciiTheme="minorHAnsi" w:hAnsiTheme="minorHAnsi"/>
          <w:color w:val="000000"/>
          <w:sz w:val="21"/>
          <w:szCs w:val="21"/>
          <w:lang w:val="en"/>
        </w:rPr>
      </w:pPr>
      <w:r>
        <w:rPr>
          <w:rFonts w:cs="sans-serif" w:asciiTheme="minorHAnsi" w:hAnsiTheme="minorHAnsi"/>
          <w:color w:val="000000"/>
          <w:sz w:val="21"/>
          <w:szCs w:val="21"/>
        </w:rPr>
        <w:t>The ecological implications of intraspecific competition have</w:t>
      </w:r>
      <w:r>
        <w:rPr>
          <w:rFonts w:cs="sans-serif" w:asciiTheme="minorHAnsi" w:hAnsiTheme="minorHAnsi"/>
          <w:color w:val="000000"/>
          <w:sz w:val="21"/>
          <w:szCs w:val="21"/>
          <w:lang w:val="en"/>
        </w:rPr>
        <w:t xml:space="preserve"> often</w:t>
      </w:r>
      <w:r>
        <w:rPr>
          <w:rFonts w:cs="sans-serif" w:asciiTheme="minorHAnsi" w:hAnsiTheme="minorHAnsi"/>
          <w:color w:val="000000"/>
          <w:sz w:val="21"/>
          <w:szCs w:val="21"/>
        </w:rPr>
        <w:t xml:space="preserve"> been reported to be age and sex-specific </w:t>
      </w:r>
      <w:r>
        <w:fldChar w:fldCharType="begin"/>
      </w:r>
      <w:r>
        <w:instrText xml:space="preserve"> HYPERLINK "https://www.zotero.org/google-docs/?s9iHdt" </w:instrText>
      </w:r>
      <w:r>
        <w:fldChar w:fldCharType="separate"/>
      </w:r>
      <w:r>
        <w:rPr>
          <w:rStyle w:val="14"/>
          <w:rFonts w:cs="sans-serif" w:asciiTheme="minorHAnsi" w:hAnsiTheme="minorHAnsi"/>
          <w:color w:val="000000"/>
          <w:sz w:val="21"/>
          <w:szCs w:val="21"/>
          <w:u w:val="none"/>
        </w:rPr>
        <w:t>(Polis, 1984; Ruckstuhl &amp; Neuhaus, 2006; Wearmouth &amp; Sims, 2008)</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With regards to the latter, there is a large body of literature on seabirds and ungulates that has demonstrated that the different sexes segregate by foraging in distinct habitats </w:t>
      </w:r>
      <w:r>
        <w:fldChar w:fldCharType="begin"/>
      </w:r>
      <w:r>
        <w:instrText xml:space="preserve"> HYPERLINK "https://www.zotero.org/google-docs/?VqGhMQ" </w:instrText>
      </w:r>
      <w:r>
        <w:fldChar w:fldCharType="separate"/>
      </w:r>
      <w:r>
        <w:rPr>
          <w:rStyle w:val="14"/>
          <w:rFonts w:cs="sans-serif" w:asciiTheme="minorHAnsi" w:hAnsiTheme="minorHAnsi"/>
          <w:color w:val="000000"/>
          <w:sz w:val="21"/>
          <w:szCs w:val="21"/>
          <w:u w:val="none"/>
        </w:rPr>
        <w:t>(Giery &amp; Layman, 2019; Phillips, Lewis, González-Solís, &amp; Daunt, 2017; Ruckstuhl &amp; Neuhaus, 2006; Wearmouth &amp; Sims, 2008)</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There are several non-exclusive hypotheses potentially explaining why sexes segregate </w:t>
      </w:r>
      <w:r>
        <w:fldChar w:fldCharType="begin"/>
      </w:r>
      <w:r>
        <w:instrText xml:space="preserve"> HYPERLINK "https://www.zotero.org/google-docs/?QVF8Dn" </w:instrText>
      </w:r>
      <w:r>
        <w:fldChar w:fldCharType="separate"/>
      </w:r>
      <w:r>
        <w:rPr>
          <w:rStyle w:val="14"/>
          <w:rFonts w:cs="sans-serif" w:asciiTheme="minorHAnsi" w:hAnsiTheme="minorHAnsi"/>
          <w:color w:val="000000"/>
          <w:sz w:val="21"/>
          <w:szCs w:val="21"/>
          <w:u w:val="none"/>
        </w:rPr>
        <w:t>(Ruckstuhl &amp; Neuhaus, 2006</w:t>
      </w:r>
      <w:r>
        <w:rPr>
          <w:rStyle w:val="14"/>
          <w:rFonts w:cs="sans-serif" w:asciiTheme="minorHAnsi" w:hAnsiTheme="minorHAnsi"/>
          <w:color w:val="000000"/>
          <w:sz w:val="21"/>
          <w:szCs w:val="21"/>
          <w:u w:val="none"/>
          <w:lang w:val="en"/>
        </w:rPr>
        <w:t xml:space="preserve">, </w:t>
      </w:r>
      <w:r>
        <w:rPr>
          <w:rStyle w:val="14"/>
          <w:rFonts w:cs="sans-serif" w:asciiTheme="minorHAnsi" w:hAnsiTheme="minorHAnsi"/>
          <w:color w:val="000000"/>
          <w:sz w:val="21"/>
          <w:szCs w:val="21"/>
          <w:u w:val="none"/>
        </w:rPr>
        <w:t>Wearmouth &amp; Sims, 2008)</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but for species exhibiting sexual size dimorphism, the most likely explanations relate to different</w:t>
      </w:r>
      <w:r>
        <w:rPr>
          <w:rFonts w:cs="sans-serif" w:asciiTheme="minorHAnsi" w:hAnsiTheme="minorHAnsi"/>
          <w:color w:val="000000"/>
          <w:sz w:val="21"/>
          <w:szCs w:val="21"/>
          <w:lang w:val="en"/>
        </w:rPr>
        <w:t>ial</w:t>
      </w:r>
      <w:r>
        <w:rPr>
          <w:rFonts w:cs="sans-serif" w:asciiTheme="minorHAnsi" w:hAnsiTheme="minorHAnsi"/>
          <w:color w:val="000000"/>
          <w:sz w:val="21"/>
          <w:szCs w:val="21"/>
        </w:rPr>
        <w:t xml:space="preserve"> energy requirements, activity budgets </w:t>
      </w:r>
      <w:r>
        <w:rPr>
          <w:rFonts w:cs="sans-serif" w:asciiTheme="minorHAnsi" w:hAnsiTheme="minorHAnsi"/>
          <w:color w:val="000000"/>
          <w:sz w:val="21"/>
          <w:szCs w:val="21"/>
          <w:lang w:val="en"/>
        </w:rPr>
        <w:t>and/</w:t>
      </w:r>
      <w:r>
        <w:rPr>
          <w:rFonts w:cs="sans-serif" w:asciiTheme="minorHAnsi" w:hAnsiTheme="minorHAnsi"/>
          <w:color w:val="000000"/>
          <w:sz w:val="21"/>
          <w:szCs w:val="21"/>
        </w:rPr>
        <w:t>or foraging efficiencies between males and females.</w:t>
      </w:r>
      <w:r>
        <w:rPr>
          <w:rFonts w:cs="sans-serif" w:asciiTheme="minorHAnsi" w:hAnsiTheme="minorHAnsi"/>
          <w:color w:val="000000"/>
          <w:sz w:val="21"/>
          <w:szCs w:val="21"/>
          <w:lang w:val="en"/>
        </w:rPr>
        <w:t xml:space="preserve"> It is, however, often challenging to derive the causes of sexual segregation and there is little consensus on the evolutionary mechanisms driving this segregation (</w:t>
      </w:r>
      <w:r>
        <w:rPr>
          <w:rStyle w:val="14"/>
          <w:rFonts w:cs="sans-serif" w:asciiTheme="minorHAnsi" w:hAnsiTheme="minorHAnsi"/>
          <w:color w:val="000000"/>
          <w:sz w:val="21"/>
          <w:szCs w:val="21"/>
          <w:u w:val="none"/>
        </w:rPr>
        <w:t>Ruckstuhl &amp; Neuhaus, 2006</w:t>
      </w:r>
      <w:r>
        <w:rPr>
          <w:rStyle w:val="14"/>
          <w:rFonts w:cs="sans-serif" w:asciiTheme="minorHAnsi" w:hAnsiTheme="minorHAnsi"/>
          <w:color w:val="000000"/>
          <w:sz w:val="21"/>
          <w:szCs w:val="21"/>
          <w:u w:val="none"/>
          <w:lang w:val="en"/>
        </w:rPr>
        <w:t xml:space="preserve">, </w:t>
      </w:r>
      <w:r>
        <w:rPr>
          <w:rFonts w:cs="sans-serif" w:asciiTheme="minorHAnsi" w:hAnsiTheme="minorHAnsi"/>
          <w:color w:val="000000"/>
          <w:sz w:val="21"/>
          <w:szCs w:val="21"/>
          <w:lang w:val="en"/>
        </w:rPr>
        <w:t>Wearmouth &amp; Sims, 2008, Giery &amp; Layman, 2019). Difficulties in testing potentially relevant hypotheses to explain sex-specific segregation have often led to multiple possible evolutionary drivers being proposed (Bonenfant et al. 2004, Loe et al. 2006, Alves et al. 2013, Whiteside et al. 2018). This ambiguity can at least partly be explained by resource availability, a fundamental component of competition (Courbin et al. 2018), often being poorly understood, particularly in the marine environment (</w:t>
      </w:r>
      <w:r>
        <w:rPr>
          <w:rStyle w:val="14"/>
          <w:rFonts w:cs="sans-serif" w:asciiTheme="minorHAnsi" w:hAnsiTheme="minorHAnsi"/>
          <w:color w:val="000000"/>
          <w:sz w:val="21"/>
          <w:szCs w:val="21"/>
          <w:u w:val="none"/>
          <w:lang w:val="en"/>
        </w:rPr>
        <w:t>Lehodey et al. 2010</w:t>
      </w:r>
      <w:r>
        <w:rPr>
          <w:rFonts w:cs="sans-serif" w:asciiTheme="minorHAnsi" w:hAnsiTheme="minorHAnsi"/>
          <w:color w:val="000000"/>
          <w:sz w:val="21"/>
          <w:szCs w:val="21"/>
          <w:lang w:val="en"/>
        </w:rPr>
        <w:t>).</w:t>
      </w:r>
    </w:p>
    <w:p>
      <w:pPr>
        <w:pStyle w:val="16"/>
        <w:spacing w:before="240" w:beforeAutospacing="0" w:after="240" w:afterAutospacing="0" w:line="480" w:lineRule="auto"/>
        <w:ind w:firstLine="420"/>
        <w:rPr>
          <w:rStyle w:val="14"/>
          <w:rFonts w:cs="sans-serif" w:asciiTheme="minorHAnsi" w:hAnsiTheme="minorHAnsi"/>
          <w:color w:val="000000"/>
          <w:sz w:val="21"/>
          <w:szCs w:val="21"/>
          <w:u w:val="none"/>
          <w:lang w:val="en"/>
        </w:rPr>
      </w:pPr>
      <w:r>
        <w:rPr>
          <w:rFonts w:cs="sans-serif" w:asciiTheme="minorHAnsi" w:hAnsiTheme="minorHAnsi"/>
          <w:color w:val="000000"/>
          <w:sz w:val="21"/>
          <w:szCs w:val="21"/>
          <w:lang w:val="en"/>
        </w:rPr>
        <w:t>In the absence of information on prey resources, an assessment of competition involving neighbouring populations of a central place forager is likely to help better understand the drivers of sexual segregation. Indeed, s</w:t>
      </w:r>
      <w:r>
        <w:rPr>
          <w:rFonts w:cs="sans-serif" w:asciiTheme="minorHAnsi" w:hAnsiTheme="minorHAnsi"/>
          <w:color w:val="000000"/>
          <w:sz w:val="21"/>
          <w:szCs w:val="21"/>
        </w:rPr>
        <w:t xml:space="preserve">patial segregation between </w:t>
      </w:r>
      <w:r>
        <w:rPr>
          <w:rFonts w:cs="sans-serif" w:asciiTheme="minorHAnsi" w:hAnsiTheme="minorHAnsi"/>
          <w:color w:val="000000"/>
          <w:sz w:val="21"/>
          <w:szCs w:val="21"/>
          <w:lang w:val="en"/>
        </w:rPr>
        <w:t>sexes</w:t>
      </w:r>
      <w:r>
        <w:rPr>
          <w:rFonts w:cs="sans-serif" w:asciiTheme="minorHAnsi" w:hAnsiTheme="minorHAnsi"/>
          <w:color w:val="000000"/>
          <w:sz w:val="21"/>
          <w:szCs w:val="21"/>
        </w:rPr>
        <w:t xml:space="preserve"> arising due to processes originating from both within and between </w:t>
      </w:r>
      <w:r>
        <w:rPr>
          <w:rFonts w:cs="sans-serif" w:asciiTheme="minorHAnsi" w:hAnsiTheme="minorHAnsi"/>
          <w:color w:val="000000"/>
          <w:sz w:val="21"/>
          <w:szCs w:val="21"/>
          <w:lang w:val="en"/>
        </w:rPr>
        <w:t>populations</w:t>
      </w:r>
      <w:r>
        <w:rPr>
          <w:rFonts w:cs="sans-serif" w:asciiTheme="minorHAnsi" w:hAnsiTheme="minorHAnsi"/>
          <w:color w:val="000000"/>
          <w:sz w:val="21"/>
          <w:szCs w:val="21"/>
        </w:rPr>
        <w:t xml:space="preserve"> is thought to limit intraspecific competition</w:t>
      </w:r>
      <w:r>
        <w:rPr>
          <w:rFonts w:cs="sans-serif" w:asciiTheme="minorHAnsi" w:hAnsiTheme="minorHAnsi"/>
          <w:color w:val="000000"/>
          <w:sz w:val="21"/>
          <w:szCs w:val="21"/>
          <w:lang w:val="en"/>
        </w:rPr>
        <w:t>. Site</w:t>
      </w:r>
      <w:r>
        <w:rPr>
          <w:rFonts w:cs="sans-serif" w:asciiTheme="minorHAnsi" w:hAnsiTheme="minorHAnsi"/>
          <w:color w:val="000000"/>
          <w:sz w:val="21"/>
          <w:szCs w:val="21"/>
        </w:rPr>
        <w:t xml:space="preserve">-specific competition is, </w:t>
      </w:r>
      <w:r>
        <w:rPr>
          <w:rFonts w:cs="sans-serif" w:asciiTheme="minorHAnsi" w:hAnsiTheme="minorHAnsi"/>
          <w:color w:val="000000"/>
          <w:sz w:val="21"/>
          <w:szCs w:val="21"/>
          <w:lang w:val="en"/>
        </w:rPr>
        <w:t xml:space="preserve">however, </w:t>
      </w:r>
      <w:r>
        <w:rPr>
          <w:rFonts w:cs="sans-serif" w:asciiTheme="minorHAnsi" w:hAnsiTheme="minorHAnsi"/>
          <w:color w:val="000000"/>
          <w:sz w:val="21"/>
          <w:szCs w:val="21"/>
        </w:rPr>
        <w:t>theorized to have a stronger effect on</w:t>
      </w:r>
      <w:r>
        <w:rPr>
          <w:rFonts w:cs="sans-serif" w:asciiTheme="minorHAnsi" w:hAnsiTheme="minorHAnsi"/>
          <w:color w:val="000000"/>
          <w:sz w:val="21"/>
          <w:szCs w:val="21"/>
          <w:lang w:val="en"/>
        </w:rPr>
        <w:t xml:space="preserve"> a</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central-place forager’s</w:t>
      </w:r>
      <w:r>
        <w:rPr>
          <w:rFonts w:cs="sans-serif" w:asciiTheme="minorHAnsi" w:hAnsiTheme="minorHAnsi"/>
          <w:color w:val="000000"/>
          <w:sz w:val="21"/>
          <w:szCs w:val="21"/>
        </w:rPr>
        <w:t xml:space="preserve"> distribution compared to competition between populations </w:t>
      </w:r>
      <w:r>
        <w:fldChar w:fldCharType="begin"/>
      </w:r>
      <w:r>
        <w:instrText xml:space="preserve"> HYPERLINK "https://www.zotero.org/google-docs/?AeXwxV" </w:instrText>
      </w:r>
      <w:r>
        <w:fldChar w:fldCharType="separate"/>
      </w:r>
      <w:r>
        <w:rPr>
          <w:rStyle w:val="14"/>
          <w:rFonts w:cs="sans-serif" w:asciiTheme="minorHAnsi" w:hAnsiTheme="minorHAnsi"/>
          <w:color w:val="000000"/>
          <w:sz w:val="21"/>
          <w:szCs w:val="21"/>
          <w:u w:val="none"/>
        </w:rPr>
        <w:t>(Fretwell, 19</w:t>
      </w:r>
      <w:r>
        <w:rPr>
          <w:rStyle w:val="14"/>
          <w:rFonts w:hint="default" w:cs="sans-serif" w:asciiTheme="minorHAnsi" w:hAnsiTheme="minorHAnsi"/>
          <w:color w:val="000000"/>
          <w:sz w:val="21"/>
          <w:szCs w:val="21"/>
          <w:u w:val="none"/>
          <w:lang w:val="en"/>
        </w:rPr>
        <w:t>7</w:t>
      </w:r>
      <w:r>
        <w:rPr>
          <w:rStyle w:val="14"/>
          <w:rFonts w:cs="sans-serif" w:asciiTheme="minorHAnsi" w:hAnsiTheme="minorHAnsi"/>
          <w:color w:val="000000"/>
          <w:sz w:val="21"/>
          <w:szCs w:val="21"/>
          <w:u w:val="none"/>
        </w:rPr>
        <w:t>2; Lewis et al., 2001)</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w:t>
      </w:r>
      <w:r>
        <w:rPr>
          <w:rFonts w:asciiTheme="minorHAnsi" w:hAnsiTheme="minorHAnsi" w:eastAsiaTheme="minorEastAsia" w:cstheme="minorEastAsia"/>
          <w:sz w:val="21"/>
          <w:szCs w:val="21"/>
        </w:rPr>
        <w:t xml:space="preserve">This is because individuals from the same </w:t>
      </w:r>
      <w:r>
        <w:rPr>
          <w:rFonts w:asciiTheme="minorHAnsi" w:hAnsiTheme="minorHAnsi" w:eastAsiaTheme="minorEastAsia" w:cstheme="minorEastAsia"/>
          <w:sz w:val="21"/>
          <w:szCs w:val="21"/>
          <w:lang w:val="en"/>
        </w:rPr>
        <w:t>population</w:t>
      </w:r>
      <w:r>
        <w:rPr>
          <w:rFonts w:asciiTheme="minorHAnsi" w:hAnsiTheme="minorHAnsi" w:eastAsiaTheme="minorEastAsia" w:cstheme="minorEastAsia"/>
          <w:sz w:val="21"/>
          <w:szCs w:val="21"/>
        </w:rPr>
        <w:t xml:space="preserve"> need to compete for the same resources </w:t>
      </w:r>
      <w:r>
        <w:rPr>
          <w:rFonts w:asciiTheme="minorHAnsi" w:hAnsiTheme="minorHAnsi" w:eastAsiaTheme="minorEastAsia" w:cstheme="minorEastAsia"/>
          <w:sz w:val="21"/>
          <w:szCs w:val="21"/>
          <w:lang w:val="en"/>
        </w:rPr>
        <w:t xml:space="preserve">situated in their </w:t>
      </w:r>
      <w:r>
        <w:rPr>
          <w:rFonts w:asciiTheme="minorHAnsi" w:hAnsiTheme="minorHAnsi" w:eastAsiaTheme="minorEastAsia" w:cstheme="minorEastAsia"/>
          <w:sz w:val="21"/>
          <w:szCs w:val="21"/>
        </w:rPr>
        <w:t>surrounding</w:t>
      </w:r>
      <w:r>
        <w:rPr>
          <w:rFonts w:asciiTheme="minorHAnsi" w:hAnsiTheme="minorHAnsi" w:eastAsiaTheme="minorEastAsia" w:cstheme="minorEastAsia"/>
          <w:sz w:val="21"/>
          <w:szCs w:val="21"/>
          <w:lang w:val="en"/>
        </w:rPr>
        <w:t>s</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Therefore, assuming sex-specific segregation to be a function of current competition, this should lead to spatial segregation, both between</w:t>
      </w:r>
      <w:r>
        <w:rPr>
          <w:rFonts w:cs="sans-serif" w:asciiTheme="minorHAnsi" w:hAnsiTheme="minorHAnsi"/>
          <w:b/>
          <w:bCs/>
          <w:color w:val="000000"/>
          <w:sz w:val="21"/>
          <w:szCs w:val="21"/>
          <w:lang w:val="en"/>
        </w:rPr>
        <w:t xml:space="preserve"> </w:t>
      </w:r>
      <w:r>
        <w:rPr>
          <w:rFonts w:cs="sans-serif" w:asciiTheme="minorHAnsi" w:hAnsiTheme="minorHAnsi"/>
          <w:color w:val="000000"/>
          <w:sz w:val="21"/>
          <w:szCs w:val="21"/>
          <w:lang w:val="en"/>
        </w:rPr>
        <w:t xml:space="preserve">sexes within and between colonies, with more dominant individuals excluding subordinate individuals (the “competitive exclusion” hypothesis, </w:t>
      </w:r>
      <w:r>
        <w:rPr>
          <w:rStyle w:val="14"/>
          <w:rFonts w:cs="sans-serif" w:asciiTheme="minorHAnsi" w:hAnsiTheme="minorHAnsi"/>
          <w:color w:val="000000"/>
          <w:sz w:val="21"/>
          <w:szCs w:val="21"/>
          <w:u w:val="none"/>
        </w:rPr>
        <w:t>Ruckstuhl &amp; Neuhaus, 2006</w:t>
      </w:r>
      <w:r>
        <w:rPr>
          <w:rFonts w:cs="sans-serif" w:asciiTheme="minorHAnsi" w:hAnsiTheme="minorHAnsi"/>
          <w:color w:val="000000"/>
          <w:sz w:val="21"/>
          <w:szCs w:val="21"/>
          <w:lang w:val="en"/>
        </w:rPr>
        <w:t>). Alternatively, if</w:t>
      </w:r>
      <w:r>
        <w:rPr>
          <w:rStyle w:val="14"/>
          <w:rFonts w:cs="sans-serif" w:asciiTheme="minorHAnsi" w:hAnsiTheme="minorHAnsi"/>
          <w:color w:val="000000"/>
          <w:sz w:val="21"/>
          <w:szCs w:val="21"/>
          <w:u w:val="none"/>
          <w:lang w:val="en"/>
        </w:rPr>
        <w:t xml:space="preserve"> past </w:t>
      </w:r>
      <w:r>
        <w:rPr>
          <w:rFonts w:cs="sans-serif" w:asciiTheme="minorHAnsi" w:hAnsiTheme="minorHAnsi"/>
          <w:color w:val="000000"/>
          <w:sz w:val="21"/>
          <w:szCs w:val="21"/>
        </w:rPr>
        <w:t>intra</w:t>
      </w:r>
      <w:r>
        <w:rPr>
          <w:rFonts w:cs="sans-serif" w:asciiTheme="minorHAnsi" w:hAnsiTheme="minorHAnsi"/>
          <w:color w:val="000000"/>
          <w:sz w:val="21"/>
          <w:szCs w:val="21"/>
          <w:lang w:val="en"/>
        </w:rPr>
        <w:t>specific</w:t>
      </w:r>
      <w:r>
        <w:rPr>
          <w:rFonts w:cs="sans-serif" w:asciiTheme="minorHAnsi" w:hAnsiTheme="minorHAnsi"/>
          <w:color w:val="000000"/>
          <w:sz w:val="21"/>
          <w:szCs w:val="21"/>
        </w:rPr>
        <w:t xml:space="preserve"> competition</w:t>
      </w:r>
      <w:r>
        <w:rPr>
          <w:rFonts w:cs="sans-serif" w:asciiTheme="minorHAnsi" w:hAnsiTheme="minorHAnsi"/>
          <w:color w:val="000000"/>
          <w:sz w:val="21"/>
          <w:szCs w:val="21"/>
          <w:lang w:val="en"/>
        </w:rPr>
        <w:t xml:space="preserve"> gave rise </w:t>
      </w:r>
      <w:r>
        <w:rPr>
          <w:rFonts w:cs="sans-serif" w:asciiTheme="minorHAnsi" w:hAnsiTheme="minorHAnsi"/>
          <w:color w:val="000000"/>
          <w:sz w:val="21"/>
          <w:szCs w:val="21"/>
        </w:rPr>
        <w:t xml:space="preserve">to </w:t>
      </w:r>
      <w:r>
        <w:rPr>
          <w:rFonts w:cs="sans-serif" w:asciiTheme="minorHAnsi" w:hAnsiTheme="minorHAnsi"/>
          <w:color w:val="000000"/>
          <w:sz w:val="21"/>
          <w:szCs w:val="21"/>
          <w:lang w:val="en"/>
        </w:rPr>
        <w:t xml:space="preserve">the evolution of </w:t>
      </w:r>
      <w:r>
        <w:rPr>
          <w:rFonts w:cs="sans-serif" w:asciiTheme="minorHAnsi" w:hAnsiTheme="minorHAnsi"/>
          <w:color w:val="000000"/>
          <w:sz w:val="21"/>
          <w:szCs w:val="21"/>
        </w:rPr>
        <w:t>sexual dimorphism and niche specialization</w:t>
      </w:r>
      <w:r>
        <w:rPr>
          <w:rFonts w:cs="sans-serif" w:asciiTheme="minorHAnsi" w:hAnsiTheme="minorHAnsi"/>
          <w:color w:val="000000"/>
          <w:sz w:val="21"/>
          <w:szCs w:val="21"/>
          <w:lang w:val="en"/>
        </w:rPr>
        <w:t xml:space="preserve"> between sexes, direct intraspecific competition</w:t>
      </w:r>
      <w:r>
        <w:rPr>
          <w:rStyle w:val="14"/>
          <w:rFonts w:cs="sans-serif" w:asciiTheme="minorHAnsi" w:hAnsiTheme="minorHAnsi"/>
          <w:color w:val="000000"/>
          <w:sz w:val="21"/>
          <w:szCs w:val="21"/>
          <w:u w:val="none"/>
          <w:lang w:val="en"/>
        </w:rPr>
        <w:t xml:space="preserve"> between sexes should be relatively low. In such a case, sexes could be selecting different foraging areas/habitats (according to the “niche divergence” hypothesis, </w:t>
      </w:r>
      <w:r>
        <w:rPr>
          <w:rStyle w:val="14"/>
          <w:rFonts w:cs="sans-serif" w:asciiTheme="minorHAnsi" w:hAnsiTheme="minorHAnsi"/>
          <w:color w:val="000000"/>
          <w:sz w:val="21"/>
          <w:szCs w:val="21"/>
          <w:u w:val="none"/>
        </w:rPr>
        <w:t>Ruckstuhl &amp; Neuhaus, 2006</w:t>
      </w:r>
      <w:r>
        <w:rPr>
          <w:rStyle w:val="14"/>
          <w:rFonts w:cs="sans-serif" w:asciiTheme="minorHAnsi" w:hAnsiTheme="minorHAnsi"/>
          <w:color w:val="000000"/>
          <w:sz w:val="21"/>
          <w:szCs w:val="21"/>
          <w:u w:val="none"/>
          <w:lang w:val="en"/>
        </w:rPr>
        <w:t xml:space="preserve">), as a means to reduce the negative influence of competition. </w:t>
      </w:r>
      <w:r>
        <w:rPr>
          <w:rFonts w:cs="sans-serif" w:asciiTheme="minorHAnsi" w:hAnsiTheme="minorHAnsi"/>
          <w:color w:val="000000"/>
          <w:sz w:val="21"/>
          <w:szCs w:val="21"/>
        </w:rPr>
        <w:t xml:space="preserve">To demonstrate </w:t>
      </w:r>
      <w:r>
        <w:rPr>
          <w:rFonts w:cs="sans-serif" w:asciiTheme="minorHAnsi" w:hAnsiTheme="minorHAnsi"/>
          <w:color w:val="000000"/>
          <w:sz w:val="21"/>
          <w:szCs w:val="21"/>
          <w:lang w:val="en"/>
        </w:rPr>
        <w:t xml:space="preserve">site and sex-specific </w:t>
      </w:r>
      <w:r>
        <w:rPr>
          <w:rFonts w:cs="sans-serif" w:asciiTheme="minorHAnsi" w:hAnsiTheme="minorHAnsi"/>
          <w:color w:val="000000"/>
          <w:sz w:val="21"/>
          <w:szCs w:val="21"/>
        </w:rPr>
        <w:t xml:space="preserve">competition, however, confounding factors such as </w:t>
      </w:r>
      <w:r>
        <w:rPr>
          <w:rFonts w:cs="sans-serif" w:asciiTheme="minorHAnsi" w:hAnsiTheme="minorHAnsi"/>
          <w:color w:val="000000"/>
          <w:sz w:val="21"/>
          <w:szCs w:val="21"/>
          <w:lang w:val="en"/>
        </w:rPr>
        <w:t>resource</w:t>
      </w:r>
      <w:r>
        <w:rPr>
          <w:rFonts w:cs="sans-serif" w:asciiTheme="minorHAnsi" w:hAnsiTheme="minorHAnsi"/>
          <w:color w:val="000000"/>
          <w:sz w:val="21"/>
          <w:szCs w:val="21"/>
        </w:rPr>
        <w:t xml:space="preserve"> availability should ideally be taken into account and results must be compared with an appropriate null model that assumes no segregation </w:t>
      </w:r>
      <w:r>
        <w:fldChar w:fldCharType="begin"/>
      </w:r>
      <w:r>
        <w:instrText xml:space="preserve"> HYPERLINK "https://www.zotero.org/google-docs/?aplgCE" </w:instrText>
      </w:r>
      <w:r>
        <w:fldChar w:fldCharType="separate"/>
      </w:r>
      <w:r>
        <w:rPr>
          <w:rStyle w:val="14"/>
          <w:rFonts w:cs="sans-serif" w:asciiTheme="minorHAnsi" w:hAnsiTheme="minorHAnsi"/>
          <w:color w:val="000000"/>
          <w:sz w:val="21"/>
          <w:szCs w:val="21"/>
          <w:u w:val="none"/>
        </w:rPr>
        <w:t>(Bolton et al., 2019)</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C</w:t>
      </w:r>
      <w:r>
        <w:rPr>
          <w:rFonts w:cs="sans-serif" w:asciiTheme="minorHAnsi" w:hAnsiTheme="minorHAnsi"/>
          <w:color w:val="000000"/>
          <w:sz w:val="21"/>
          <w:szCs w:val="21"/>
          <w:lang w:val="en"/>
        </w:rPr>
        <w:t>ompetition is rarely taken into account in habitat selection models</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 xml:space="preserve">(Mc Loughlin et al. 2010, Bolton et al. 2019); doing so is </w:t>
      </w:r>
      <w:r>
        <w:rPr>
          <w:rFonts w:cs="sans-serif" w:asciiTheme="minorHAnsi" w:hAnsiTheme="minorHAnsi"/>
          <w:color w:val="000000"/>
          <w:sz w:val="21"/>
          <w:szCs w:val="21"/>
        </w:rPr>
        <w:t>particularly challenging in highly dynamic environments such as many marine ecosystems</w:t>
      </w:r>
      <w:r>
        <w:rPr>
          <w:rFonts w:cs="sans-serif" w:asciiTheme="minorHAnsi" w:hAnsiTheme="minorHAnsi"/>
          <w:color w:val="000000"/>
          <w:sz w:val="21"/>
          <w:szCs w:val="21"/>
          <w:lang w:val="en"/>
        </w:rPr>
        <w:t xml:space="preserve"> </w:t>
      </w:r>
      <w:r>
        <w:fldChar w:fldCharType="begin"/>
      </w:r>
      <w:r>
        <w:instrText xml:space="preserve"> HYPERLINK "https://www.zotero.org/google-docs/?gXK7so" </w:instrText>
      </w:r>
      <w:r>
        <w:fldChar w:fldCharType="separate"/>
      </w:r>
      <w:r>
        <w:rPr>
          <w:rStyle w:val="14"/>
          <w:rFonts w:cs="sans-serif" w:asciiTheme="minorHAnsi" w:hAnsiTheme="minorHAnsi"/>
          <w:color w:val="000000"/>
          <w:sz w:val="21"/>
          <w:szCs w:val="21"/>
          <w:u w:val="none"/>
        </w:rPr>
        <w:t>(</w:t>
      </w:r>
      <w:r>
        <w:rPr>
          <w:rStyle w:val="14"/>
          <w:rFonts w:cs="sans-serif" w:asciiTheme="minorHAnsi" w:hAnsiTheme="minorHAnsi"/>
          <w:color w:val="000000"/>
          <w:sz w:val="21"/>
          <w:szCs w:val="21"/>
          <w:u w:val="none"/>
          <w:lang w:val="en"/>
        </w:rPr>
        <w:t>Melo-Merino et al. 2020</w:t>
      </w:r>
      <w:r>
        <w:rPr>
          <w:rStyle w:val="14"/>
          <w:rFonts w:cs="sans-serif" w:asciiTheme="minorHAnsi" w:hAnsiTheme="minorHAnsi"/>
          <w:color w:val="000000"/>
          <w:sz w:val="21"/>
          <w:szCs w:val="21"/>
          <w:u w:val="none"/>
        </w:rPr>
        <w:t>)</w:t>
      </w:r>
      <w:r>
        <w:rPr>
          <w:rStyle w:val="14"/>
          <w:rFonts w:cs="sans-serif" w:asciiTheme="minorHAnsi" w:hAnsiTheme="minorHAnsi"/>
          <w:color w:val="000000"/>
          <w:sz w:val="21"/>
          <w:szCs w:val="21"/>
          <w:u w:val="none"/>
        </w:rPr>
        <w:fldChar w:fldCharType="end"/>
      </w:r>
      <w:r>
        <w:rPr>
          <w:rStyle w:val="14"/>
          <w:rFonts w:cs="sans-serif" w:asciiTheme="minorHAnsi" w:hAnsiTheme="minorHAnsi"/>
          <w:color w:val="000000"/>
          <w:sz w:val="21"/>
          <w:szCs w:val="21"/>
          <w:u w:val="none"/>
          <w:lang w:val="en"/>
        </w:rPr>
        <w:t xml:space="preserve">. </w:t>
      </w:r>
    </w:p>
    <w:p>
      <w:pPr>
        <w:pStyle w:val="16"/>
        <w:spacing w:before="240" w:beforeAutospacing="0" w:after="240" w:afterAutospacing="0" w:line="480" w:lineRule="auto"/>
        <w:ind w:firstLine="420"/>
        <w:rPr>
          <w:rFonts w:cs="sans-serif" w:asciiTheme="minorHAnsi" w:hAnsiTheme="minorHAnsi"/>
          <w:color w:val="000000"/>
          <w:sz w:val="21"/>
          <w:szCs w:val="21"/>
          <w:lang w:val="en"/>
        </w:rPr>
      </w:pPr>
      <w:r>
        <w:rPr>
          <w:rFonts w:cs="sans-serif" w:asciiTheme="minorHAnsi" w:hAnsiTheme="minorHAnsi"/>
          <w:color w:val="000000"/>
          <w:sz w:val="21"/>
          <w:szCs w:val="21"/>
        </w:rPr>
        <w:t xml:space="preserve">In this study, </w:t>
      </w:r>
      <w:r>
        <w:rPr>
          <w:rFonts w:cs="sans-serif" w:asciiTheme="minorHAnsi" w:hAnsiTheme="minorHAnsi"/>
          <w:color w:val="000000"/>
          <w:sz w:val="21"/>
          <w:szCs w:val="21"/>
          <w:lang w:val="en"/>
        </w:rPr>
        <w:t xml:space="preserve">by comparing </w:t>
      </w:r>
      <w:r>
        <w:rPr>
          <w:rFonts w:cs="sans-serif" w:asciiTheme="minorHAnsi" w:hAnsiTheme="minorHAnsi"/>
          <w:color w:val="000000"/>
          <w:sz w:val="21"/>
          <w:szCs w:val="21"/>
        </w:rPr>
        <w:t xml:space="preserve">the relative importance of </w:t>
      </w:r>
      <w:r>
        <w:rPr>
          <w:rFonts w:cs="sans-serif" w:asciiTheme="minorHAnsi" w:hAnsiTheme="minorHAnsi"/>
          <w:color w:val="000000"/>
          <w:sz w:val="21"/>
          <w:szCs w:val="21"/>
          <w:lang w:val="en"/>
        </w:rPr>
        <w:t xml:space="preserve">sex-specific </w:t>
      </w:r>
      <w:r>
        <w:rPr>
          <w:rFonts w:cs="sans-serif" w:asciiTheme="minorHAnsi" w:hAnsiTheme="minorHAnsi"/>
          <w:color w:val="000000"/>
          <w:sz w:val="21"/>
          <w:szCs w:val="21"/>
        </w:rPr>
        <w:t>competition within and between two</w:t>
      </w:r>
      <w:r>
        <w:rPr>
          <w:rFonts w:cs="sans-serif" w:asciiTheme="minorHAnsi" w:hAnsiTheme="minorHAnsi"/>
          <w:color w:val="000000"/>
          <w:sz w:val="21"/>
          <w:szCs w:val="21"/>
          <w:lang w:val="en"/>
        </w:rPr>
        <w:t xml:space="preserve"> neighbouring</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 xml:space="preserve">populations </w:t>
      </w:r>
      <w:r>
        <w:rPr>
          <w:rFonts w:cs="sans-serif" w:asciiTheme="minorHAnsi" w:hAnsiTheme="minorHAnsi"/>
          <w:color w:val="000000"/>
          <w:sz w:val="21"/>
          <w:szCs w:val="21"/>
        </w:rPr>
        <w:t>of one of the most sexually dimorphic and wide-ranging seabird species, the wandering albatross</w:t>
      </w:r>
      <w:r>
        <w:rPr>
          <w:rFonts w:cs="sans-serif" w:asciiTheme="minorHAnsi" w:hAnsiTheme="minorHAnsi"/>
          <w:color w:val="000000"/>
          <w:sz w:val="21"/>
          <w:szCs w:val="21"/>
          <w:lang w:val="en"/>
        </w:rPr>
        <w:t xml:space="preserve">, </w:t>
      </w:r>
      <w:r>
        <w:rPr>
          <w:rFonts w:cs="sans-serif" w:asciiTheme="minorHAnsi" w:hAnsiTheme="minorHAnsi"/>
          <w:i/>
          <w:iCs/>
          <w:color w:val="000000"/>
          <w:sz w:val="21"/>
          <w:szCs w:val="21"/>
          <w:lang w:val="en"/>
        </w:rPr>
        <w:t>Diomedea exulans</w:t>
      </w:r>
      <w:r>
        <w:rPr>
          <w:rFonts w:cs="sans-serif" w:asciiTheme="minorHAnsi" w:hAnsiTheme="minorHAnsi"/>
          <w:color w:val="000000"/>
          <w:sz w:val="21"/>
          <w:szCs w:val="21"/>
        </w:rPr>
        <w:t xml:space="preserve"> </w:t>
      </w:r>
      <w:r>
        <w:fldChar w:fldCharType="begin"/>
      </w:r>
      <w:r>
        <w:instrText xml:space="preserve"> HYPERLINK "https://www.zotero.org/google-docs/?VG9MZ2" </w:instrText>
      </w:r>
      <w:r>
        <w:fldChar w:fldCharType="separate"/>
      </w:r>
      <w:r>
        <w:rPr>
          <w:rStyle w:val="14"/>
          <w:rFonts w:cs="sans-serif" w:asciiTheme="minorHAnsi" w:hAnsiTheme="minorHAnsi"/>
          <w:color w:val="000000"/>
          <w:sz w:val="21"/>
          <w:szCs w:val="21"/>
          <w:u w:val="none"/>
        </w:rPr>
        <w:t>(Shaffer, Weimerskirch, &amp; Costa, 2001; Weimerskirch, Lequette, &amp; Jouventin, 1989)</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 xml:space="preserve">we investigated </w:t>
      </w:r>
      <w:r>
        <w:rPr>
          <w:rFonts w:cs="sans-serif" w:asciiTheme="minorHAnsi" w:hAnsiTheme="minorHAnsi"/>
          <w:color w:val="000000"/>
          <w:sz w:val="21"/>
          <w:szCs w:val="21"/>
          <w:lang w:val="en"/>
        </w:rPr>
        <w:t>which of the two hypotheses (“competitive exclusion” or “niche divergence”) would be more likely to explain at-sea sexual segregation</w:t>
      </w:r>
      <w:r>
        <w:rPr>
          <w:rFonts w:cs="sans-serif" w:asciiTheme="minorHAnsi" w:hAnsiTheme="minorHAnsi"/>
          <w:color w:val="000000"/>
          <w:sz w:val="21"/>
          <w:szCs w:val="21"/>
        </w:rPr>
        <w:t>. Wandering albatrosses are remarkable in that they are able to cover up to 15</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 xml:space="preserve">000 km in a foraging trip during the incubation phase, through dynamic soaring flight </w:t>
      </w:r>
      <w:r>
        <w:fldChar w:fldCharType="begin"/>
      </w:r>
      <w:r>
        <w:instrText xml:space="preserve"> HYPERLINK "https://www.zotero.org/google-docs/?8I5GKE" </w:instrText>
      </w:r>
      <w:r>
        <w:fldChar w:fldCharType="separate"/>
      </w:r>
      <w:r>
        <w:rPr>
          <w:rStyle w:val="14"/>
          <w:rFonts w:cs="sans-serif" w:asciiTheme="minorHAnsi" w:hAnsiTheme="minorHAnsi"/>
          <w:color w:val="000000"/>
          <w:sz w:val="21"/>
          <w:szCs w:val="21"/>
          <w:u w:val="none"/>
        </w:rPr>
        <w:t>(Jouventin &amp; Weimerskirch, 1990)</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This low-cost flight </w:t>
      </w:r>
      <w:r>
        <w:rPr>
          <w:rFonts w:cs="sans-serif" w:asciiTheme="minorHAnsi" w:hAnsiTheme="minorHAnsi"/>
          <w:color w:val="000000"/>
          <w:sz w:val="21"/>
          <w:szCs w:val="21"/>
          <w:lang w:val="en"/>
        </w:rPr>
        <w:t>tactic</w:t>
      </w:r>
      <w:r>
        <w:rPr>
          <w:rFonts w:cs="sans-serif" w:asciiTheme="minorHAnsi" w:hAnsiTheme="minorHAnsi"/>
          <w:color w:val="000000"/>
          <w:sz w:val="21"/>
          <w:szCs w:val="21"/>
        </w:rPr>
        <w:t xml:space="preserve"> to cover extensive areas in search of prey is likely an adaptation to their diet, which consists of scavenged squid and fish, which have a patchy and extensive distribution </w:t>
      </w:r>
      <w:r>
        <w:fldChar w:fldCharType="begin"/>
      </w:r>
      <w:r>
        <w:instrText xml:space="preserve"> HYPERLINK "https://www.zotero.org/google-docs/?p0keac" </w:instrText>
      </w:r>
      <w:r>
        <w:fldChar w:fldCharType="separate"/>
      </w:r>
      <w:r>
        <w:rPr>
          <w:rStyle w:val="14"/>
          <w:rFonts w:cs="sans-serif" w:asciiTheme="minorHAnsi" w:hAnsiTheme="minorHAnsi"/>
          <w:color w:val="000000"/>
          <w:sz w:val="21"/>
          <w:szCs w:val="21"/>
          <w:u w:val="none"/>
        </w:rPr>
        <w:t>(Grémillet, Prudor, le Maho, &amp; Weimerskirch, 2012)</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The two</w:t>
      </w:r>
      <w:r>
        <w:rPr>
          <w:rFonts w:cs="sans-serif" w:asciiTheme="minorHAnsi" w:hAnsiTheme="minorHAnsi"/>
          <w:color w:val="000000"/>
          <w:sz w:val="21"/>
          <w:szCs w:val="21"/>
          <w:lang w:val="en"/>
        </w:rPr>
        <w:t xml:space="preserve"> studied</w:t>
      </w:r>
      <w:r>
        <w:rPr>
          <w:rFonts w:cs="sans-serif" w:asciiTheme="minorHAnsi" w:hAnsiTheme="minorHAnsi"/>
          <w:color w:val="000000"/>
          <w:sz w:val="21"/>
          <w:szCs w:val="21"/>
        </w:rPr>
        <w:t xml:space="preserve"> populations, one on the Prince Edward Archipelago (Marion Island) and the other on the Crozet Archipelago (Possession Island) are situated in the Southern Indian Ocean, ~1000 km apart. The two populations together contain more than half of the world population: ~3,000 breeding pairs at Prince Edward Islands and ~2</w:t>
      </w:r>
      <w:r>
        <w:rPr>
          <w:rFonts w:cs="sans-serif" w:asciiTheme="minorHAnsi" w:hAnsiTheme="minorHAnsi"/>
          <w:color w:val="000000"/>
          <w:sz w:val="21"/>
          <w:szCs w:val="21"/>
          <w:lang w:val="en"/>
        </w:rPr>
        <w:t>,</w:t>
      </w:r>
      <w:r>
        <w:rPr>
          <w:rFonts w:cs="sans-serif" w:asciiTheme="minorHAnsi" w:hAnsiTheme="minorHAnsi"/>
          <w:color w:val="000000"/>
          <w:sz w:val="21"/>
          <w:szCs w:val="21"/>
        </w:rPr>
        <w:t xml:space="preserve">000 breeding pairs at Crozet archipelago </w:t>
      </w:r>
      <w:r>
        <w:fldChar w:fldCharType="begin"/>
      </w:r>
      <w:r>
        <w:instrText xml:space="preserve"> HYPERLINK "https://www.zotero.org/google-docs/?8odSZP" </w:instrText>
      </w:r>
      <w:r>
        <w:fldChar w:fldCharType="separate"/>
      </w:r>
      <w:r>
        <w:rPr>
          <w:rStyle w:val="14"/>
          <w:rFonts w:cs="sans-serif" w:asciiTheme="minorHAnsi" w:hAnsiTheme="minorHAnsi"/>
          <w:color w:val="000000"/>
          <w:sz w:val="21"/>
          <w:szCs w:val="21"/>
          <w:u w:val="none"/>
        </w:rPr>
        <w:t>(Ryan, Jones, Dyer, Upfold, &amp; Crawford, 2009; Weimerskirch et al., 2018)</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 </w:t>
      </w:r>
    </w:p>
    <w:p>
      <w:pPr>
        <w:pStyle w:val="16"/>
        <w:spacing w:before="240" w:beforeAutospacing="0" w:after="240" w:afterAutospacing="0" w:line="480" w:lineRule="auto"/>
        <w:ind w:firstLine="420"/>
        <w:rPr>
          <w:rFonts w:asciiTheme="minorHAnsi" w:hAnsiTheme="minorHAnsi"/>
          <w:lang w:val="en"/>
        </w:rPr>
      </w:pPr>
      <w:r>
        <w:rPr>
          <w:rFonts w:cs="sans-serif" w:asciiTheme="minorHAnsi" w:hAnsiTheme="minorHAnsi"/>
          <w:color w:val="000000"/>
          <w:sz w:val="21"/>
          <w:szCs w:val="21"/>
          <w:lang w:val="en"/>
        </w:rPr>
        <w:t>Long-term monitoring of these two populations has shown an overall steep decline in numbers of breeding pairs from the 1970s to the mid-1980, followed by an increase and a stabilization but at lower levels than those of the 1960s (Nel et al. 2002a, Ryan et al. 2009, Weimerskirch et al. 2018). The decline in the 1970s and 1980s been attributed to bycatch associated with longline fisheries (Weimerskirch</w:t>
      </w:r>
      <w:r>
        <w:rPr>
          <w:rFonts w:hint="default" w:cs="sans-serif" w:asciiTheme="minorHAnsi" w:hAnsiTheme="minorHAnsi"/>
          <w:color w:val="000000"/>
          <w:sz w:val="21"/>
          <w:szCs w:val="21"/>
          <w:lang w:val="en"/>
        </w:rPr>
        <w:t>, Brothers &amp; Jouventin</w:t>
      </w:r>
      <w:r>
        <w:rPr>
          <w:rFonts w:cs="sans-serif" w:asciiTheme="minorHAnsi" w:hAnsiTheme="minorHAnsi"/>
          <w:color w:val="000000"/>
          <w:sz w:val="21"/>
          <w:szCs w:val="21"/>
          <w:lang w:val="en"/>
        </w:rPr>
        <w:t xml:space="preserve"> 1997, Nel et al. 2002b) and the subsequent trends suggest that both populations are still below their carrying capacities. Even though these two populations represent a large proportion of the world population, the fact that they cover vast areas while foraging and the fact that both populations appear to be still recovering, suggests very low at-sea densities which would be in favor of the “niche divergence” hypothesis to explain possible sexual segregation. However, i</w:t>
      </w:r>
      <w:r>
        <w:rPr>
          <w:rFonts w:cs="sans-serif" w:asciiTheme="minorHAnsi" w:hAnsiTheme="minorHAnsi"/>
          <w:color w:val="000000"/>
          <w:sz w:val="21"/>
          <w:szCs w:val="21"/>
        </w:rPr>
        <w:t xml:space="preserve">n support of the </w:t>
      </w:r>
      <w:r>
        <w:rPr>
          <w:rFonts w:cs="sans-serif" w:asciiTheme="minorHAnsi" w:hAnsiTheme="minorHAnsi"/>
          <w:color w:val="000000"/>
          <w:sz w:val="21"/>
          <w:szCs w:val="21"/>
          <w:lang w:val="en"/>
        </w:rPr>
        <w:t>“competitive exclusion” hypothesis,</w:t>
      </w:r>
      <w:r>
        <w:rPr>
          <w:rFonts w:cs="sans-serif" w:asciiTheme="minorHAnsi" w:hAnsiTheme="minorHAnsi"/>
          <w:color w:val="000000"/>
          <w:sz w:val="21"/>
          <w:szCs w:val="21"/>
        </w:rPr>
        <w:t xml:space="preserve"> it has been suggested that because wandering albatross males are ~20% larger than females (Shaffer et al., 2001), size-mediated competition could </w:t>
      </w:r>
      <w:r>
        <w:rPr>
          <w:rFonts w:cs="sans-serif" w:asciiTheme="minorHAnsi" w:hAnsiTheme="minorHAnsi"/>
          <w:color w:val="000000"/>
          <w:sz w:val="21"/>
          <w:szCs w:val="21"/>
          <w:lang w:val="en"/>
        </w:rPr>
        <w:t xml:space="preserve">directly </w:t>
      </w:r>
      <w:r>
        <w:rPr>
          <w:rFonts w:cs="sans-serif" w:asciiTheme="minorHAnsi" w:hAnsiTheme="minorHAnsi"/>
          <w:color w:val="000000"/>
          <w:sz w:val="21"/>
          <w:szCs w:val="21"/>
        </w:rPr>
        <w:t xml:space="preserve">exclude females from some feeding grounds </w:t>
      </w:r>
      <w:r>
        <w:fldChar w:fldCharType="begin"/>
      </w:r>
      <w:r>
        <w:instrText xml:space="preserve"> HYPERLINK "https://www.zotero.org/google-docs/?bA6N3E" </w:instrText>
      </w:r>
      <w:r>
        <w:fldChar w:fldCharType="separate"/>
      </w:r>
      <w:r>
        <w:rPr>
          <w:rStyle w:val="14"/>
          <w:rFonts w:cs="sans-serif" w:asciiTheme="minorHAnsi" w:hAnsiTheme="minorHAnsi"/>
          <w:color w:val="000000"/>
          <w:sz w:val="21"/>
          <w:szCs w:val="21"/>
          <w:u w:val="none"/>
        </w:rPr>
        <w:t>(Weimerskirch, Salamolard, Sarrazin, &amp; Jouventin, 1993)</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Wandering albatrosses have</w:t>
      </w:r>
      <w:r>
        <w:rPr>
          <w:rFonts w:cs="sans-serif" w:asciiTheme="minorHAnsi" w:hAnsiTheme="minorHAnsi"/>
          <w:color w:val="000000"/>
          <w:sz w:val="21"/>
          <w:szCs w:val="21"/>
          <w:lang w:val="en"/>
        </w:rPr>
        <w:t xml:space="preserve"> indeed</w:t>
      </w:r>
      <w:r>
        <w:rPr>
          <w:rFonts w:cs="sans-serif" w:asciiTheme="minorHAnsi" w:hAnsiTheme="minorHAnsi"/>
          <w:color w:val="000000"/>
          <w:sz w:val="21"/>
          <w:szCs w:val="21"/>
        </w:rPr>
        <w:t xml:space="preserve"> been shown to exhibit partial sexual segregation in their at-sea distribution during the breeding season, especially during incubation </w:t>
      </w:r>
      <w:r>
        <w:fldChar w:fldCharType="begin"/>
      </w:r>
      <w:r>
        <w:instrText xml:space="preserve"> HYPERLINK "https://www.zotero.org/google-docs/?YCwxj9" </w:instrText>
      </w:r>
      <w:r>
        <w:fldChar w:fldCharType="separate"/>
      </w:r>
      <w:r>
        <w:rPr>
          <w:rStyle w:val="14"/>
          <w:rFonts w:cs="sans-serif" w:asciiTheme="minorHAnsi" w:hAnsiTheme="minorHAnsi"/>
          <w:color w:val="000000"/>
          <w:sz w:val="21"/>
          <w:szCs w:val="21"/>
          <w:u w:val="none"/>
        </w:rPr>
        <w:t>(Clay et al., 2020; Froy et al., 2015; Nel et al., 200</w:t>
      </w:r>
      <w:r>
        <w:rPr>
          <w:rStyle w:val="14"/>
          <w:rFonts w:cs="sans-serif" w:asciiTheme="minorHAnsi" w:hAnsiTheme="minorHAnsi"/>
          <w:color w:val="000000"/>
          <w:sz w:val="21"/>
          <w:szCs w:val="21"/>
          <w:u w:val="none"/>
          <w:lang w:val="en"/>
        </w:rPr>
        <w:t>2</w:t>
      </w:r>
      <w:r>
        <w:rPr>
          <w:rStyle w:val="14"/>
          <w:rFonts w:cs="sans-serif" w:asciiTheme="minorHAnsi" w:hAnsiTheme="minorHAnsi"/>
          <w:color w:val="000000"/>
          <w:sz w:val="21"/>
          <w:szCs w:val="21"/>
          <w:u w:val="none"/>
        </w:rPr>
        <w:t>; Pinaud &amp; Weimerskirch, 2007; Weimerskirch et al., 1993)</w:t>
      </w:r>
      <w:r>
        <w:rPr>
          <w:rStyle w:val="14"/>
          <w:rFonts w:cs="sans-serif" w:asciiTheme="minorHAnsi" w:hAnsiTheme="minorHAnsi"/>
          <w:color w:val="000000"/>
          <w:sz w:val="21"/>
          <w:szCs w:val="21"/>
          <w:u w:val="none"/>
        </w:rPr>
        <w:fldChar w:fldCharType="end"/>
      </w:r>
      <w:r>
        <w:rPr>
          <w:rStyle w:val="14"/>
          <w:rFonts w:cs="sans-serif" w:asciiTheme="minorHAnsi" w:hAnsiTheme="minorHAnsi"/>
          <w:color w:val="000000"/>
          <w:sz w:val="21"/>
          <w:szCs w:val="21"/>
          <w:u w:val="none"/>
        </w:rPr>
        <w:t xml:space="preserve">. </w:t>
      </w:r>
      <w:r>
        <w:rPr>
          <w:rStyle w:val="14"/>
          <w:rFonts w:cs="sans-serif" w:asciiTheme="minorHAnsi" w:hAnsiTheme="minorHAnsi"/>
          <w:color w:val="000000"/>
          <w:sz w:val="21"/>
          <w:szCs w:val="21"/>
          <w:u w:val="none"/>
          <w:lang w:val="en"/>
        </w:rPr>
        <w:t>To our knowledge t</w:t>
      </w:r>
      <w:r>
        <w:rPr>
          <w:rFonts w:cs="sans-serif" w:asciiTheme="minorHAnsi" w:hAnsiTheme="minorHAnsi"/>
          <w:color w:val="000000"/>
          <w:sz w:val="21"/>
          <w:szCs w:val="21"/>
        </w:rPr>
        <w:t xml:space="preserve">his apparent segregation has, however, never been tested for </w:t>
      </w:r>
      <w:r>
        <w:rPr>
          <w:rFonts w:cs="sans-serif" w:asciiTheme="minorHAnsi" w:hAnsiTheme="minorHAnsi"/>
          <w:color w:val="000000"/>
          <w:sz w:val="21"/>
          <w:szCs w:val="21"/>
          <w:lang w:val="en"/>
        </w:rPr>
        <w:t>large</w:t>
      </w:r>
      <w:r>
        <w:rPr>
          <w:rFonts w:cs="sans-serif" w:asciiTheme="minorHAnsi" w:hAnsiTheme="minorHAnsi"/>
          <w:color w:val="000000"/>
          <w:sz w:val="21"/>
          <w:szCs w:val="21"/>
        </w:rPr>
        <w:t xml:space="preserve"> albatrosses against a null model constructed by randomization or simulation </w:t>
      </w:r>
      <w:r>
        <w:fldChar w:fldCharType="begin"/>
      </w:r>
      <w:r>
        <w:instrText xml:space="preserve"> HYPERLINK "https://www.zotero.org/google-docs/?mA6fRe" </w:instrText>
      </w:r>
      <w:r>
        <w:fldChar w:fldCharType="separate"/>
      </w:r>
      <w:r>
        <w:rPr>
          <w:rStyle w:val="14"/>
          <w:rFonts w:cs="sans-serif" w:asciiTheme="minorHAnsi" w:hAnsiTheme="minorHAnsi"/>
          <w:color w:val="000000"/>
          <w:sz w:val="21"/>
          <w:szCs w:val="21"/>
          <w:u w:val="none"/>
        </w:rPr>
        <w:t xml:space="preserve">(e.g. </w:t>
      </w:r>
      <w:r>
        <w:rPr>
          <w:rFonts w:cs="sans-serif" w:asciiTheme="minorHAnsi" w:hAnsiTheme="minorHAnsi"/>
          <w:color w:val="000000"/>
          <w:sz w:val="21"/>
          <w:szCs w:val="21"/>
        </w:rPr>
        <w:t>Barbraud, Delord, Kato,</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Bustamante, &amp; Cherel, 2019</w:t>
      </w:r>
      <w:r>
        <w:rPr>
          <w:rStyle w:val="14"/>
          <w:rFonts w:cs="sans-serif" w:asciiTheme="minorHAnsi" w:hAnsiTheme="minorHAnsi"/>
          <w:color w:val="000000"/>
          <w:sz w:val="21"/>
          <w:szCs w:val="21"/>
          <w:u w:val="none"/>
        </w:rPr>
        <w:t>; Cleasby et al., 2015; Ito, Watanabe, Kokubun, &amp; Takahashi, 2020)</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nor linked to differences in habitat preference</w:t>
      </w:r>
      <w:r>
        <w:rPr>
          <w:rFonts w:cs="sans-serif" w:asciiTheme="minorHAnsi" w:hAnsiTheme="minorHAnsi"/>
          <w:color w:val="000000"/>
          <w:sz w:val="21"/>
          <w:szCs w:val="21"/>
          <w:lang w:val="en"/>
        </w:rPr>
        <w:t xml:space="preserve"> models (</w:t>
      </w:r>
      <w:r>
        <w:rPr>
          <w:rFonts w:cs="sans-serif" w:asciiTheme="minorHAnsi" w:hAnsiTheme="minorHAnsi"/>
          <w:i/>
          <w:iCs/>
          <w:color w:val="000000"/>
          <w:sz w:val="21"/>
          <w:szCs w:val="21"/>
          <w:lang w:val="en"/>
        </w:rPr>
        <w:t>sensu</w:t>
      </w:r>
      <w:r>
        <w:rPr>
          <w:rFonts w:cs="sans-serif" w:asciiTheme="minorHAnsi" w:hAnsiTheme="minorHAnsi"/>
          <w:color w:val="000000"/>
          <w:sz w:val="21"/>
          <w:szCs w:val="21"/>
          <w:lang w:val="en"/>
        </w:rPr>
        <w:t xml:space="preserve"> Aarts, MacKenzie, McConnell, Fedak, &amp; Matthiopoulos, 2008; Wakefield et al., 2011) that explicitly account for site and sex-specific competition (but see Wakefield et al. 2011 and Catry et al. 2013 for habitat selection models that integrated ‘distance from neighboring colonies’ as a proxy of intraspecific competition).</w:t>
      </w:r>
    </w:p>
    <w:p>
      <w:pPr>
        <w:pStyle w:val="16"/>
        <w:spacing w:before="240" w:beforeAutospacing="0" w:after="240" w:afterAutospacing="0" w:line="480" w:lineRule="auto"/>
        <w:ind w:firstLine="420"/>
        <w:rPr>
          <w:rFonts w:cs="sans-serif" w:asciiTheme="minorHAnsi" w:hAnsiTheme="minorHAnsi"/>
          <w:color w:val="000000"/>
          <w:sz w:val="21"/>
          <w:szCs w:val="21"/>
          <w:lang w:val="en"/>
        </w:rPr>
      </w:pPr>
      <w:r>
        <w:rPr>
          <w:rFonts w:cs="sans-serif" w:asciiTheme="minorHAnsi" w:hAnsiTheme="minorHAnsi"/>
          <w:color w:val="000000"/>
          <w:sz w:val="21"/>
          <w:szCs w:val="21"/>
        </w:rPr>
        <w:t xml:space="preserve">Our aim was to </w:t>
      </w:r>
      <w:r>
        <w:rPr>
          <w:rFonts w:cs="sans-serif" w:asciiTheme="minorHAnsi" w:hAnsiTheme="minorHAnsi"/>
          <w:color w:val="000000"/>
          <w:sz w:val="21"/>
          <w:szCs w:val="21"/>
          <w:lang w:val="en"/>
        </w:rPr>
        <w:t xml:space="preserve">test two hypotheses commonly used to explain sexual segregation in a central place forager characterized by sexual dimorphism: “competitive exclusion” (H1) </w:t>
      </w:r>
      <w:r>
        <w:rPr>
          <w:rFonts w:cs="sans-serif" w:asciiTheme="minorHAnsi" w:hAnsiTheme="minorHAnsi"/>
          <w:i/>
          <w:iCs/>
          <w:color w:val="000000"/>
          <w:sz w:val="21"/>
          <w:szCs w:val="21"/>
          <w:lang w:val="en"/>
        </w:rPr>
        <w:t>vs.</w:t>
      </w:r>
      <w:r>
        <w:rPr>
          <w:rFonts w:cs="sans-serif" w:asciiTheme="minorHAnsi" w:hAnsiTheme="minorHAnsi"/>
          <w:color w:val="000000"/>
          <w:sz w:val="21"/>
          <w:szCs w:val="21"/>
          <w:lang w:val="en"/>
        </w:rPr>
        <w:t xml:space="preserve"> “niche divergence” (H2) (Phillips et al. 2004)</w:t>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 xml:space="preserve">Synchronously between populations and over </w:t>
      </w:r>
      <w:r>
        <w:rPr>
          <w:rFonts w:cs="sans-serif" w:asciiTheme="minorHAnsi" w:hAnsiTheme="minorHAnsi"/>
          <w:color w:val="000000"/>
          <w:sz w:val="21"/>
          <w:szCs w:val="21"/>
          <w:lang w:val="en"/>
        </w:rPr>
        <w:t>four</w:t>
      </w:r>
      <w:r>
        <w:rPr>
          <w:rFonts w:cs="sans-serif" w:asciiTheme="minorHAnsi" w:hAnsiTheme="minorHAnsi"/>
          <w:color w:val="000000"/>
          <w:sz w:val="21"/>
          <w:szCs w:val="21"/>
        </w:rPr>
        <w:t xml:space="preserve"> consecutive years, we tracked 192 wandering albatrosses (110 males, 82 females) during the incubation period. Tracking data were analyzed using two approaches. Firstly, we compared Kernel Density Estimates (KDE) of the tracking data against a null model to investigate whether spatial segregation or aggregation occurs more than expected by chance </w:t>
      </w:r>
      <w:r>
        <w:fldChar w:fldCharType="begin"/>
      </w:r>
      <w:r>
        <w:instrText xml:space="preserve"> HYPERLINK "https://www.zotero.org/google-docs/?XK6IuC" </w:instrText>
      </w:r>
      <w:r>
        <w:fldChar w:fldCharType="separate"/>
      </w:r>
      <w:r>
        <w:rPr>
          <w:rStyle w:val="14"/>
          <w:rFonts w:cs="sans-serif" w:asciiTheme="minorHAnsi" w:hAnsiTheme="minorHAnsi"/>
          <w:color w:val="000000"/>
          <w:sz w:val="21"/>
          <w:szCs w:val="21"/>
          <w:u w:val="none"/>
        </w:rPr>
        <w:t>(Ito et al., 2020)</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Secondly, we used Resource Selection Functions (RSF, Boyce &amp; McDonald, 1999) to investigate the relative influence of int</w:t>
      </w:r>
      <w:r>
        <w:rPr>
          <w:rFonts w:cs="sans-serif" w:asciiTheme="minorHAnsi" w:hAnsiTheme="minorHAnsi"/>
          <w:color w:val="000000"/>
          <w:sz w:val="21"/>
          <w:szCs w:val="21"/>
          <w:lang w:val="en"/>
        </w:rPr>
        <w:t>er- and intrapopulation sexual</w:t>
      </w:r>
      <w:r>
        <w:rPr>
          <w:rFonts w:cs="sans-serif" w:asciiTheme="minorHAnsi" w:hAnsiTheme="minorHAnsi"/>
          <w:color w:val="000000"/>
          <w:sz w:val="21"/>
          <w:szCs w:val="21"/>
        </w:rPr>
        <w:t xml:space="preserve"> competition</w:t>
      </w:r>
      <w:r>
        <w:rPr>
          <w:rFonts w:cs="sans-serif" w:asciiTheme="minorHAnsi" w:hAnsiTheme="minorHAnsi"/>
          <w:color w:val="000000"/>
          <w:sz w:val="21"/>
          <w:szCs w:val="21"/>
          <w:lang w:val="en"/>
        </w:rPr>
        <w:t xml:space="preserve"> while controlling for</w:t>
      </w:r>
      <w:r>
        <w:rPr>
          <w:rFonts w:cs="sans-serif" w:asciiTheme="minorHAnsi" w:hAnsiTheme="minorHAnsi"/>
          <w:color w:val="000000"/>
          <w:sz w:val="21"/>
          <w:szCs w:val="21"/>
        </w:rPr>
        <w:t xml:space="preserve"> habitat availability</w:t>
      </w:r>
      <w:r>
        <w:rPr>
          <w:rFonts w:cs="sans-serif" w:asciiTheme="minorHAnsi" w:hAnsiTheme="minorHAnsi"/>
          <w:color w:val="000000"/>
          <w:sz w:val="21"/>
          <w:szCs w:val="21"/>
          <w:lang w:val="en"/>
        </w:rPr>
        <w:t xml:space="preserve"> and variability</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to</w:t>
      </w:r>
      <w:r>
        <w:rPr>
          <w:rFonts w:cs="sans-serif" w:asciiTheme="minorHAnsi" w:hAnsiTheme="minorHAnsi"/>
          <w:color w:val="000000"/>
          <w:sz w:val="21"/>
          <w:szCs w:val="21"/>
        </w:rPr>
        <w:t xml:space="preserve"> estimate at-sea densities for the two populations, weighted by their relative population size (following Wakefield et al., 2011). </w:t>
      </w:r>
      <w:r>
        <w:rPr>
          <w:rFonts w:cs="sans-serif" w:asciiTheme="minorHAnsi" w:hAnsiTheme="minorHAnsi"/>
          <w:color w:val="000000"/>
          <w:sz w:val="21"/>
          <w:szCs w:val="21"/>
          <w:lang w:val="en"/>
        </w:rPr>
        <w:t>B</w:t>
      </w:r>
      <w:r>
        <w:rPr>
          <w:rFonts w:cs="sans-serif" w:asciiTheme="minorHAnsi" w:hAnsiTheme="minorHAnsi"/>
          <w:color w:val="000000"/>
          <w:sz w:val="21"/>
          <w:szCs w:val="21"/>
        </w:rPr>
        <w:t>ecause the Prince Edward Archipelago</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has ~</w:t>
      </w:r>
      <w:r>
        <w:rPr>
          <w:rFonts w:hint="default" w:cs="sans-serif" w:asciiTheme="minorHAnsi" w:hAnsiTheme="minorHAnsi"/>
          <w:color w:val="000000"/>
          <w:sz w:val="21"/>
          <w:szCs w:val="21"/>
          <w:lang w:val="en"/>
        </w:rPr>
        <w:t>1000</w:t>
      </w:r>
      <w:r>
        <w:rPr>
          <w:rFonts w:cs="sans-serif" w:asciiTheme="minorHAnsi" w:hAnsiTheme="minorHAnsi"/>
          <w:color w:val="000000"/>
          <w:sz w:val="21"/>
          <w:szCs w:val="21"/>
        </w:rPr>
        <w:t xml:space="preserve"> more breeding pairs, we expect that birds from this population should have a larger distribution range (due to greater intrapopulation competition), compared to birds breeding on the Crozet Archipelago and birds from the Prince Edward Archipelago </w:t>
      </w:r>
      <w:r>
        <w:rPr>
          <w:rFonts w:cs="sans-serif" w:asciiTheme="minorHAnsi" w:hAnsiTheme="minorHAnsi"/>
          <w:color w:val="000000"/>
          <w:sz w:val="21"/>
          <w:szCs w:val="21"/>
          <w:lang w:val="en"/>
        </w:rPr>
        <w:t xml:space="preserve">might </w:t>
      </w:r>
      <w:r>
        <w:rPr>
          <w:rFonts w:cs="sans-serif" w:asciiTheme="minorHAnsi" w:hAnsiTheme="minorHAnsi"/>
          <w:color w:val="000000"/>
          <w:sz w:val="21"/>
          <w:szCs w:val="21"/>
        </w:rPr>
        <w:t>exert a greater influence on the distribution of birds from the Crozet Archipelago due to</w:t>
      </w:r>
      <w:r>
        <w:rPr>
          <w:rFonts w:cs="sans-serif" w:asciiTheme="minorHAnsi" w:hAnsiTheme="minorHAnsi"/>
          <w:color w:val="000000"/>
          <w:sz w:val="21"/>
          <w:szCs w:val="21"/>
          <w:lang w:val="en"/>
        </w:rPr>
        <w:t xml:space="preserve"> potential</w:t>
      </w:r>
      <w:r>
        <w:rPr>
          <w:rFonts w:cs="sans-serif" w:asciiTheme="minorHAnsi" w:hAnsiTheme="minorHAnsi"/>
          <w:color w:val="000000"/>
          <w:sz w:val="21"/>
          <w:szCs w:val="21"/>
        </w:rPr>
        <w:t xml:space="preserve"> interpopulation competition.</w:t>
      </w:r>
      <w:r>
        <w:rPr>
          <w:rFonts w:cs="sans-serif" w:asciiTheme="minorHAnsi" w:hAnsiTheme="minorHAnsi"/>
          <w:color w:val="000000"/>
          <w:sz w:val="21"/>
          <w:szCs w:val="21"/>
          <w:lang w:val="en"/>
        </w:rPr>
        <w:t xml:space="preserve"> Moreover, because females are ~20% smaller than the males, females are expected to avoid areas selected by males as a result of direct competition (in favor of H1). However, because both populations appear to be below their carrying capacities, resulting in presumably low at-sea densities, we expect</w:t>
      </w:r>
      <w:r>
        <w:rPr>
          <w:rFonts w:cs="sans-serif" w:asciiTheme="minorHAnsi" w:hAnsiTheme="minorHAnsi"/>
          <w:color w:val="000000"/>
          <w:sz w:val="21"/>
          <w:szCs w:val="21"/>
        </w:rPr>
        <w:t xml:space="preserve"> more pronounced sexual segregation than interpopulation segregation</w:t>
      </w:r>
      <w:r>
        <w:rPr>
          <w:rFonts w:cs="sans-serif" w:asciiTheme="minorHAnsi" w:hAnsiTheme="minorHAnsi"/>
          <w:color w:val="000000"/>
          <w:sz w:val="21"/>
          <w:szCs w:val="21"/>
          <w:lang w:val="en"/>
        </w:rPr>
        <w:t>, which would suggest niche divergence (H2) rather than competitive exclusion (H1).</w:t>
      </w:r>
    </w:p>
    <w:p>
      <w:pPr>
        <w:pStyle w:val="16"/>
        <w:spacing w:before="240" w:beforeAutospacing="0" w:after="240" w:afterAutospacing="0" w:line="480" w:lineRule="auto"/>
        <w:rPr>
          <w:rFonts w:asciiTheme="minorHAnsi" w:hAnsiTheme="minorHAnsi"/>
        </w:rPr>
      </w:pPr>
      <w:r>
        <w:rPr>
          <w:rFonts w:cs="sans-serif" w:asciiTheme="minorHAnsi" w:hAnsiTheme="minorHAnsi"/>
          <w:b/>
          <w:color w:val="000000"/>
          <w:sz w:val="21"/>
          <w:szCs w:val="21"/>
        </w:rPr>
        <w:t>Materials and methods</w:t>
      </w:r>
    </w:p>
    <w:p>
      <w:pPr>
        <w:pStyle w:val="16"/>
        <w:spacing w:before="240" w:beforeAutospacing="0" w:after="240" w:afterAutospacing="0" w:line="480" w:lineRule="auto"/>
        <w:rPr>
          <w:rFonts w:asciiTheme="minorHAnsi" w:hAnsiTheme="minorHAnsi"/>
        </w:rPr>
      </w:pPr>
      <w:r>
        <w:rPr>
          <w:rFonts w:cs="sans-serif" w:asciiTheme="minorHAnsi" w:hAnsiTheme="minorHAnsi"/>
          <w:b/>
          <w:i/>
          <w:color w:val="000000"/>
          <w:sz w:val="21"/>
          <w:szCs w:val="21"/>
        </w:rPr>
        <w:t>Data collection and processing</w:t>
      </w:r>
    </w:p>
    <w:p>
      <w:pPr>
        <w:pStyle w:val="16"/>
        <w:spacing w:before="240" w:beforeAutospacing="0" w:after="240" w:afterAutospacing="0" w:line="480" w:lineRule="auto"/>
        <w:rPr>
          <w:rFonts w:asciiTheme="minorHAnsi" w:hAnsiTheme="minorHAnsi"/>
        </w:rPr>
      </w:pPr>
      <w:r>
        <w:rPr>
          <w:rFonts w:cs="sans-serif" w:asciiTheme="minorHAnsi" w:hAnsiTheme="minorHAnsi"/>
          <w:color w:val="000000"/>
          <w:sz w:val="21"/>
          <w:szCs w:val="21"/>
        </w:rPr>
        <w:t>Wandering albatrosses from Possession Island, Crozet Archipelago (46°24’S, 51°46’E</w:t>
      </w:r>
      <w:r>
        <w:rPr>
          <w:rFonts w:cs="sans-serif" w:asciiTheme="minorHAnsi" w:hAnsiTheme="minorHAnsi"/>
          <w:color w:val="000000"/>
          <w:sz w:val="21"/>
          <w:szCs w:val="21"/>
          <w:lang w:val="en"/>
        </w:rPr>
        <w:t>, henceforth abbreviated as ‘Crozet’</w:t>
      </w:r>
      <w:r>
        <w:rPr>
          <w:rFonts w:cs="sans-serif" w:asciiTheme="minorHAnsi" w:hAnsiTheme="minorHAnsi"/>
          <w:color w:val="000000"/>
          <w:sz w:val="21"/>
          <w:szCs w:val="21"/>
        </w:rPr>
        <w:t>) and Marion Island, Prince Edward Archipelago (46°54’S, 37°48’E</w:t>
      </w:r>
      <w:r>
        <w:rPr>
          <w:rFonts w:cs="sans-serif" w:asciiTheme="minorHAnsi" w:hAnsiTheme="minorHAnsi"/>
          <w:color w:val="000000"/>
          <w:sz w:val="21"/>
          <w:szCs w:val="21"/>
          <w:lang w:val="en"/>
        </w:rPr>
        <w:t>, henceforth abbreviated as ‘Marion’</w:t>
      </w:r>
      <w:r>
        <w:rPr>
          <w:rFonts w:cs="sans-serif" w:asciiTheme="minorHAnsi" w:hAnsiTheme="minorHAnsi"/>
          <w:color w:val="000000"/>
          <w:sz w:val="21"/>
          <w:szCs w:val="21"/>
        </w:rPr>
        <w:t>), were individually sexed from field observations or from genetic analyses. GPS loggers (CatLog-S</w:t>
      </w:r>
      <w:r>
        <w:rPr>
          <w:rFonts w:cs="sans-serif" w:asciiTheme="minorHAnsi" w:hAnsiTheme="minorHAnsi"/>
          <w:color w:val="000000"/>
          <w:sz w:val="21"/>
          <w:szCs w:val="21"/>
          <w:lang w:val="en"/>
        </w:rPr>
        <w:t xml:space="preserve">, Catnip Technologies, Hong Kong, </w:t>
      </w:r>
      <w:r>
        <w:rPr>
          <w:rFonts w:cs="sans-serif" w:asciiTheme="minorHAnsi" w:hAnsiTheme="minorHAnsi"/>
          <w:color w:val="000000"/>
          <w:sz w:val="21"/>
          <w:szCs w:val="21"/>
        </w:rPr>
        <w:t>and Igot</w:t>
      </w:r>
      <w:r>
        <w:rPr>
          <w:rFonts w:cs="sans-serif" w:asciiTheme="minorHAnsi" w:hAnsiTheme="minorHAnsi"/>
          <w:color w:val="000000"/>
          <w:sz w:val="21"/>
          <w:szCs w:val="21"/>
          <w:lang w:val="en"/>
        </w:rPr>
        <w:t>-</w:t>
      </w:r>
      <w:r>
        <w:rPr>
          <w:rFonts w:cs="sans-serif" w:asciiTheme="minorHAnsi" w:hAnsiTheme="minorHAnsi"/>
          <w:color w:val="000000"/>
          <w:sz w:val="21"/>
          <w:szCs w:val="21"/>
        </w:rPr>
        <w:t>U GPS</w:t>
      </w:r>
      <w:r>
        <w:rPr>
          <w:rFonts w:cs="sans-serif" w:asciiTheme="minorHAnsi" w:hAnsiTheme="minorHAnsi"/>
          <w:color w:val="000000"/>
          <w:sz w:val="21"/>
          <w:szCs w:val="21"/>
          <w:lang w:val="en"/>
        </w:rPr>
        <w:t>, Mobile Action Technology,</w:t>
      </w:r>
      <w:r>
        <w:rPr>
          <w:rFonts w:cs="sans-serif" w:asciiTheme="minorHAnsi" w:hAnsiTheme="minorHAnsi"/>
          <w:color w:val="000000"/>
          <w:sz w:val="21"/>
          <w:szCs w:val="21"/>
        </w:rPr>
        <w:t xml:space="preserve"> at Marion, and </w:t>
      </w:r>
      <w:r>
        <w:rPr>
          <w:rFonts w:cs="sans-serif" w:asciiTheme="minorHAnsi" w:hAnsiTheme="minorHAnsi"/>
          <w:color w:val="000000"/>
          <w:sz w:val="21"/>
          <w:szCs w:val="21"/>
          <w:lang w:val="en"/>
        </w:rPr>
        <w:t>I</w:t>
      </w:r>
      <w:r>
        <w:rPr>
          <w:rFonts w:cs="sans-serif" w:asciiTheme="minorHAnsi" w:hAnsiTheme="minorHAnsi"/>
          <w:color w:val="000000"/>
          <w:sz w:val="21"/>
          <w:szCs w:val="21"/>
        </w:rPr>
        <w:t>got</w:t>
      </w:r>
      <w:r>
        <w:rPr>
          <w:rFonts w:cs="sans-serif" w:asciiTheme="minorHAnsi" w:hAnsiTheme="minorHAnsi"/>
          <w:color w:val="000000"/>
          <w:sz w:val="21"/>
          <w:szCs w:val="21"/>
          <w:lang w:val="en"/>
        </w:rPr>
        <w:t>-</w:t>
      </w:r>
      <w:r>
        <w:rPr>
          <w:rFonts w:cs="sans-serif" w:asciiTheme="minorHAnsi" w:hAnsiTheme="minorHAnsi"/>
          <w:color w:val="000000"/>
          <w:sz w:val="21"/>
          <w:szCs w:val="21"/>
        </w:rPr>
        <w:t>U and X-GPS</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at Crozet</w:t>
      </w:r>
      <w:r>
        <w:rPr>
          <w:rFonts w:cs="sans-serif" w:asciiTheme="minorHAnsi" w:hAnsiTheme="minorHAnsi"/>
          <w:color w:val="000000"/>
          <w:sz w:val="21"/>
          <w:szCs w:val="21"/>
          <w:lang w:val="en"/>
        </w:rPr>
        <w:t>, Weimerskirch et al. 2018</w:t>
      </w:r>
      <w:r>
        <w:rPr>
          <w:rFonts w:cs="sans-serif" w:asciiTheme="minorHAnsi" w:hAnsiTheme="minorHAnsi"/>
          <w:color w:val="000000"/>
          <w:sz w:val="21"/>
          <w:szCs w:val="21"/>
        </w:rPr>
        <w:t xml:space="preserve">) were deployed on incubating birds and attached to the back feathers using Tesa© tape and left on birds for one (180 individuals) or two (12 individuals) at-sea trips. Tracking was conducted </w:t>
      </w:r>
      <w:r>
        <w:rPr>
          <w:rFonts w:cs="sans-serif" w:asciiTheme="minorHAnsi" w:hAnsiTheme="minorHAnsi"/>
          <w:color w:val="000000"/>
          <w:sz w:val="21"/>
          <w:szCs w:val="21"/>
          <w:lang w:val="en"/>
        </w:rPr>
        <w:t>s</w:t>
      </w:r>
      <w:r>
        <w:rPr>
          <w:rFonts w:cs="sans-serif" w:asciiTheme="minorHAnsi" w:hAnsiTheme="minorHAnsi"/>
          <w:color w:val="000000"/>
          <w:sz w:val="21"/>
          <w:szCs w:val="21"/>
        </w:rPr>
        <w:t>ynchronously at Marion and Crozet. A total of 192 birds (Crozet: 66 males and 55 females totaling 121 birds; Marion: 44 males and 27 females totaling 71 birds</w:t>
      </w:r>
      <w:r>
        <w:rPr>
          <w:rFonts w:cs="sans-serif" w:asciiTheme="minorHAnsi" w:hAnsiTheme="minorHAnsi"/>
          <w:color w:val="000000"/>
          <w:sz w:val="21"/>
          <w:szCs w:val="21"/>
          <w:lang w:val="en"/>
        </w:rPr>
        <w:t>, Table 1</w:t>
      </w:r>
      <w:r>
        <w:rPr>
          <w:rFonts w:cs="sans-serif" w:asciiTheme="minorHAnsi" w:hAnsiTheme="minorHAnsi"/>
          <w:color w:val="000000"/>
          <w:sz w:val="21"/>
          <w:szCs w:val="21"/>
        </w:rPr>
        <w:t xml:space="preserve">) were tracked during </w:t>
      </w:r>
      <w:r>
        <w:rPr>
          <w:rFonts w:cs="sans-serif" w:asciiTheme="minorHAnsi" w:hAnsiTheme="minorHAnsi"/>
          <w:color w:val="000000"/>
          <w:sz w:val="21"/>
          <w:szCs w:val="21"/>
          <w:lang w:val="en"/>
        </w:rPr>
        <w:t>four</w:t>
      </w:r>
      <w:r>
        <w:rPr>
          <w:rFonts w:cs="sans-serif" w:asciiTheme="minorHAnsi" w:hAnsiTheme="minorHAnsi"/>
          <w:color w:val="000000"/>
          <w:sz w:val="21"/>
          <w:szCs w:val="21"/>
        </w:rPr>
        <w:t xml:space="preserve"> subsequent years (2016-2019) with a relatively similar sample size (N) and sex ratio (SR; percentage of males) per year: 2016: N=42, SR=36%; 2017: N=35, SR=40%; 2018: N=48, SR=48%; 2019: N=67, SR=45%. GPS sampling rates were programmed to record locations at intervals from 1 to 90 min, depending on site and year.   </w:t>
      </w:r>
    </w:p>
    <w:p>
      <w:pPr>
        <w:pStyle w:val="16"/>
        <w:spacing w:before="240" w:beforeAutospacing="0" w:after="240" w:afterAutospacing="0" w:line="480" w:lineRule="auto"/>
        <w:ind w:firstLine="420"/>
        <w:rPr>
          <w:rFonts w:asciiTheme="minorHAnsi" w:hAnsiTheme="minorHAnsi"/>
        </w:rPr>
      </w:pPr>
      <w:r>
        <w:rPr>
          <w:rFonts w:cs="sans-serif" w:asciiTheme="minorHAnsi" w:hAnsiTheme="minorHAnsi"/>
          <w:color w:val="000000"/>
          <w:sz w:val="21"/>
          <w:szCs w:val="21"/>
        </w:rPr>
        <w:t xml:space="preserve">Data processing and analyses were conducted in R v.3.6.3 (R Core Team 2020). Locations within 2 km of the islands were removed and locations were regularly interpolated every 90 min using the </w:t>
      </w:r>
      <w:r>
        <w:rPr>
          <w:rFonts w:cs="sans-serif" w:asciiTheme="minorHAnsi" w:hAnsiTheme="minorHAnsi"/>
          <w:i/>
          <w:color w:val="000000"/>
          <w:sz w:val="21"/>
          <w:szCs w:val="21"/>
        </w:rPr>
        <w:t xml:space="preserve">crawl </w:t>
      </w:r>
      <w:r>
        <w:rPr>
          <w:rFonts w:cs="sans-serif" w:asciiTheme="minorHAnsi" w:hAnsiTheme="minorHAnsi"/>
          <w:color w:val="000000"/>
          <w:sz w:val="21"/>
          <w:szCs w:val="21"/>
        </w:rPr>
        <w:t xml:space="preserve">package </w:t>
      </w:r>
      <w:r>
        <w:fldChar w:fldCharType="begin"/>
      </w:r>
      <w:r>
        <w:instrText xml:space="preserve"> HYPERLINK "https://www.zotero.org/google-docs/?9x2ffG" </w:instrText>
      </w:r>
      <w:r>
        <w:fldChar w:fldCharType="separate"/>
      </w:r>
      <w:r>
        <w:rPr>
          <w:rStyle w:val="14"/>
          <w:rFonts w:cs="sans-serif" w:asciiTheme="minorHAnsi" w:hAnsiTheme="minorHAnsi"/>
          <w:color w:val="000000"/>
          <w:sz w:val="21"/>
          <w:szCs w:val="21"/>
          <w:u w:val="none"/>
        </w:rPr>
        <w:t>(Johnson, London, Lea, &amp; Durban, 2008)</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w:t>
      </w:r>
      <w:r>
        <w:rPr>
          <w:rFonts w:cs="sans-serif" w:asciiTheme="minorHAnsi" w:hAnsiTheme="minorHAnsi"/>
          <w:i/>
          <w:color w:val="000000"/>
          <w:sz w:val="21"/>
          <w:szCs w:val="21"/>
        </w:rPr>
        <w:t xml:space="preserve"> </w:t>
      </w:r>
      <w:r>
        <w:rPr>
          <w:rFonts w:cs="sans-serif" w:asciiTheme="minorHAnsi" w:hAnsiTheme="minorHAnsi"/>
          <w:color w:val="000000"/>
          <w:sz w:val="21"/>
          <w:szCs w:val="21"/>
        </w:rPr>
        <w:t>Analyses described hereafter were performed with data projected in Lambert Equal-Area Azimuthal projection.</w:t>
      </w:r>
    </w:p>
    <w:p>
      <w:pPr>
        <w:pStyle w:val="16"/>
        <w:spacing w:before="240" w:beforeAutospacing="0" w:after="240" w:afterAutospacing="0" w:line="480" w:lineRule="auto"/>
        <w:rPr>
          <w:rFonts w:asciiTheme="minorHAnsi" w:hAnsiTheme="minorHAnsi"/>
        </w:rPr>
      </w:pPr>
      <w:r>
        <w:rPr>
          <w:rFonts w:cs="sans-serif" w:asciiTheme="minorHAnsi" w:hAnsiTheme="minorHAnsi"/>
          <w:b/>
          <w:i/>
          <w:color w:val="000000"/>
          <w:sz w:val="21"/>
          <w:szCs w:val="21"/>
        </w:rPr>
        <w:t>Null model and pseudo-track simulations</w:t>
      </w:r>
    </w:p>
    <w:p>
      <w:pPr>
        <w:pStyle w:val="16"/>
        <w:spacing w:before="240" w:beforeAutospacing="0" w:after="240" w:afterAutospacing="0" w:line="480" w:lineRule="auto"/>
        <w:rPr>
          <w:rFonts w:asciiTheme="minorHAnsi" w:hAnsiTheme="minorHAnsi"/>
        </w:rPr>
      </w:pPr>
      <w:r>
        <w:rPr>
          <w:rFonts w:cs="sans-serif" w:asciiTheme="minorHAnsi" w:hAnsiTheme="minorHAnsi"/>
          <w:color w:val="000000"/>
          <w:sz w:val="21"/>
          <w:szCs w:val="21"/>
        </w:rPr>
        <w:t xml:space="preserve">To examine the effect of intraspecific competition on the movements of birds, we used pseudo-tracks simulated with the </w:t>
      </w:r>
      <w:r>
        <w:rPr>
          <w:rFonts w:cs="sans-serif" w:asciiTheme="minorHAnsi" w:hAnsiTheme="minorHAnsi"/>
          <w:i/>
          <w:color w:val="000000"/>
          <w:sz w:val="21"/>
          <w:szCs w:val="21"/>
        </w:rPr>
        <w:t>availability</w:t>
      </w:r>
      <w:r>
        <w:rPr>
          <w:rFonts w:cs="sans-serif" w:asciiTheme="minorHAnsi" w:hAnsiTheme="minorHAnsi"/>
          <w:color w:val="000000"/>
          <w:sz w:val="21"/>
          <w:szCs w:val="21"/>
        </w:rPr>
        <w:t xml:space="preserve"> package </w:t>
      </w:r>
      <w:r>
        <w:fldChar w:fldCharType="begin"/>
      </w:r>
      <w:r>
        <w:instrText xml:space="preserve"> HYPERLINK "https://www.zotero.org/google-docs/?aCDVo5" </w:instrText>
      </w:r>
      <w:r>
        <w:fldChar w:fldCharType="separate"/>
      </w:r>
      <w:r>
        <w:rPr>
          <w:rStyle w:val="14"/>
          <w:rFonts w:cs="sans-serif" w:asciiTheme="minorHAnsi" w:hAnsiTheme="minorHAnsi"/>
          <w:color w:val="000000"/>
          <w:sz w:val="21"/>
          <w:szCs w:val="21"/>
          <w:u w:val="none"/>
        </w:rPr>
        <w:t>(Raymond et al., 2015)</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for two different purposes. Firstly, we simulated 1</w:t>
      </w:r>
      <w:r>
        <w:rPr>
          <w:rFonts w:cs="sans-serif" w:asciiTheme="minorHAnsi" w:hAnsiTheme="minorHAnsi"/>
          <w:color w:val="000000"/>
          <w:sz w:val="21"/>
          <w:szCs w:val="21"/>
          <w:lang w:val="en"/>
        </w:rPr>
        <w:t>,</w:t>
      </w:r>
      <w:r>
        <w:rPr>
          <w:rFonts w:cs="sans-serif" w:asciiTheme="minorHAnsi" w:hAnsiTheme="minorHAnsi"/>
          <w:color w:val="000000"/>
          <w:sz w:val="21"/>
          <w:szCs w:val="21"/>
        </w:rPr>
        <w:t xml:space="preserve">000 pseudo-tracks per individual to build a null model that assumes no intraspecific competition between sexes and populations. This set of pseudo-tracks was used to quantify the degree of overlap expected by chance </w:t>
      </w:r>
      <w:r>
        <w:fldChar w:fldCharType="begin"/>
      </w:r>
      <w:r>
        <w:instrText xml:space="preserve"> HYPERLINK "https://www.zotero.org/google-docs/?oA0yXH" </w:instrText>
      </w:r>
      <w:r>
        <w:fldChar w:fldCharType="separate"/>
      </w:r>
      <w:r>
        <w:rPr>
          <w:rStyle w:val="14"/>
          <w:rFonts w:cs="sans-serif" w:asciiTheme="minorHAnsi" w:hAnsiTheme="minorHAnsi"/>
          <w:color w:val="000000"/>
          <w:sz w:val="21"/>
          <w:szCs w:val="21"/>
          <w:u w:val="none"/>
        </w:rPr>
        <w:t>(Ito et al., 2020)</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Secondly, we randomly selected </w:t>
      </w:r>
      <w:r>
        <w:rPr>
          <w:rFonts w:cs="sans-serif" w:asciiTheme="minorHAnsi" w:hAnsiTheme="minorHAnsi"/>
          <w:color w:val="000000"/>
          <w:sz w:val="21"/>
          <w:szCs w:val="21"/>
          <w:lang w:val="en"/>
        </w:rPr>
        <w:t>10</w:t>
      </w:r>
      <w:r>
        <w:rPr>
          <w:rFonts w:cs="sans-serif" w:asciiTheme="minorHAnsi" w:hAnsiTheme="minorHAnsi"/>
          <w:color w:val="000000"/>
          <w:sz w:val="21"/>
          <w:szCs w:val="21"/>
        </w:rPr>
        <w:t xml:space="preserve"> pseudo-tracks per individual</w:t>
      </w:r>
      <w:r>
        <w:rPr>
          <w:rFonts w:cs="sans-serif" w:asciiTheme="minorHAnsi" w:hAnsiTheme="minorHAnsi"/>
          <w:color w:val="000000"/>
          <w:sz w:val="21"/>
          <w:szCs w:val="21"/>
          <w:lang w:val="en"/>
        </w:rPr>
        <w:t xml:space="preserve"> (Fig</w:t>
      </w:r>
      <w:r>
        <w:rPr>
          <w:rFonts w:hint="default" w:cs="sans-serif" w:asciiTheme="minorHAnsi" w:hAnsiTheme="minorHAnsi"/>
          <w:color w:val="000000"/>
          <w:sz w:val="21"/>
          <w:szCs w:val="21"/>
          <w:lang w:val="en"/>
        </w:rPr>
        <w:t>.</w:t>
      </w:r>
      <w:r>
        <w:rPr>
          <w:rFonts w:cs="sans-serif" w:asciiTheme="minorHAnsi" w:hAnsiTheme="minorHAnsi"/>
          <w:color w:val="000000"/>
          <w:sz w:val="21"/>
          <w:szCs w:val="21"/>
          <w:lang w:val="en"/>
        </w:rPr>
        <w:t xml:space="preserve"> S1)</w:t>
      </w:r>
      <w:r>
        <w:rPr>
          <w:rFonts w:cs="sans-serif" w:asciiTheme="minorHAnsi" w:hAnsiTheme="minorHAnsi"/>
          <w:color w:val="000000"/>
          <w:sz w:val="21"/>
          <w:szCs w:val="21"/>
        </w:rPr>
        <w:t xml:space="preserve"> and used these to characterize the oceanic environment potentially available to birds (that is, where they could have been if they did not have any habitat preferences). Combined with the real tracks, the pseudo-tracks allow for a case-control design to be used in the habitat selection models (i.e. RSF, details below).</w:t>
      </w:r>
    </w:p>
    <w:p>
      <w:pPr>
        <w:pStyle w:val="16"/>
        <w:spacing w:before="240" w:beforeAutospacing="0" w:after="240" w:afterAutospacing="0" w:line="480" w:lineRule="auto"/>
        <w:ind w:firstLine="420"/>
        <w:rPr>
          <w:rFonts w:asciiTheme="minorHAnsi" w:hAnsiTheme="minorHAnsi"/>
        </w:rPr>
      </w:pPr>
      <w:r>
        <w:rPr>
          <w:rFonts w:cs="sans-serif" w:asciiTheme="minorHAnsi" w:hAnsiTheme="minorHAnsi"/>
          <w:color w:val="000000"/>
          <w:sz w:val="21"/>
          <w:szCs w:val="21"/>
        </w:rPr>
        <w:t>Pseudo-tracks were simulated by fitting a first order vector autoregressive model based on the parameters estimated from the real tracks; the pseudo-tracks maintain the step length and turning angle distributions of the real tracks to realistically estimate null movements for each population and sex (details in Raymond et al., 2015). A land mask was used to avoid pseudo-track locations on land.</w:t>
      </w:r>
    </w:p>
    <w:p>
      <w:pPr>
        <w:pStyle w:val="16"/>
        <w:spacing w:before="240" w:beforeAutospacing="0" w:after="240" w:afterAutospacing="0" w:line="480" w:lineRule="auto"/>
        <w:rPr>
          <w:rFonts w:asciiTheme="minorHAnsi" w:hAnsiTheme="minorHAnsi"/>
        </w:rPr>
      </w:pPr>
      <w:r>
        <w:rPr>
          <w:rFonts w:cs="sans-serif" w:asciiTheme="minorHAnsi" w:hAnsiTheme="minorHAnsi"/>
          <w:b/>
          <w:i/>
          <w:color w:val="000000"/>
          <w:sz w:val="21"/>
          <w:szCs w:val="21"/>
        </w:rPr>
        <w:t>Kernel density estimations and overlaps</w:t>
      </w:r>
    </w:p>
    <w:p>
      <w:pPr>
        <w:pStyle w:val="16"/>
        <w:spacing w:before="240" w:beforeAutospacing="0" w:after="240" w:afterAutospacing="0" w:line="480" w:lineRule="auto"/>
        <w:rPr>
          <w:rFonts w:asciiTheme="minorHAnsi" w:hAnsiTheme="minorHAnsi"/>
        </w:rPr>
      </w:pPr>
      <w:r>
        <w:rPr>
          <w:rFonts w:cs="sans-serif" w:asciiTheme="minorHAnsi" w:hAnsiTheme="minorHAnsi"/>
          <w:color w:val="000000"/>
          <w:sz w:val="21"/>
          <w:szCs w:val="21"/>
        </w:rPr>
        <w:t>To quantify the spatial overlap between populations and sexes we calculated Utilization Distributions (UD, see protocol in Fig. 1a) using Kernel Density Estimation (KDE) in</w:t>
      </w:r>
      <w:r>
        <w:rPr>
          <w:rFonts w:cs="sans-serif" w:asciiTheme="minorHAnsi" w:hAnsiTheme="minorHAnsi"/>
          <w:i/>
          <w:color w:val="000000"/>
          <w:sz w:val="21"/>
          <w:szCs w:val="21"/>
        </w:rPr>
        <w:t xml:space="preserve"> </w:t>
      </w:r>
      <w:r>
        <w:rPr>
          <w:rFonts w:cs="sans-serif" w:asciiTheme="minorHAnsi" w:hAnsiTheme="minorHAnsi"/>
          <w:color w:val="000000"/>
          <w:sz w:val="21"/>
          <w:szCs w:val="21"/>
        </w:rPr>
        <w:t>the</w:t>
      </w:r>
      <w:r>
        <w:rPr>
          <w:rFonts w:cs="sans-serif" w:asciiTheme="minorHAnsi" w:hAnsiTheme="minorHAnsi"/>
          <w:i/>
          <w:color w:val="000000"/>
          <w:sz w:val="21"/>
          <w:szCs w:val="21"/>
        </w:rPr>
        <w:t xml:space="preserve"> adehabitatHR</w:t>
      </w:r>
      <w:r>
        <w:rPr>
          <w:rFonts w:cs="sans-serif" w:asciiTheme="minorHAnsi" w:hAnsiTheme="minorHAnsi"/>
          <w:color w:val="000000"/>
          <w:sz w:val="21"/>
          <w:szCs w:val="21"/>
        </w:rPr>
        <w:t xml:space="preserve"> package </w:t>
      </w:r>
      <w:r>
        <w:fldChar w:fldCharType="begin"/>
      </w:r>
      <w:r>
        <w:instrText xml:space="preserve"> HYPERLINK "https://www.zotero.org/google-docs/?SwdeNd" </w:instrText>
      </w:r>
      <w:r>
        <w:fldChar w:fldCharType="separate"/>
      </w:r>
      <w:r>
        <w:rPr>
          <w:rStyle w:val="14"/>
          <w:rFonts w:cs="sans-serif" w:asciiTheme="minorHAnsi" w:hAnsiTheme="minorHAnsi"/>
          <w:color w:val="000000"/>
          <w:sz w:val="21"/>
          <w:szCs w:val="21"/>
          <w:u w:val="none"/>
        </w:rPr>
        <w:t>(Calenge, 2006)</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Following Lascelles et al. (2016), we estimated the smoothing parameter (h) based on the spatial scale of area-restricted search estimated with the first passage time method (</w:t>
      </w:r>
      <w:r>
        <w:rPr>
          <w:rFonts w:cs="sans-serif" w:asciiTheme="minorHAnsi" w:hAnsiTheme="minorHAnsi"/>
          <w:i/>
          <w:color w:val="000000"/>
          <w:sz w:val="21"/>
          <w:szCs w:val="21"/>
        </w:rPr>
        <w:t>adehabitatLT</w:t>
      </w:r>
      <w:r>
        <w:rPr>
          <w:rFonts w:cs="sans-serif" w:asciiTheme="minorHAnsi" w:hAnsiTheme="minorHAnsi"/>
          <w:color w:val="000000"/>
          <w:sz w:val="21"/>
          <w:szCs w:val="21"/>
        </w:rPr>
        <w:t xml:space="preserve"> package, see details in Pinaud &amp; Weimerskirch, 2007) and then averaged over all individuals (h=85 km). We calculated 95% UD, which represents most of the distribution range of the population, and 50% UD, which represents core distribution. To assess the effect of tracking sample size on the estimation of UD, we calculated ‘Representative Values’ from saturation curves, following Lascelles et al. (2016). Specifically, we randomly selected an increasing number of individual trips and at each step calculated the resulting UD size as a percentage of the UD size for all trips. We obtained Representative Values &gt;85% for each population; this is considered sufficiently representative of the tracked populations (Lascelles et al., 2016</w:t>
      </w:r>
      <w:r>
        <w:rPr>
          <w:rFonts w:cs="sans-serif" w:asciiTheme="minorHAnsi" w:hAnsiTheme="minorHAnsi"/>
          <w:color w:val="000000"/>
          <w:sz w:val="21"/>
          <w:szCs w:val="21"/>
          <w:lang w:val="en"/>
        </w:rPr>
        <w:t>, Fig</w:t>
      </w:r>
      <w:r>
        <w:rPr>
          <w:rFonts w:hint="default" w:cs="sans-serif" w:asciiTheme="minorHAnsi" w:hAnsiTheme="minorHAnsi"/>
          <w:color w:val="000000"/>
          <w:sz w:val="21"/>
          <w:szCs w:val="21"/>
          <w:lang w:val="en"/>
        </w:rPr>
        <w:t>.</w:t>
      </w:r>
      <w:r>
        <w:rPr>
          <w:rFonts w:cs="sans-serif" w:asciiTheme="minorHAnsi" w:hAnsiTheme="minorHAnsi"/>
          <w:color w:val="000000"/>
          <w:sz w:val="21"/>
          <w:szCs w:val="21"/>
          <w:lang w:val="en"/>
        </w:rPr>
        <w:t xml:space="preserve"> S2</w:t>
      </w:r>
      <w:r>
        <w:rPr>
          <w:rFonts w:cs="sans-serif" w:asciiTheme="minorHAnsi" w:hAnsiTheme="minorHAnsi"/>
          <w:color w:val="000000"/>
          <w:sz w:val="21"/>
          <w:szCs w:val="21"/>
        </w:rPr>
        <w:t>).</w:t>
      </w:r>
    </w:p>
    <w:p>
      <w:pPr>
        <w:pStyle w:val="16"/>
        <w:spacing w:before="240" w:beforeAutospacing="0" w:after="240" w:afterAutospacing="0" w:line="480" w:lineRule="auto"/>
        <w:ind w:firstLine="420"/>
        <w:rPr>
          <w:rFonts w:asciiTheme="minorHAnsi" w:hAnsiTheme="minorHAnsi"/>
          <w:lang w:val="en"/>
        </w:rPr>
      </w:pPr>
      <w:r>
        <w:rPr>
          <w:rFonts w:cs="sans-serif" w:asciiTheme="minorHAnsi" w:hAnsiTheme="minorHAnsi"/>
          <w:color w:val="000000"/>
          <w:sz w:val="21"/>
          <w:szCs w:val="21"/>
        </w:rPr>
        <w:t>We then used Bhattacharyya’s Affinity index</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(BA</w:t>
      </w:r>
      <w:r>
        <w:rPr>
          <w:rFonts w:cs="sans-serif" w:asciiTheme="minorHAnsi" w:hAnsiTheme="minorHAnsi"/>
          <w:color w:val="000000"/>
          <w:sz w:val="21"/>
          <w:szCs w:val="21"/>
          <w:lang w:val="en"/>
        </w:rPr>
        <w:t xml:space="preserve">, </w:t>
      </w:r>
      <w:r>
        <w:rPr>
          <w:rStyle w:val="14"/>
          <w:rFonts w:cs="sans-serif" w:asciiTheme="minorHAnsi" w:hAnsiTheme="minorHAnsi"/>
          <w:color w:val="000000"/>
          <w:sz w:val="21"/>
          <w:szCs w:val="21"/>
          <w:u w:val="none"/>
        </w:rPr>
        <w:t>Fieberg &amp; Kochanny, 2005</w:t>
      </w:r>
      <w:r>
        <w:rPr>
          <w:rFonts w:cs="sans-serif" w:asciiTheme="minorHAnsi" w:hAnsiTheme="minorHAnsi"/>
          <w:color w:val="000000"/>
          <w:sz w:val="21"/>
          <w:szCs w:val="21"/>
        </w:rPr>
        <w:t xml:space="preserve">) to calculate </w:t>
      </w:r>
      <w:r>
        <w:rPr>
          <w:rFonts w:cs="sans-serif" w:asciiTheme="minorHAnsi" w:hAnsiTheme="minorHAnsi"/>
          <w:color w:val="000000"/>
          <w:sz w:val="21"/>
          <w:szCs w:val="21"/>
          <w:lang w:val="en"/>
        </w:rPr>
        <w:t xml:space="preserve">the </w:t>
      </w:r>
      <w:r>
        <w:rPr>
          <w:rFonts w:cs="sans-serif" w:asciiTheme="minorHAnsi" w:hAnsiTheme="minorHAnsi"/>
          <w:color w:val="000000"/>
          <w:sz w:val="21"/>
          <w:szCs w:val="21"/>
        </w:rPr>
        <w:t>overlap between</w:t>
      </w:r>
      <w:r>
        <w:rPr>
          <w:rFonts w:cs="sans-serif" w:asciiTheme="minorHAnsi" w:hAnsiTheme="minorHAnsi"/>
          <w:color w:val="000000"/>
          <w:sz w:val="21"/>
          <w:szCs w:val="21"/>
          <w:lang w:val="en"/>
        </w:rPr>
        <w:t xml:space="preserve"> each of the six combinations of site</w:t>
      </w:r>
      <w:r>
        <w:rPr>
          <w:rFonts w:cs="sans-serif" w:asciiTheme="minorHAnsi" w:hAnsiTheme="minorHAnsi"/>
          <w:color w:val="000000"/>
          <w:sz w:val="21"/>
          <w:szCs w:val="21"/>
        </w:rPr>
        <w:t xml:space="preserve"> and sex</w:t>
      </w:r>
      <w:r>
        <w:rPr>
          <w:rFonts w:cs="sans-serif" w:asciiTheme="minorHAnsi" w:hAnsiTheme="minorHAnsi"/>
          <w:color w:val="000000"/>
          <w:sz w:val="21"/>
          <w:szCs w:val="21"/>
          <w:lang w:val="en"/>
        </w:rPr>
        <w:t xml:space="preserve">, per year (Table 2), </w:t>
      </w:r>
      <w:r>
        <w:rPr>
          <w:rFonts w:cs="sans-serif" w:asciiTheme="minorHAnsi" w:hAnsiTheme="minorHAnsi"/>
          <w:color w:val="000000"/>
          <w:sz w:val="21"/>
          <w:szCs w:val="21"/>
        </w:rPr>
        <w:t>for</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the observed tracks</w:t>
      </w:r>
      <w:r>
        <w:rPr>
          <w:rFonts w:cs="sans-serif" w:asciiTheme="minorHAnsi" w:hAnsiTheme="minorHAnsi"/>
          <w:color w:val="000000"/>
          <w:sz w:val="21"/>
          <w:szCs w:val="21"/>
          <w:lang w:val="en"/>
        </w:rPr>
        <w:t>.</w:t>
      </w:r>
      <w:r>
        <w:rPr>
          <w:rFonts w:cs="sans-serif" w:asciiTheme="minorHAnsi" w:hAnsiTheme="minorHAnsi"/>
          <w:color w:val="000000"/>
          <w:sz w:val="21"/>
          <w:szCs w:val="21"/>
        </w:rPr>
        <w:t xml:space="preserve"> This was followed by calculating </w:t>
      </w:r>
      <w:r>
        <w:rPr>
          <w:rFonts w:cs="sans-serif" w:asciiTheme="minorHAnsi" w:hAnsiTheme="minorHAnsi"/>
          <w:color w:val="000000"/>
          <w:sz w:val="21"/>
          <w:szCs w:val="21"/>
          <w:lang w:val="en"/>
        </w:rPr>
        <w:t>6,</w:t>
      </w:r>
      <w:r>
        <w:rPr>
          <w:rFonts w:cs="sans-serif" w:asciiTheme="minorHAnsi" w:hAnsiTheme="minorHAnsi"/>
          <w:color w:val="000000"/>
          <w:sz w:val="21"/>
          <w:szCs w:val="21"/>
        </w:rPr>
        <w:t>000</w:t>
      </w:r>
      <w:r>
        <w:rPr>
          <w:rFonts w:cs="sans-serif" w:asciiTheme="minorHAnsi" w:hAnsiTheme="minorHAnsi"/>
          <w:color w:val="000000"/>
          <w:sz w:val="21"/>
          <w:szCs w:val="21"/>
          <w:lang w:val="en"/>
        </w:rPr>
        <w:t xml:space="preserve"> overlap values for the 1,000 simulated </w:t>
      </w:r>
      <w:r>
        <w:rPr>
          <w:rFonts w:cs="sans-serif" w:asciiTheme="minorHAnsi" w:hAnsiTheme="minorHAnsi"/>
          <w:color w:val="000000"/>
          <w:sz w:val="21"/>
          <w:szCs w:val="21"/>
        </w:rPr>
        <w:t>pseudo-tracks datasets</w:t>
      </w:r>
      <w:r>
        <w:rPr>
          <w:rFonts w:cs="sans-serif" w:asciiTheme="minorHAnsi" w:hAnsiTheme="minorHAnsi"/>
          <w:color w:val="000000"/>
          <w:sz w:val="21"/>
          <w:szCs w:val="21"/>
          <w:lang w:val="en"/>
        </w:rPr>
        <w:t xml:space="preserve"> per year</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 xml:space="preserve">For both observed and simulated tracks, only overlaps per year were considered (i.e. overlaps between two different years were not considered, as no direct interaction between individuals could have occurred). </w:t>
      </w:r>
      <w:r>
        <w:rPr>
          <w:rFonts w:cs="sans-serif" w:asciiTheme="minorHAnsi" w:hAnsiTheme="minorHAnsi"/>
          <w:color w:val="000000"/>
          <w:sz w:val="21"/>
          <w:szCs w:val="21"/>
        </w:rPr>
        <w:t>To estimate whether segregation and/or aggregation was greater than expected, P-values were estimated as the proportion of 1</w:t>
      </w:r>
      <w:r>
        <w:rPr>
          <w:rFonts w:cs="sans-serif" w:asciiTheme="minorHAnsi" w:hAnsiTheme="minorHAnsi"/>
          <w:color w:val="000000"/>
          <w:sz w:val="21"/>
          <w:szCs w:val="21"/>
          <w:lang w:val="en"/>
        </w:rPr>
        <w:t>,</w:t>
      </w:r>
      <w:r>
        <w:rPr>
          <w:rFonts w:cs="sans-serif" w:asciiTheme="minorHAnsi" w:hAnsiTheme="minorHAnsi"/>
          <w:color w:val="000000"/>
          <w:sz w:val="21"/>
          <w:szCs w:val="21"/>
        </w:rPr>
        <w:t>000 simulated overlaps that were smaller (segregation) or greater (aggregation) than the observed overlap</w:t>
      </w:r>
      <w:r>
        <w:rPr>
          <w:rFonts w:cs="sans-serif" w:asciiTheme="minorHAnsi" w:hAnsiTheme="minorHAnsi"/>
          <w:color w:val="000000"/>
          <w:sz w:val="21"/>
          <w:szCs w:val="21"/>
          <w:lang w:val="en"/>
        </w:rPr>
        <w:t xml:space="preserve"> for each combination of site and sex</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see details in</w:t>
      </w:r>
      <w:r>
        <w:rPr>
          <w:rFonts w:cs="sans-serif" w:asciiTheme="minorHAnsi" w:hAnsiTheme="minorHAnsi"/>
          <w:color w:val="000000"/>
          <w:sz w:val="21"/>
          <w:szCs w:val="21"/>
        </w:rPr>
        <w:t xml:space="preserve"> </w:t>
      </w:r>
      <w:r>
        <w:fldChar w:fldCharType="begin"/>
      </w:r>
      <w:r>
        <w:instrText xml:space="preserve"> HYPERLINK "https://www.zotero.org/google-docs/?DmkOk4" </w:instrText>
      </w:r>
      <w:r>
        <w:fldChar w:fldCharType="separate"/>
      </w:r>
      <w:r>
        <w:rPr>
          <w:rStyle w:val="14"/>
          <w:rFonts w:cs="sans-serif" w:asciiTheme="minorHAnsi" w:hAnsiTheme="minorHAnsi"/>
          <w:color w:val="000000"/>
          <w:sz w:val="21"/>
          <w:szCs w:val="21"/>
          <w:u w:val="none"/>
        </w:rPr>
        <w:t>Ito et al., 2020)</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w:t>
      </w:r>
    </w:p>
    <w:p>
      <w:pPr>
        <w:pStyle w:val="16"/>
        <w:spacing w:before="240" w:beforeAutospacing="0" w:after="240" w:afterAutospacing="0" w:line="480" w:lineRule="auto"/>
        <w:rPr>
          <w:rFonts w:asciiTheme="minorHAnsi" w:hAnsiTheme="minorHAnsi"/>
        </w:rPr>
      </w:pPr>
      <w:r>
        <w:rPr>
          <w:rFonts w:cs="sans-serif" w:asciiTheme="minorHAnsi" w:hAnsiTheme="minorHAnsi"/>
          <w:b/>
          <w:i/>
          <w:color w:val="000000"/>
          <w:sz w:val="21"/>
          <w:szCs w:val="21"/>
        </w:rPr>
        <w:t>Resource Selection Functions (RSF)</w:t>
      </w:r>
    </w:p>
    <w:p>
      <w:pPr>
        <w:pStyle w:val="16"/>
        <w:spacing w:before="240" w:beforeAutospacing="0" w:after="240" w:afterAutospacing="0" w:line="480" w:lineRule="auto"/>
        <w:rPr>
          <w:rFonts w:asciiTheme="minorHAnsi" w:hAnsiTheme="minorHAnsi"/>
        </w:rPr>
      </w:pPr>
      <w:r>
        <w:rPr>
          <w:rFonts w:cs="sans-serif" w:asciiTheme="minorHAnsi" w:hAnsiTheme="minorHAnsi"/>
          <w:color w:val="000000"/>
          <w:sz w:val="21"/>
          <w:szCs w:val="21"/>
        </w:rPr>
        <w:t xml:space="preserve">Following </w:t>
      </w:r>
      <w:r>
        <w:fldChar w:fldCharType="begin"/>
      </w:r>
      <w:r>
        <w:instrText xml:space="preserve"> HYPERLINK "https://www.zotero.org/google-docs/?KCB0MS" </w:instrText>
      </w:r>
      <w:r>
        <w:fldChar w:fldCharType="separate"/>
      </w:r>
      <w:r>
        <w:rPr>
          <w:rStyle w:val="14"/>
          <w:rFonts w:cs="sans-serif" w:asciiTheme="minorHAnsi" w:hAnsiTheme="minorHAnsi"/>
          <w:color w:val="000000"/>
          <w:sz w:val="21"/>
          <w:szCs w:val="21"/>
          <w:u w:val="none"/>
        </w:rPr>
        <w:t>Aarts et al. (2008</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we used a habitat selection approach to investigate the relative effects and importance of habitat availability</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and competing groups on the distribution and habitat preferences of populations and sexes.</w:t>
      </w:r>
    </w:p>
    <w:p>
      <w:pPr>
        <w:pStyle w:val="16"/>
        <w:spacing w:before="240" w:beforeAutospacing="0" w:after="240" w:afterAutospacing="0" w:line="480" w:lineRule="auto"/>
        <w:ind w:firstLine="420"/>
        <w:rPr>
          <w:rFonts w:asciiTheme="minorHAnsi" w:hAnsiTheme="minorHAnsi"/>
        </w:rPr>
      </w:pPr>
      <w:r>
        <w:rPr>
          <w:rFonts w:cs="sans-serif" w:asciiTheme="minorHAnsi" w:hAnsiTheme="minorHAnsi"/>
          <w:i/>
          <w:color w:val="000000"/>
          <w:sz w:val="21"/>
          <w:szCs w:val="21"/>
        </w:rPr>
        <w:t>(i) Environmental covariates</w:t>
      </w:r>
    </w:p>
    <w:p>
      <w:pPr>
        <w:pStyle w:val="16"/>
        <w:spacing w:before="240" w:beforeAutospacing="0" w:after="240" w:afterAutospacing="0" w:line="480" w:lineRule="auto"/>
        <w:rPr>
          <w:rFonts w:asciiTheme="minorHAnsi" w:hAnsiTheme="minorHAnsi"/>
        </w:rPr>
      </w:pPr>
      <w:r>
        <w:rPr>
          <w:rFonts w:cs="sans-serif" w:asciiTheme="minorHAnsi" w:hAnsiTheme="minorHAnsi"/>
          <w:color w:val="000000"/>
          <w:sz w:val="21"/>
          <w:szCs w:val="21"/>
        </w:rPr>
        <w:t>We first selected three environmental variables that are known to have the most influence on albatross habitat preferences, namely sea surface temperature, wind speed and bathymetry (e.g., Louzao et al., 2011</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Wakefield et al., 2011). Sea surface temperature (SST, °C) and wind speed (</w:t>
      </w:r>
      <w:r>
        <w:rPr>
          <w:rFonts w:cs="sans-serif" w:asciiTheme="minorHAnsi" w:hAnsiTheme="minorHAnsi"/>
          <w:color w:val="000000"/>
          <w:sz w:val="21"/>
          <w:szCs w:val="21"/>
          <w:lang w:val="en"/>
        </w:rPr>
        <w:t xml:space="preserve">Wind, </w:t>
      </w:r>
      <w:r>
        <w:rPr>
          <w:rFonts w:cs="sans-serif" w:asciiTheme="minorHAnsi" w:hAnsiTheme="minorHAnsi"/>
          <w:color w:val="000000"/>
          <w:sz w:val="21"/>
          <w:szCs w:val="21"/>
        </w:rPr>
        <w:t>m.s</w:t>
      </w:r>
      <w:r>
        <w:rPr>
          <w:rFonts w:cs="sans-serif" w:asciiTheme="minorHAnsi" w:hAnsiTheme="minorHAnsi"/>
          <w:color w:val="000000"/>
          <w:sz w:val="21"/>
          <w:szCs w:val="21"/>
          <w:vertAlign w:val="superscript"/>
          <w:lang w:val="en"/>
        </w:rPr>
        <w:t>-1</w:t>
      </w:r>
      <w:r>
        <w:rPr>
          <w:rFonts w:cs="sans-serif" w:asciiTheme="minorHAnsi" w:hAnsiTheme="minorHAnsi"/>
          <w:color w:val="000000"/>
          <w:sz w:val="21"/>
          <w:szCs w:val="21"/>
        </w:rPr>
        <w:t xml:space="preserve">) variables were downloaded from U.E Copernicus Marine Service Information (http://marine.copernicus.eu/) at a monthly, 1/12° grid resolution and were extracted for each location along the real and pseudo-tracks using the </w:t>
      </w:r>
      <w:r>
        <w:rPr>
          <w:rFonts w:cs="sans-serif" w:asciiTheme="minorHAnsi" w:hAnsiTheme="minorHAnsi"/>
          <w:i/>
          <w:color w:val="000000"/>
          <w:sz w:val="21"/>
          <w:szCs w:val="21"/>
        </w:rPr>
        <w:t>SDMtools</w:t>
      </w:r>
      <w:r>
        <w:rPr>
          <w:rFonts w:cs="sans-serif" w:asciiTheme="minorHAnsi" w:hAnsiTheme="minorHAnsi"/>
          <w:color w:val="000000"/>
          <w:sz w:val="21"/>
          <w:szCs w:val="21"/>
        </w:rPr>
        <w:t xml:space="preserve"> package. Bathymetry (m) was extracted at each location using the </w:t>
      </w:r>
      <w:r>
        <w:rPr>
          <w:rFonts w:cs="sans-serif" w:asciiTheme="minorHAnsi" w:hAnsiTheme="minorHAnsi"/>
          <w:i/>
          <w:color w:val="000000"/>
          <w:sz w:val="21"/>
          <w:szCs w:val="21"/>
        </w:rPr>
        <w:t>marmap</w:t>
      </w:r>
      <w:r>
        <w:rPr>
          <w:rFonts w:cs="sans-serif" w:asciiTheme="minorHAnsi" w:hAnsiTheme="minorHAnsi"/>
          <w:color w:val="000000"/>
          <w:sz w:val="21"/>
          <w:szCs w:val="21"/>
        </w:rPr>
        <w:t xml:space="preserve"> package from the NOAA ETOPO1 1 arc-minute global relief model.</w:t>
      </w:r>
    </w:p>
    <w:p>
      <w:pPr>
        <w:pStyle w:val="16"/>
        <w:spacing w:before="240" w:beforeAutospacing="0" w:after="240" w:afterAutospacing="0" w:line="480" w:lineRule="auto"/>
        <w:ind w:firstLine="420"/>
        <w:rPr>
          <w:rFonts w:asciiTheme="minorHAnsi" w:hAnsiTheme="minorHAnsi"/>
        </w:rPr>
      </w:pPr>
      <w:r>
        <w:rPr>
          <w:rFonts w:cs="sans-serif" w:asciiTheme="minorHAnsi" w:hAnsiTheme="minorHAnsi"/>
          <w:i/>
          <w:color w:val="000000"/>
          <w:sz w:val="21"/>
          <w:szCs w:val="21"/>
        </w:rPr>
        <w:t>(ii) Intraspecific competition covariates</w:t>
      </w:r>
    </w:p>
    <w:p>
      <w:pPr>
        <w:pStyle w:val="16"/>
        <w:spacing w:before="240" w:beforeAutospacing="0" w:after="240" w:afterAutospacing="0" w:line="480" w:lineRule="auto"/>
        <w:rPr>
          <w:rFonts w:asciiTheme="minorHAnsi" w:hAnsiTheme="minorHAnsi"/>
        </w:rPr>
      </w:pPr>
      <w:r>
        <w:rPr>
          <w:rFonts w:cs="sans-serif" w:asciiTheme="minorHAnsi" w:hAnsiTheme="minorHAnsi"/>
          <w:color w:val="000000"/>
          <w:sz w:val="21"/>
          <w:szCs w:val="21"/>
          <w:lang w:val="en"/>
        </w:rPr>
        <w:t>To estimate the influence of intraspecific competition for resources, data on prey distribution and densities would be necessary. However, direct data on prey availability are generally not available for marine top predators and/or would require complex mechanistic models to estimate mesopelagic prey biomass, which is especially difficult to perform in the Southern Ocean (Green et al. 2018). Based on the common assumption that highest habitat preferences should be correlated with higher prey availability (Torres et al. 2008, Boyd et al. 2015), we developed our own protocol (</w:t>
      </w:r>
      <w:bookmarkStart w:id="0" w:name="_GoBack"/>
      <w:bookmarkEnd w:id="0"/>
      <w:r>
        <w:rPr>
          <w:rFonts w:cs="sans-serif" w:asciiTheme="minorHAnsi" w:hAnsiTheme="minorHAnsi"/>
          <w:color w:val="000000"/>
          <w:sz w:val="21"/>
          <w:szCs w:val="21"/>
          <w:lang w:val="en"/>
        </w:rPr>
        <w:t>Fig. 1) to estimate sex and site-specific competition covariates. For this,</w:t>
      </w:r>
      <w:r>
        <w:rPr>
          <w:rFonts w:cs="sans-serif" w:asciiTheme="minorHAnsi" w:hAnsiTheme="minorHAnsi"/>
          <w:color w:val="000000"/>
          <w:sz w:val="21"/>
          <w:szCs w:val="21"/>
        </w:rPr>
        <w:t xml:space="preserve"> we first estimated habitat preference models for each site and sex, which were then used to predict competition covariates for the other site and sex combinations (see protocol in Fig. 1b). For example, at each location for Crozet males, the habitat preferences of Crozet females, Marion males and Marion females were predicted separately, using in each of those cases estimates from each of the three other corresponding models (Fig. 1b).</w:t>
      </w:r>
    </w:p>
    <w:p>
      <w:pPr>
        <w:pStyle w:val="16"/>
        <w:spacing w:before="240" w:beforeAutospacing="0" w:after="240" w:afterAutospacing="0" w:line="480" w:lineRule="auto"/>
        <w:ind w:firstLine="420"/>
        <w:rPr>
          <w:rFonts w:asciiTheme="minorHAnsi" w:hAnsiTheme="minorHAnsi"/>
        </w:rPr>
      </w:pPr>
      <w:r>
        <w:rPr>
          <w:rFonts w:cs="sans-serif" w:asciiTheme="minorHAnsi" w:hAnsiTheme="minorHAnsi"/>
          <w:color w:val="000000"/>
          <w:sz w:val="21"/>
          <w:szCs w:val="21"/>
        </w:rPr>
        <w:t xml:space="preserve">We assessed habitat preferences (probability to select a grid cell relative to its availability) by modelling the ratio of used </w:t>
      </w:r>
      <w:r>
        <w:rPr>
          <w:rFonts w:cs="sans-serif" w:asciiTheme="minorHAnsi" w:hAnsiTheme="minorHAnsi"/>
          <w:i/>
          <w:color w:val="000000"/>
          <w:sz w:val="21"/>
          <w:szCs w:val="21"/>
        </w:rPr>
        <w:t>vs.</w:t>
      </w:r>
      <w:r>
        <w:rPr>
          <w:rFonts w:cs="sans-serif" w:asciiTheme="minorHAnsi" w:hAnsiTheme="minorHAnsi"/>
          <w:color w:val="000000"/>
          <w:sz w:val="21"/>
          <w:szCs w:val="21"/>
        </w:rPr>
        <w:t xml:space="preserve"> available locations as a function of the three environmental covariates (SST, Wind and Bathymetry). </w:t>
      </w:r>
      <w:r>
        <w:rPr>
          <w:rFonts w:cs="sans-serif" w:asciiTheme="minorHAnsi" w:hAnsiTheme="minorHAnsi"/>
          <w:color w:val="000000"/>
          <w:sz w:val="21"/>
          <w:szCs w:val="21"/>
          <w:lang w:val="en"/>
        </w:rPr>
        <w:t>To allow for</w:t>
      </w:r>
      <w:r>
        <w:rPr>
          <w:rFonts w:cs="sans-serif" w:asciiTheme="minorHAnsi" w:hAnsiTheme="minorHAnsi"/>
          <w:color w:val="000000"/>
          <w:sz w:val="21"/>
          <w:szCs w:val="21"/>
        </w:rPr>
        <w:t xml:space="preserve"> non-linear relationships, we used Generalized Additive Mixed Models (GAMM) with a binomial distribution and a logit link, fitted in the </w:t>
      </w:r>
      <w:r>
        <w:rPr>
          <w:rFonts w:cs="sans-serif" w:asciiTheme="minorHAnsi" w:hAnsiTheme="minorHAnsi"/>
          <w:i/>
          <w:color w:val="000000"/>
          <w:sz w:val="21"/>
          <w:szCs w:val="21"/>
        </w:rPr>
        <w:t>mgcv</w:t>
      </w:r>
      <w:r>
        <w:rPr>
          <w:rFonts w:cs="sans-serif" w:asciiTheme="minorHAnsi" w:hAnsiTheme="minorHAnsi"/>
          <w:color w:val="000000"/>
          <w:sz w:val="21"/>
          <w:szCs w:val="21"/>
        </w:rPr>
        <w:t xml:space="preserve"> package (Wood, 2017). The 1/0 response value represented each cell in the study area that contained either real (1) or only pseudo-locations (0) </w:t>
      </w:r>
      <w:r>
        <w:fldChar w:fldCharType="begin"/>
      </w:r>
      <w:r>
        <w:instrText xml:space="preserve"> HYPERLINK "https://www.zotero.org/google-docs/?OxeDik" </w:instrText>
      </w:r>
      <w:r>
        <w:fldChar w:fldCharType="separate"/>
      </w:r>
      <w:r>
        <w:rPr>
          <w:rStyle w:val="14"/>
          <w:rFonts w:cs="sans-serif" w:asciiTheme="minorHAnsi" w:hAnsiTheme="minorHAnsi"/>
          <w:color w:val="000000"/>
          <w:sz w:val="21"/>
          <w:szCs w:val="21"/>
          <w:u w:val="none"/>
        </w:rPr>
        <w:t>(Aarts et al., 2008)</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 Following Fithian &amp; Hastie (2013), we assigned “infinite weights” for availability points (using a weight of 1/1000 for used/available).</w:t>
      </w:r>
      <w:r>
        <w:rPr>
          <w:rFonts w:cs="sans-serif" w:asciiTheme="minorHAnsi" w:hAnsiTheme="minorHAnsi"/>
          <w:color w:val="000000"/>
          <w:sz w:val="21"/>
          <w:szCs w:val="21"/>
        </w:rPr>
        <w:t xml:space="preserve"> Fitting random effects in large case-control tracking datasets can be computationally demanding (e.g. Raymond et al. 201</w:t>
      </w:r>
      <w:r>
        <w:rPr>
          <w:rFonts w:cs="sans-serif" w:asciiTheme="minorHAnsi" w:hAnsiTheme="minorHAnsi"/>
          <w:color w:val="000000"/>
          <w:sz w:val="21"/>
          <w:szCs w:val="21"/>
          <w:lang w:val="en"/>
        </w:rPr>
        <w:t>5</w:t>
      </w:r>
      <w:r>
        <w:rPr>
          <w:rFonts w:cs="sans-serif" w:asciiTheme="minorHAnsi" w:hAnsiTheme="minorHAnsi"/>
          <w:color w:val="000000"/>
          <w:sz w:val="21"/>
          <w:szCs w:val="21"/>
        </w:rPr>
        <w:t xml:space="preserve">). However, greater efficiency has been achieved with recent GAMM algorithm techniques </w:t>
      </w:r>
      <w:r>
        <w:fldChar w:fldCharType="begin"/>
      </w:r>
      <w:r>
        <w:instrText xml:space="preserve"> HYPERLINK "https://www.zotero.org/google-docs/?oKPZBy" </w:instrText>
      </w:r>
      <w:r>
        <w:fldChar w:fldCharType="separate"/>
      </w:r>
      <w:r>
        <w:rPr>
          <w:rStyle w:val="14"/>
          <w:rFonts w:cs="sans-serif" w:asciiTheme="minorHAnsi" w:hAnsiTheme="minorHAnsi"/>
          <w:color w:val="000000"/>
          <w:sz w:val="21"/>
          <w:szCs w:val="21"/>
          <w:u w:val="none"/>
        </w:rPr>
        <w:t>(Li &amp; Wood, 2020)</w:t>
      </w:r>
      <w:r>
        <w:rPr>
          <w:rStyle w:val="14"/>
          <w:rFonts w:cs="sans-serif" w:asciiTheme="minorHAnsi" w:hAnsiTheme="minorHAnsi"/>
          <w:color w:val="000000"/>
          <w:sz w:val="21"/>
          <w:szCs w:val="21"/>
          <w:u w:val="none"/>
        </w:rPr>
        <w:fldChar w:fldCharType="end"/>
      </w:r>
      <w:r>
        <w:rPr>
          <w:rStyle w:val="14"/>
          <w:rFonts w:cs="sans-serif" w:asciiTheme="minorHAnsi" w:hAnsiTheme="minorHAnsi"/>
          <w:color w:val="000000"/>
          <w:sz w:val="21"/>
          <w:szCs w:val="21"/>
          <w:u w:val="none"/>
        </w:rPr>
        <w:t>,</w:t>
      </w:r>
      <w:r>
        <w:rPr>
          <w:rFonts w:cs="sans-serif" w:asciiTheme="minorHAnsi" w:hAnsiTheme="minorHAnsi"/>
          <w:color w:val="000000"/>
          <w:sz w:val="21"/>
          <w:szCs w:val="21"/>
        </w:rPr>
        <w:t xml:space="preserve"> which we adopted to fit individuals (IDs) as random</w:t>
      </w:r>
      <w:r>
        <w:rPr>
          <w:rFonts w:cs="sans-serif" w:asciiTheme="minorHAnsi" w:hAnsiTheme="minorHAnsi"/>
          <w:color w:val="000000"/>
          <w:sz w:val="21"/>
          <w:szCs w:val="21"/>
          <w:lang w:val="en"/>
        </w:rPr>
        <w:t xml:space="preserve"> slope/intercept</w:t>
      </w:r>
      <w:r>
        <w:rPr>
          <w:rFonts w:cs="sans-serif" w:asciiTheme="minorHAnsi" w:hAnsiTheme="minorHAnsi"/>
          <w:color w:val="000000"/>
          <w:sz w:val="21"/>
          <w:szCs w:val="21"/>
        </w:rPr>
        <w:t xml:space="preserve"> effects, thus taking the hierarchical structure of the data into account (Aarts et al., 2008). We therefore modeled habitat preference (</w:t>
      </w:r>
      <w:r>
        <w:rPr>
          <w:rFonts w:hint="default" w:cs="sans-serif" w:asciiTheme="minorHAnsi" w:hAnsiTheme="minorHAnsi"/>
          <w:color w:val="000000"/>
          <w:sz w:val="21"/>
          <w:szCs w:val="21"/>
          <w:lang w:val="en"/>
        </w:rPr>
        <w:t>w</w:t>
      </w:r>
      <w:r>
        <w:rPr>
          <w:rFonts w:cs="sans-serif" w:asciiTheme="minorHAnsi" w:hAnsiTheme="minorHAnsi"/>
          <w:color w:val="000000"/>
          <w:sz w:val="21"/>
          <w:szCs w:val="21"/>
        </w:rPr>
        <w:t>) following Wakefield et al. (2011):</w:t>
      </w:r>
    </w:p>
    <w:p>
      <w:pPr>
        <w:pStyle w:val="16"/>
        <w:spacing w:before="240" w:beforeAutospacing="0" w:after="240" w:afterAutospacing="0" w:line="480" w:lineRule="auto"/>
        <w:jc w:val="center"/>
        <w:rPr>
          <w:rFonts w:cs="sans-serif" w:asciiTheme="minorHAnsi" w:hAnsiTheme="minorHAnsi"/>
          <w:color w:val="000000"/>
          <w:sz w:val="22"/>
          <w:szCs w:val="22"/>
          <w:lang w:val="en"/>
        </w:rPr>
      </w:pPr>
      <w:r>
        <w:rPr>
          <w:rFonts w:hint="default" w:cs="sans-serif" w:asciiTheme="minorHAnsi" w:hAnsiTheme="minorHAnsi"/>
          <w:color w:val="000000"/>
          <w:sz w:val="20"/>
          <w:szCs w:val="20"/>
          <w:lang w:val="en"/>
        </w:rPr>
        <w:t>w</w:t>
      </w:r>
      <w:r>
        <w:rPr>
          <w:rFonts w:cs="sans-serif" w:asciiTheme="minorHAnsi" w:hAnsiTheme="minorHAnsi"/>
          <w:color w:val="000000"/>
          <w:sz w:val="20"/>
          <w:szCs w:val="20"/>
          <w:vertAlign w:val="subscript"/>
          <w:lang w:val="en"/>
        </w:rPr>
        <w:t>i,j</w:t>
      </w:r>
      <w:r>
        <w:rPr>
          <w:rFonts w:cs="sans-serif" w:asciiTheme="minorHAnsi" w:hAnsiTheme="minorHAnsi"/>
          <w:color w:val="000000"/>
          <w:sz w:val="20"/>
          <w:szCs w:val="20"/>
        </w:rPr>
        <w:t>= b</w:t>
      </w:r>
      <w:r>
        <w:rPr>
          <w:rFonts w:cs="sans-serif" w:asciiTheme="minorHAnsi" w:hAnsiTheme="minorHAnsi"/>
          <w:color w:val="000000"/>
          <w:sz w:val="20"/>
          <w:szCs w:val="20"/>
          <w:vertAlign w:val="subscript"/>
          <w:lang w:val="en"/>
        </w:rPr>
        <w:t>0</w:t>
      </w:r>
      <w:r>
        <w:rPr>
          <w:rFonts w:cs="sans-serif" w:asciiTheme="minorHAnsi" w:hAnsiTheme="minorHAnsi"/>
          <w:color w:val="000000"/>
          <w:sz w:val="20"/>
          <w:szCs w:val="20"/>
        </w:rPr>
        <w:t xml:space="preserve"> + yr </w:t>
      </w:r>
      <w:r>
        <w:rPr>
          <w:rFonts w:cs="sans-serif" w:asciiTheme="minorHAnsi" w:hAnsiTheme="minorHAnsi"/>
          <w:color w:val="000000"/>
          <w:sz w:val="20"/>
          <w:szCs w:val="20"/>
          <w:lang w:val="en"/>
        </w:rPr>
        <w:t xml:space="preserve">+ </w:t>
      </w:r>
      <w:r>
        <w:rPr>
          <w:rFonts w:cs="sans-serif" w:asciiTheme="minorHAnsi" w:hAnsiTheme="minorHAnsi"/>
          <w:color w:val="000000"/>
          <w:sz w:val="20"/>
          <w:szCs w:val="20"/>
        </w:rPr>
        <w:t>s(</w:t>
      </w:r>
      <w:r>
        <w:rPr>
          <w:rFonts w:cs="sans-serif" w:asciiTheme="minorHAnsi" w:hAnsiTheme="minorHAnsi"/>
          <w:color w:val="000000"/>
          <w:sz w:val="20"/>
          <w:szCs w:val="20"/>
          <w:lang w:val="en"/>
        </w:rPr>
        <w:t>bathy</w:t>
      </w:r>
      <w:r>
        <w:rPr>
          <w:rFonts w:cs="sans-serif" w:asciiTheme="minorHAnsi" w:hAnsiTheme="minorHAnsi"/>
          <w:color w:val="000000"/>
          <w:sz w:val="20"/>
          <w:szCs w:val="20"/>
          <w:vertAlign w:val="subscript"/>
          <w:lang w:val="en"/>
        </w:rPr>
        <w:t>i</w:t>
      </w:r>
      <w:r>
        <w:rPr>
          <w:rFonts w:cs="sans-serif" w:asciiTheme="minorHAnsi" w:hAnsiTheme="minorHAnsi"/>
          <w:color w:val="000000"/>
          <w:sz w:val="20"/>
          <w:szCs w:val="20"/>
          <w:vertAlign w:val="subscript"/>
        </w:rPr>
        <w:t>,j</w:t>
      </w:r>
      <w:r>
        <w:rPr>
          <w:rFonts w:cs="sans-serif" w:asciiTheme="minorHAnsi" w:hAnsiTheme="minorHAnsi"/>
          <w:color w:val="000000"/>
          <w:sz w:val="20"/>
          <w:szCs w:val="20"/>
          <w:lang w:val="en"/>
        </w:rPr>
        <w:t>:yr</w:t>
      </w:r>
      <w:r>
        <w:rPr>
          <w:rFonts w:cs="sans-serif" w:asciiTheme="minorHAnsi" w:hAnsiTheme="minorHAnsi"/>
          <w:color w:val="000000"/>
          <w:sz w:val="20"/>
          <w:szCs w:val="20"/>
        </w:rPr>
        <w:t xml:space="preserve">) + </w:t>
      </w:r>
      <w:r>
        <w:rPr>
          <w:rFonts w:cs="sans-serif" w:asciiTheme="minorHAnsi" w:hAnsiTheme="minorHAnsi"/>
          <w:color w:val="000000"/>
          <w:sz w:val="20"/>
          <w:szCs w:val="20"/>
          <w:lang w:val="en"/>
        </w:rPr>
        <w:t>s(sst</w:t>
      </w:r>
      <w:r>
        <w:rPr>
          <w:rFonts w:cs="sans-serif" w:asciiTheme="minorHAnsi" w:hAnsiTheme="minorHAnsi"/>
          <w:color w:val="000000"/>
          <w:sz w:val="20"/>
          <w:szCs w:val="20"/>
          <w:vertAlign w:val="subscript"/>
          <w:lang w:val="en"/>
        </w:rPr>
        <w:t>i,j</w:t>
      </w:r>
      <w:r>
        <w:rPr>
          <w:rFonts w:cs="sans-serif" w:asciiTheme="minorHAnsi" w:hAnsiTheme="minorHAnsi"/>
          <w:color w:val="000000"/>
          <w:sz w:val="20"/>
          <w:szCs w:val="20"/>
          <w:lang w:val="en"/>
        </w:rPr>
        <w:t>:yr) +s(wind</w:t>
      </w:r>
      <w:r>
        <w:rPr>
          <w:rFonts w:cs="sans-serif" w:asciiTheme="minorHAnsi" w:hAnsiTheme="minorHAnsi"/>
          <w:color w:val="000000"/>
          <w:sz w:val="20"/>
          <w:szCs w:val="20"/>
          <w:vertAlign w:val="subscript"/>
          <w:lang w:val="en"/>
        </w:rPr>
        <w:t>i,j</w:t>
      </w:r>
      <w:r>
        <w:rPr>
          <w:rFonts w:cs="sans-serif" w:asciiTheme="minorHAnsi" w:hAnsiTheme="minorHAnsi"/>
          <w:color w:val="000000"/>
          <w:sz w:val="20"/>
          <w:szCs w:val="20"/>
          <w:lang w:val="en"/>
        </w:rPr>
        <w:t>:yr)</w:t>
      </w:r>
      <w:r>
        <w:rPr>
          <w:rFonts w:cs="sans-serif" w:asciiTheme="minorHAnsi" w:hAnsiTheme="minorHAnsi"/>
          <w:color w:val="000000"/>
          <w:sz w:val="20"/>
          <w:szCs w:val="20"/>
        </w:rPr>
        <w:t xml:space="preserve"> </w:t>
      </w:r>
      <w:r>
        <w:rPr>
          <w:rFonts w:cs="sans-serif" w:asciiTheme="minorHAnsi" w:hAnsiTheme="minorHAnsi"/>
          <w:color w:val="000000"/>
          <w:sz w:val="20"/>
          <w:szCs w:val="20"/>
          <w:lang w:val="en"/>
        </w:rPr>
        <w:t>+</w:t>
      </w:r>
      <w:r>
        <w:rPr>
          <w:rFonts w:cs="sans-serif" w:asciiTheme="minorHAnsi" w:hAnsiTheme="minorHAnsi"/>
          <w:color w:val="000000"/>
          <w:sz w:val="20"/>
          <w:szCs w:val="20"/>
        </w:rPr>
        <w:t xml:space="preserve"> </w:t>
      </w:r>
      <w:r>
        <w:rPr>
          <w:rFonts w:cs="sans-serif" w:asciiTheme="minorHAnsi" w:hAnsiTheme="minorHAnsi"/>
          <w:color w:val="000000"/>
          <w:sz w:val="20"/>
          <w:szCs w:val="20"/>
          <w:lang w:val="en"/>
        </w:rPr>
        <w:t>s</w:t>
      </w:r>
      <w:r>
        <w:rPr>
          <w:rFonts w:cs="sans-serif" w:asciiTheme="minorHAnsi" w:hAnsiTheme="minorHAnsi"/>
          <w:color w:val="000000"/>
          <w:sz w:val="20"/>
          <w:szCs w:val="20"/>
        </w:rPr>
        <w:t>(IDs) </w:t>
      </w:r>
      <w:r>
        <w:rPr>
          <w:rFonts w:cs="sans-serif" w:asciiTheme="minorHAnsi" w:hAnsiTheme="minorHAnsi"/>
          <w:color w:val="000000"/>
          <w:sz w:val="20"/>
          <w:szCs w:val="20"/>
          <w:lang w:val="en"/>
        </w:rPr>
        <w:t>+ CorAR1     (1)</w:t>
      </w:r>
    </w:p>
    <w:p>
      <w:pPr>
        <w:pStyle w:val="16"/>
        <w:spacing w:before="240" w:beforeAutospacing="0" w:after="240" w:afterAutospacing="0" w:line="480" w:lineRule="auto"/>
        <w:rPr>
          <w:rFonts w:cs="sans-serif" w:asciiTheme="minorHAnsi" w:hAnsiTheme="minorHAnsi"/>
          <w:color w:val="000000"/>
          <w:sz w:val="21"/>
          <w:szCs w:val="21"/>
          <w:lang w:val="en"/>
        </w:rPr>
      </w:pPr>
      <w:r>
        <w:rPr>
          <w:rFonts w:cs="sans-serif" w:asciiTheme="minorHAnsi" w:hAnsiTheme="minorHAnsi"/>
          <w:color w:val="000000"/>
          <w:sz w:val="21"/>
          <w:szCs w:val="21"/>
        </w:rPr>
        <w:t xml:space="preserve">The logit of </w:t>
      </w:r>
      <w:r>
        <w:rPr>
          <w:rFonts w:hint="default" w:cs="sans-serif" w:asciiTheme="minorHAnsi" w:hAnsiTheme="minorHAnsi"/>
          <w:color w:val="000000"/>
          <w:sz w:val="21"/>
          <w:szCs w:val="21"/>
          <w:lang w:val="en"/>
        </w:rPr>
        <w:t>w</w:t>
      </w:r>
      <w:r>
        <w:rPr>
          <w:rFonts w:cs="sans-serif" w:asciiTheme="minorHAnsi" w:hAnsiTheme="minorHAnsi"/>
          <w:color w:val="000000"/>
          <w:sz w:val="21"/>
          <w:szCs w:val="21"/>
        </w:rPr>
        <w:t xml:space="preserve"> gives the habitat preference for each site i and sex j, given the</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environmental</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covariates</w:t>
      </w:r>
      <w:r>
        <w:rPr>
          <w:rFonts w:hint="default" w:cs="sans-serif" w:asciiTheme="minorHAnsi" w:hAnsiTheme="minorHAnsi"/>
          <w:color w:val="000000"/>
          <w:sz w:val="21"/>
          <w:szCs w:val="21"/>
          <w:lang w:val="en"/>
        </w:rPr>
        <w:t xml:space="preserve"> bathymetry (bathy), sea surface temperature (sst) and wind speed (wind),</w:t>
      </w:r>
      <w:r>
        <w:rPr>
          <w:rFonts w:cs="sans-serif" w:asciiTheme="minorHAnsi" w:hAnsiTheme="minorHAnsi"/>
          <w:color w:val="000000"/>
          <w:sz w:val="21"/>
          <w:szCs w:val="21"/>
        </w:rPr>
        <w:t xml:space="preserve"> while </w:t>
      </w:r>
      <w:r>
        <w:rPr>
          <w:rFonts w:cs="sans-serif" w:asciiTheme="minorHAnsi" w:hAnsiTheme="minorHAnsi"/>
          <w:color w:val="000000"/>
          <w:sz w:val="21"/>
          <w:szCs w:val="21"/>
          <w:lang w:val="en"/>
        </w:rPr>
        <w:t>s(</w:t>
      </w:r>
      <w:r>
        <w:rPr>
          <w:rFonts w:cs="sans-serif" w:asciiTheme="minorHAnsi" w:hAnsiTheme="minorHAnsi"/>
          <w:color w:val="000000"/>
          <w:sz w:val="21"/>
          <w:szCs w:val="21"/>
        </w:rPr>
        <w:t>IDs</w:t>
      </w:r>
      <w:r>
        <w:rPr>
          <w:rFonts w:cs="sans-serif" w:asciiTheme="minorHAnsi" w:hAnsiTheme="minorHAnsi"/>
          <w:color w:val="000000"/>
          <w:sz w:val="21"/>
          <w:szCs w:val="21"/>
          <w:lang w:val="en"/>
        </w:rPr>
        <w:t>)</w:t>
      </w:r>
      <w:r>
        <w:rPr>
          <w:rFonts w:cs="sans-serif" w:asciiTheme="minorHAnsi" w:hAnsiTheme="minorHAnsi"/>
          <w:color w:val="000000"/>
          <w:sz w:val="21"/>
          <w:szCs w:val="21"/>
        </w:rPr>
        <w:t xml:space="preserve"> corresponds to the random</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effects structure</w:t>
      </w:r>
      <w:r>
        <w:rPr>
          <w:rFonts w:cs="sans-serif" w:asciiTheme="minorHAnsi" w:hAnsiTheme="minorHAnsi"/>
          <w:color w:val="000000"/>
          <w:sz w:val="21"/>
          <w:szCs w:val="21"/>
          <w:lang w:val="en"/>
        </w:rPr>
        <w:t xml:space="preserve"> for each covariate. Because the random slope structure was non-significant for each covariate, we only retained the random intercept structure in the following models</w:t>
      </w:r>
      <w:r>
        <w:rPr>
          <w:rFonts w:cs="sans-serif" w:asciiTheme="minorHAnsi" w:hAnsiTheme="minorHAnsi"/>
          <w:color w:val="000000"/>
          <w:sz w:val="21"/>
          <w:szCs w:val="21"/>
        </w:rPr>
        <w:t>. Smooth functions of all covariates were fitted as cubic regression splines s</w:t>
      </w:r>
      <w:r>
        <w:rPr>
          <w:rFonts w:cs="sans-serif" w:asciiTheme="minorHAnsi" w:hAnsiTheme="minorHAnsi"/>
          <w:color w:val="000000"/>
          <w:sz w:val="21"/>
          <w:szCs w:val="21"/>
          <w:vertAlign w:val="subscript"/>
        </w:rPr>
        <w:t>1-&gt;</w:t>
      </w:r>
      <w:r>
        <w:rPr>
          <w:rFonts w:cs="sans-serif" w:asciiTheme="minorHAnsi" w:hAnsiTheme="minorHAnsi"/>
          <w:color w:val="000000"/>
          <w:sz w:val="21"/>
          <w:szCs w:val="21"/>
          <w:vertAlign w:val="subscript"/>
          <w:lang w:val="en"/>
        </w:rPr>
        <w:t>n</w:t>
      </w:r>
      <w:r>
        <w:rPr>
          <w:rFonts w:cs="sans-serif" w:asciiTheme="minorHAnsi" w:hAnsiTheme="minorHAnsi"/>
          <w:color w:val="000000"/>
          <w:sz w:val="21"/>
          <w:szCs w:val="21"/>
        </w:rPr>
        <w:t xml:space="preserve"> with shrinkage to prevent over</w:t>
      </w:r>
      <w:r>
        <w:rPr>
          <w:rFonts w:cs="sans-serif" w:asciiTheme="minorHAnsi" w:hAnsiTheme="minorHAnsi"/>
          <w:color w:val="000000"/>
          <w:sz w:val="21"/>
          <w:szCs w:val="21"/>
        </w:rPr>
        <w:softHyphen/>
      </w:r>
      <w:r>
        <w:rPr>
          <w:rFonts w:cs="sans-serif" w:asciiTheme="minorHAnsi" w:hAnsiTheme="minorHAnsi"/>
          <w:color w:val="000000"/>
          <w:sz w:val="21"/>
          <w:szCs w:val="21"/>
        </w:rPr>
        <w:t xml:space="preserve">fitting </w:t>
      </w:r>
      <w:r>
        <w:fldChar w:fldCharType="begin"/>
      </w:r>
      <w:r>
        <w:instrText xml:space="preserve"> HYPERLINK "https://www.zotero.org/google-docs/?26F4pK" </w:instrText>
      </w:r>
      <w:r>
        <w:fldChar w:fldCharType="separate"/>
      </w:r>
      <w:r>
        <w:rPr>
          <w:rStyle w:val="14"/>
          <w:rFonts w:cs="sans-serif" w:asciiTheme="minorHAnsi" w:hAnsiTheme="minorHAnsi"/>
          <w:color w:val="000000"/>
          <w:sz w:val="21"/>
          <w:szCs w:val="21"/>
          <w:u w:val="none"/>
        </w:rPr>
        <w:t>(Wood, 2017)</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Study year</w:t>
      </w:r>
      <w:r>
        <w:rPr>
          <w:rFonts w:cs="sans-serif" w:asciiTheme="minorHAnsi" w:hAnsiTheme="minorHAnsi"/>
          <w:color w:val="000000"/>
          <w:sz w:val="21"/>
          <w:szCs w:val="21"/>
          <w:lang w:val="en"/>
        </w:rPr>
        <w:t xml:space="preserve"> ‘yr’</w:t>
      </w:r>
      <w:r>
        <w:rPr>
          <w:rFonts w:cs="sans-serif" w:asciiTheme="minorHAnsi" w:hAnsiTheme="minorHAnsi"/>
          <w:color w:val="000000"/>
          <w:sz w:val="21"/>
          <w:szCs w:val="21"/>
        </w:rPr>
        <w:t xml:space="preserve"> was added as an </w:t>
      </w:r>
      <w:r>
        <w:rPr>
          <w:rFonts w:cs="sans-serif" w:asciiTheme="minorHAnsi" w:hAnsiTheme="minorHAnsi"/>
          <w:color w:val="000000"/>
          <w:sz w:val="21"/>
          <w:szCs w:val="21"/>
          <w:lang w:val="en"/>
        </w:rPr>
        <w:t>interaction</w:t>
      </w:r>
      <w:r>
        <w:rPr>
          <w:rFonts w:hint="default" w:cs="sans-serif" w:asciiTheme="minorHAnsi" w:hAnsiTheme="minorHAnsi"/>
          <w:color w:val="000000"/>
          <w:sz w:val="21"/>
          <w:szCs w:val="21"/>
          <w:lang w:val="en"/>
        </w:rPr>
        <w:t xml:space="preserve"> (:)</w:t>
      </w:r>
      <w:r>
        <w:rPr>
          <w:rFonts w:cs="sans-serif" w:asciiTheme="minorHAnsi" w:hAnsiTheme="minorHAnsi"/>
          <w:color w:val="000000"/>
          <w:sz w:val="21"/>
          <w:szCs w:val="21"/>
          <w:lang w:val="en"/>
        </w:rPr>
        <w:t xml:space="preserve"> for each environmental covariate</w:t>
      </w:r>
      <w:r>
        <w:rPr>
          <w:rFonts w:cs="sans-serif" w:asciiTheme="minorHAnsi" w:hAnsiTheme="minorHAnsi"/>
          <w:color w:val="000000"/>
          <w:sz w:val="21"/>
          <w:szCs w:val="21"/>
        </w:rPr>
        <w:t xml:space="preserve"> to </w:t>
      </w:r>
      <w:r>
        <w:rPr>
          <w:rFonts w:cs="sans-serif" w:asciiTheme="minorHAnsi" w:hAnsiTheme="minorHAnsi"/>
          <w:color w:val="000000"/>
          <w:sz w:val="21"/>
          <w:szCs w:val="21"/>
          <w:lang w:val="en"/>
        </w:rPr>
        <w:t>control</w:t>
      </w:r>
      <w:r>
        <w:rPr>
          <w:rFonts w:cs="sans-serif" w:asciiTheme="minorHAnsi" w:hAnsiTheme="minorHAnsi"/>
          <w:color w:val="000000"/>
          <w:sz w:val="21"/>
          <w:szCs w:val="21"/>
        </w:rPr>
        <w:t xml:space="preserve"> for potential interannual variability in habitat preferences and b</w:t>
      </w:r>
      <w:r>
        <w:rPr>
          <w:rFonts w:cs="sans-serif" w:asciiTheme="minorHAnsi" w:hAnsiTheme="minorHAnsi"/>
          <w:color w:val="000000"/>
          <w:sz w:val="12"/>
          <w:szCs w:val="12"/>
          <w:vertAlign w:val="subscript"/>
        </w:rPr>
        <w:t>0</w:t>
      </w:r>
      <w:r>
        <w:rPr>
          <w:rFonts w:cs="sans-serif" w:asciiTheme="minorHAnsi" w:hAnsiTheme="minorHAnsi"/>
          <w:color w:val="000000"/>
          <w:sz w:val="21"/>
          <w:szCs w:val="21"/>
        </w:rPr>
        <w:t xml:space="preserve"> corresponds to the model intercept. </w:t>
      </w:r>
      <w:r>
        <w:rPr>
          <w:rFonts w:cs="sans-serif" w:asciiTheme="minorHAnsi" w:hAnsiTheme="minorHAnsi"/>
          <w:color w:val="000000"/>
          <w:sz w:val="21"/>
          <w:szCs w:val="21"/>
          <w:lang w:val="en"/>
        </w:rPr>
        <w:t>Finally, to limit residual autocorrelation, a temporal autoregressive correlation structure of order 1 (CorAR1) was implemented (Beale et al. 2010, Wood, 2017). The habitat preference predictions, i.e., the competition covariates, were then scaled between 0 and 1 using a commonly used transformation (e.g. Wereszczuk &amp; Zalewski 2015) that takes the following form:</w:t>
      </w:r>
    </w:p>
    <w:p>
      <w:pPr>
        <w:pStyle w:val="16"/>
        <w:spacing w:before="240" w:beforeAutospacing="0" w:after="240" w:afterAutospacing="0" w:line="480" w:lineRule="auto"/>
        <w:jc w:val="center"/>
        <w:rPr>
          <w:rFonts w:cs="sans-serif" w:asciiTheme="minorHAnsi" w:hAnsiTheme="minorHAnsi"/>
          <w:color w:val="000000"/>
          <w:sz w:val="21"/>
          <w:szCs w:val="21"/>
          <w:lang w:val="en"/>
        </w:rPr>
      </w:pPr>
      <w:r>
        <w:rPr>
          <w:rFonts w:cs="sans-serif" w:asciiTheme="minorHAnsi" w:hAnsiTheme="minorHAnsi"/>
          <w:color w:val="000000"/>
          <w:sz w:val="21"/>
          <w:szCs w:val="21"/>
          <w:lang w:val="en"/>
        </w:rPr>
        <w:t>C</w:t>
      </w:r>
      <w:r>
        <w:rPr>
          <w:rFonts w:cs="sans-serif" w:asciiTheme="minorHAnsi" w:hAnsiTheme="minorHAnsi"/>
          <w:color w:val="000000"/>
          <w:sz w:val="21"/>
          <w:szCs w:val="21"/>
          <w:vertAlign w:val="subscript"/>
          <w:lang w:val="en"/>
        </w:rPr>
        <w:t>i,j</w:t>
      </w:r>
      <w:r>
        <w:rPr>
          <w:rFonts w:cs="sans-serif" w:asciiTheme="minorHAnsi" w:hAnsiTheme="minorHAnsi"/>
          <w:color w:val="000000"/>
          <w:sz w:val="21"/>
          <w:szCs w:val="21"/>
          <w:lang w:val="en"/>
        </w:rPr>
        <w:t>= ( w</w:t>
      </w:r>
      <w:r>
        <w:rPr>
          <w:rFonts w:cs="sans-serif" w:asciiTheme="minorHAnsi" w:hAnsiTheme="minorHAnsi"/>
          <w:color w:val="000000"/>
          <w:sz w:val="21"/>
          <w:szCs w:val="21"/>
          <w:vertAlign w:val="subscript"/>
          <w:lang w:val="en"/>
        </w:rPr>
        <w:t>i,j</w:t>
      </w:r>
      <w:r>
        <w:rPr>
          <w:rFonts w:cs="sans-serif" w:asciiTheme="minorHAnsi" w:hAnsiTheme="minorHAnsi"/>
          <w:color w:val="000000"/>
          <w:sz w:val="21"/>
          <w:szCs w:val="21"/>
          <w:lang w:val="en"/>
        </w:rPr>
        <w:t xml:space="preserve"> - w</w:t>
      </w:r>
      <w:r>
        <w:rPr>
          <w:rFonts w:cs="sans-serif" w:asciiTheme="minorHAnsi" w:hAnsiTheme="minorHAnsi"/>
          <w:color w:val="000000"/>
          <w:sz w:val="21"/>
          <w:szCs w:val="21"/>
          <w:vertAlign w:val="subscript"/>
          <w:lang w:val="en"/>
        </w:rPr>
        <w:t>min</w:t>
      </w:r>
      <w:r>
        <w:rPr>
          <w:rFonts w:cs="sans-serif" w:asciiTheme="minorHAnsi" w:hAnsiTheme="minorHAnsi"/>
          <w:color w:val="000000"/>
          <w:sz w:val="21"/>
          <w:szCs w:val="21"/>
          <w:lang w:val="en"/>
        </w:rPr>
        <w:t xml:space="preserve"> ) / ( w</w:t>
      </w:r>
      <w:r>
        <w:rPr>
          <w:rFonts w:cs="sans-serif" w:asciiTheme="minorHAnsi" w:hAnsiTheme="minorHAnsi"/>
          <w:color w:val="000000"/>
          <w:sz w:val="21"/>
          <w:szCs w:val="21"/>
          <w:vertAlign w:val="subscript"/>
          <w:lang w:val="en"/>
        </w:rPr>
        <w:t>max</w:t>
      </w:r>
      <w:r>
        <w:rPr>
          <w:rFonts w:cs="sans-serif" w:asciiTheme="minorHAnsi" w:hAnsiTheme="minorHAnsi"/>
          <w:color w:val="000000"/>
          <w:sz w:val="21"/>
          <w:szCs w:val="21"/>
          <w:lang w:val="en"/>
        </w:rPr>
        <w:t xml:space="preserve"> - w</w:t>
      </w:r>
      <w:r>
        <w:rPr>
          <w:rFonts w:cs="sans-serif" w:asciiTheme="minorHAnsi" w:hAnsiTheme="minorHAnsi"/>
          <w:color w:val="000000"/>
          <w:sz w:val="21"/>
          <w:szCs w:val="21"/>
          <w:vertAlign w:val="subscript"/>
          <w:lang w:val="en"/>
        </w:rPr>
        <w:t>min</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lang w:val="en"/>
        </w:rPr>
        <w:tab/>
      </w:r>
      <w:r>
        <w:rPr>
          <w:rFonts w:cs="sans-serif" w:asciiTheme="minorHAnsi" w:hAnsiTheme="minorHAnsi"/>
          <w:color w:val="000000"/>
          <w:sz w:val="21"/>
          <w:szCs w:val="21"/>
          <w:lang w:val="en"/>
        </w:rPr>
        <w:t>(2)</w:t>
      </w:r>
    </w:p>
    <w:p>
      <w:pPr>
        <w:pStyle w:val="16"/>
        <w:spacing w:before="240" w:beforeAutospacing="0" w:after="240" w:afterAutospacing="0" w:line="480" w:lineRule="auto"/>
        <w:rPr>
          <w:rFonts w:cs="sans-serif" w:asciiTheme="minorHAnsi" w:hAnsiTheme="minorHAnsi"/>
          <w:color w:val="000000"/>
          <w:sz w:val="21"/>
          <w:szCs w:val="21"/>
          <w:lang w:val="en"/>
        </w:rPr>
      </w:pPr>
      <w:r>
        <w:rPr>
          <w:rFonts w:cs="sans-serif" w:asciiTheme="minorHAnsi" w:hAnsiTheme="minorHAnsi"/>
          <w:color w:val="000000"/>
          <w:sz w:val="21"/>
          <w:szCs w:val="21"/>
          <w:lang w:val="en"/>
        </w:rPr>
        <w:t>Where C</w:t>
      </w:r>
      <w:r>
        <w:rPr>
          <w:rFonts w:cs="sans-serif" w:asciiTheme="minorHAnsi" w:hAnsiTheme="minorHAnsi"/>
          <w:color w:val="000000"/>
          <w:sz w:val="21"/>
          <w:szCs w:val="21"/>
          <w:vertAlign w:val="subscript"/>
          <w:lang w:val="en"/>
        </w:rPr>
        <w:t>i,j</w:t>
      </w:r>
      <w:r>
        <w:rPr>
          <w:rFonts w:cs="sans-serif" w:asciiTheme="minorHAnsi" w:hAnsiTheme="minorHAnsi"/>
          <w:color w:val="000000"/>
          <w:sz w:val="21"/>
          <w:szCs w:val="21"/>
          <w:lang w:val="en"/>
        </w:rPr>
        <w:t xml:space="preserve"> is the resulting scaled competition covariate for each site and sex, and w</w:t>
      </w:r>
      <w:r>
        <w:rPr>
          <w:rFonts w:cs="sans-serif" w:asciiTheme="minorHAnsi" w:hAnsiTheme="minorHAnsi"/>
          <w:color w:val="000000"/>
          <w:sz w:val="21"/>
          <w:szCs w:val="21"/>
          <w:vertAlign w:val="subscript"/>
          <w:lang w:val="en"/>
        </w:rPr>
        <w:t>i,j</w:t>
      </w:r>
      <w:r>
        <w:rPr>
          <w:rFonts w:cs="sans-serif" w:asciiTheme="minorHAnsi" w:hAnsiTheme="minorHAnsi"/>
          <w:color w:val="000000"/>
          <w:sz w:val="21"/>
          <w:szCs w:val="21"/>
          <w:lang w:val="en"/>
        </w:rPr>
        <w:t xml:space="preserve"> is the output from Eq (1) with w</w:t>
      </w:r>
      <w:r>
        <w:rPr>
          <w:rFonts w:cs="sans-serif" w:asciiTheme="minorHAnsi" w:hAnsiTheme="minorHAnsi"/>
          <w:color w:val="000000"/>
          <w:sz w:val="21"/>
          <w:szCs w:val="21"/>
          <w:vertAlign w:val="subscript"/>
          <w:lang w:val="en"/>
        </w:rPr>
        <w:t>min</w:t>
      </w:r>
      <w:r>
        <w:rPr>
          <w:rFonts w:cs="sans-serif" w:asciiTheme="minorHAnsi" w:hAnsiTheme="minorHAnsi"/>
          <w:color w:val="000000"/>
          <w:sz w:val="21"/>
          <w:szCs w:val="21"/>
          <w:lang w:val="en"/>
        </w:rPr>
        <w:t xml:space="preserve"> and w</w:t>
      </w:r>
      <w:r>
        <w:rPr>
          <w:rFonts w:cs="sans-serif" w:asciiTheme="minorHAnsi" w:hAnsiTheme="minorHAnsi"/>
          <w:color w:val="000000"/>
          <w:sz w:val="21"/>
          <w:szCs w:val="21"/>
          <w:vertAlign w:val="subscript"/>
          <w:lang w:val="en"/>
        </w:rPr>
        <w:t>max</w:t>
      </w:r>
      <w:r>
        <w:rPr>
          <w:rFonts w:cs="sans-serif" w:asciiTheme="minorHAnsi" w:hAnsiTheme="minorHAnsi"/>
          <w:color w:val="000000"/>
          <w:sz w:val="21"/>
          <w:szCs w:val="21"/>
          <w:lang w:val="en"/>
        </w:rPr>
        <w:t xml:space="preserve"> representing the smallest and largest RSF values.</w:t>
      </w:r>
    </w:p>
    <w:p>
      <w:pPr>
        <w:pStyle w:val="16"/>
        <w:spacing w:before="240" w:beforeAutospacing="0" w:after="240" w:afterAutospacing="0" w:line="480" w:lineRule="auto"/>
        <w:ind w:firstLine="420"/>
        <w:rPr>
          <w:rFonts w:asciiTheme="minorHAnsi" w:hAnsiTheme="minorHAnsi"/>
        </w:rPr>
      </w:pPr>
      <w:r>
        <w:rPr>
          <w:rFonts w:cs="sans-serif" w:asciiTheme="minorHAnsi" w:hAnsiTheme="minorHAnsi"/>
          <w:i/>
          <w:color w:val="000000"/>
          <w:sz w:val="21"/>
          <w:szCs w:val="21"/>
        </w:rPr>
        <w:t>(i</w:t>
      </w:r>
      <w:r>
        <w:rPr>
          <w:rFonts w:cs="sans-serif" w:asciiTheme="minorHAnsi" w:hAnsiTheme="minorHAnsi"/>
          <w:i/>
          <w:color w:val="000000"/>
          <w:sz w:val="21"/>
          <w:szCs w:val="21"/>
          <w:lang w:val="en"/>
        </w:rPr>
        <w:t>ii</w:t>
      </w:r>
      <w:r>
        <w:rPr>
          <w:rFonts w:cs="sans-serif" w:asciiTheme="minorHAnsi" w:hAnsiTheme="minorHAnsi"/>
          <w:i/>
          <w:color w:val="000000"/>
          <w:sz w:val="21"/>
          <w:szCs w:val="21"/>
        </w:rPr>
        <w:t>) Disentangling environmental effects from intraspecific competition</w:t>
      </w:r>
    </w:p>
    <w:p>
      <w:pPr>
        <w:pStyle w:val="16"/>
        <w:spacing w:before="240" w:beforeAutospacing="0" w:after="240" w:afterAutospacing="0" w:line="480" w:lineRule="auto"/>
        <w:rPr>
          <w:rFonts w:cs="sans-serif" w:asciiTheme="minorAscii" w:hAnsiTheme="minorAscii"/>
          <w:color w:val="000000"/>
          <w:sz w:val="21"/>
          <w:szCs w:val="21"/>
        </w:rPr>
      </w:pPr>
      <w:r>
        <w:rPr>
          <w:rFonts w:cs="sans-serif" w:asciiTheme="minorHAnsi" w:hAnsiTheme="minorHAnsi"/>
          <w:color w:val="000000"/>
          <w:sz w:val="21"/>
          <w:szCs w:val="21"/>
        </w:rPr>
        <w:t xml:space="preserve">For each site and sex, we finally used habitat selection GAMMs as above, but this time using all </w:t>
      </w:r>
      <w:r>
        <w:rPr>
          <w:rFonts w:cs="sans-serif" w:asciiTheme="minorHAnsi" w:hAnsiTheme="minorHAnsi"/>
          <w:color w:val="000000"/>
          <w:sz w:val="21"/>
          <w:szCs w:val="21"/>
          <w:lang w:val="en"/>
        </w:rPr>
        <w:t>two</w:t>
      </w:r>
      <w:r>
        <w:rPr>
          <w:rFonts w:cs="sans-serif" w:asciiTheme="minorHAnsi" w:hAnsiTheme="minorHAnsi"/>
          <w:color w:val="000000"/>
          <w:sz w:val="21"/>
          <w:szCs w:val="21"/>
        </w:rPr>
        <w:t xml:space="preserve"> types of covariates: three environmental covariates, and three competition covariates (Fig. 1b). Here, we therefore assumed that if all groups have the same preferences for a given cell, accounting for habitat preference, the second set of models will result in probabilities of spatial aggregation (or conversely, segregation) among sites and sexes.</w:t>
      </w:r>
      <w:r>
        <w:rPr>
          <w:rFonts w:cs="sans-serif" w:asciiTheme="minorHAnsi" w:hAnsiTheme="minorHAnsi"/>
          <w:color w:val="000000"/>
          <w:sz w:val="21"/>
          <w:szCs w:val="21"/>
          <w:lang w:val="en"/>
        </w:rPr>
        <w:t xml:space="preserve"> </w:t>
      </w:r>
      <w:r>
        <w:rPr>
          <w:rFonts w:asciiTheme="minorAscii" w:hAnsiTheme="minorAscii" w:eastAsiaTheme="majorEastAsia" w:cstheme="majorEastAsia"/>
          <w:color w:val="000000"/>
          <w:sz w:val="21"/>
          <w:szCs w:val="21"/>
          <w:lang w:val="en"/>
        </w:rPr>
        <w:t xml:space="preserve">We also added an additional smoother - a two-dimensional spline on geographical projected coordinates - to take into account the spatial structure of the data (Beale et al. 2010). </w:t>
      </w:r>
      <w:r>
        <w:rPr>
          <w:rFonts w:cs="sans-serif" w:asciiTheme="minorAscii" w:hAnsiTheme="minorAscii"/>
          <w:color w:val="000000"/>
          <w:sz w:val="21"/>
          <w:szCs w:val="21"/>
        </w:rPr>
        <w:t xml:space="preserve">We then used Akaike’s Information Criterion corrected for small sample size </w:t>
      </w:r>
      <w:r>
        <w:rPr>
          <w:rFonts w:cs="sans-serif" w:asciiTheme="minorAscii" w:hAnsiTheme="minorAscii"/>
          <w:color w:val="000000"/>
          <w:sz w:val="21"/>
          <w:szCs w:val="21"/>
          <w:lang w:val="en"/>
        </w:rPr>
        <w:t>(</w:t>
      </w:r>
      <w:r>
        <w:rPr>
          <w:rFonts w:cs="sans-serif" w:asciiTheme="minorAscii" w:hAnsiTheme="minorAscii"/>
          <w:color w:val="000000"/>
          <w:sz w:val="21"/>
          <w:szCs w:val="21"/>
        </w:rPr>
        <w:t>AICc, Burnham &amp; Anderson, 2002)</w:t>
      </w:r>
      <w:r>
        <w:rPr>
          <w:rFonts w:cs="sans-serif" w:asciiTheme="minorAscii" w:hAnsiTheme="minorAscii"/>
          <w:color w:val="000000"/>
          <w:sz w:val="21"/>
          <w:szCs w:val="21"/>
          <w:lang w:val="en"/>
        </w:rPr>
        <w:t xml:space="preserve"> </w:t>
      </w:r>
      <w:r>
        <w:rPr>
          <w:rFonts w:cs="sans-serif" w:asciiTheme="minorAscii" w:hAnsiTheme="minorAscii"/>
          <w:color w:val="000000"/>
          <w:sz w:val="21"/>
          <w:szCs w:val="21"/>
        </w:rPr>
        <w:t>to select the most parsimonious model against all possible models including a null model, excluding covariates other than year and the spati</w:t>
      </w:r>
      <w:r>
        <w:rPr>
          <w:rFonts w:cs="sans-serif" w:asciiTheme="minorAscii" w:hAnsiTheme="minorAscii"/>
          <w:color w:val="000000"/>
          <w:sz w:val="21"/>
          <w:szCs w:val="21"/>
          <w:lang w:val="en"/>
        </w:rPr>
        <w:t>o-temporal</w:t>
      </w:r>
      <w:r>
        <w:rPr>
          <w:rFonts w:cs="sans-serif" w:asciiTheme="minorAscii" w:hAnsiTheme="minorAscii"/>
          <w:color w:val="000000"/>
          <w:sz w:val="21"/>
          <w:szCs w:val="21"/>
        </w:rPr>
        <w:t xml:space="preserve"> structure and random effects.</w:t>
      </w:r>
    </w:p>
    <w:p>
      <w:pPr>
        <w:spacing w:line="480" w:lineRule="auto"/>
        <w:rPr>
          <w:rFonts w:eastAsiaTheme="majorEastAsia" w:cstheme="majorEastAsia"/>
          <w:color w:val="000000"/>
          <w:sz w:val="21"/>
          <w:szCs w:val="21"/>
          <w:lang w:val="en"/>
        </w:rPr>
      </w:pPr>
      <w:r>
        <w:rPr>
          <w:rFonts w:eastAsiaTheme="majorEastAsia" w:cstheme="majorEastAsia"/>
          <w:color w:val="000000"/>
          <w:sz w:val="21"/>
          <w:szCs w:val="21"/>
          <w:lang w:val="en"/>
        </w:rPr>
        <w:t>To estimate the proportion of Deviance Explained (DE)</w:t>
      </w:r>
      <w:r>
        <w:rPr>
          <w:rFonts w:eastAsia="东文宋体" w:cs="东文宋体"/>
          <w:color w:val="000000"/>
          <w:sz w:val="21"/>
          <w:szCs w:val="21"/>
          <w:lang w:val="en"/>
        </w:rPr>
        <w:t xml:space="preserve"> </w:t>
      </w:r>
      <w:r>
        <w:rPr>
          <w:rFonts w:eastAsiaTheme="majorEastAsia" w:cstheme="majorEastAsia"/>
          <w:color w:val="000000"/>
          <w:sz w:val="21"/>
          <w:szCs w:val="21"/>
          <w:lang w:val="en"/>
        </w:rPr>
        <w:t>for each covariate j we used:</w:t>
      </w:r>
    </w:p>
    <w:p>
      <w:pPr>
        <w:spacing w:line="480" w:lineRule="auto"/>
        <w:jc w:val="center"/>
        <w:rPr>
          <w:rFonts w:eastAsiaTheme="majorEastAsia" w:cstheme="majorEastAsia"/>
          <w:color w:val="000000"/>
          <w:sz w:val="21"/>
          <w:szCs w:val="21"/>
          <w:lang w:val="fr-FR"/>
        </w:rPr>
      </w:pPr>
      <w:r>
        <w:rPr>
          <w:rFonts w:hint="default" w:eastAsia="东文宋体" w:cstheme="minorHAnsi"/>
          <w:color w:val="000000"/>
          <w:sz w:val="21"/>
          <w:szCs w:val="21"/>
          <w:lang w:val="en"/>
        </w:rPr>
        <w:t>DE</w:t>
      </w:r>
      <w:r>
        <w:rPr>
          <w:rFonts w:eastAsiaTheme="majorEastAsia" w:cstheme="majorEastAsia"/>
          <w:color w:val="000000"/>
          <w:sz w:val="21"/>
          <w:szCs w:val="21"/>
          <w:lang w:val="fr-FR"/>
        </w:rPr>
        <w:t>j = ( deviance (w</w:t>
      </w:r>
      <w:r>
        <w:rPr>
          <w:rFonts w:eastAsiaTheme="majorEastAsia" w:cstheme="majorEastAsia"/>
          <w:color w:val="000000"/>
          <w:sz w:val="21"/>
          <w:szCs w:val="21"/>
          <w:vertAlign w:val="subscript"/>
          <w:lang w:val="fr-FR"/>
        </w:rPr>
        <w:t>j</w:t>
      </w:r>
      <w:r>
        <w:rPr>
          <w:rFonts w:eastAsiaTheme="majorEastAsia" w:cstheme="majorEastAsia"/>
          <w:color w:val="000000"/>
          <w:sz w:val="21"/>
          <w:szCs w:val="21"/>
          <w:lang w:val="fr-FR"/>
        </w:rPr>
        <w:t>) - deviance (w</w:t>
      </w:r>
      <w:r>
        <w:rPr>
          <w:rFonts w:eastAsiaTheme="majorEastAsia" w:cstheme="majorEastAsia"/>
          <w:color w:val="000000"/>
          <w:sz w:val="21"/>
          <w:szCs w:val="21"/>
          <w:vertAlign w:val="subscript"/>
          <w:lang w:val="fr-FR"/>
        </w:rPr>
        <w:t>best</w:t>
      </w:r>
      <w:r>
        <w:rPr>
          <w:rFonts w:eastAsiaTheme="majorEastAsia" w:cstheme="majorEastAsia"/>
          <w:color w:val="000000"/>
          <w:sz w:val="21"/>
          <w:szCs w:val="21"/>
          <w:lang w:val="fr-FR"/>
        </w:rPr>
        <w:t>) ) / deviance (w</w:t>
      </w:r>
      <w:r>
        <w:rPr>
          <w:rFonts w:eastAsiaTheme="majorEastAsia" w:cstheme="majorEastAsia"/>
          <w:color w:val="000000"/>
          <w:sz w:val="21"/>
          <w:szCs w:val="21"/>
          <w:vertAlign w:val="subscript"/>
          <w:lang w:val="fr-FR"/>
        </w:rPr>
        <w:t>0</w:t>
      </w:r>
      <w:r>
        <w:rPr>
          <w:rFonts w:eastAsiaTheme="majorEastAsia" w:cstheme="majorEastAsia"/>
          <w:color w:val="000000"/>
          <w:sz w:val="21"/>
          <w:szCs w:val="21"/>
          <w:lang w:val="fr-FR"/>
        </w:rPr>
        <w:t>)</w:t>
      </w:r>
      <w:r>
        <w:rPr>
          <w:rFonts w:eastAsiaTheme="majorEastAsia" w:cstheme="majorEastAsia"/>
          <w:color w:val="000000"/>
          <w:sz w:val="21"/>
          <w:szCs w:val="21"/>
          <w:lang w:val="fr-FR"/>
        </w:rPr>
        <w:tab/>
      </w:r>
      <w:r>
        <w:rPr>
          <w:rFonts w:eastAsiaTheme="majorEastAsia" w:cstheme="majorEastAsia"/>
          <w:color w:val="000000"/>
          <w:sz w:val="21"/>
          <w:szCs w:val="21"/>
          <w:lang w:val="fr-FR"/>
        </w:rPr>
        <w:tab/>
      </w:r>
      <w:r>
        <w:rPr>
          <w:rFonts w:eastAsiaTheme="majorEastAsia" w:cstheme="majorEastAsia"/>
          <w:color w:val="000000"/>
          <w:sz w:val="21"/>
          <w:szCs w:val="21"/>
          <w:lang w:val="fr-FR"/>
        </w:rPr>
        <w:tab/>
      </w:r>
      <w:r>
        <w:rPr>
          <w:rFonts w:eastAsiaTheme="majorEastAsia" w:cstheme="majorEastAsia"/>
          <w:color w:val="000000"/>
          <w:sz w:val="21"/>
          <w:szCs w:val="21"/>
          <w:lang w:val="fr-FR"/>
        </w:rPr>
        <w:t>(</w:t>
      </w:r>
      <w:r>
        <w:rPr>
          <w:rFonts w:eastAsiaTheme="majorEastAsia" w:cstheme="majorEastAsia"/>
          <w:color w:val="000000"/>
          <w:sz w:val="21"/>
          <w:szCs w:val="21"/>
          <w:lang w:val="en"/>
        </w:rPr>
        <w:t>3</w:t>
      </w:r>
      <w:r>
        <w:rPr>
          <w:rFonts w:eastAsiaTheme="majorEastAsia" w:cstheme="majorEastAsia"/>
          <w:color w:val="000000"/>
          <w:sz w:val="21"/>
          <w:szCs w:val="21"/>
          <w:lang w:val="fr-FR"/>
        </w:rPr>
        <w:t>)</w:t>
      </w:r>
    </w:p>
    <w:p>
      <w:pPr>
        <w:spacing w:line="480" w:lineRule="auto"/>
        <w:rPr>
          <w:rFonts w:eastAsiaTheme="majorEastAsia" w:cstheme="majorEastAsia"/>
          <w:color w:val="000000"/>
          <w:sz w:val="21"/>
          <w:szCs w:val="21"/>
          <w:lang w:val="en"/>
        </w:rPr>
      </w:pPr>
      <w:r>
        <w:rPr>
          <w:rFonts w:eastAsiaTheme="majorEastAsia" w:cstheme="majorEastAsia"/>
          <w:color w:val="000000"/>
          <w:sz w:val="21"/>
          <w:szCs w:val="21"/>
          <w:lang w:val="en"/>
        </w:rPr>
        <w:t>with w</w:t>
      </w:r>
      <w:r>
        <w:rPr>
          <w:rFonts w:eastAsiaTheme="majorEastAsia" w:cstheme="majorEastAsia"/>
          <w:color w:val="000000"/>
          <w:sz w:val="21"/>
          <w:szCs w:val="21"/>
          <w:vertAlign w:val="subscript"/>
          <w:lang w:val="en"/>
        </w:rPr>
        <w:t>j</w:t>
      </w:r>
      <w:r>
        <w:rPr>
          <w:rFonts w:eastAsiaTheme="majorEastAsia" w:cstheme="majorEastAsia"/>
          <w:color w:val="000000"/>
          <w:sz w:val="21"/>
          <w:szCs w:val="21"/>
          <w:lang w:val="en"/>
        </w:rPr>
        <w:t xml:space="preserve"> corresponding to the deviance for a model with only the covariate j, w</w:t>
      </w:r>
      <w:r>
        <w:rPr>
          <w:rFonts w:eastAsiaTheme="majorEastAsia" w:cstheme="majorEastAsia"/>
          <w:color w:val="000000"/>
          <w:sz w:val="21"/>
          <w:szCs w:val="21"/>
          <w:vertAlign w:val="subscript"/>
          <w:lang w:val="en"/>
        </w:rPr>
        <w:t>b</w:t>
      </w:r>
      <w:r>
        <w:rPr>
          <w:rFonts w:hint="default" w:eastAsiaTheme="majorEastAsia" w:cstheme="majorEastAsia"/>
          <w:color w:val="000000"/>
          <w:sz w:val="21"/>
          <w:szCs w:val="21"/>
          <w:vertAlign w:val="subscript"/>
          <w:lang w:val="en"/>
        </w:rPr>
        <w:t>est</w:t>
      </w:r>
      <w:r>
        <w:rPr>
          <w:rFonts w:eastAsiaTheme="majorEastAsia" w:cstheme="majorEastAsia"/>
          <w:color w:val="000000"/>
          <w:sz w:val="21"/>
          <w:szCs w:val="21"/>
          <w:lang w:val="en"/>
        </w:rPr>
        <w:t xml:space="preserve"> corresponding to the deviance explained </w:t>
      </w:r>
      <w:r>
        <w:rPr>
          <w:rFonts w:hint="default" w:eastAsiaTheme="majorEastAsia" w:cstheme="majorEastAsia"/>
          <w:color w:val="000000"/>
          <w:sz w:val="21"/>
          <w:szCs w:val="21"/>
          <w:lang w:val="en"/>
        </w:rPr>
        <w:t>by</w:t>
      </w:r>
      <w:r>
        <w:rPr>
          <w:rFonts w:eastAsiaTheme="majorEastAsia" w:cstheme="majorEastAsia"/>
          <w:color w:val="000000"/>
          <w:sz w:val="21"/>
          <w:szCs w:val="21"/>
          <w:lang w:val="en"/>
        </w:rPr>
        <w:t xml:space="preserve"> the best model (estimated by AICc) and w</w:t>
      </w:r>
      <w:r>
        <w:rPr>
          <w:rFonts w:eastAsiaTheme="majorEastAsia" w:cstheme="majorEastAsia"/>
          <w:color w:val="000000"/>
          <w:sz w:val="21"/>
          <w:szCs w:val="21"/>
          <w:vertAlign w:val="subscript"/>
          <w:lang w:val="en"/>
        </w:rPr>
        <w:t xml:space="preserve">0 </w:t>
      </w:r>
      <w:r>
        <w:rPr>
          <w:rFonts w:eastAsiaTheme="majorEastAsia" w:cstheme="majorEastAsia"/>
          <w:color w:val="000000"/>
          <w:sz w:val="21"/>
          <w:szCs w:val="21"/>
          <w:lang w:val="en"/>
        </w:rPr>
        <w:t>to deviance explained by the null model (Wood, 2017,</w:t>
      </w:r>
      <w:r>
        <w:rPr>
          <w:rStyle w:val="14"/>
          <w:rFonts w:eastAsiaTheme="majorEastAsia" w:cstheme="majorEastAsia"/>
          <w:color w:val="000000"/>
          <w:sz w:val="21"/>
          <w:szCs w:val="21"/>
          <w:u w:val="none"/>
          <w:lang w:val="en"/>
        </w:rPr>
        <w:t xml:space="preserve"> which is similar to the D</w:t>
      </w:r>
      <w:r>
        <w:rPr>
          <w:rStyle w:val="14"/>
          <w:rFonts w:eastAsiaTheme="majorEastAsia" w:cstheme="majorEastAsia"/>
          <w:color w:val="000000"/>
          <w:sz w:val="21"/>
          <w:szCs w:val="21"/>
          <w:u w:val="none"/>
          <w:vertAlign w:val="superscript"/>
          <w:lang w:val="en"/>
        </w:rPr>
        <w:t>2</w:t>
      </w:r>
      <w:r>
        <w:rPr>
          <w:rStyle w:val="14"/>
          <w:rFonts w:eastAsiaTheme="majorEastAsia" w:cstheme="majorEastAsia"/>
          <w:color w:val="000000"/>
          <w:sz w:val="21"/>
          <w:szCs w:val="21"/>
          <w:u w:val="none"/>
          <w:lang w:val="en"/>
        </w:rPr>
        <w:t xml:space="preserve"> statistic used for GLM, Guisan &amp; Zimmermann 2000</w:t>
      </w:r>
      <w:r>
        <w:rPr>
          <w:rFonts w:eastAsiaTheme="majorEastAsia" w:cstheme="majorEastAsia"/>
          <w:color w:val="000000"/>
          <w:sz w:val="21"/>
          <w:szCs w:val="21"/>
          <w:lang w:val="en"/>
        </w:rPr>
        <w:t xml:space="preserve">). </w:t>
      </w:r>
    </w:p>
    <w:p>
      <w:pPr>
        <w:spacing w:line="480" w:lineRule="auto"/>
        <w:ind w:firstLine="420"/>
        <w:rPr>
          <w:rFonts w:eastAsiaTheme="majorEastAsia" w:cstheme="majorEastAsia"/>
          <w:color w:val="000000"/>
          <w:sz w:val="21"/>
          <w:szCs w:val="21"/>
          <w:lang w:val="en"/>
        </w:rPr>
      </w:pPr>
      <w:r>
        <w:rPr>
          <w:rFonts w:eastAsiaTheme="majorEastAsia" w:cstheme="majorEastAsia"/>
          <w:color w:val="000000"/>
          <w:sz w:val="21"/>
          <w:szCs w:val="21"/>
          <w:lang w:val="en"/>
        </w:rPr>
        <w:t xml:space="preserve">The different competition covariates were highly correlated per sex between the two populations, which could cause estimation biases (Dorman et al. 2013). We therefore also conducted the analyses without these highly correlated competition covariates (|r|&gt;0.7), investigating the effects on the estimation of </w:t>
      </w:r>
      <w:r>
        <w:rPr>
          <w:rFonts w:hint="default" w:eastAsiaTheme="majorEastAsia" w:cstheme="majorEastAsia"/>
          <w:color w:val="000000"/>
          <w:sz w:val="21"/>
          <w:szCs w:val="21"/>
          <w:lang w:val="en"/>
        </w:rPr>
        <w:t>every</w:t>
      </w:r>
      <w:r>
        <w:rPr>
          <w:rFonts w:eastAsiaTheme="majorEastAsia" w:cstheme="majorEastAsia"/>
          <w:color w:val="000000"/>
          <w:sz w:val="21"/>
          <w:szCs w:val="21"/>
          <w:lang w:val="en"/>
        </w:rPr>
        <w:t xml:space="preserve"> other competition covariate. We found no strong effect of correlated covariates on the models’ estimations (Figs S3 to S7), and since our aim was to investigate the relative influence of the competition covariates, we retained all the competition covariates for model selection. However, we dropped the SST covariate because it was also highly correlated with several competition covariates (Fig. S3).</w:t>
      </w:r>
    </w:p>
    <w:p>
      <w:pPr>
        <w:pStyle w:val="16"/>
        <w:spacing w:before="240" w:beforeAutospacing="0" w:after="240" w:afterAutospacing="0" w:line="480" w:lineRule="auto"/>
        <w:rPr>
          <w:rFonts w:cs="sans-serif" w:asciiTheme="minorHAnsi" w:hAnsiTheme="minorHAnsi"/>
          <w:b/>
          <w:i/>
          <w:color w:val="000000"/>
          <w:sz w:val="21"/>
          <w:szCs w:val="21"/>
        </w:rPr>
      </w:pPr>
      <w:r>
        <w:rPr>
          <w:rFonts w:cs="sans-serif" w:asciiTheme="minorHAnsi" w:hAnsiTheme="minorHAnsi"/>
          <w:b/>
          <w:i/>
          <w:color w:val="000000"/>
          <w:sz w:val="21"/>
          <w:szCs w:val="21"/>
        </w:rPr>
        <w:t>At-sea density estimates</w:t>
      </w:r>
    </w:p>
    <w:p>
      <w:pPr>
        <w:pStyle w:val="16"/>
        <w:spacing w:before="240" w:beforeAutospacing="0" w:after="240" w:afterAutospacing="0" w:line="480" w:lineRule="auto"/>
        <w:rPr>
          <w:rFonts w:asciiTheme="minorHAnsi" w:hAnsiTheme="minorHAnsi"/>
        </w:rPr>
      </w:pPr>
      <w:r>
        <w:rPr>
          <w:rFonts w:cs="sans-serif" w:asciiTheme="minorHAnsi" w:hAnsiTheme="minorHAnsi"/>
          <w:color w:val="000000"/>
          <w:sz w:val="21"/>
          <w:szCs w:val="21"/>
          <w:lang w:val="en"/>
        </w:rPr>
        <w:t>To investigate the potential for direct competition between individuals we then used RSF to estimate the</w:t>
      </w:r>
      <w:r>
        <w:rPr>
          <w:rFonts w:cs="sans-serif" w:asciiTheme="minorHAnsi" w:hAnsiTheme="minorHAnsi"/>
          <w:color w:val="000000"/>
          <w:sz w:val="21"/>
          <w:szCs w:val="21"/>
        </w:rPr>
        <w:t xml:space="preserve"> at-sea population densities (birds.km</w:t>
      </w:r>
      <w:r>
        <w:rPr>
          <w:rFonts w:cs="sans-serif" w:asciiTheme="minorHAnsi" w:hAnsiTheme="minorHAnsi"/>
          <w:color w:val="000000"/>
          <w:sz w:val="21"/>
          <w:szCs w:val="21"/>
          <w:vertAlign w:val="superscript"/>
        </w:rPr>
        <w:t>-1</w:t>
      </w:r>
      <w:r>
        <w:rPr>
          <w:rFonts w:cs="sans-serif" w:asciiTheme="minorHAnsi" w:hAnsiTheme="minorHAnsi"/>
          <w:color w:val="000000"/>
          <w:sz w:val="21"/>
          <w:szCs w:val="21"/>
        </w:rPr>
        <w:t>)</w:t>
      </w:r>
      <w:r>
        <w:rPr>
          <w:rFonts w:cs="sans-serif" w:asciiTheme="minorHAnsi" w:hAnsiTheme="minorHAnsi"/>
          <w:color w:val="000000"/>
          <w:sz w:val="21"/>
          <w:szCs w:val="21"/>
          <w:lang w:val="en"/>
        </w:rPr>
        <w:t>. Following Aarts et al. (2008),</w:t>
      </w:r>
      <w:r>
        <w:rPr>
          <w:rFonts w:cs="sans-serif" w:asciiTheme="minorHAnsi" w:hAnsiTheme="minorHAnsi"/>
          <w:color w:val="000000"/>
          <w:sz w:val="21"/>
          <w:szCs w:val="21"/>
        </w:rPr>
        <w:t xml:space="preserve"> we firstly estimated</w:t>
      </w:r>
      <w:r>
        <w:rPr>
          <w:rFonts w:cs="sans-serif" w:asciiTheme="minorHAnsi" w:hAnsiTheme="minorHAnsi"/>
          <w:color w:val="000000"/>
          <w:sz w:val="21"/>
          <w:szCs w:val="21"/>
          <w:lang w:val="en"/>
        </w:rPr>
        <w:t xml:space="preserve"> the distance covariate</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d</w:t>
      </w:r>
      <w:r>
        <w:rPr>
          <w:rFonts w:cs="sans-serif" w:asciiTheme="minorHAnsi" w:hAnsiTheme="minorHAnsi"/>
          <w:color w:val="000000"/>
          <w:sz w:val="21"/>
          <w:szCs w:val="21"/>
        </w:rPr>
        <w:t>) for each site i and sex j with the same GAMM structure:</w:t>
      </w:r>
    </w:p>
    <w:p>
      <w:pPr>
        <w:pStyle w:val="16"/>
        <w:spacing w:before="240" w:beforeAutospacing="0" w:after="240" w:afterAutospacing="0" w:line="480" w:lineRule="auto"/>
        <w:jc w:val="center"/>
        <w:rPr>
          <w:rFonts w:asciiTheme="minorHAnsi" w:hAnsiTheme="minorHAnsi"/>
        </w:rPr>
      </w:pPr>
      <w:r>
        <w:rPr>
          <w:rFonts w:cs="sans-serif" w:asciiTheme="minorHAnsi" w:hAnsiTheme="minorHAnsi"/>
          <w:color w:val="000000"/>
          <w:sz w:val="21"/>
          <w:szCs w:val="21"/>
          <w:lang w:val="en"/>
        </w:rPr>
        <w:t>d</w:t>
      </w:r>
      <w:r>
        <w:rPr>
          <w:rFonts w:cs="sans-serif" w:asciiTheme="minorHAnsi" w:hAnsiTheme="minorHAnsi"/>
          <w:color w:val="000000"/>
          <w:sz w:val="21"/>
          <w:szCs w:val="21"/>
          <w:vertAlign w:val="subscript"/>
        </w:rPr>
        <w:t xml:space="preserve">i,j </w:t>
      </w:r>
      <w:r>
        <w:rPr>
          <w:rFonts w:cs="sans-serif" w:asciiTheme="minorHAnsi" w:hAnsiTheme="minorHAnsi"/>
          <w:color w:val="000000"/>
          <w:sz w:val="21"/>
          <w:szCs w:val="21"/>
        </w:rPr>
        <w:t>= b</w:t>
      </w:r>
      <w:r>
        <w:rPr>
          <w:rFonts w:cs="sans-serif" w:asciiTheme="minorHAnsi" w:hAnsiTheme="minorHAnsi"/>
          <w:color w:val="000000"/>
          <w:sz w:val="21"/>
          <w:szCs w:val="21"/>
          <w:vertAlign w:val="subscript"/>
        </w:rPr>
        <w:t>0</w:t>
      </w:r>
      <w:r>
        <w:rPr>
          <w:rFonts w:cs="sans-serif" w:asciiTheme="minorHAnsi" w:hAnsiTheme="minorHAnsi"/>
          <w:color w:val="000000"/>
          <w:sz w:val="21"/>
          <w:szCs w:val="21"/>
        </w:rPr>
        <w:t xml:space="preserve"> + y</w:t>
      </w:r>
      <w:r>
        <w:rPr>
          <w:rFonts w:hint="default" w:cs="sans-serif" w:asciiTheme="minorHAnsi" w:hAnsiTheme="minorHAnsi"/>
          <w:color w:val="000000"/>
          <w:sz w:val="21"/>
          <w:szCs w:val="21"/>
          <w:lang w:val="en"/>
        </w:rPr>
        <w:t>r</w:t>
      </w:r>
      <w:r>
        <w:rPr>
          <w:rFonts w:cs="sans-serif" w:asciiTheme="minorHAnsi" w:hAnsiTheme="minorHAnsi"/>
          <w:color w:val="000000"/>
          <w:sz w:val="21"/>
          <w:szCs w:val="21"/>
        </w:rPr>
        <w:t xml:space="preserve"> + s(d</w:t>
      </w:r>
      <w:r>
        <w:rPr>
          <w:rFonts w:cs="sans-serif" w:asciiTheme="minorHAnsi" w:hAnsiTheme="minorHAnsi"/>
          <w:color w:val="000000"/>
          <w:sz w:val="21"/>
          <w:szCs w:val="21"/>
          <w:vertAlign w:val="subscript"/>
        </w:rPr>
        <w:t>i,j</w:t>
      </w:r>
      <w:r>
        <w:rPr>
          <w:rFonts w:cs="sans-serif" w:asciiTheme="minorHAnsi" w:hAnsiTheme="minorHAnsi"/>
          <w:color w:val="000000"/>
          <w:sz w:val="21"/>
          <w:szCs w:val="21"/>
        </w:rPr>
        <w:t xml:space="preserve">) + </w:t>
      </w:r>
      <w:r>
        <w:rPr>
          <w:rFonts w:cs="sans-serif" w:asciiTheme="minorHAnsi" w:hAnsiTheme="minorHAnsi"/>
          <w:color w:val="000000"/>
          <w:sz w:val="21"/>
          <w:szCs w:val="21"/>
          <w:lang w:val="en"/>
        </w:rPr>
        <w:t>s</w:t>
      </w:r>
      <w:r>
        <w:rPr>
          <w:rFonts w:cs="sans-serif" w:asciiTheme="minorHAnsi" w:hAnsiTheme="minorHAnsi"/>
          <w:color w:val="000000"/>
          <w:sz w:val="21"/>
          <w:szCs w:val="21"/>
        </w:rPr>
        <w:t>(IDs)            (</w:t>
      </w:r>
      <w:r>
        <w:rPr>
          <w:rFonts w:cs="sans-serif" w:asciiTheme="minorHAnsi" w:hAnsiTheme="minorHAnsi"/>
          <w:color w:val="000000"/>
          <w:sz w:val="21"/>
          <w:szCs w:val="21"/>
          <w:lang w:val="en"/>
        </w:rPr>
        <w:t>4</w:t>
      </w:r>
      <w:r>
        <w:rPr>
          <w:rFonts w:cs="sans-serif" w:asciiTheme="minorHAnsi" w:hAnsiTheme="minorHAnsi"/>
          <w:color w:val="000000"/>
          <w:sz w:val="21"/>
          <w:szCs w:val="21"/>
        </w:rPr>
        <w:t>)</w:t>
      </w:r>
    </w:p>
    <w:p>
      <w:pPr>
        <w:pStyle w:val="16"/>
        <w:spacing w:before="240" w:beforeAutospacing="0" w:after="240" w:afterAutospacing="0" w:line="480" w:lineRule="auto"/>
        <w:rPr>
          <w:rFonts w:asciiTheme="minorHAnsi" w:hAnsiTheme="minorHAnsi"/>
          <w:sz w:val="21"/>
          <w:szCs w:val="21"/>
        </w:rPr>
      </w:pPr>
      <w:r>
        <w:rPr>
          <w:rFonts w:cs="sans-serif" w:asciiTheme="minorHAnsi" w:hAnsiTheme="minorHAnsi"/>
          <w:color w:val="000000"/>
          <w:sz w:val="21"/>
          <w:szCs w:val="21"/>
        </w:rPr>
        <w:t>with d</w:t>
      </w:r>
      <w:r>
        <w:rPr>
          <w:rFonts w:cs="sans-serif" w:asciiTheme="minorHAnsi" w:hAnsiTheme="minorHAnsi"/>
          <w:color w:val="000000"/>
          <w:sz w:val="21"/>
          <w:szCs w:val="21"/>
          <w:vertAlign w:val="subscript"/>
        </w:rPr>
        <w:t>i,j</w:t>
      </w:r>
      <w:r>
        <w:rPr>
          <w:rFonts w:cs="sans-serif" w:asciiTheme="minorHAnsi" w:hAnsiTheme="minorHAnsi"/>
          <w:color w:val="000000"/>
          <w:sz w:val="21"/>
          <w:szCs w:val="21"/>
        </w:rPr>
        <w:t xml:space="preserve"> being the distances from the colony for the corresponding site and sex. Following Aarts et al. (2008) and Wakefield et al. (2011), we then estimated spatial densities by calculating the probability of spatial usage (f) for each site and sex as:</w:t>
      </w:r>
    </w:p>
    <w:p>
      <w:pPr>
        <w:pStyle w:val="16"/>
        <w:spacing w:before="240" w:beforeAutospacing="0" w:after="240" w:afterAutospacing="0" w:line="480" w:lineRule="auto"/>
        <w:jc w:val="center"/>
        <w:rPr>
          <w:rFonts w:asciiTheme="minorHAnsi" w:hAnsiTheme="minorHAnsi"/>
        </w:rPr>
      </w:pPr>
      <w:r>
        <w:rPr>
          <w:rFonts w:cs="sans-serif" w:asciiTheme="minorHAnsi" w:hAnsiTheme="minorHAnsi"/>
          <w:color w:val="000000"/>
          <w:sz w:val="21"/>
          <w:szCs w:val="21"/>
        </w:rPr>
        <w:t>f</w:t>
      </w:r>
      <w:r>
        <w:rPr>
          <w:rFonts w:cs="sans-serif" w:asciiTheme="minorHAnsi" w:hAnsiTheme="minorHAnsi"/>
          <w:color w:val="000000"/>
          <w:sz w:val="21"/>
          <w:szCs w:val="21"/>
          <w:vertAlign w:val="subscript"/>
        </w:rPr>
        <w:t>i,j</w:t>
      </w:r>
      <w:r>
        <w:rPr>
          <w:rFonts w:cs="sans-serif" w:asciiTheme="minorHAnsi" w:hAnsiTheme="minorHAnsi"/>
          <w:color w:val="000000"/>
          <w:sz w:val="21"/>
          <w:szCs w:val="21"/>
        </w:rPr>
        <w:t>= w</w:t>
      </w:r>
      <w:r>
        <w:rPr>
          <w:rFonts w:cs="sans-serif" w:asciiTheme="minorHAnsi" w:hAnsiTheme="minorHAnsi"/>
          <w:color w:val="000000"/>
          <w:sz w:val="21"/>
          <w:szCs w:val="21"/>
          <w:vertAlign w:val="subscript"/>
        </w:rPr>
        <w:t>i,j</w:t>
      </w:r>
      <w:r>
        <w:rPr>
          <w:rFonts w:cs="sans-serif" w:asciiTheme="minorHAnsi" w:hAnsiTheme="minorHAnsi"/>
          <w:color w:val="000000"/>
          <w:sz w:val="21"/>
          <w:szCs w:val="21"/>
        </w:rPr>
        <w:t xml:space="preserve"> / (1-w</w:t>
      </w:r>
      <w:r>
        <w:rPr>
          <w:rFonts w:cs="sans-serif" w:asciiTheme="minorHAnsi" w:hAnsiTheme="minorHAnsi"/>
          <w:color w:val="000000"/>
          <w:sz w:val="21"/>
          <w:szCs w:val="21"/>
          <w:vertAlign w:val="subscript"/>
        </w:rPr>
        <w:t>i,j</w:t>
      </w:r>
      <w:r>
        <w:rPr>
          <w:rFonts w:cs="sans-serif" w:asciiTheme="minorHAnsi" w:hAnsiTheme="minorHAnsi"/>
          <w:color w:val="000000"/>
          <w:sz w:val="21"/>
          <w:szCs w:val="21"/>
        </w:rPr>
        <w:t xml:space="preserve">) * r * </w:t>
      </w:r>
      <w:r>
        <w:rPr>
          <w:rFonts w:cs="sans-serif" w:asciiTheme="minorHAnsi" w:hAnsiTheme="minorHAnsi"/>
          <w:color w:val="000000"/>
          <w:sz w:val="21"/>
          <w:szCs w:val="21"/>
          <w:lang w:val="en"/>
        </w:rPr>
        <w:t>d</w:t>
      </w:r>
      <w:r>
        <w:rPr>
          <w:rFonts w:cs="sans-serif" w:asciiTheme="minorHAnsi" w:hAnsiTheme="minorHAnsi"/>
          <w:color w:val="000000"/>
          <w:sz w:val="21"/>
          <w:szCs w:val="21"/>
          <w:vertAlign w:val="subscript"/>
        </w:rPr>
        <w:t xml:space="preserve">i,j        </w:t>
      </w:r>
      <w:r>
        <w:rPr>
          <w:rFonts w:cs="sans-serif" w:asciiTheme="minorHAnsi" w:hAnsiTheme="minorHAnsi"/>
          <w:color w:val="000000"/>
          <w:sz w:val="21"/>
          <w:szCs w:val="21"/>
        </w:rPr>
        <w:t>(</w:t>
      </w:r>
      <w:r>
        <w:rPr>
          <w:rFonts w:cs="sans-serif" w:asciiTheme="minorHAnsi" w:hAnsiTheme="minorHAnsi"/>
          <w:color w:val="000000"/>
          <w:sz w:val="21"/>
          <w:szCs w:val="21"/>
          <w:lang w:val="en"/>
        </w:rPr>
        <w:t>5</w:t>
      </w:r>
      <w:r>
        <w:rPr>
          <w:rFonts w:cs="sans-serif" w:asciiTheme="minorHAnsi" w:hAnsiTheme="minorHAnsi"/>
          <w:color w:val="000000"/>
          <w:sz w:val="21"/>
          <w:szCs w:val="21"/>
        </w:rPr>
        <w:t>)</w:t>
      </w:r>
    </w:p>
    <w:p>
      <w:pPr>
        <w:pStyle w:val="16"/>
        <w:spacing w:before="240" w:beforeAutospacing="0" w:after="240" w:afterAutospacing="0" w:line="480" w:lineRule="auto"/>
        <w:rPr>
          <w:rFonts w:asciiTheme="minorHAnsi" w:hAnsiTheme="minorHAnsi"/>
        </w:rPr>
      </w:pPr>
      <w:r>
        <w:rPr>
          <w:rFonts w:cs="sans-serif" w:asciiTheme="minorHAnsi" w:hAnsiTheme="minorHAnsi"/>
          <w:color w:val="000000"/>
          <w:sz w:val="21"/>
          <w:szCs w:val="21"/>
        </w:rPr>
        <w:t>with r = k</w:t>
      </w:r>
      <w:r>
        <w:rPr>
          <w:rFonts w:cs="sans-serif" w:asciiTheme="minorHAnsi" w:hAnsiTheme="minorHAnsi"/>
          <w:color w:val="000000"/>
          <w:sz w:val="21"/>
          <w:szCs w:val="21"/>
          <w:vertAlign w:val="subscript"/>
        </w:rPr>
        <w:t>0</w:t>
      </w:r>
      <w:r>
        <w:rPr>
          <w:rFonts w:cs="sans-serif" w:asciiTheme="minorHAnsi" w:hAnsiTheme="minorHAnsi"/>
          <w:color w:val="000000"/>
          <w:sz w:val="21"/>
          <w:szCs w:val="21"/>
        </w:rPr>
        <w:t>/k</w:t>
      </w:r>
      <w:r>
        <w:rPr>
          <w:rFonts w:cs="sans-serif" w:asciiTheme="minorHAnsi" w:hAnsiTheme="minorHAnsi"/>
          <w:color w:val="000000"/>
          <w:sz w:val="21"/>
          <w:szCs w:val="21"/>
          <w:vertAlign w:val="subscript"/>
        </w:rPr>
        <w:t>1</w:t>
      </w:r>
      <w:r>
        <w:rPr>
          <w:rFonts w:cs="sans-serif" w:asciiTheme="minorHAnsi" w:hAnsiTheme="minorHAnsi"/>
          <w:color w:val="000000"/>
          <w:sz w:val="21"/>
          <w:szCs w:val="21"/>
        </w:rPr>
        <w:t xml:space="preserve"> where k</w:t>
      </w:r>
      <w:r>
        <w:rPr>
          <w:rFonts w:cs="sans-serif" w:asciiTheme="minorHAnsi" w:hAnsiTheme="minorHAnsi"/>
          <w:color w:val="000000"/>
          <w:sz w:val="21"/>
          <w:szCs w:val="21"/>
          <w:vertAlign w:val="subscript"/>
        </w:rPr>
        <w:t>0</w:t>
      </w:r>
      <w:r>
        <w:rPr>
          <w:rFonts w:cs="sans-serif" w:asciiTheme="minorHAnsi" w:hAnsiTheme="minorHAnsi"/>
          <w:color w:val="000000"/>
          <w:sz w:val="21"/>
          <w:szCs w:val="21"/>
        </w:rPr>
        <w:t xml:space="preserve"> is the number of pseudo-locations (0) and k</w:t>
      </w:r>
      <w:r>
        <w:rPr>
          <w:rFonts w:cs="sans-serif" w:asciiTheme="minorHAnsi" w:hAnsiTheme="minorHAnsi"/>
          <w:color w:val="000000"/>
          <w:sz w:val="21"/>
          <w:szCs w:val="21"/>
          <w:vertAlign w:val="subscript"/>
        </w:rPr>
        <w:t>1</w:t>
      </w:r>
      <w:r>
        <w:rPr>
          <w:rFonts w:cs="sans-serif" w:asciiTheme="minorHAnsi" w:hAnsiTheme="minorHAnsi"/>
          <w:color w:val="000000"/>
          <w:sz w:val="21"/>
          <w:szCs w:val="21"/>
        </w:rPr>
        <w:t xml:space="preserve"> the number of real locations (1) for a given cell</w:t>
      </w:r>
      <w:r>
        <w:rPr>
          <w:rFonts w:hint="default" w:cs="sans-serif" w:asciiTheme="minorHAnsi" w:hAnsiTheme="minorHAnsi"/>
          <w:color w:val="000000"/>
          <w:sz w:val="21"/>
          <w:szCs w:val="21"/>
          <w:lang w:val="en"/>
        </w:rPr>
        <w:t xml:space="preserve">, </w:t>
      </w:r>
      <w:r>
        <w:rPr>
          <w:rFonts w:hint="default" w:cs="sans-serif" w:asciiTheme="minorHAnsi" w:hAnsiTheme="minorHAnsi"/>
          <w:color w:val="000000"/>
          <w:sz w:val="21"/>
          <w:szCs w:val="21"/>
          <w:lang w:val="en" w:eastAsia="zh-CN"/>
        </w:rPr>
        <w:t>and w</w:t>
      </w:r>
      <w:r>
        <w:rPr>
          <w:rFonts w:hint="default" w:cs="sans-serif" w:asciiTheme="minorHAnsi" w:hAnsiTheme="minorHAnsi"/>
          <w:color w:val="000000"/>
          <w:sz w:val="21"/>
          <w:szCs w:val="21"/>
          <w:vertAlign w:val="subscript"/>
          <w:lang w:val="en" w:eastAsia="zh-CN"/>
        </w:rPr>
        <w:t>i,j</w:t>
      </w:r>
      <w:r>
        <w:rPr>
          <w:rFonts w:hint="default" w:cs="sans-serif" w:asciiTheme="minorHAnsi" w:hAnsiTheme="minorHAnsi"/>
          <w:color w:val="000000"/>
          <w:sz w:val="21"/>
          <w:szCs w:val="21"/>
          <w:lang w:val="en" w:eastAsia="zh-CN"/>
        </w:rPr>
        <w:t xml:space="preserve"> defined as in equation (1)</w:t>
      </w:r>
      <w:r>
        <w:rPr>
          <w:rFonts w:cs="sans-serif" w:asciiTheme="minorHAnsi" w:hAnsiTheme="minorHAnsi"/>
          <w:color w:val="000000"/>
          <w:sz w:val="21"/>
          <w:szCs w:val="21"/>
        </w:rPr>
        <w:t xml:space="preserve">. We normalized f to the range 0-1 and then weighted estimates by the relative population size (Prince Edward islands = 3000/2 breeding pairs and Crozet archipelago=2000/2 breeding pairs) for each site and sex, assuming an equal sex ratio </w:t>
      </w:r>
      <w:r>
        <w:fldChar w:fldCharType="begin"/>
      </w:r>
      <w:r>
        <w:instrText xml:space="preserve"> HYPERLINK "https://www.zotero.org/google-docs/?95oBgv" </w:instrText>
      </w:r>
      <w:r>
        <w:fldChar w:fldCharType="separate"/>
      </w:r>
      <w:r>
        <w:rPr>
          <w:rStyle w:val="14"/>
          <w:rFonts w:cs="sans-serif" w:asciiTheme="minorHAnsi" w:hAnsiTheme="minorHAnsi"/>
          <w:color w:val="000000"/>
          <w:sz w:val="21"/>
          <w:szCs w:val="21"/>
          <w:u w:val="none"/>
        </w:rPr>
        <w:t>(Weimerskirch, Lallemand, &amp; Martin, 2005)</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w:t>
      </w:r>
    </w:p>
    <w:p>
      <w:pPr>
        <w:pStyle w:val="16"/>
        <w:spacing w:before="240" w:beforeAutospacing="0" w:after="240" w:afterAutospacing="0" w:line="480" w:lineRule="auto"/>
        <w:rPr>
          <w:rFonts w:asciiTheme="minorHAnsi" w:hAnsiTheme="minorHAnsi"/>
        </w:rPr>
      </w:pPr>
      <w:r>
        <w:rPr>
          <w:rFonts w:cs="sans-serif" w:asciiTheme="minorHAnsi" w:hAnsiTheme="minorHAnsi"/>
          <w:b/>
          <w:color w:val="000000"/>
          <w:sz w:val="21"/>
          <w:szCs w:val="21"/>
        </w:rPr>
        <w:t>Results</w:t>
      </w:r>
    </w:p>
    <w:p>
      <w:pPr>
        <w:pStyle w:val="16"/>
        <w:spacing w:before="240" w:beforeAutospacing="0" w:after="240" w:afterAutospacing="0" w:line="480" w:lineRule="auto"/>
        <w:rPr>
          <w:rFonts w:asciiTheme="minorHAnsi" w:hAnsiTheme="minorHAnsi"/>
          <w:lang w:val="en"/>
        </w:rPr>
      </w:pPr>
      <w:r>
        <w:rPr>
          <w:rFonts w:cs="sans-serif" w:asciiTheme="minorHAnsi" w:hAnsiTheme="minorHAnsi"/>
          <w:b/>
          <w:i/>
          <w:color w:val="000000"/>
          <w:sz w:val="21"/>
          <w:szCs w:val="21"/>
          <w:lang w:val="en"/>
        </w:rPr>
        <w:t>T</w:t>
      </w:r>
      <w:r>
        <w:rPr>
          <w:rFonts w:cs="sans-serif" w:asciiTheme="minorHAnsi" w:hAnsiTheme="minorHAnsi"/>
          <w:b/>
          <w:i/>
          <w:color w:val="000000"/>
          <w:sz w:val="21"/>
          <w:szCs w:val="21"/>
        </w:rPr>
        <w:t>rip</w:t>
      </w:r>
      <w:r>
        <w:rPr>
          <w:rFonts w:cs="sans-serif" w:asciiTheme="minorHAnsi" w:hAnsiTheme="minorHAnsi"/>
          <w:b/>
          <w:i/>
          <w:color w:val="000000"/>
          <w:sz w:val="21"/>
          <w:szCs w:val="21"/>
          <w:lang w:val="en"/>
        </w:rPr>
        <w:t xml:space="preserve"> characteristics</w:t>
      </w:r>
    </w:p>
    <w:p>
      <w:pPr>
        <w:pStyle w:val="16"/>
        <w:spacing w:before="240" w:beforeAutospacing="0" w:after="240" w:afterAutospacing="0" w:line="480" w:lineRule="auto"/>
        <w:rPr>
          <w:rFonts w:asciiTheme="minorHAnsi" w:hAnsiTheme="minorHAnsi"/>
          <w:lang w:val="en"/>
        </w:rPr>
      </w:pPr>
      <w:r>
        <w:rPr>
          <w:rFonts w:cs="sans-serif" w:asciiTheme="minorHAnsi" w:hAnsiTheme="minorHAnsi"/>
          <w:color w:val="000000"/>
          <w:sz w:val="21"/>
          <w:szCs w:val="21"/>
        </w:rPr>
        <w:t>On average (±SD), trips lasted 12.6±5.3 days</w:t>
      </w:r>
      <w:r>
        <w:rPr>
          <w:rFonts w:cs="sans-serif" w:asciiTheme="minorHAnsi" w:hAnsiTheme="minorHAnsi"/>
          <w:color w:val="000000"/>
          <w:sz w:val="21"/>
          <w:szCs w:val="21"/>
          <w:lang w:val="en"/>
        </w:rPr>
        <w:t>,</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 xml:space="preserve">for a </w:t>
      </w:r>
      <w:r>
        <w:rPr>
          <w:rFonts w:cs="sans-serif" w:asciiTheme="minorHAnsi" w:hAnsiTheme="minorHAnsi"/>
          <w:color w:val="000000"/>
          <w:sz w:val="21"/>
          <w:szCs w:val="21"/>
        </w:rPr>
        <w:t>maximum distance from the colony</w:t>
      </w:r>
      <w:r>
        <w:rPr>
          <w:rFonts w:cs="sans-serif" w:asciiTheme="minorHAnsi" w:hAnsiTheme="minorHAnsi"/>
          <w:color w:val="000000"/>
          <w:sz w:val="21"/>
          <w:szCs w:val="21"/>
          <w:lang w:val="en"/>
        </w:rPr>
        <w:t xml:space="preserve"> of</w:t>
      </w:r>
      <w:r>
        <w:rPr>
          <w:rFonts w:cs="sans-serif" w:asciiTheme="minorHAnsi" w:hAnsiTheme="minorHAnsi"/>
          <w:color w:val="000000"/>
          <w:sz w:val="21"/>
          <w:szCs w:val="21"/>
        </w:rPr>
        <w:t xml:space="preserve"> 1523±971 km</w:t>
      </w:r>
      <w:r>
        <w:rPr>
          <w:rFonts w:cs="sans-serif" w:asciiTheme="minorHAnsi" w:hAnsiTheme="minorHAnsi"/>
          <w:color w:val="000000"/>
          <w:sz w:val="21"/>
          <w:szCs w:val="21"/>
          <w:lang w:val="en"/>
        </w:rPr>
        <w:t xml:space="preserve"> and a total traveled distance of 6342</w:t>
      </w:r>
      <w:r>
        <w:rPr>
          <w:rFonts w:cs="sans-serif" w:asciiTheme="minorHAnsi" w:hAnsiTheme="minorHAnsi"/>
          <w:color w:val="000000"/>
          <w:sz w:val="21"/>
          <w:szCs w:val="21"/>
        </w:rPr>
        <w:t>±</w:t>
      </w:r>
      <w:r>
        <w:rPr>
          <w:rFonts w:cs="sans-serif" w:asciiTheme="minorHAnsi" w:hAnsiTheme="minorHAnsi"/>
          <w:color w:val="000000"/>
          <w:sz w:val="21"/>
          <w:szCs w:val="21"/>
          <w:lang w:val="en"/>
        </w:rPr>
        <w:t>4214 km</w:t>
      </w:r>
      <w:r>
        <w:rPr>
          <w:rFonts w:cs="sans-serif" w:asciiTheme="minorHAnsi" w:hAnsiTheme="minorHAnsi"/>
          <w:color w:val="000000"/>
          <w:sz w:val="21"/>
          <w:szCs w:val="21"/>
        </w:rPr>
        <w:t xml:space="preserve"> (Table 1).</w:t>
      </w:r>
      <w:r>
        <w:rPr>
          <w:rFonts w:cs="sans-serif" w:asciiTheme="minorHAnsi" w:hAnsiTheme="minorHAnsi"/>
          <w:color w:val="000000"/>
          <w:sz w:val="21"/>
          <w:szCs w:val="21"/>
          <w:lang w:val="en"/>
        </w:rPr>
        <w:t xml:space="preserve"> On average, Marion birds had a maximum range that was 457</w:t>
      </w:r>
      <w:r>
        <w:rPr>
          <w:rFonts w:cs="sans-serif" w:asciiTheme="minorHAnsi" w:hAnsiTheme="minorHAnsi"/>
          <w:color w:val="000000"/>
          <w:sz w:val="21"/>
          <w:szCs w:val="21"/>
        </w:rPr>
        <w:t>±</w:t>
      </w:r>
      <w:r>
        <w:rPr>
          <w:rFonts w:cs="sans-serif" w:asciiTheme="minorHAnsi" w:hAnsiTheme="minorHAnsi"/>
          <w:color w:val="000000"/>
          <w:sz w:val="21"/>
          <w:szCs w:val="21"/>
          <w:lang w:val="en"/>
        </w:rPr>
        <w:t>155 km further away from the breeding colony than Crozet birds (Linear Mixed Effects model, LM</w:t>
      </w:r>
      <w:r>
        <w:rPr>
          <w:rFonts w:hint="default" w:cs="sans-serif" w:asciiTheme="minorHAnsi" w:hAnsiTheme="minorHAnsi"/>
          <w:color w:val="000000"/>
          <w:sz w:val="21"/>
          <w:szCs w:val="21"/>
          <w:lang w:val="en"/>
        </w:rPr>
        <w:t>M</w:t>
      </w:r>
      <w:r>
        <w:rPr>
          <w:rFonts w:cs="sans-serif" w:asciiTheme="minorHAnsi" w:hAnsiTheme="minorHAnsi"/>
          <w:color w:val="000000"/>
          <w:sz w:val="21"/>
          <w:szCs w:val="21"/>
          <w:lang w:val="en"/>
        </w:rPr>
        <w:t>, t</w:t>
      </w:r>
      <w:r>
        <w:rPr>
          <w:rFonts w:hint="default" w:cs="sans-serif" w:asciiTheme="minorHAnsi" w:hAnsiTheme="minorHAnsi"/>
          <w:color w:val="000000"/>
          <w:sz w:val="21"/>
          <w:szCs w:val="21"/>
          <w:vertAlign w:val="subscript"/>
          <w:lang w:val="en"/>
        </w:rPr>
        <w:t>185</w:t>
      </w:r>
      <w:r>
        <w:rPr>
          <w:rFonts w:cs="sans-serif" w:asciiTheme="minorHAnsi" w:hAnsiTheme="minorHAnsi"/>
          <w:color w:val="000000"/>
          <w:sz w:val="21"/>
          <w:szCs w:val="21"/>
          <w:lang w:val="en"/>
        </w:rPr>
        <w:t>=2.6, p&lt;0.01), and Marion birds travelled a total distance of 2083</w:t>
      </w:r>
      <w:r>
        <w:rPr>
          <w:rFonts w:cs="sans-serif" w:asciiTheme="minorHAnsi" w:hAnsiTheme="minorHAnsi"/>
          <w:color w:val="000000"/>
          <w:sz w:val="21"/>
          <w:szCs w:val="21"/>
        </w:rPr>
        <w:t>±</w:t>
      </w:r>
      <w:r>
        <w:rPr>
          <w:rFonts w:cs="sans-serif" w:asciiTheme="minorHAnsi" w:hAnsiTheme="minorHAnsi"/>
          <w:color w:val="000000"/>
          <w:sz w:val="21"/>
          <w:szCs w:val="21"/>
          <w:lang w:val="en"/>
        </w:rPr>
        <w:t>780 km further than Crozet birds (LM</w:t>
      </w:r>
      <w:r>
        <w:rPr>
          <w:rFonts w:hint="default" w:cs="sans-serif" w:asciiTheme="minorHAnsi" w:hAnsiTheme="minorHAnsi"/>
          <w:color w:val="000000"/>
          <w:sz w:val="21"/>
          <w:szCs w:val="21"/>
          <w:lang w:val="en"/>
        </w:rPr>
        <w:t>M</w:t>
      </w:r>
      <w:r>
        <w:rPr>
          <w:rFonts w:cs="sans-serif" w:asciiTheme="minorHAnsi" w:hAnsiTheme="minorHAnsi"/>
          <w:color w:val="000000"/>
          <w:sz w:val="21"/>
          <w:szCs w:val="21"/>
          <w:lang w:val="en"/>
        </w:rPr>
        <w:t>, t</w:t>
      </w:r>
      <w:r>
        <w:rPr>
          <w:rFonts w:hint="default" w:cs="sans-serif" w:asciiTheme="minorHAnsi" w:hAnsiTheme="minorHAnsi"/>
          <w:color w:val="000000"/>
          <w:sz w:val="21"/>
          <w:szCs w:val="21"/>
          <w:vertAlign w:val="subscript"/>
          <w:lang w:val="en"/>
        </w:rPr>
        <w:t>185</w:t>
      </w:r>
      <w:r>
        <w:rPr>
          <w:rFonts w:cs="sans-serif" w:asciiTheme="minorHAnsi" w:hAnsiTheme="minorHAnsi"/>
          <w:color w:val="000000"/>
          <w:sz w:val="21"/>
          <w:szCs w:val="21"/>
          <w:lang w:val="en"/>
        </w:rPr>
        <w:t>=2.6, p&lt;0.01), with trips lasting 2.9</w:t>
      </w:r>
      <w:r>
        <w:rPr>
          <w:rFonts w:cs="sans-serif" w:asciiTheme="minorHAnsi" w:hAnsiTheme="minorHAnsi"/>
          <w:color w:val="000000"/>
          <w:sz w:val="21"/>
          <w:szCs w:val="21"/>
        </w:rPr>
        <w:t>±</w:t>
      </w:r>
      <w:r>
        <w:rPr>
          <w:rFonts w:cs="sans-serif" w:asciiTheme="minorHAnsi" w:hAnsiTheme="minorHAnsi"/>
          <w:color w:val="000000"/>
          <w:sz w:val="21"/>
          <w:szCs w:val="21"/>
          <w:lang w:val="en"/>
        </w:rPr>
        <w:t>1.0 days longer than Crozet birds (LM</w:t>
      </w:r>
      <w:r>
        <w:rPr>
          <w:rFonts w:hint="default" w:cs="sans-serif" w:asciiTheme="minorHAnsi" w:hAnsiTheme="minorHAnsi"/>
          <w:color w:val="000000"/>
          <w:sz w:val="21"/>
          <w:szCs w:val="21"/>
          <w:lang w:val="en"/>
        </w:rPr>
        <w:t>M</w:t>
      </w:r>
      <w:r>
        <w:rPr>
          <w:rFonts w:cs="sans-serif" w:asciiTheme="minorHAnsi" w:hAnsiTheme="minorHAnsi"/>
          <w:color w:val="000000"/>
          <w:sz w:val="21"/>
          <w:szCs w:val="21"/>
          <w:lang w:val="en"/>
        </w:rPr>
        <w:t>, t</w:t>
      </w:r>
      <w:r>
        <w:rPr>
          <w:rFonts w:hint="default" w:cs="sans-serif" w:asciiTheme="minorHAnsi" w:hAnsiTheme="minorHAnsi"/>
          <w:color w:val="000000"/>
          <w:sz w:val="21"/>
          <w:szCs w:val="21"/>
          <w:vertAlign w:val="subscript"/>
          <w:lang w:val="en"/>
        </w:rPr>
        <w:t>185</w:t>
      </w:r>
      <w:r>
        <w:rPr>
          <w:rFonts w:cs="sans-serif" w:asciiTheme="minorHAnsi" w:hAnsiTheme="minorHAnsi"/>
          <w:color w:val="000000"/>
          <w:sz w:val="21"/>
          <w:szCs w:val="21"/>
          <w:lang w:val="en"/>
        </w:rPr>
        <w:t xml:space="preserve">=2.9, p&lt;0.01). </w:t>
      </w:r>
      <w:r>
        <w:rPr>
          <w:rFonts w:cs="sans-serif" w:asciiTheme="minorHAnsi" w:hAnsiTheme="minorHAnsi"/>
          <w:color w:val="000000"/>
          <w:sz w:val="21"/>
          <w:szCs w:val="21"/>
        </w:rPr>
        <w:t xml:space="preserve">No </w:t>
      </w:r>
      <w:r>
        <w:rPr>
          <w:rFonts w:cs="sans-serif" w:asciiTheme="minorHAnsi" w:hAnsiTheme="minorHAnsi"/>
          <w:color w:val="000000"/>
          <w:sz w:val="21"/>
          <w:szCs w:val="21"/>
          <w:lang w:val="en"/>
        </w:rPr>
        <w:t>detectable</w:t>
      </w:r>
      <w:r>
        <w:rPr>
          <w:rFonts w:cs="sans-serif" w:asciiTheme="minorHAnsi" w:hAnsiTheme="minorHAnsi"/>
          <w:color w:val="000000"/>
          <w:sz w:val="21"/>
          <w:szCs w:val="21"/>
        </w:rPr>
        <w:t xml:space="preserve"> differences were evident between sexes for maximum </w:t>
      </w:r>
      <w:r>
        <w:rPr>
          <w:rFonts w:cs="sans-serif" w:asciiTheme="minorHAnsi" w:hAnsiTheme="minorHAnsi"/>
          <w:color w:val="000000"/>
          <w:sz w:val="21"/>
          <w:szCs w:val="21"/>
          <w:lang w:val="en"/>
        </w:rPr>
        <w:t xml:space="preserve">range, total travel distance </w:t>
      </w:r>
      <w:r>
        <w:rPr>
          <w:rFonts w:cs="sans-serif" w:asciiTheme="minorHAnsi" w:hAnsiTheme="minorHAnsi"/>
          <w:color w:val="000000"/>
          <w:sz w:val="21"/>
          <w:szCs w:val="21"/>
        </w:rPr>
        <w:t xml:space="preserve">or trip duration, nor for the </w:t>
      </w:r>
      <w:r>
        <w:rPr>
          <w:rFonts w:cs="sans-serif" w:asciiTheme="minorHAnsi" w:hAnsiTheme="minorHAnsi"/>
          <w:color w:val="000000"/>
          <w:sz w:val="21"/>
          <w:szCs w:val="21"/>
          <w:lang w:val="en"/>
        </w:rPr>
        <w:t>two</w:t>
      </w:r>
      <w:r>
        <w:rPr>
          <w:rFonts w:cs="sans-serif" w:asciiTheme="minorHAnsi" w:hAnsiTheme="minorHAnsi"/>
          <w:color w:val="000000"/>
          <w:sz w:val="21"/>
          <w:szCs w:val="21"/>
        </w:rPr>
        <w:t>-way interaction between site and</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sex (Table 1</w:t>
      </w:r>
      <w:r>
        <w:rPr>
          <w:rFonts w:cs="sans-serif" w:asciiTheme="minorHAnsi" w:hAnsiTheme="minorHAnsi"/>
          <w:color w:val="000000"/>
          <w:sz w:val="21"/>
          <w:szCs w:val="21"/>
          <w:lang w:val="en"/>
        </w:rPr>
        <w:t xml:space="preserve"> and Tables S1 to S3</w:t>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 Some differences in trip parameters between years were, however, detected for each site and sex, with the year 2016 being characterized by longer distances travelled (LM</w:t>
      </w:r>
      <w:r>
        <w:rPr>
          <w:rFonts w:hint="default" w:cs="sans-serif" w:asciiTheme="minorHAnsi" w:hAnsiTheme="minorHAnsi"/>
          <w:color w:val="000000"/>
          <w:sz w:val="21"/>
          <w:szCs w:val="21"/>
          <w:lang w:val="en"/>
        </w:rPr>
        <w:t>M</w:t>
      </w:r>
      <w:r>
        <w:rPr>
          <w:rFonts w:cs="sans-serif" w:asciiTheme="minorHAnsi" w:hAnsiTheme="minorHAnsi"/>
          <w:color w:val="000000"/>
          <w:sz w:val="21"/>
          <w:szCs w:val="21"/>
          <w:lang w:val="en"/>
        </w:rPr>
        <w:t>, F</w:t>
      </w:r>
      <w:r>
        <w:rPr>
          <w:rFonts w:hint="default" w:cs="sans-serif" w:asciiTheme="minorHAnsi" w:hAnsiTheme="minorHAnsi"/>
          <w:color w:val="000000"/>
          <w:sz w:val="21"/>
          <w:szCs w:val="21"/>
          <w:vertAlign w:val="subscript"/>
          <w:lang w:val="en"/>
        </w:rPr>
        <w:t>185</w:t>
      </w:r>
      <w:r>
        <w:rPr>
          <w:rFonts w:cs="sans-serif" w:asciiTheme="minorHAnsi" w:hAnsiTheme="minorHAnsi"/>
          <w:color w:val="000000"/>
          <w:sz w:val="21"/>
          <w:szCs w:val="21"/>
          <w:lang w:val="en"/>
        </w:rPr>
        <w:t>=4.2, p&lt;0.01) and longer maximum ranges (LM</w:t>
      </w:r>
      <w:r>
        <w:rPr>
          <w:rFonts w:hint="default" w:cs="sans-serif" w:asciiTheme="minorHAnsi" w:hAnsiTheme="minorHAnsi"/>
          <w:color w:val="000000"/>
          <w:sz w:val="21"/>
          <w:szCs w:val="21"/>
          <w:lang w:val="en"/>
        </w:rPr>
        <w:t>M</w:t>
      </w:r>
      <w:r>
        <w:rPr>
          <w:rFonts w:cs="sans-serif" w:asciiTheme="minorHAnsi" w:hAnsiTheme="minorHAnsi"/>
          <w:color w:val="000000"/>
          <w:sz w:val="21"/>
          <w:szCs w:val="21"/>
          <w:lang w:val="en"/>
        </w:rPr>
        <w:t>, F</w:t>
      </w:r>
      <w:r>
        <w:rPr>
          <w:rFonts w:hint="default" w:cs="sans-serif" w:asciiTheme="minorHAnsi" w:hAnsiTheme="minorHAnsi"/>
          <w:color w:val="000000"/>
          <w:sz w:val="21"/>
          <w:szCs w:val="21"/>
          <w:vertAlign w:val="subscript"/>
          <w:lang w:val="en"/>
        </w:rPr>
        <w:t>185</w:t>
      </w:r>
      <w:r>
        <w:rPr>
          <w:rFonts w:cs="sans-serif" w:asciiTheme="minorHAnsi" w:hAnsiTheme="minorHAnsi"/>
          <w:color w:val="000000"/>
          <w:sz w:val="21"/>
          <w:szCs w:val="21"/>
          <w:lang w:val="en"/>
        </w:rPr>
        <w:t>=3.6, p&lt;0.01) for both sites. The year 2017 had the shortest trip duration at both sites (LM</w:t>
      </w:r>
      <w:r>
        <w:rPr>
          <w:rFonts w:hint="default" w:cs="sans-serif" w:asciiTheme="minorHAnsi" w:hAnsiTheme="minorHAnsi"/>
          <w:color w:val="000000"/>
          <w:sz w:val="21"/>
          <w:szCs w:val="21"/>
          <w:lang w:val="en"/>
        </w:rPr>
        <w:t>M</w:t>
      </w:r>
      <w:r>
        <w:rPr>
          <w:rFonts w:cs="sans-serif" w:asciiTheme="minorHAnsi" w:hAnsiTheme="minorHAnsi"/>
          <w:color w:val="000000"/>
          <w:sz w:val="21"/>
          <w:szCs w:val="21"/>
          <w:lang w:val="en"/>
        </w:rPr>
        <w:t>, F</w:t>
      </w:r>
      <w:r>
        <w:rPr>
          <w:rFonts w:hint="default" w:cs="sans-serif" w:asciiTheme="minorHAnsi" w:hAnsiTheme="minorHAnsi"/>
          <w:color w:val="000000"/>
          <w:sz w:val="21"/>
          <w:szCs w:val="21"/>
          <w:vertAlign w:val="subscript"/>
          <w:lang w:val="en"/>
        </w:rPr>
        <w:t>185</w:t>
      </w:r>
      <w:r>
        <w:rPr>
          <w:rFonts w:cs="sans-serif" w:asciiTheme="minorHAnsi" w:hAnsiTheme="minorHAnsi"/>
          <w:color w:val="000000"/>
          <w:sz w:val="21"/>
          <w:szCs w:val="21"/>
          <w:lang w:val="en"/>
        </w:rPr>
        <w:t>=3.0, p=0.03</w:t>
      </w:r>
      <w:r>
        <w:rPr>
          <w:rFonts w:hint="default" w:cs="sans-serif" w:asciiTheme="minorHAnsi" w:hAnsiTheme="minorHAnsi"/>
          <w:color w:val="000000"/>
          <w:sz w:val="21"/>
          <w:szCs w:val="21"/>
          <w:lang w:val="en"/>
        </w:rPr>
        <w:t>,</w:t>
      </w:r>
      <w:r>
        <w:rPr>
          <w:rFonts w:cs="sans-serif" w:asciiTheme="minorHAnsi" w:hAnsiTheme="minorHAnsi"/>
          <w:color w:val="000000"/>
          <w:sz w:val="21"/>
          <w:szCs w:val="21"/>
          <w:lang w:val="en"/>
        </w:rPr>
        <w:t xml:space="preserve"> see Tables S1 to S3).</w:t>
      </w:r>
    </w:p>
    <w:p>
      <w:pPr>
        <w:pStyle w:val="16"/>
        <w:spacing w:before="240" w:beforeAutospacing="0" w:after="240" w:afterAutospacing="0" w:line="480" w:lineRule="auto"/>
        <w:rPr>
          <w:rFonts w:asciiTheme="minorHAnsi" w:hAnsiTheme="minorHAnsi"/>
        </w:rPr>
      </w:pPr>
      <w:r>
        <w:rPr>
          <w:rFonts w:cs="sans-serif" w:asciiTheme="minorHAnsi" w:hAnsiTheme="minorHAnsi"/>
          <w:b/>
          <w:i/>
          <w:color w:val="000000"/>
          <w:sz w:val="21"/>
          <w:szCs w:val="21"/>
        </w:rPr>
        <w:t>Sex and site-specific overlap in at-sea distribution</w:t>
      </w:r>
    </w:p>
    <w:p>
      <w:pPr>
        <w:pStyle w:val="16"/>
        <w:spacing w:before="240" w:beforeAutospacing="0" w:after="240" w:afterAutospacing="0" w:line="480" w:lineRule="auto"/>
        <w:rPr>
          <w:rFonts w:asciiTheme="minorHAnsi" w:hAnsiTheme="minorHAnsi"/>
        </w:rPr>
      </w:pPr>
      <w:r>
        <w:rPr>
          <w:rFonts w:cs="sans-serif" w:asciiTheme="minorHAnsi" w:hAnsiTheme="minorHAnsi"/>
          <w:color w:val="000000"/>
          <w:sz w:val="21"/>
          <w:szCs w:val="21"/>
        </w:rPr>
        <w:t>Birds ranged over an extensive area, from the Subtropics (up to 30°S) to Antarctica (down to 70°S) and from 42°W to 102°E, giving average 95% UD of ~9.0 million km</w:t>
      </w:r>
      <w:r>
        <w:rPr>
          <w:rFonts w:cs="sans-serif" w:asciiTheme="minorHAnsi" w:hAnsiTheme="minorHAnsi"/>
          <w:color w:val="000000"/>
          <w:sz w:val="21"/>
          <w:szCs w:val="21"/>
          <w:vertAlign w:val="superscript"/>
        </w:rPr>
        <w:t>2</w:t>
      </w:r>
      <w:r>
        <w:rPr>
          <w:rFonts w:cs="sans-serif" w:asciiTheme="minorHAnsi" w:hAnsiTheme="minorHAnsi"/>
          <w:color w:val="000000"/>
          <w:sz w:val="21"/>
          <w:szCs w:val="21"/>
        </w:rPr>
        <w:t xml:space="preserve"> and 50% UD of ~1.4 million km</w:t>
      </w:r>
      <w:r>
        <w:rPr>
          <w:rFonts w:cs="sans-serif" w:asciiTheme="minorHAnsi" w:hAnsiTheme="minorHAnsi"/>
          <w:color w:val="000000"/>
          <w:sz w:val="21"/>
          <w:szCs w:val="21"/>
          <w:vertAlign w:val="superscript"/>
          <w:lang w:val="en"/>
        </w:rPr>
        <w:t>2</w:t>
      </w:r>
      <w:r>
        <w:rPr>
          <w:rFonts w:cs="sans-serif" w:asciiTheme="minorHAnsi" w:hAnsiTheme="minorHAnsi"/>
          <w:color w:val="000000"/>
          <w:sz w:val="21"/>
          <w:szCs w:val="21"/>
        </w:rPr>
        <w:t xml:space="preserve"> (Fig. </w:t>
      </w:r>
      <w:r>
        <w:rPr>
          <w:rFonts w:cs="sans-serif" w:asciiTheme="minorHAnsi" w:hAnsiTheme="minorHAnsi"/>
          <w:color w:val="000000"/>
          <w:sz w:val="21"/>
          <w:szCs w:val="21"/>
          <w:lang w:val="en"/>
        </w:rPr>
        <w:t>2</w:t>
      </w:r>
      <w:r>
        <w:rPr>
          <w:rFonts w:cs="sans-serif" w:asciiTheme="minorHAnsi" w:hAnsiTheme="minorHAnsi"/>
          <w:color w:val="000000"/>
          <w:sz w:val="21"/>
          <w:szCs w:val="21"/>
        </w:rPr>
        <w:t xml:space="preserve">). At both Marion and Crozet, females tended to travel farther north than males (Fig. </w:t>
      </w:r>
      <w:r>
        <w:rPr>
          <w:rFonts w:cs="sans-serif" w:asciiTheme="minorHAnsi" w:hAnsiTheme="minorHAnsi"/>
          <w:color w:val="000000"/>
          <w:sz w:val="21"/>
          <w:szCs w:val="21"/>
          <w:lang w:val="en"/>
        </w:rPr>
        <w:t>2</w:t>
      </w:r>
      <w:r>
        <w:rPr>
          <w:rFonts w:cs="sans-serif" w:asciiTheme="minorHAnsi" w:hAnsiTheme="minorHAnsi"/>
          <w:color w:val="000000"/>
          <w:sz w:val="21"/>
          <w:szCs w:val="21"/>
        </w:rPr>
        <w:t>). Even though overlap between sites and sexes varied substantially, sometimes reaching high values (ranging from</w:t>
      </w:r>
      <w:r>
        <w:rPr>
          <w:rFonts w:hint="default" w:cs="sans-serif" w:asciiTheme="minorHAnsi" w:hAnsiTheme="minorHAnsi"/>
          <w:color w:val="000000"/>
          <w:sz w:val="21"/>
          <w:szCs w:val="21"/>
          <w:lang w:val="en"/>
        </w:rPr>
        <w:t xml:space="preserve"> </w:t>
      </w:r>
      <w:r>
        <w:rPr>
          <w:rFonts w:cs="sans-serif" w:asciiTheme="minorHAnsi" w:hAnsiTheme="minorHAnsi"/>
          <w:color w:val="000000"/>
          <w:sz w:val="21"/>
          <w:szCs w:val="21"/>
          <w:lang w:val="en"/>
        </w:rPr>
        <w:t>6</w:t>
      </w:r>
      <w:r>
        <w:rPr>
          <w:rFonts w:hint="default" w:cs="sans-serif" w:asciiTheme="minorHAnsi" w:hAnsiTheme="minorHAnsi"/>
          <w:color w:val="000000"/>
          <w:sz w:val="21"/>
          <w:szCs w:val="21"/>
          <w:lang w:val="en"/>
        </w:rPr>
        <w:t>%</w:t>
      </w:r>
      <w:r>
        <w:rPr>
          <w:rFonts w:cs="sans-serif" w:asciiTheme="minorHAnsi" w:hAnsiTheme="minorHAnsi"/>
          <w:color w:val="000000"/>
          <w:sz w:val="21"/>
          <w:szCs w:val="21"/>
        </w:rPr>
        <w:t xml:space="preserve"> to </w:t>
      </w:r>
      <w:r>
        <w:rPr>
          <w:rFonts w:cs="sans-serif" w:asciiTheme="minorHAnsi" w:hAnsiTheme="minorHAnsi"/>
          <w:color w:val="000000"/>
          <w:sz w:val="21"/>
          <w:szCs w:val="21"/>
          <w:lang w:val="en"/>
        </w:rPr>
        <w:t>57</w:t>
      </w:r>
      <w:r>
        <w:rPr>
          <w:rFonts w:hint="default" w:cs="sans-serif" w:asciiTheme="minorHAnsi" w:hAnsiTheme="minorHAnsi"/>
          <w:color w:val="000000"/>
          <w:sz w:val="21"/>
          <w:szCs w:val="21"/>
          <w:lang w:val="en"/>
        </w:rPr>
        <w:t>%</w:t>
      </w:r>
      <w:r>
        <w:rPr>
          <w:rFonts w:cs="sans-serif" w:asciiTheme="minorHAnsi" w:hAnsiTheme="minorHAnsi"/>
          <w:color w:val="000000"/>
          <w:sz w:val="21"/>
          <w:szCs w:val="21"/>
        </w:rPr>
        <w:t>, Table 2),</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pronounced spatial segregation</w:t>
      </w:r>
      <w:r>
        <w:rPr>
          <w:rFonts w:cs="sans-serif" w:asciiTheme="minorHAnsi" w:hAnsiTheme="minorHAnsi"/>
          <w:color w:val="000000"/>
          <w:sz w:val="21"/>
          <w:szCs w:val="21"/>
          <w:lang w:val="en"/>
        </w:rPr>
        <w:t xml:space="preserve"> was consistent per year</w:t>
      </w:r>
      <w:r>
        <w:rPr>
          <w:rFonts w:cs="sans-serif" w:asciiTheme="minorHAnsi" w:hAnsiTheme="minorHAnsi"/>
          <w:color w:val="000000"/>
          <w:sz w:val="21"/>
          <w:szCs w:val="21"/>
        </w:rPr>
        <w:t xml:space="preserve"> (Fig. </w:t>
      </w:r>
      <w:r>
        <w:rPr>
          <w:rFonts w:cs="sans-serif" w:asciiTheme="minorHAnsi" w:hAnsiTheme="minorHAnsi"/>
          <w:color w:val="000000"/>
          <w:sz w:val="21"/>
          <w:szCs w:val="21"/>
          <w:lang w:val="en"/>
        </w:rPr>
        <w:t>3</w:t>
      </w:r>
      <w:r>
        <w:rPr>
          <w:rFonts w:cs="sans-serif" w:asciiTheme="minorHAnsi" w:hAnsiTheme="minorHAnsi"/>
          <w:color w:val="000000"/>
          <w:sz w:val="21"/>
          <w:szCs w:val="21"/>
        </w:rPr>
        <w:t xml:space="preserve">). However, only intrapopulation segregation (i.e., between sexes) was </w:t>
      </w:r>
      <w:r>
        <w:rPr>
          <w:rFonts w:cs="sans-serif" w:asciiTheme="minorHAnsi" w:hAnsiTheme="minorHAnsi"/>
          <w:color w:val="000000"/>
          <w:sz w:val="21"/>
          <w:szCs w:val="21"/>
          <w:lang w:val="en"/>
        </w:rPr>
        <w:t>detected</w:t>
      </w:r>
      <w:r>
        <w:rPr>
          <w:rFonts w:cs="sans-serif" w:asciiTheme="minorHAnsi" w:hAnsiTheme="minorHAnsi"/>
          <w:color w:val="000000"/>
          <w:sz w:val="21"/>
          <w:szCs w:val="21"/>
        </w:rPr>
        <w:t xml:space="preserve"> even though these were also the highest overlap values (Table 2). Surprisingly, </w:t>
      </w:r>
      <w:r>
        <w:rPr>
          <w:rFonts w:cs="sans-serif" w:asciiTheme="minorHAnsi" w:hAnsiTheme="minorHAnsi"/>
          <w:color w:val="000000"/>
          <w:sz w:val="21"/>
          <w:szCs w:val="21"/>
          <w:lang w:val="en"/>
        </w:rPr>
        <w:t xml:space="preserve">interpopulation segregation was not detected but </w:t>
      </w:r>
      <w:r>
        <w:rPr>
          <w:rFonts w:cs="sans-serif" w:asciiTheme="minorHAnsi" w:hAnsiTheme="minorHAnsi"/>
          <w:color w:val="000000"/>
          <w:sz w:val="21"/>
          <w:szCs w:val="21"/>
        </w:rPr>
        <w:t xml:space="preserve">greater interpopulation overlap than expected by chance was evident, resulting in more aggregation than expected, especially for </w:t>
      </w:r>
      <w:r>
        <w:rPr>
          <w:rFonts w:cs="sans-serif" w:asciiTheme="minorHAnsi" w:hAnsiTheme="minorHAnsi"/>
          <w:color w:val="000000"/>
          <w:sz w:val="21"/>
          <w:szCs w:val="21"/>
          <w:lang w:val="en"/>
        </w:rPr>
        <w:t>females</w:t>
      </w:r>
      <w:r>
        <w:rPr>
          <w:rFonts w:cs="sans-serif" w:asciiTheme="minorHAnsi" w:hAnsiTheme="minorHAnsi"/>
          <w:color w:val="000000"/>
          <w:sz w:val="21"/>
          <w:szCs w:val="21"/>
        </w:rPr>
        <w:t xml:space="preserve"> from different sites (Table 2).</w:t>
      </w:r>
    </w:p>
    <w:p>
      <w:pPr>
        <w:pStyle w:val="16"/>
        <w:spacing w:before="240" w:beforeAutospacing="0" w:after="240" w:afterAutospacing="0" w:line="480" w:lineRule="auto"/>
        <w:rPr>
          <w:rFonts w:asciiTheme="minorHAnsi" w:hAnsiTheme="minorHAnsi"/>
        </w:rPr>
      </w:pPr>
      <w:r>
        <w:rPr>
          <w:rFonts w:cs="sans-serif" w:asciiTheme="minorHAnsi" w:hAnsiTheme="minorHAnsi"/>
          <w:b/>
          <w:i/>
          <w:color w:val="000000"/>
          <w:sz w:val="21"/>
          <w:szCs w:val="21"/>
        </w:rPr>
        <w:t>Resource Selection Functions</w:t>
      </w:r>
    </w:p>
    <w:p>
      <w:pPr>
        <w:pStyle w:val="16"/>
        <w:spacing w:before="240" w:beforeAutospacing="0" w:after="240" w:afterAutospacing="0" w:line="480" w:lineRule="auto"/>
        <w:rPr>
          <w:rFonts w:cs="sans-serif" w:asciiTheme="minorHAnsi" w:hAnsiTheme="minorHAnsi"/>
          <w:color w:val="000000"/>
          <w:sz w:val="21"/>
          <w:szCs w:val="21"/>
          <w:lang w:val="en"/>
        </w:rPr>
      </w:pPr>
      <w:r>
        <w:rPr>
          <w:rFonts w:cs="sans-serif" w:asciiTheme="minorHAnsi" w:hAnsiTheme="minorHAnsi"/>
          <w:color w:val="000000"/>
          <w:sz w:val="21"/>
          <w:szCs w:val="21"/>
        </w:rPr>
        <w:t xml:space="preserve">For each RSF built per site and sex, </w:t>
      </w:r>
      <w:r>
        <w:rPr>
          <w:rFonts w:cs="sans-serif" w:asciiTheme="minorHAnsi" w:hAnsiTheme="minorHAnsi"/>
          <w:color w:val="000000"/>
          <w:sz w:val="21"/>
          <w:szCs w:val="21"/>
          <w:lang w:val="en"/>
        </w:rPr>
        <w:t>different combination</w:t>
      </w:r>
      <w:r>
        <w:rPr>
          <w:rFonts w:hint="default" w:cs="sans-serif" w:asciiTheme="minorHAnsi" w:hAnsiTheme="minorHAnsi"/>
          <w:color w:val="000000"/>
          <w:sz w:val="21"/>
          <w:szCs w:val="21"/>
          <w:lang w:val="en"/>
        </w:rPr>
        <w:t>s</w:t>
      </w:r>
      <w:r>
        <w:rPr>
          <w:rFonts w:cs="sans-serif" w:asciiTheme="minorHAnsi" w:hAnsiTheme="minorHAnsi"/>
          <w:color w:val="000000"/>
          <w:sz w:val="21"/>
          <w:szCs w:val="21"/>
          <w:lang w:val="en"/>
        </w:rPr>
        <w:t xml:space="preserve"> of competition and environmental covariates </w:t>
      </w:r>
      <w:r>
        <w:rPr>
          <w:rFonts w:cs="sans-serif" w:asciiTheme="minorHAnsi" w:hAnsiTheme="minorHAnsi"/>
          <w:color w:val="000000"/>
          <w:sz w:val="21"/>
          <w:szCs w:val="21"/>
        </w:rPr>
        <w:t>w</w:t>
      </w:r>
      <w:r>
        <w:rPr>
          <w:rFonts w:cs="sans-serif" w:asciiTheme="minorHAnsi" w:hAnsiTheme="minorHAnsi"/>
          <w:color w:val="000000"/>
          <w:sz w:val="21"/>
          <w:szCs w:val="21"/>
          <w:lang w:val="en"/>
        </w:rPr>
        <w:t>ere</w:t>
      </w:r>
      <w:r>
        <w:rPr>
          <w:rFonts w:cs="sans-serif" w:asciiTheme="minorHAnsi" w:hAnsiTheme="minorHAnsi"/>
          <w:color w:val="000000"/>
          <w:sz w:val="21"/>
          <w:szCs w:val="21"/>
        </w:rPr>
        <w:t xml:space="preserve"> retained (ΔAICc&gt;2</w:t>
      </w:r>
      <w:r>
        <w:rPr>
          <w:rFonts w:cs="sans-serif" w:asciiTheme="minorHAnsi" w:hAnsiTheme="minorHAnsi"/>
          <w:color w:val="000000"/>
          <w:sz w:val="21"/>
          <w:szCs w:val="21"/>
          <w:lang w:val="en"/>
        </w:rPr>
        <w:t>, Fig. 4 and Fig. S8</w:t>
      </w:r>
      <w:r>
        <w:rPr>
          <w:rFonts w:cs="sans-serif" w:asciiTheme="minorHAnsi" w:hAnsiTheme="minorHAnsi"/>
          <w:color w:val="000000"/>
          <w:sz w:val="21"/>
          <w:szCs w:val="21"/>
        </w:rPr>
        <w:t xml:space="preserve">). This means </w:t>
      </w:r>
      <w:r>
        <w:rPr>
          <w:rFonts w:cs="sans-serif" w:asciiTheme="minorHAnsi" w:hAnsiTheme="minorHAnsi"/>
          <w:color w:val="000000"/>
          <w:sz w:val="21"/>
          <w:szCs w:val="21"/>
          <w:lang w:val="en"/>
        </w:rPr>
        <w:t xml:space="preserve">that </w:t>
      </w:r>
      <w:r>
        <w:rPr>
          <w:rFonts w:cs="sans-serif" w:asciiTheme="minorHAnsi" w:hAnsiTheme="minorHAnsi"/>
          <w:color w:val="000000"/>
          <w:sz w:val="21"/>
          <w:szCs w:val="21"/>
        </w:rPr>
        <w:t xml:space="preserve">the relative importance of each covariate differed between sites and sexes (Fig. </w:t>
      </w:r>
      <w:r>
        <w:rPr>
          <w:rFonts w:cs="sans-serif" w:asciiTheme="minorHAnsi" w:hAnsiTheme="minorHAnsi"/>
          <w:color w:val="000000"/>
          <w:sz w:val="21"/>
          <w:szCs w:val="21"/>
          <w:lang w:val="en"/>
        </w:rPr>
        <w:t>S8</w:t>
      </w:r>
      <w:r>
        <w:rPr>
          <w:rFonts w:cs="sans-serif" w:asciiTheme="minorHAnsi" w:hAnsiTheme="minorHAnsi"/>
          <w:color w:val="000000"/>
          <w:sz w:val="21"/>
          <w:szCs w:val="21"/>
        </w:rPr>
        <w:t>).</w:t>
      </w:r>
    </w:p>
    <w:p>
      <w:pPr>
        <w:pStyle w:val="16"/>
        <w:spacing w:before="240" w:beforeAutospacing="0" w:after="240" w:afterAutospacing="0" w:line="480" w:lineRule="auto"/>
        <w:ind w:firstLine="420"/>
        <w:rPr>
          <w:rFonts w:cs="sans-serif" w:asciiTheme="minorHAnsi" w:hAnsiTheme="minorHAnsi"/>
          <w:color w:val="000000"/>
          <w:sz w:val="21"/>
          <w:szCs w:val="21"/>
          <w:lang w:val="en"/>
        </w:rPr>
      </w:pPr>
      <w:r>
        <w:rPr>
          <w:rFonts w:cs="sans-serif" w:asciiTheme="minorHAnsi" w:hAnsiTheme="minorHAnsi"/>
          <w:color w:val="000000"/>
          <w:sz w:val="21"/>
          <w:szCs w:val="21"/>
          <w:lang w:val="en"/>
        </w:rPr>
        <w:t>For each site, the intracolony competition covariate (opposite sex) was never selected in the best models, whereas the intercolony competition covariate was consistently selected, but the sex-specific covariates selected were different between sites and sexes (Fig. 4). Males from both sites preferred grid cells also selected by males from the other site, which is also the case for females from both sites (Fig. 4). This resulted in more aggregation than expected between individuals from the two colonies, for the same sex. Between sexes, only males from Marion avoided the grid cells selected by Crozet females and females from Marion avoided the ones selected by Crozet males.</w:t>
      </w:r>
    </w:p>
    <w:p>
      <w:pPr>
        <w:pStyle w:val="16"/>
        <w:spacing w:before="240" w:beforeAutospacing="0" w:after="240" w:afterAutospacing="0" w:line="480" w:lineRule="auto"/>
        <w:rPr>
          <w:rFonts w:cs="sans-serif" w:asciiTheme="minorHAnsi" w:hAnsiTheme="minorHAnsi"/>
          <w:color w:val="000000"/>
          <w:sz w:val="21"/>
          <w:szCs w:val="21"/>
          <w:lang w:val="en"/>
        </w:rPr>
      </w:pPr>
      <w:r>
        <w:rPr>
          <w:rFonts w:cs="sans-serif" w:asciiTheme="minorHAnsi" w:hAnsiTheme="minorHAnsi"/>
          <w:color w:val="000000"/>
          <w:sz w:val="21"/>
          <w:szCs w:val="21"/>
          <w:lang w:val="en"/>
        </w:rPr>
        <w:tab/>
      </w:r>
      <w:r>
        <w:rPr>
          <w:rFonts w:cs="sans-serif" w:asciiTheme="minorHAnsi" w:hAnsiTheme="minorHAnsi"/>
          <w:color w:val="000000"/>
          <w:sz w:val="21"/>
          <w:szCs w:val="21"/>
          <w:lang w:val="en"/>
        </w:rPr>
        <w:t xml:space="preserve">Different combinations of environmental covariates were also selected depending on the site and sex considered </w:t>
      </w:r>
      <w:r>
        <w:rPr>
          <w:rFonts w:cs="sans-serif" w:asciiTheme="minorHAnsi" w:hAnsiTheme="minorHAnsi"/>
          <w:color w:val="000000"/>
          <w:sz w:val="21"/>
          <w:szCs w:val="21"/>
        </w:rPr>
        <w:t xml:space="preserve">(Fig. </w:t>
      </w:r>
      <w:r>
        <w:rPr>
          <w:rFonts w:cs="sans-serif" w:asciiTheme="minorHAnsi" w:hAnsiTheme="minorHAnsi"/>
          <w:color w:val="000000"/>
          <w:sz w:val="21"/>
          <w:szCs w:val="21"/>
          <w:lang w:val="en"/>
        </w:rPr>
        <w:t>S8</w:t>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 However, strong interannual variability was detected per site and sex, with habitat preferences that could have opposite effects from one year to another, or with no effects at all in some years (Fig. S9). This demonstrates the absence of clear and consistent habitat preferences per site and sex across years.</w:t>
      </w:r>
    </w:p>
    <w:p>
      <w:pPr>
        <w:pStyle w:val="16"/>
        <w:spacing w:before="240" w:beforeAutospacing="0" w:after="240" w:afterAutospacing="0" w:line="480" w:lineRule="auto"/>
        <w:ind w:firstLine="420"/>
        <w:rPr>
          <w:rFonts w:asciiTheme="minorHAnsi" w:hAnsiTheme="minorHAnsi"/>
          <w:lang w:val="en"/>
        </w:rPr>
      </w:pPr>
      <w:r>
        <w:rPr>
          <w:rFonts w:cs="sans-serif" w:asciiTheme="minorHAnsi" w:hAnsiTheme="minorHAnsi"/>
          <w:color w:val="000000"/>
          <w:sz w:val="21"/>
          <w:szCs w:val="21"/>
        </w:rPr>
        <w:t>When mapped</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predicted densities (habitat</w:t>
      </w:r>
      <w:r>
        <w:rPr>
          <w:rFonts w:cs="sans-serif" w:asciiTheme="minorHAnsi" w:hAnsiTheme="minorHAnsi"/>
          <w:color w:val="000000"/>
          <w:sz w:val="21"/>
          <w:szCs w:val="21"/>
          <w:lang w:val="en"/>
        </w:rPr>
        <w:t xml:space="preserve"> and competition</w:t>
      </w:r>
      <w:r>
        <w:rPr>
          <w:rFonts w:cs="sans-serif" w:asciiTheme="minorHAnsi" w:hAnsiTheme="minorHAnsi"/>
          <w:color w:val="000000"/>
          <w:sz w:val="21"/>
          <w:szCs w:val="21"/>
        </w:rPr>
        <w:t xml:space="preserve"> preference</w:t>
      </w:r>
      <w:r>
        <w:rPr>
          <w:rFonts w:cs="sans-serif" w:asciiTheme="minorHAnsi" w:hAnsiTheme="minorHAnsi"/>
          <w:color w:val="000000"/>
          <w:sz w:val="21"/>
          <w:szCs w:val="21"/>
          <w:lang w:val="en"/>
        </w:rPr>
        <w:t>s</w:t>
      </w:r>
      <w:r>
        <w:rPr>
          <w:rFonts w:cs="sans-serif" w:asciiTheme="minorHAnsi" w:hAnsiTheme="minorHAnsi"/>
          <w:color w:val="000000"/>
          <w:sz w:val="21"/>
          <w:szCs w:val="21"/>
        </w:rPr>
        <w:t xml:space="preserve"> weighted by population size) were very low</w:t>
      </w:r>
      <w:r>
        <w:rPr>
          <w:rFonts w:cs="sans-serif" w:asciiTheme="minorHAnsi" w:hAnsiTheme="minorHAnsi"/>
          <w:color w:val="000000"/>
          <w:sz w:val="21"/>
          <w:szCs w:val="21"/>
          <w:lang w:val="en"/>
        </w:rPr>
        <w:t>. K</w:t>
      </w:r>
      <w:r>
        <w:rPr>
          <w:rFonts w:cs="sans-serif" w:asciiTheme="minorHAnsi" w:hAnsiTheme="minorHAnsi"/>
          <w:color w:val="000000"/>
          <w:sz w:val="21"/>
          <w:szCs w:val="21"/>
        </w:rPr>
        <w:t>ey important areas</w:t>
      </w:r>
      <w:r>
        <w:rPr>
          <w:rFonts w:cs="sans-serif" w:asciiTheme="minorHAnsi" w:hAnsiTheme="minorHAnsi"/>
          <w:color w:val="000000"/>
          <w:sz w:val="21"/>
          <w:szCs w:val="21"/>
          <w:lang w:val="en"/>
        </w:rPr>
        <w:t xml:space="preserve"> of higher densities were situated within</w:t>
      </w:r>
      <w:r>
        <w:rPr>
          <w:rFonts w:cs="sans-serif" w:asciiTheme="minorHAnsi" w:hAnsiTheme="minorHAnsi"/>
          <w:color w:val="000000"/>
          <w:sz w:val="21"/>
          <w:szCs w:val="21"/>
        </w:rPr>
        <w:t xml:space="preserve"> the KDE</w:t>
      </w:r>
      <w:r>
        <w:rPr>
          <w:rFonts w:cs="sans-serif" w:asciiTheme="minorHAnsi" w:hAnsiTheme="minorHAnsi"/>
          <w:color w:val="000000"/>
          <w:sz w:val="21"/>
          <w:szCs w:val="21"/>
          <w:lang w:val="en"/>
        </w:rPr>
        <w:t xml:space="preserve"> and differed between sites and sexes</w:t>
      </w:r>
      <w:r>
        <w:rPr>
          <w:rFonts w:cs="sans-serif" w:asciiTheme="minorHAnsi" w:hAnsiTheme="minorHAnsi"/>
          <w:color w:val="000000"/>
          <w:sz w:val="21"/>
          <w:szCs w:val="21"/>
        </w:rPr>
        <w:t xml:space="preserve"> (Fig. </w:t>
      </w:r>
      <w:r>
        <w:rPr>
          <w:rFonts w:cs="sans-serif" w:asciiTheme="minorHAnsi" w:hAnsiTheme="minorHAnsi"/>
          <w:color w:val="000000"/>
          <w:sz w:val="21"/>
          <w:szCs w:val="21"/>
          <w:lang w:val="en"/>
        </w:rPr>
        <w:t>5</w:t>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 These areas of relatively high predicted densities confirmed the occurrence of sexual segregation between sexes per site (i.e., high intrapopulation competition) and aggregation between similar sexes between sites (i.e., low interpopulation competition).</w:t>
      </w:r>
    </w:p>
    <w:p>
      <w:pPr>
        <w:pStyle w:val="16"/>
        <w:spacing w:before="240" w:beforeAutospacing="0" w:after="240" w:afterAutospacing="0" w:line="480" w:lineRule="auto"/>
        <w:rPr>
          <w:rFonts w:cs="sans-serif" w:asciiTheme="minorHAnsi" w:hAnsiTheme="minorHAnsi"/>
          <w:b/>
          <w:color w:val="000000"/>
          <w:sz w:val="21"/>
          <w:szCs w:val="21"/>
        </w:rPr>
      </w:pPr>
      <w:r>
        <w:rPr>
          <w:rFonts w:cs="sans-serif" w:asciiTheme="minorHAnsi" w:hAnsiTheme="minorHAnsi"/>
          <w:b/>
          <w:color w:val="000000"/>
          <w:sz w:val="21"/>
          <w:szCs w:val="21"/>
        </w:rPr>
        <w:t>Discussion</w:t>
      </w:r>
    </w:p>
    <w:p>
      <w:pPr>
        <w:pStyle w:val="16"/>
        <w:spacing w:before="240" w:beforeAutospacing="0" w:after="240" w:afterAutospacing="0" w:line="480" w:lineRule="auto"/>
        <w:rPr>
          <w:rFonts w:cs="sans-serif" w:asciiTheme="minorHAnsi" w:hAnsiTheme="minorHAnsi"/>
          <w:color w:val="000000"/>
          <w:sz w:val="21"/>
          <w:szCs w:val="21"/>
          <w:lang w:val="en"/>
        </w:rPr>
      </w:pPr>
      <w:r>
        <w:rPr>
          <w:rFonts w:cs="sans-serif" w:asciiTheme="minorHAnsi" w:hAnsiTheme="minorHAnsi"/>
          <w:bCs/>
          <w:color w:val="000000"/>
          <w:sz w:val="21"/>
          <w:szCs w:val="21"/>
          <w:lang w:val="en"/>
        </w:rPr>
        <w:t>In this study, we highlighted that Kernel Density Estimations (KDE), together with Resource Selection Function (RSF), controlled for environmental availability and variability (Fig. 1), could be used to disentangle the relative importance of sexual competition, between and within neighboring populations. Both methods demonstrated that intrapopulation competition between sexes was systematically more important that interpopulation competition, which was relatively weak. This strongly supports the notion that sexual segregation is more likely to result from selection of specific areas (H2), rather than by direct interference competition (H1), at least for sexually-dimorphic central place foragers that have low at-sea densities.</w:t>
      </w:r>
    </w:p>
    <w:p>
      <w:pPr>
        <w:pStyle w:val="16"/>
        <w:spacing w:before="240" w:beforeAutospacing="0" w:after="240" w:afterAutospacing="0" w:line="480" w:lineRule="auto"/>
        <w:ind w:firstLine="420"/>
        <w:rPr>
          <w:rFonts w:cs="sans-serif" w:asciiTheme="minorHAnsi" w:hAnsiTheme="minorHAnsi"/>
          <w:color w:val="000000"/>
          <w:sz w:val="21"/>
          <w:szCs w:val="21"/>
          <w:lang w:val="en"/>
        </w:rPr>
      </w:pPr>
      <w:r>
        <w:rPr>
          <w:rFonts w:cs="sans-serif" w:asciiTheme="minorHAnsi" w:hAnsiTheme="minorHAnsi"/>
          <w:color w:val="000000"/>
          <w:sz w:val="21"/>
          <w:szCs w:val="21"/>
        </w:rPr>
        <w:t>Numerous studies have demonstrated that sexual segregation is widespread in animals</w:t>
      </w:r>
      <w:r>
        <w:rPr>
          <w:rFonts w:cs="sans-serif" w:asciiTheme="minorHAnsi" w:hAnsiTheme="minorHAnsi"/>
          <w:color w:val="000000"/>
          <w:sz w:val="21"/>
          <w:szCs w:val="21"/>
          <w:lang w:val="en"/>
        </w:rPr>
        <w:t xml:space="preserve">, </w:t>
      </w:r>
      <w:r>
        <w:rPr>
          <w:rStyle w:val="14"/>
          <w:rFonts w:cs="sans-serif" w:asciiTheme="minorHAnsi" w:hAnsiTheme="minorHAnsi"/>
          <w:color w:val="000000"/>
          <w:sz w:val="21"/>
          <w:szCs w:val="21"/>
          <w:u w:val="none"/>
          <w:lang w:val="en"/>
        </w:rPr>
        <w:t>especially in polygamous species which are commonly characterized by sexual size dimorphism</w:t>
      </w:r>
      <w:r>
        <w:rPr>
          <w:rFonts w:cs="sans-serif" w:asciiTheme="minorHAnsi" w:hAnsiTheme="minorHAnsi"/>
          <w:color w:val="000000"/>
          <w:sz w:val="21"/>
          <w:szCs w:val="21"/>
        </w:rPr>
        <w:t xml:space="preserve"> </w:t>
      </w:r>
      <w:r>
        <w:fldChar w:fldCharType="begin"/>
      </w:r>
      <w:r>
        <w:instrText xml:space="preserve"> HYPERLINK "https://www.zotero.org/google-docs/?VrgSHT" </w:instrText>
      </w:r>
      <w:r>
        <w:fldChar w:fldCharType="separate"/>
      </w:r>
      <w:r>
        <w:rPr>
          <w:rStyle w:val="14"/>
          <w:rFonts w:cs="sans-serif" w:asciiTheme="minorHAnsi" w:hAnsiTheme="minorHAnsi"/>
          <w:color w:val="000000"/>
          <w:sz w:val="21"/>
          <w:szCs w:val="21"/>
          <w:u w:val="none"/>
        </w:rPr>
        <w:t>(Ruckstuhl &amp; Neuhaus, 2006; Wearmouth &amp; Sims, 2008)</w:t>
      </w:r>
      <w:r>
        <w:rPr>
          <w:rStyle w:val="14"/>
          <w:rFonts w:cs="sans-serif" w:asciiTheme="minorHAnsi" w:hAnsiTheme="minorHAnsi"/>
          <w:color w:val="000000"/>
          <w:sz w:val="21"/>
          <w:szCs w:val="21"/>
          <w:u w:val="none"/>
        </w:rPr>
        <w:fldChar w:fldCharType="end"/>
      </w:r>
      <w:r>
        <w:rPr>
          <w:rStyle w:val="14"/>
          <w:rFonts w:cs="sans-serif" w:asciiTheme="minorHAnsi" w:hAnsiTheme="minorHAnsi"/>
          <w:color w:val="000000"/>
          <w:sz w:val="21"/>
          <w:szCs w:val="21"/>
          <w:u w:val="none"/>
          <w:lang w:val="en"/>
        </w:rPr>
        <w:t xml:space="preserve">. In dimorphic ungulates such </w:t>
      </w:r>
      <w:r>
        <w:rPr>
          <w:rFonts w:cs="sans-serif" w:asciiTheme="minorHAnsi" w:hAnsiTheme="minorHAnsi"/>
          <w:color w:val="000000"/>
          <w:sz w:val="21"/>
          <w:szCs w:val="21"/>
          <w:lang w:val="en"/>
        </w:rPr>
        <w:t xml:space="preserve">sexual segregation has been hypothesized to stem from a range of factors (Bonenfant 2004, Loe 2006, Wearmouth &amp; Sims 2008). These species generally associate with complex social systems, with the intensity of segregation usually changing during the breeding season. </w:t>
      </w:r>
      <w:r>
        <w:rPr>
          <w:rStyle w:val="14"/>
          <w:rFonts w:cs="sans-serif" w:asciiTheme="minorHAnsi" w:hAnsiTheme="minorHAnsi"/>
          <w:color w:val="000000"/>
          <w:sz w:val="21"/>
          <w:szCs w:val="21"/>
          <w:u w:val="none"/>
          <w:lang w:val="en"/>
        </w:rPr>
        <w:t>Sexual segregation also occurs frequently in monogamous species, such as seabirds (</w:t>
      </w:r>
      <w:r>
        <w:rPr>
          <w:rStyle w:val="14"/>
          <w:rFonts w:cs="sans-serif" w:asciiTheme="minorHAnsi" w:hAnsiTheme="minorHAnsi"/>
          <w:color w:val="000000"/>
          <w:sz w:val="21"/>
          <w:szCs w:val="21"/>
          <w:u w:val="none"/>
        </w:rPr>
        <w:t>Phillips, McGill, Dawson, &amp; Bearhop, 2011</w:t>
      </w:r>
      <w:r>
        <w:rPr>
          <w:rStyle w:val="14"/>
          <w:rFonts w:cs="sans-serif" w:asciiTheme="minorHAnsi" w:hAnsiTheme="minorHAnsi"/>
          <w:color w:val="000000"/>
          <w:sz w:val="21"/>
          <w:szCs w:val="21"/>
          <w:u w:val="none"/>
          <w:lang w:val="en"/>
        </w:rPr>
        <w:t xml:space="preserve">, Phillips et al., 2017), therefore sexual segregation seems to be relatively independent from the mating system (Catry et al. 2006). </w:t>
      </w:r>
      <w:r>
        <w:rPr>
          <w:rFonts w:cs="sans-serif" w:asciiTheme="minorHAnsi" w:hAnsiTheme="minorHAnsi"/>
          <w:color w:val="000000"/>
          <w:sz w:val="21"/>
          <w:szCs w:val="21"/>
        </w:rPr>
        <w:t xml:space="preserve">This segregation seems, </w:t>
      </w:r>
      <w:r>
        <w:rPr>
          <w:rFonts w:cs="sans-serif" w:asciiTheme="minorHAnsi" w:hAnsiTheme="minorHAnsi"/>
          <w:color w:val="000000"/>
          <w:sz w:val="21"/>
          <w:szCs w:val="21"/>
          <w:lang w:val="en"/>
        </w:rPr>
        <w:t xml:space="preserve">however, </w:t>
      </w:r>
      <w:r>
        <w:rPr>
          <w:rFonts w:cs="sans-serif" w:asciiTheme="minorHAnsi" w:hAnsiTheme="minorHAnsi"/>
          <w:color w:val="000000"/>
          <w:sz w:val="21"/>
          <w:szCs w:val="21"/>
        </w:rPr>
        <w:t>to be exacerbated for some central place foragers, especially during the breeding season (reviewed in Phillips et al., 2017</w:t>
      </w:r>
      <w:r>
        <w:rPr>
          <w:rFonts w:cs="sans-serif" w:asciiTheme="minorHAnsi" w:hAnsiTheme="minorHAnsi"/>
          <w:color w:val="000000"/>
          <w:sz w:val="21"/>
          <w:szCs w:val="21"/>
          <w:lang w:val="en"/>
        </w:rPr>
        <w:t>, our study</w:t>
      </w:r>
      <w:r>
        <w:rPr>
          <w:rFonts w:cs="sans-serif" w:asciiTheme="minorHAnsi" w:hAnsiTheme="minorHAnsi"/>
          <w:color w:val="000000"/>
          <w:sz w:val="21"/>
          <w:szCs w:val="21"/>
        </w:rPr>
        <w:t xml:space="preserve">) due to restricted access to foraging grounds in time and space </w:t>
      </w:r>
      <w:r>
        <w:fldChar w:fldCharType="begin"/>
      </w:r>
      <w:r>
        <w:instrText xml:space="preserve"> HYPERLINK "https://www.zotero.org/google-docs/?UHpwpj" </w:instrText>
      </w:r>
      <w:r>
        <w:fldChar w:fldCharType="separate"/>
      </w:r>
      <w:r>
        <w:rPr>
          <w:rStyle w:val="14"/>
          <w:rFonts w:cs="sans-serif" w:asciiTheme="minorHAnsi" w:hAnsiTheme="minorHAnsi"/>
          <w:color w:val="000000"/>
          <w:sz w:val="21"/>
          <w:szCs w:val="21"/>
          <w:u w:val="none"/>
        </w:rPr>
        <w:t>(Orians &amp; Pearson, 1979)</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T</w:t>
      </w:r>
      <w:r>
        <w:rPr>
          <w:rFonts w:cs="sans-serif" w:asciiTheme="minorHAnsi" w:hAnsiTheme="minorHAnsi"/>
          <w:color w:val="000000"/>
          <w:sz w:val="21"/>
          <w:szCs w:val="21"/>
        </w:rPr>
        <w:t xml:space="preserve">he </w:t>
      </w:r>
      <w:r>
        <w:rPr>
          <w:rFonts w:cs="sans-serif" w:asciiTheme="minorHAnsi" w:hAnsiTheme="minorHAnsi"/>
          <w:color w:val="000000"/>
          <w:sz w:val="21"/>
          <w:szCs w:val="21"/>
          <w:lang w:val="en"/>
        </w:rPr>
        <w:t>two</w:t>
      </w:r>
      <w:r>
        <w:rPr>
          <w:rFonts w:cs="sans-serif" w:asciiTheme="minorHAnsi" w:hAnsiTheme="minorHAnsi"/>
          <w:color w:val="000000"/>
          <w:sz w:val="21"/>
          <w:szCs w:val="21"/>
        </w:rPr>
        <w:t xml:space="preserve"> main hypotheses commonly used to explain sexual segregation in central place foragers are (H1) competitive exclusion (through direct competition)</w:t>
      </w:r>
      <w:r>
        <w:rPr>
          <w:rFonts w:cs="sans-serif" w:asciiTheme="minorHAnsi" w:hAnsiTheme="minorHAnsi"/>
          <w:color w:val="000000"/>
          <w:sz w:val="21"/>
          <w:szCs w:val="21"/>
          <w:lang w:val="en"/>
        </w:rPr>
        <w:t xml:space="preserve"> or</w:t>
      </w:r>
      <w:r>
        <w:rPr>
          <w:rFonts w:cs="sans-serif" w:asciiTheme="minorHAnsi" w:hAnsiTheme="minorHAnsi"/>
          <w:color w:val="000000"/>
          <w:sz w:val="21"/>
          <w:szCs w:val="21"/>
        </w:rPr>
        <w:t xml:space="preserve"> (H2) niche divergence (through indirect competition, </w:t>
      </w:r>
      <w:r>
        <w:fldChar w:fldCharType="begin"/>
      </w:r>
      <w:r>
        <w:instrText xml:space="preserve"> HYPERLINK "https://www.zotero.org/google-docs/?FCUhBY" </w:instrText>
      </w:r>
      <w:r>
        <w:fldChar w:fldCharType="separate"/>
      </w:r>
      <w:r>
        <w:rPr>
          <w:rStyle w:val="14"/>
          <w:rFonts w:cs="sans-serif" w:asciiTheme="minorHAnsi" w:hAnsiTheme="minorHAnsi"/>
          <w:color w:val="000000"/>
          <w:sz w:val="21"/>
          <w:szCs w:val="21"/>
          <w:u w:val="none"/>
        </w:rPr>
        <w:t>Phillips et al., 2004</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w:t>
      </w:r>
      <w:r>
        <w:rPr>
          <w:rFonts w:cs="sans-serif" w:asciiTheme="minorHAnsi" w:hAnsiTheme="minorHAnsi"/>
          <w:color w:val="000000"/>
          <w:sz w:val="21"/>
          <w:szCs w:val="21"/>
          <w:lang w:val="en"/>
        </w:rPr>
        <w:t>.</w:t>
      </w:r>
    </w:p>
    <w:p>
      <w:pPr>
        <w:pStyle w:val="16"/>
        <w:spacing w:before="240" w:beforeAutospacing="0" w:after="240" w:afterAutospacing="0" w:line="480" w:lineRule="auto"/>
        <w:ind w:firstLine="420"/>
        <w:rPr>
          <w:rFonts w:cs="sans-serif" w:asciiTheme="minorHAnsi" w:hAnsiTheme="minorHAnsi"/>
          <w:color w:val="000000"/>
          <w:sz w:val="21"/>
          <w:szCs w:val="21"/>
        </w:rPr>
      </w:pPr>
      <w:r>
        <w:rPr>
          <w:rFonts w:cs="sans-serif" w:asciiTheme="minorHAnsi" w:hAnsiTheme="minorHAnsi"/>
          <w:color w:val="000000"/>
          <w:sz w:val="21"/>
          <w:szCs w:val="21"/>
          <w:lang w:val="en"/>
        </w:rPr>
        <w:t>A good example of where the</w:t>
      </w:r>
      <w:r>
        <w:rPr>
          <w:rFonts w:cs="sans-serif" w:asciiTheme="minorHAnsi" w:hAnsiTheme="minorHAnsi"/>
          <w:color w:val="000000"/>
          <w:sz w:val="21"/>
          <w:szCs w:val="21"/>
        </w:rPr>
        <w:t xml:space="preserve"> first hypothesis (H1)</w:t>
      </w:r>
      <w:r>
        <w:rPr>
          <w:rFonts w:cs="sans-serif" w:asciiTheme="minorHAnsi" w:hAnsiTheme="minorHAnsi"/>
          <w:color w:val="000000"/>
          <w:sz w:val="21"/>
          <w:szCs w:val="21"/>
          <w:lang w:val="en"/>
        </w:rPr>
        <w:t xml:space="preserve"> has been used </w:t>
      </w:r>
      <w:r>
        <w:rPr>
          <w:rFonts w:cs="sans-serif" w:asciiTheme="minorHAnsi" w:hAnsiTheme="minorHAnsi"/>
          <w:color w:val="000000"/>
          <w:sz w:val="21"/>
          <w:szCs w:val="21"/>
        </w:rPr>
        <w:t>to explain sexual segregation</w:t>
      </w:r>
      <w:r>
        <w:rPr>
          <w:rFonts w:cs="sans-serif" w:asciiTheme="minorHAnsi" w:hAnsiTheme="minorHAnsi"/>
          <w:color w:val="000000"/>
          <w:sz w:val="21"/>
          <w:szCs w:val="21"/>
          <w:lang w:val="en"/>
        </w:rPr>
        <w:t xml:space="preserve"> is in the dimorphic, </w:t>
      </w:r>
      <w:r>
        <w:rPr>
          <w:rFonts w:cs="sans-serif" w:asciiTheme="minorHAnsi" w:hAnsiTheme="minorHAnsi"/>
          <w:color w:val="000000"/>
          <w:sz w:val="21"/>
          <w:szCs w:val="21"/>
        </w:rPr>
        <w:t xml:space="preserve">scavenging giant petrels </w:t>
      </w:r>
      <w:r>
        <w:rPr>
          <w:rFonts w:cs="sans-serif" w:asciiTheme="minorHAnsi" w:hAnsiTheme="minorHAnsi"/>
          <w:i/>
          <w:color w:val="000000"/>
          <w:sz w:val="21"/>
          <w:szCs w:val="21"/>
        </w:rPr>
        <w:t>Macronectes spp.</w:t>
      </w:r>
      <w:r>
        <w:rPr>
          <w:rFonts w:cs="sans-serif" w:asciiTheme="minorHAnsi" w:hAnsiTheme="minorHAnsi"/>
          <w:iCs/>
          <w:color w:val="000000"/>
          <w:sz w:val="21"/>
          <w:szCs w:val="21"/>
        </w:rPr>
        <w:t xml:space="preserve"> The </w:t>
      </w:r>
      <w:r>
        <w:rPr>
          <w:rFonts w:cs="sans-serif" w:asciiTheme="minorHAnsi" w:hAnsiTheme="minorHAnsi"/>
          <w:iCs/>
          <w:color w:val="000000"/>
          <w:sz w:val="21"/>
          <w:szCs w:val="21"/>
          <w:lang w:val="en"/>
        </w:rPr>
        <w:t xml:space="preserve">larger, dominant males have been observed to directly exclude females from seal and penguin carcasses on-land, forcing females to primarily forage at-sea </w:t>
      </w:r>
      <w:r>
        <w:rPr>
          <w:rFonts w:cs="sans-serif" w:asciiTheme="minorHAnsi" w:hAnsiTheme="minorHAnsi"/>
          <w:iCs/>
          <w:color w:val="000000"/>
          <w:sz w:val="21"/>
          <w:szCs w:val="21"/>
        </w:rPr>
        <w:t>(Gonzalez-Solis, Croxall, &amp; Wood, 2000; but see</w:t>
      </w:r>
      <w:r>
        <w:rPr>
          <w:rFonts w:cs="sans-serif" w:asciiTheme="minorHAnsi" w:hAnsiTheme="minorHAnsi"/>
          <w:iCs/>
          <w:color w:val="000000"/>
          <w:sz w:val="21"/>
          <w:szCs w:val="21"/>
          <w:lang w:val="en"/>
        </w:rPr>
        <w:t xml:space="preserve"> discussions in</w:t>
      </w:r>
      <w:r>
        <w:rPr>
          <w:rFonts w:cs="sans-serif" w:asciiTheme="minorHAnsi" w:hAnsiTheme="minorHAnsi"/>
          <w:iCs/>
          <w:color w:val="000000"/>
          <w:sz w:val="21"/>
          <w:szCs w:val="21"/>
        </w:rPr>
        <w:t xml:space="preserve"> Granroth-Wilding &amp; Phillips, 2019</w:t>
      </w:r>
      <w:r>
        <w:rPr>
          <w:rFonts w:cs="sans-serif" w:asciiTheme="minorHAnsi" w:hAnsiTheme="minorHAnsi"/>
          <w:iCs/>
          <w:color w:val="000000"/>
          <w:sz w:val="21"/>
          <w:szCs w:val="21"/>
          <w:lang w:val="en"/>
        </w:rPr>
        <w:t xml:space="preserve"> and Reisinger et al. 2020 that demonstrated more behavioural flexibility than previously thought for these species</w:t>
      </w:r>
      <w:r>
        <w:rPr>
          <w:rFonts w:cs="sans-serif" w:asciiTheme="minorHAnsi" w:hAnsiTheme="minorHAnsi"/>
          <w:iCs/>
          <w:color w:val="000000"/>
          <w:sz w:val="21"/>
          <w:szCs w:val="21"/>
        </w:rPr>
        <w:t>)</w:t>
      </w:r>
      <w:r>
        <w:rPr>
          <w:rFonts w:cs="sans-serif" w:asciiTheme="minorHAnsi" w:hAnsiTheme="minorHAnsi"/>
          <w:i/>
          <w:color w:val="000000"/>
          <w:sz w:val="21"/>
          <w:szCs w:val="21"/>
        </w:rPr>
        <w:t>.</w:t>
      </w:r>
      <w:r>
        <w:rPr>
          <w:rFonts w:cs="sans-serif" w:asciiTheme="minorHAnsi" w:hAnsiTheme="minorHAnsi"/>
          <w:i/>
          <w:color w:val="000000"/>
          <w:sz w:val="21"/>
          <w:szCs w:val="21"/>
          <w:lang w:val="en"/>
        </w:rPr>
        <w:t xml:space="preserve"> </w:t>
      </w:r>
      <w:r>
        <w:rPr>
          <w:rFonts w:cs="sans-serif" w:asciiTheme="minorHAnsi" w:hAnsiTheme="minorHAnsi"/>
          <w:iCs/>
          <w:color w:val="000000"/>
          <w:sz w:val="21"/>
          <w:szCs w:val="21"/>
          <w:lang w:val="en"/>
        </w:rPr>
        <w:t xml:space="preserve">Social dominance and competitive exclusion have also been suggested to explain sexual segregation in polygynous species. For example, in the Indo-Pacific bottlenose dolphin, </w:t>
      </w:r>
      <w:r>
        <w:rPr>
          <w:rFonts w:cs="sans-serif" w:asciiTheme="minorHAnsi" w:hAnsiTheme="minorHAnsi"/>
          <w:i/>
          <w:color w:val="000000"/>
          <w:sz w:val="21"/>
          <w:szCs w:val="21"/>
          <w:lang w:val="en"/>
        </w:rPr>
        <w:t xml:space="preserve">Tursiops aduncus, </w:t>
      </w:r>
      <w:r>
        <w:rPr>
          <w:rFonts w:cs="sans-serif" w:asciiTheme="minorHAnsi" w:hAnsiTheme="minorHAnsi"/>
          <w:iCs/>
          <w:color w:val="000000"/>
          <w:sz w:val="21"/>
          <w:szCs w:val="21"/>
          <w:lang w:val="en"/>
        </w:rPr>
        <w:t xml:space="preserve">females drive sexual segregation by directly avoiding male groups that are more aggressive (Galezo et al. 2018). This demonstrates the potential importance of social factors that can have a stronger effect than ecological factors (Galezo et al. 2018). </w:t>
      </w:r>
      <w:r>
        <w:rPr>
          <w:rFonts w:cs="sans-serif" w:asciiTheme="minorHAnsi" w:hAnsiTheme="minorHAnsi"/>
          <w:color w:val="000000"/>
          <w:sz w:val="21"/>
          <w:szCs w:val="21"/>
          <w:lang w:val="en"/>
        </w:rPr>
        <w:t>U</w:t>
      </w:r>
      <w:r>
        <w:rPr>
          <w:rFonts w:cs="sans-serif" w:asciiTheme="minorHAnsi" w:hAnsiTheme="minorHAnsi"/>
          <w:color w:val="000000"/>
          <w:sz w:val="21"/>
          <w:szCs w:val="21"/>
        </w:rPr>
        <w:t xml:space="preserve">sing habitat preferences from two different sites and both sexes as a proxy of intraspecific competition, </w:t>
      </w:r>
      <w:r>
        <w:rPr>
          <w:rFonts w:cs="sans-serif" w:asciiTheme="minorHAnsi" w:hAnsiTheme="minorHAnsi"/>
          <w:color w:val="000000"/>
          <w:sz w:val="21"/>
          <w:szCs w:val="21"/>
          <w:lang w:val="en"/>
        </w:rPr>
        <w:t>we demonstrated in our study that intrapopulation competition covariates were never selected by the RSF (Fig. 4). This suggests that direct competition within each population is unlikely to occur. Because sexual segregation was higher than expected for both populations (Table 2), this suggests a shared constraint for both sexes to select different foraging areas. The only case of ‘direct’ avoidance shown by the RSF, was for males and females from Marion that were not avoiding individuals from the opposite sex but from the neighboring population (i.e., Crozet, Fig. 4). However, sexual segregation between populations was only detected once by KDE (Table 2, marginal significance in 2019), counter to the expectation that sexual segregation should occur both within and between populations. Moreover,</w:t>
      </w:r>
      <w:r>
        <w:rPr>
          <w:rFonts w:cs="sans-serif" w:asciiTheme="minorHAnsi" w:hAnsiTheme="minorHAnsi"/>
          <w:color w:val="000000"/>
          <w:sz w:val="21"/>
          <w:szCs w:val="21"/>
        </w:rPr>
        <w:t xml:space="preserve"> because</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of very low at-sea population densities (&lt;1.2</w:t>
      </w:r>
      <w:r>
        <w:rPr>
          <w:rFonts w:cs="sans-serif" w:asciiTheme="minorHAnsi" w:hAnsiTheme="minorHAnsi"/>
          <w:color w:val="000000"/>
          <w:sz w:val="21"/>
          <w:szCs w:val="21"/>
          <w:lang w:val="en"/>
        </w:rPr>
        <w:t>5</w:t>
      </w:r>
      <w:r>
        <w:rPr>
          <w:rFonts w:cs="sans-serif" w:asciiTheme="minorHAnsi" w:hAnsiTheme="minorHAnsi"/>
          <w:color w:val="000000"/>
          <w:sz w:val="21"/>
          <w:szCs w:val="21"/>
        </w:rPr>
        <w:t xml:space="preserve"> bird.km</w:t>
      </w:r>
      <w:r>
        <w:rPr>
          <w:rFonts w:cs="sans-serif" w:asciiTheme="minorHAnsi" w:hAnsiTheme="minorHAnsi"/>
          <w:color w:val="000000"/>
          <w:sz w:val="21"/>
          <w:szCs w:val="21"/>
          <w:vertAlign w:val="superscript"/>
        </w:rPr>
        <w:t>-2</w:t>
      </w:r>
      <w:r>
        <w:rPr>
          <w:rFonts w:cs="sans-serif" w:asciiTheme="minorHAnsi" w:hAnsiTheme="minorHAnsi"/>
          <w:color w:val="000000"/>
          <w:sz w:val="21"/>
          <w:szCs w:val="21"/>
        </w:rPr>
        <w:t xml:space="preserve">, Fig. </w:t>
      </w:r>
      <w:r>
        <w:rPr>
          <w:rFonts w:cs="sans-serif" w:asciiTheme="minorHAnsi" w:hAnsiTheme="minorHAnsi"/>
          <w:color w:val="000000"/>
          <w:sz w:val="21"/>
          <w:szCs w:val="21"/>
          <w:lang w:val="en"/>
        </w:rPr>
        <w:t>5</w:t>
      </w:r>
      <w:r>
        <w:rPr>
          <w:rFonts w:cs="sans-serif" w:asciiTheme="minorHAnsi" w:hAnsiTheme="minorHAnsi"/>
          <w:color w:val="000000"/>
          <w:sz w:val="21"/>
          <w:szCs w:val="21"/>
        </w:rPr>
        <w:t xml:space="preserve">), the likelihood that </w:t>
      </w:r>
      <w:r>
        <w:rPr>
          <w:rFonts w:cs="sans-serif" w:asciiTheme="minorHAnsi" w:hAnsiTheme="minorHAnsi"/>
          <w:color w:val="000000"/>
          <w:sz w:val="21"/>
          <w:szCs w:val="21"/>
          <w:lang w:val="en"/>
        </w:rPr>
        <w:t>wandering albatrosses encounter one another at sea</w:t>
      </w:r>
      <w:r>
        <w:rPr>
          <w:rFonts w:cs="sans-serif" w:asciiTheme="minorHAnsi" w:hAnsiTheme="minorHAnsi"/>
          <w:color w:val="000000"/>
          <w:sz w:val="21"/>
          <w:szCs w:val="21"/>
        </w:rPr>
        <w:t xml:space="preserve"> must be low, and such at-sea exclusion through direct competition is thus unlikely to occur. This is particularly the case during incubation, when the at-sea distributional range is particularly large (Weimerskirch et al., 1993). In comparison, the at-sea density of black-browed albatrosses </w:t>
      </w:r>
      <w:r>
        <w:rPr>
          <w:rFonts w:cs="sans-serif" w:asciiTheme="minorHAnsi" w:hAnsiTheme="minorHAnsi"/>
          <w:i/>
          <w:color w:val="000000"/>
          <w:sz w:val="21"/>
          <w:szCs w:val="21"/>
        </w:rPr>
        <w:t>Thalassarche melanophrys</w:t>
      </w:r>
      <w:r>
        <w:rPr>
          <w:rFonts w:cs="sans-serif" w:asciiTheme="minorHAnsi" w:hAnsiTheme="minorHAnsi"/>
          <w:color w:val="000000"/>
          <w:sz w:val="21"/>
          <w:szCs w:val="21"/>
        </w:rPr>
        <w:t xml:space="preserve"> can vary between 15 and 75 birds per km</w:t>
      </w:r>
      <w:r>
        <w:rPr>
          <w:rFonts w:cs="sans-serif" w:asciiTheme="minorHAnsi" w:hAnsiTheme="minorHAnsi"/>
          <w:color w:val="000000"/>
          <w:sz w:val="21"/>
          <w:szCs w:val="21"/>
          <w:vertAlign w:val="superscript"/>
        </w:rPr>
        <w:t>2</w:t>
      </w:r>
      <w:r>
        <w:rPr>
          <w:rFonts w:cs="sans-serif" w:asciiTheme="minorHAnsi" w:hAnsiTheme="minorHAnsi"/>
          <w:color w:val="000000"/>
          <w:sz w:val="21"/>
          <w:szCs w:val="21"/>
        </w:rPr>
        <w:t xml:space="preserve"> in some areas during incubation and brooding (Wakefield et al., 2011) and in that case direct competition may be greater.</w:t>
      </w:r>
      <w:r>
        <w:rPr>
          <w:rFonts w:cs="sans-serif" w:asciiTheme="minorHAnsi" w:hAnsiTheme="minorHAnsi"/>
          <w:color w:val="000000"/>
          <w:sz w:val="21"/>
          <w:szCs w:val="21"/>
          <w:lang w:val="en"/>
        </w:rPr>
        <w:t xml:space="preserve"> However, sexual segregation in this species only occurs during incubation and surprisingly not during brood-guard, when individuals are more constrained to forage closer to the colony (Phillips et al. 2004). Our results </w:t>
      </w:r>
      <w:r>
        <w:rPr>
          <w:rFonts w:hint="default" w:cs="sans-serif" w:asciiTheme="minorHAnsi" w:hAnsiTheme="minorHAnsi"/>
          <w:color w:val="000000"/>
          <w:sz w:val="21"/>
          <w:szCs w:val="21"/>
          <w:lang w:val="en"/>
        </w:rPr>
        <w:t xml:space="preserve">also </w:t>
      </w:r>
      <w:r>
        <w:rPr>
          <w:rFonts w:cs="sans-serif" w:asciiTheme="minorHAnsi" w:hAnsiTheme="minorHAnsi"/>
          <w:color w:val="000000"/>
          <w:sz w:val="21"/>
          <w:szCs w:val="21"/>
          <w:lang w:val="en"/>
        </w:rPr>
        <w:t>strongly suggest that the observed sexual segregation in albatrosses is due to niche divergence (H2) and suggests that competitive exclusion (H1) is probably not the main driver of this segregation.</w:t>
      </w:r>
    </w:p>
    <w:p>
      <w:pPr>
        <w:pStyle w:val="16"/>
        <w:spacing w:before="240" w:beforeAutospacing="0" w:after="240" w:afterAutospacing="0" w:line="480" w:lineRule="auto"/>
        <w:ind w:firstLine="420"/>
        <w:rPr>
          <w:rFonts w:cs="sans-serif" w:asciiTheme="minorHAnsi" w:hAnsiTheme="minorHAnsi"/>
          <w:color w:val="000000"/>
          <w:sz w:val="21"/>
          <w:szCs w:val="21"/>
        </w:rPr>
      </w:pPr>
      <w:r>
        <w:rPr>
          <w:rFonts w:cs="sans-serif" w:asciiTheme="minorHAnsi" w:hAnsiTheme="minorHAnsi"/>
          <w:color w:val="000000"/>
          <w:sz w:val="21"/>
          <w:szCs w:val="21"/>
          <w:lang w:val="en"/>
        </w:rPr>
        <w:t>S</w:t>
      </w:r>
      <w:r>
        <w:rPr>
          <w:rFonts w:cs="sans-serif" w:asciiTheme="minorHAnsi" w:hAnsiTheme="minorHAnsi"/>
          <w:color w:val="000000"/>
          <w:sz w:val="21"/>
          <w:szCs w:val="21"/>
        </w:rPr>
        <w:t xml:space="preserve">exual size dimorphism might have had an influence on niche divergence, but from an eco-evolutionary perspective (Connell, 1980; Giery &amp; Layman, 2019). Interestingly, wandering albatrosses have a unique courtship mating behaviour, where females can evaluate the wing size and quality of males </w:t>
      </w:r>
      <w:r>
        <w:fldChar w:fldCharType="begin"/>
      </w:r>
      <w:r>
        <w:instrText xml:space="preserve"> HYPERLINK "https://www.zotero.org/google-docs/?wv3Dwo" </w:instrText>
      </w:r>
      <w:r>
        <w:fldChar w:fldCharType="separate"/>
      </w:r>
      <w:r>
        <w:rPr>
          <w:rStyle w:val="14"/>
          <w:rFonts w:cs="sans-serif" w:asciiTheme="minorHAnsi" w:hAnsiTheme="minorHAnsi"/>
          <w:color w:val="000000"/>
          <w:sz w:val="21"/>
          <w:szCs w:val="21"/>
          <w:u w:val="none"/>
        </w:rPr>
        <w:t>(Pickering &amp; Berrow, 2001)</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probably resulting in sexual selection for larger males during these display rituals </w:t>
      </w:r>
      <w:r>
        <w:fldChar w:fldCharType="begin"/>
      </w:r>
      <w:r>
        <w:instrText xml:space="preserve"> HYPERLINK "https://www.zotero.org/google-docs/?Eo6poJ" </w:instrText>
      </w:r>
      <w:r>
        <w:fldChar w:fldCharType="separate"/>
      </w:r>
      <w:r>
        <w:rPr>
          <w:rStyle w:val="14"/>
          <w:rFonts w:cs="sans-serif" w:asciiTheme="minorHAnsi" w:hAnsiTheme="minorHAnsi"/>
          <w:color w:val="000000"/>
          <w:sz w:val="21"/>
          <w:szCs w:val="21"/>
          <w:u w:val="none"/>
        </w:rPr>
        <w:t>(Xavier &amp; Croxall, 2005)</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Different wing loading between males and females influences their flight capacities (Schaffer et al., 2001) and this could in turn have resulted in different windscape habitat specializations.</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 xml:space="preserve">Therefore, probably as a result of sexual selection (Giery &amp; Layman, 2019), wandering albatross males with their higher wing-loading are more constrained as they require windier conditions for their gliding flight and taking-off </w:t>
      </w:r>
      <w:r>
        <w:fldChar w:fldCharType="begin"/>
      </w:r>
      <w:r>
        <w:instrText xml:space="preserve"> HYPERLINK "https://www.zotero.org/google-docs/?vAznhT" </w:instrText>
      </w:r>
      <w:r>
        <w:fldChar w:fldCharType="separate"/>
      </w:r>
      <w:r>
        <w:rPr>
          <w:rStyle w:val="14"/>
          <w:rFonts w:cs="sans-serif" w:asciiTheme="minorHAnsi" w:hAnsiTheme="minorHAnsi"/>
          <w:color w:val="000000"/>
          <w:sz w:val="21"/>
          <w:szCs w:val="21"/>
          <w:u w:val="none"/>
        </w:rPr>
        <w:t>(Clay et al., 2020; Cornioley, Börger, Ozgul, &amp; Weimerskirch, 2016; Shaffer et al., 2001)</w:t>
      </w:r>
      <w:r>
        <w:rPr>
          <w:rStyle w:val="14"/>
          <w:rFonts w:cs="sans-serif" w:asciiTheme="minorHAnsi" w:hAnsiTheme="minorHAnsi"/>
          <w:color w:val="000000"/>
          <w:sz w:val="21"/>
          <w:szCs w:val="21"/>
          <w:u w:val="none"/>
        </w:rPr>
        <w:fldChar w:fldCharType="end"/>
      </w:r>
      <w:r>
        <w:rPr>
          <w:rStyle w:val="14"/>
          <w:rFonts w:cs="sans-serif" w:asciiTheme="minorHAnsi" w:hAnsiTheme="minorHAnsi"/>
          <w:color w:val="000000"/>
          <w:sz w:val="21"/>
          <w:szCs w:val="21"/>
          <w:u w:val="none"/>
          <w:lang w:val="en"/>
        </w:rPr>
        <w:t xml:space="preserve"> which</w:t>
      </w:r>
      <w:r>
        <w:rPr>
          <w:rFonts w:cs="sans-serif" w:asciiTheme="minorHAnsi" w:hAnsiTheme="minorHAnsi"/>
          <w:color w:val="000000"/>
          <w:sz w:val="21"/>
          <w:szCs w:val="21"/>
        </w:rPr>
        <w:t xml:space="preserve"> confirms the importance of sexually selected traits in ecology </w:t>
      </w:r>
      <w:r>
        <w:fldChar w:fldCharType="begin"/>
      </w:r>
      <w:r>
        <w:instrText xml:space="preserve"> HYPERLINK "https://www.zotero.org/google-docs/?auQU5F" </w:instrText>
      </w:r>
      <w:r>
        <w:fldChar w:fldCharType="separate"/>
      </w:r>
      <w:r>
        <w:rPr>
          <w:rStyle w:val="14"/>
          <w:rFonts w:cs="sans-serif" w:asciiTheme="minorHAnsi" w:hAnsiTheme="minorHAnsi"/>
          <w:color w:val="000000"/>
          <w:sz w:val="21"/>
          <w:szCs w:val="21"/>
          <w:u w:val="none"/>
        </w:rPr>
        <w:t>(Giery &amp; Layman, 2019)</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 Sex differences in foraging tactics in relation to wind conditions seems to be common in soaring birds </w:t>
      </w:r>
      <w:r>
        <w:rPr>
          <w:rStyle w:val="14"/>
          <w:rFonts w:cs="sans-serif" w:asciiTheme="minorHAnsi" w:hAnsiTheme="minorHAnsi"/>
          <w:color w:val="000000"/>
          <w:sz w:val="21"/>
          <w:szCs w:val="21"/>
          <w:u w:val="none"/>
          <w:lang w:val="en"/>
        </w:rPr>
        <w:t>that are often characterized by sexual size dimorphism such as albatrosses (Wakefield et al. 2009). This has also recently been demonstrated in shearwaters (De Pascalis et al. 2020) and shags (Lewis et al. 2015) as well as terrestrial species such as Andean condors (</w:t>
      </w:r>
      <w:r>
        <w:rPr>
          <w:rStyle w:val="14"/>
          <w:rFonts w:cs="sans-serif" w:asciiTheme="minorHAnsi" w:hAnsiTheme="minorHAnsi"/>
          <w:i/>
          <w:iCs/>
          <w:color w:val="000000"/>
          <w:sz w:val="21"/>
          <w:szCs w:val="21"/>
          <w:u w:val="none"/>
          <w:lang w:val="en"/>
        </w:rPr>
        <w:t>Vultur gryphus,</w:t>
      </w:r>
      <w:r>
        <w:rPr>
          <w:rStyle w:val="14"/>
          <w:rFonts w:cs="sans-serif" w:asciiTheme="minorHAnsi" w:hAnsiTheme="minorHAnsi"/>
          <w:color w:val="000000"/>
          <w:sz w:val="21"/>
          <w:szCs w:val="21"/>
          <w:u w:val="none"/>
          <w:lang w:val="en"/>
        </w:rPr>
        <w:t xml:space="preserve"> Alarcon et al. 2017).</w:t>
      </w:r>
    </w:p>
    <w:p>
      <w:pPr>
        <w:pStyle w:val="16"/>
        <w:spacing w:before="240" w:beforeAutospacing="0" w:after="240" w:afterAutospacing="0" w:line="480" w:lineRule="auto"/>
        <w:ind w:firstLine="420"/>
        <w:rPr>
          <w:rFonts w:cs="sans-serif" w:asciiTheme="minorHAnsi" w:hAnsiTheme="minorHAnsi"/>
          <w:color w:val="000000"/>
          <w:sz w:val="21"/>
          <w:szCs w:val="21"/>
          <w:lang w:val="en"/>
        </w:rPr>
      </w:pPr>
      <w:r>
        <w:rPr>
          <w:rFonts w:cs="sans-serif" w:asciiTheme="minorHAnsi" w:hAnsiTheme="minorHAnsi"/>
          <w:color w:val="000000"/>
          <w:sz w:val="21"/>
          <w:szCs w:val="21"/>
          <w:lang w:val="en"/>
        </w:rPr>
        <w:t>S</w:t>
      </w:r>
      <w:r>
        <w:rPr>
          <w:rFonts w:cs="sans-serif" w:asciiTheme="minorHAnsi" w:hAnsiTheme="minorHAnsi"/>
          <w:color w:val="000000"/>
          <w:sz w:val="21"/>
          <w:szCs w:val="21"/>
        </w:rPr>
        <w:t xml:space="preserve">exual segregation could </w:t>
      </w:r>
      <w:r>
        <w:rPr>
          <w:rFonts w:cs="sans-serif" w:asciiTheme="minorHAnsi" w:hAnsiTheme="minorHAnsi"/>
          <w:color w:val="000000"/>
          <w:sz w:val="21"/>
          <w:szCs w:val="21"/>
          <w:lang w:val="en"/>
        </w:rPr>
        <w:t xml:space="preserve">thus </w:t>
      </w:r>
      <w:r>
        <w:rPr>
          <w:rFonts w:cs="sans-serif" w:asciiTheme="minorHAnsi" w:hAnsiTheme="minorHAnsi"/>
          <w:color w:val="000000"/>
          <w:sz w:val="21"/>
          <w:szCs w:val="21"/>
        </w:rPr>
        <w:t>arise</w:t>
      </w:r>
      <w:r>
        <w:rPr>
          <w:rFonts w:cs="sans-serif" w:asciiTheme="minorHAnsi" w:hAnsiTheme="minorHAnsi"/>
          <w:color w:val="000000"/>
          <w:sz w:val="21"/>
          <w:szCs w:val="21"/>
          <w:lang w:val="en"/>
        </w:rPr>
        <w:t xml:space="preserve"> from sexual size dimorphism that would then result in</w:t>
      </w:r>
      <w:r>
        <w:rPr>
          <w:rFonts w:cs="sans-serif" w:asciiTheme="minorHAnsi" w:hAnsiTheme="minorHAnsi"/>
          <w:color w:val="000000"/>
          <w:sz w:val="21"/>
          <w:szCs w:val="21"/>
        </w:rPr>
        <w:t xml:space="preserve"> niche divergence, potentially manifested as differences in habitat preferences</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w:t>
      </w:r>
      <w:r>
        <w:rPr>
          <w:rStyle w:val="14"/>
          <w:rFonts w:cs="sans-serif" w:asciiTheme="minorHAnsi" w:hAnsiTheme="minorHAnsi"/>
          <w:color w:val="000000"/>
          <w:sz w:val="21"/>
          <w:szCs w:val="21"/>
          <w:u w:val="none"/>
        </w:rPr>
        <w:t>Barbraud et al., 2019</w:t>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Cleasby et al., 2015</w:t>
      </w:r>
      <w:r>
        <w:rPr>
          <w:rFonts w:cs="sans-serif" w:asciiTheme="minorHAnsi" w:hAnsiTheme="minorHAnsi"/>
          <w:color w:val="000000"/>
          <w:sz w:val="21"/>
          <w:szCs w:val="21"/>
          <w:lang w:val="en"/>
        </w:rPr>
        <w:t>,</w:t>
      </w:r>
      <w:r>
        <w:rPr>
          <w:rFonts w:cs="sans-serif" w:asciiTheme="minorHAnsi" w:hAnsiTheme="minorHAnsi"/>
          <w:color w:val="000000"/>
          <w:sz w:val="21"/>
          <w:szCs w:val="21"/>
        </w:rPr>
        <w:t xml:space="preserve"> Paiva, Pereira, Ceia, &amp; Ramos, 2017</w:t>
      </w:r>
      <w:r>
        <w:rPr>
          <w:rFonts w:cs="sans-serif" w:asciiTheme="minorHAnsi" w:hAnsiTheme="minorHAnsi"/>
          <w:color w:val="000000"/>
          <w:sz w:val="21"/>
          <w:szCs w:val="21"/>
          <w:lang w:val="en"/>
        </w:rPr>
        <w:t xml:space="preserve">). However, in our study no clear and consistent habitat preferences could be detected (Fig. S9). While our aim in this study was not to investigate habitat preferences in detail, but rather to control habitat models by environmental variability to directly investigate intraspecific competition, our results confirmed that wandering albatrosses displayed high flexibility in habitat preferences (Carpenter-Kling et al. 2020), from both sexes and sites. While more advanced analyses on the differences in flight tactics between sexes in relation to more detailed wind measurements (e.g. wind directions) would be necessary to better investigate wind selectivity (Wakefield et al. 2009, Clay et al. 2020, De Pascalis et al. 2020), the sexual segregation in our study seems to be more related to differences in selection of specific areas per sex (even if they represent very large areas, Fig. 5) rather than having specific habitat preferences. This questions the evolutionary mechanisms behind the selection of these areas (Fagan et al. 2013): are they arising from spatial memory processes and/or from inherited migration programs? One way to answer this question would be to investigate the ontogeny of sexual segregation, which has hardly been investigated to date (Kernaleguen et al. 2016). In Antarctic fur seals, </w:t>
      </w:r>
      <w:r>
        <w:rPr>
          <w:rFonts w:cs="sans-serif" w:asciiTheme="minorHAnsi" w:hAnsiTheme="minorHAnsi"/>
          <w:i/>
          <w:iCs/>
          <w:color w:val="000000"/>
          <w:sz w:val="21"/>
          <w:szCs w:val="21"/>
          <w:lang w:val="en"/>
        </w:rPr>
        <w:t>Arctocephalus gazella</w:t>
      </w:r>
      <w:r>
        <w:rPr>
          <w:rFonts w:cs="sans-serif" w:asciiTheme="minorHAnsi" w:hAnsiTheme="minorHAnsi"/>
          <w:color w:val="000000"/>
          <w:sz w:val="21"/>
          <w:szCs w:val="21"/>
          <w:lang w:val="en"/>
        </w:rPr>
        <w:t xml:space="preserve">, for example, differences in behaviour and sexual segregation already occur before weaning (Jones et al. 2020) and are already significant just after weaning (Kernaleguen et al. 2016) indicating that sexual size dimorphism and breeding constraints are not the mains factors that drive sexual segregation in this species, but that sexual segregation can be caused by differential innate resource preferences of males and females (Kernaleguen et al. 2016). In wandering albatrosses, sexual segregation has also been described in juveniles after their first departure from land, where they used sex-specific foraging areas based on inherited preferred departure routes (Akesson &amp; Weimerskirch 2014). </w:t>
      </w:r>
      <w:r>
        <w:rPr>
          <w:rFonts w:cs="sans-serif" w:asciiTheme="minorHAnsi" w:hAnsiTheme="minorHAnsi"/>
          <w:color w:val="000000"/>
          <w:sz w:val="21"/>
          <w:szCs w:val="21"/>
        </w:rPr>
        <w:t>Moreover, it seems that ag</w:t>
      </w:r>
      <w:r>
        <w:rPr>
          <w:rFonts w:cs="sans-serif" w:asciiTheme="minorHAnsi" w:hAnsiTheme="minorHAnsi"/>
          <w:color w:val="000000"/>
          <w:sz w:val="21"/>
          <w:szCs w:val="21"/>
          <w:lang w:val="en"/>
        </w:rPr>
        <w:t>ing</w:t>
      </w:r>
      <w:r>
        <w:rPr>
          <w:rFonts w:cs="sans-serif" w:asciiTheme="minorHAnsi" w:hAnsiTheme="minorHAnsi"/>
          <w:color w:val="000000"/>
          <w:sz w:val="21"/>
          <w:szCs w:val="21"/>
        </w:rPr>
        <w:t xml:space="preserve"> also plays a role in segregation for males; it has been shown that only older wandering albatross males forage in Antarctic waters whereas young breeding males do not forage south of the Antarctic Polar Front </w:t>
      </w:r>
      <w:r>
        <w:fldChar w:fldCharType="begin"/>
      </w:r>
      <w:r>
        <w:instrText xml:space="preserve"> HYPERLINK "https://www.zotero.org/google-docs/?JvTtsM" </w:instrText>
      </w:r>
      <w:r>
        <w:fldChar w:fldCharType="separate"/>
      </w:r>
      <w:r>
        <w:rPr>
          <w:rStyle w:val="14"/>
          <w:rFonts w:cs="sans-serif" w:asciiTheme="minorHAnsi" w:hAnsiTheme="minorHAnsi"/>
          <w:color w:val="000000"/>
          <w:sz w:val="21"/>
          <w:szCs w:val="21"/>
          <w:u w:val="none"/>
        </w:rPr>
        <w:t>(Lecomte et al., 2010)</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 These interesting patterns echo the age effects on segregation in dimorphic ungulates (Alves et al. 2013, Wang et al. 2018), highlighting the utility of studying ontogeny in ecology, to better understand complex eco-evolutionary mechanisms (Bon and Campan 1996, Stewart 1997).</w:t>
      </w:r>
    </w:p>
    <w:p>
      <w:pPr>
        <w:pStyle w:val="16"/>
        <w:spacing w:before="240" w:beforeAutospacing="0" w:after="240" w:afterAutospacing="0" w:line="480" w:lineRule="auto"/>
        <w:ind w:firstLine="420"/>
        <w:rPr>
          <w:rFonts w:asciiTheme="minorHAnsi" w:hAnsiTheme="minorHAnsi"/>
          <w:lang w:val="en"/>
        </w:rPr>
      </w:pPr>
      <w:r>
        <w:rPr>
          <w:rFonts w:cs="sans-serif" w:asciiTheme="minorHAnsi" w:hAnsiTheme="minorHAnsi"/>
          <w:color w:val="000000"/>
          <w:sz w:val="21"/>
          <w:szCs w:val="21"/>
          <w:lang w:val="en"/>
        </w:rPr>
        <w:t>Sexual size dimorphism may promote differences in reproductive roles between sexes, such as differences in foraging effort, due to different physiology,</w:t>
      </w:r>
      <w:r>
        <w:rPr>
          <w:rFonts w:cs="sans-serif" w:asciiTheme="minorHAnsi" w:hAnsiTheme="minorHAnsi"/>
          <w:color w:val="000000"/>
          <w:sz w:val="21"/>
          <w:szCs w:val="21"/>
        </w:rPr>
        <w:t xml:space="preserve"> energy requirements, activity budgets </w:t>
      </w:r>
      <w:r>
        <w:rPr>
          <w:rFonts w:cs="sans-serif" w:asciiTheme="minorHAnsi" w:hAnsiTheme="minorHAnsi"/>
          <w:color w:val="000000"/>
          <w:sz w:val="21"/>
          <w:szCs w:val="21"/>
          <w:lang w:val="en"/>
        </w:rPr>
        <w:t>and/</w:t>
      </w:r>
      <w:r>
        <w:rPr>
          <w:rFonts w:cs="sans-serif" w:asciiTheme="minorHAnsi" w:hAnsiTheme="minorHAnsi"/>
          <w:color w:val="000000"/>
          <w:sz w:val="21"/>
          <w:szCs w:val="21"/>
        </w:rPr>
        <w:t>or foraging efficiencies</w:t>
      </w:r>
      <w:r>
        <w:rPr>
          <w:rFonts w:cs="sans-serif" w:asciiTheme="minorHAnsi" w:hAnsiTheme="minorHAnsi"/>
          <w:color w:val="000000"/>
          <w:sz w:val="21"/>
          <w:szCs w:val="21"/>
          <w:lang w:val="en"/>
        </w:rPr>
        <w:t xml:space="preserve">, which in turn could also drive sexual segregation (Phillips et al. 2004). </w:t>
      </w:r>
      <w:r>
        <w:rPr>
          <w:rFonts w:cs="sans-serif" w:asciiTheme="minorHAnsi" w:hAnsiTheme="minorHAnsi"/>
          <w:color w:val="000000"/>
          <w:sz w:val="21"/>
          <w:szCs w:val="21"/>
        </w:rPr>
        <w:t xml:space="preserve">We did not find sex differences in trip </w:t>
      </w:r>
      <w:r>
        <w:rPr>
          <w:rFonts w:cs="sans-serif" w:asciiTheme="minorHAnsi" w:hAnsiTheme="minorHAnsi"/>
          <w:color w:val="000000"/>
          <w:sz w:val="21"/>
          <w:szCs w:val="21"/>
          <w:lang w:val="en"/>
        </w:rPr>
        <w:t xml:space="preserve">maximum </w:t>
      </w:r>
      <w:r>
        <w:rPr>
          <w:rFonts w:cs="sans-serif" w:asciiTheme="minorHAnsi" w:hAnsiTheme="minorHAnsi"/>
          <w:color w:val="000000"/>
          <w:sz w:val="21"/>
          <w:szCs w:val="21"/>
        </w:rPr>
        <w:t>ranges</w:t>
      </w:r>
      <w:r>
        <w:rPr>
          <w:rFonts w:cs="sans-serif" w:asciiTheme="minorHAnsi" w:hAnsiTheme="minorHAnsi"/>
          <w:color w:val="000000"/>
          <w:sz w:val="21"/>
          <w:szCs w:val="21"/>
          <w:lang w:val="en"/>
        </w:rPr>
        <w:t>, travelled distance</w:t>
      </w:r>
      <w:r>
        <w:rPr>
          <w:rFonts w:cs="sans-serif" w:asciiTheme="minorHAnsi" w:hAnsiTheme="minorHAnsi"/>
          <w:color w:val="000000"/>
          <w:sz w:val="21"/>
          <w:szCs w:val="21"/>
        </w:rPr>
        <w:t xml:space="preserve"> and duration, potentially indicating similar foraging effort</w:t>
      </w:r>
      <w:r>
        <w:rPr>
          <w:rFonts w:cs="sans-serif" w:asciiTheme="minorHAnsi" w:hAnsiTheme="minorHAnsi"/>
          <w:color w:val="000000"/>
          <w:sz w:val="21"/>
          <w:szCs w:val="21"/>
          <w:lang w:val="en"/>
        </w:rPr>
        <w:t xml:space="preserve">, at least </w:t>
      </w:r>
      <w:r>
        <w:rPr>
          <w:rFonts w:cs="sans-serif" w:asciiTheme="minorHAnsi" w:hAnsiTheme="minorHAnsi"/>
          <w:color w:val="000000"/>
          <w:sz w:val="21"/>
          <w:szCs w:val="21"/>
        </w:rPr>
        <w:t xml:space="preserve">during incubation. </w:t>
      </w:r>
      <w:r>
        <w:rPr>
          <w:rFonts w:cs="sans-serif" w:asciiTheme="minorHAnsi" w:hAnsiTheme="minorHAnsi"/>
          <w:color w:val="000000"/>
          <w:sz w:val="21"/>
          <w:szCs w:val="21"/>
          <w:lang w:val="en"/>
        </w:rPr>
        <w:t>Precise m</w:t>
      </w:r>
      <w:r>
        <w:rPr>
          <w:rFonts w:cs="sans-serif" w:asciiTheme="minorHAnsi" w:hAnsiTheme="minorHAnsi"/>
          <w:color w:val="000000"/>
          <w:sz w:val="21"/>
          <w:szCs w:val="21"/>
        </w:rPr>
        <w:t xml:space="preserve">etrics of foraging behaviour </w:t>
      </w:r>
      <w:r>
        <w:rPr>
          <w:rFonts w:cs="sans-serif" w:asciiTheme="minorHAnsi" w:hAnsiTheme="minorHAnsi"/>
          <w:color w:val="000000"/>
          <w:sz w:val="21"/>
          <w:szCs w:val="21"/>
          <w:lang w:val="en"/>
        </w:rPr>
        <w:t xml:space="preserve">and energetics, </w:t>
      </w:r>
      <w:r>
        <w:rPr>
          <w:rFonts w:cs="sans-serif" w:asciiTheme="minorHAnsi" w:hAnsiTheme="minorHAnsi"/>
          <w:color w:val="000000"/>
          <w:sz w:val="21"/>
          <w:szCs w:val="21"/>
        </w:rPr>
        <w:t>together with information on the effect of environmental conditions may, however, be required to elucidate differences in foraging effort that might only be evident in periods of relatively low food availability when competition is exacerbated</w:t>
      </w:r>
      <w:r>
        <w:rPr>
          <w:rFonts w:cs="sans-serif" w:asciiTheme="minorHAnsi" w:hAnsiTheme="minorHAnsi"/>
          <w:color w:val="000000"/>
          <w:sz w:val="21"/>
          <w:szCs w:val="21"/>
          <w:lang w:val="en"/>
        </w:rPr>
        <w:t xml:space="preserve">. This has been recently demonstrated in shearwaters, where competition fluctuated with a global climatic index </w:t>
      </w:r>
      <w:r>
        <w:fldChar w:fldCharType="begin"/>
      </w:r>
      <w:r>
        <w:instrText xml:space="preserve"> HYPERLINK "https://www.zotero.org/google-docs/?mrAP6X" </w:instrText>
      </w:r>
      <w:r>
        <w:fldChar w:fldCharType="separate"/>
      </w:r>
      <w:r>
        <w:rPr>
          <w:rStyle w:val="14"/>
          <w:rFonts w:cs="sans-serif" w:asciiTheme="minorHAnsi" w:hAnsiTheme="minorHAnsi"/>
          <w:color w:val="000000"/>
          <w:sz w:val="21"/>
          <w:szCs w:val="21"/>
          <w:u w:val="none"/>
        </w:rPr>
        <w:t>(Paiva et al., 2017)</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Because of the high energetic cost of egg production and differences in moult physiology </w:t>
      </w:r>
      <w:r>
        <w:fldChar w:fldCharType="begin"/>
      </w:r>
      <w:r>
        <w:instrText xml:space="preserve"> HYPERLINK "https://www.zotero.org/google-docs/?gSpDMg" </w:instrText>
      </w:r>
      <w:r>
        <w:fldChar w:fldCharType="separate"/>
      </w:r>
      <w:r>
        <w:rPr>
          <w:rStyle w:val="14"/>
          <w:rFonts w:cs="sans-serif" w:asciiTheme="minorHAnsi" w:hAnsiTheme="minorHAnsi"/>
          <w:color w:val="000000"/>
          <w:sz w:val="21"/>
          <w:szCs w:val="21"/>
          <w:u w:val="none"/>
        </w:rPr>
        <w:t>(Weimerskirch, 1991)</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energy requirements may be higher for female</w:t>
      </w:r>
      <w:r>
        <w:rPr>
          <w:rFonts w:cs="sans-serif" w:asciiTheme="minorHAnsi" w:hAnsiTheme="minorHAnsi"/>
          <w:color w:val="000000"/>
          <w:sz w:val="21"/>
          <w:szCs w:val="21"/>
          <w:lang w:val="en"/>
        </w:rPr>
        <w:t xml:space="preserve"> wandering albatrosses</w:t>
      </w:r>
      <w:r>
        <w:rPr>
          <w:rFonts w:cs="sans-serif" w:asciiTheme="minorHAnsi" w:hAnsiTheme="minorHAnsi"/>
          <w:color w:val="000000"/>
          <w:sz w:val="21"/>
          <w:szCs w:val="21"/>
        </w:rPr>
        <w:t xml:space="preserve"> during incubation, potentially explaining the higher foraging effort in females, compared to males, during incubation </w:t>
      </w:r>
      <w:r>
        <w:fldChar w:fldCharType="begin"/>
      </w:r>
      <w:r>
        <w:instrText xml:space="preserve"> HYPERLINK "https://www.zotero.org/google-docs/?FqgTxs" </w:instrText>
      </w:r>
      <w:r>
        <w:fldChar w:fldCharType="separate"/>
      </w:r>
      <w:r>
        <w:rPr>
          <w:rStyle w:val="14"/>
          <w:rFonts w:cs="sans-serif" w:asciiTheme="minorHAnsi" w:hAnsiTheme="minorHAnsi"/>
          <w:color w:val="000000"/>
          <w:sz w:val="21"/>
          <w:szCs w:val="21"/>
          <w:u w:val="none"/>
        </w:rPr>
        <w:t>(Weimerskirch, 1995)</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However, when rearing chicks, it has been shown that the provisioning rate of males is lower than that of females </w:t>
      </w:r>
      <w:r>
        <w:fldChar w:fldCharType="begin"/>
      </w:r>
      <w:r>
        <w:instrText xml:space="preserve"> HYPERLINK "https://www.zotero.org/google-docs/?k1Plsm" </w:instrText>
      </w:r>
      <w:r>
        <w:fldChar w:fldCharType="separate"/>
      </w:r>
      <w:r>
        <w:rPr>
          <w:rStyle w:val="14"/>
          <w:rFonts w:cs="sans-serif" w:asciiTheme="minorHAnsi" w:hAnsiTheme="minorHAnsi"/>
          <w:color w:val="000000"/>
          <w:sz w:val="21"/>
          <w:szCs w:val="21"/>
          <w:u w:val="none"/>
        </w:rPr>
        <w:t>(Weimerskirch, Barbraud, &amp; Lys, 2000)</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Even though this is dependent on offspring sex and the male’s body condition </w:t>
      </w:r>
      <w:r>
        <w:fldChar w:fldCharType="begin"/>
      </w:r>
      <w:r>
        <w:instrText xml:space="preserve"> HYPERLINK "https://www.zotero.org/google-docs/?HfiZh0" </w:instrText>
      </w:r>
      <w:r>
        <w:fldChar w:fldCharType="separate"/>
      </w:r>
      <w:r>
        <w:rPr>
          <w:rStyle w:val="14"/>
          <w:rFonts w:cs="sans-serif" w:asciiTheme="minorHAnsi" w:hAnsiTheme="minorHAnsi"/>
          <w:color w:val="000000"/>
          <w:sz w:val="21"/>
          <w:szCs w:val="21"/>
          <w:u w:val="none"/>
        </w:rPr>
        <w:t>(Cornioley, Jenouvrier, Börger, Weimerskirch, &amp; Ozgul, 2017)</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it does result in unequal parental contributions, at least during chick rearing. </w:t>
      </w:r>
      <w:r>
        <w:rPr>
          <w:rFonts w:cs="sans-serif" w:asciiTheme="minorHAnsi" w:hAnsiTheme="minorHAnsi"/>
          <w:color w:val="000000"/>
          <w:sz w:val="21"/>
          <w:szCs w:val="21"/>
          <w:lang w:val="en"/>
        </w:rPr>
        <w:t xml:space="preserve">Future studies that directly investigate intraspecific competition per breeding stage would be necessary to better understand whether differences in reproductive roles can explain sexual segregation in dimorphic species </w:t>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e.g., in shearwaters, </w:t>
      </w:r>
      <w:r>
        <w:rPr>
          <w:rFonts w:cs="sans-serif" w:asciiTheme="minorHAnsi" w:hAnsiTheme="minorHAnsi"/>
          <w:color w:val="000000"/>
          <w:sz w:val="21"/>
          <w:szCs w:val="21"/>
        </w:rPr>
        <w:t>Yamamoto et al., 2011</w:t>
      </w:r>
      <w:r>
        <w:rPr>
          <w:rFonts w:cs="sans-serif" w:asciiTheme="minorHAnsi" w:hAnsiTheme="minorHAnsi"/>
          <w:color w:val="000000"/>
          <w:sz w:val="21"/>
          <w:szCs w:val="21"/>
          <w:lang w:val="en"/>
        </w:rPr>
        <w:t xml:space="preserve"> or in penguins, Ludynia et al. 2013</w:t>
      </w:r>
      <w:r>
        <w:rPr>
          <w:rFonts w:cs="sans-serif" w:asciiTheme="minorHAnsi" w:hAnsiTheme="minorHAnsi"/>
          <w:color w:val="000000"/>
          <w:sz w:val="21"/>
          <w:szCs w:val="21"/>
        </w:rPr>
        <w:t>)</w:t>
      </w:r>
      <w:r>
        <w:rPr>
          <w:rFonts w:cs="sans-serif" w:asciiTheme="minorHAnsi" w:hAnsiTheme="minorHAnsi"/>
          <w:color w:val="000000"/>
          <w:sz w:val="21"/>
          <w:szCs w:val="21"/>
          <w:lang w:val="en"/>
        </w:rPr>
        <w:t>.</w:t>
      </w:r>
    </w:p>
    <w:p>
      <w:pPr>
        <w:pStyle w:val="16"/>
        <w:spacing w:before="240" w:beforeAutospacing="0" w:after="240" w:afterAutospacing="0" w:line="480" w:lineRule="auto"/>
        <w:ind w:firstLine="420"/>
        <w:rPr>
          <w:rFonts w:cs="sans-serif" w:asciiTheme="minorHAnsi" w:hAnsiTheme="minorHAnsi"/>
          <w:color w:val="000000"/>
          <w:sz w:val="21"/>
          <w:szCs w:val="21"/>
        </w:rPr>
      </w:pPr>
      <w:r>
        <w:rPr>
          <w:rFonts w:cs="sans-serif" w:asciiTheme="minorHAnsi" w:hAnsiTheme="minorHAnsi"/>
          <w:color w:val="000000"/>
          <w:sz w:val="21"/>
          <w:szCs w:val="21"/>
        </w:rPr>
        <w:t xml:space="preserve">Sexual segregation has, however, also been described in monomorphic species </w:t>
      </w:r>
      <w:r>
        <w:fldChar w:fldCharType="begin"/>
      </w:r>
      <w:r>
        <w:instrText xml:space="preserve"> HYPERLINK "https://www.zotero.org/google-docs/?IYPFV8" </w:instrText>
      </w:r>
      <w:r>
        <w:fldChar w:fldCharType="separate"/>
      </w:r>
      <w:r>
        <w:rPr>
          <w:rStyle w:val="14"/>
          <w:rFonts w:cs="sans-serif" w:asciiTheme="minorHAnsi" w:hAnsiTheme="minorHAnsi"/>
          <w:color w:val="000000"/>
          <w:sz w:val="21"/>
          <w:szCs w:val="21"/>
          <w:u w:val="none"/>
        </w:rPr>
        <w:t>(</w:t>
      </w:r>
      <w:r>
        <w:rPr>
          <w:rStyle w:val="14"/>
          <w:rFonts w:cs="sans-serif" w:asciiTheme="minorHAnsi" w:hAnsiTheme="minorHAnsi"/>
          <w:color w:val="000000"/>
          <w:sz w:val="21"/>
          <w:szCs w:val="21"/>
          <w:u w:val="none"/>
          <w:lang w:val="en"/>
        </w:rPr>
        <w:t xml:space="preserve">seabirds </w:t>
      </w:r>
      <w:r>
        <w:rPr>
          <w:rStyle w:val="14"/>
          <w:rFonts w:cs="sans-serif" w:asciiTheme="minorHAnsi" w:hAnsiTheme="minorHAnsi"/>
          <w:color w:val="000000"/>
          <w:sz w:val="21"/>
          <w:szCs w:val="21"/>
          <w:u w:val="none"/>
        </w:rPr>
        <w:t>Phillips</w:t>
      </w:r>
      <w:r>
        <w:rPr>
          <w:rStyle w:val="14"/>
          <w:rFonts w:cs="sans-serif" w:asciiTheme="minorHAnsi" w:hAnsiTheme="minorHAnsi"/>
          <w:color w:val="000000"/>
          <w:sz w:val="21"/>
          <w:szCs w:val="21"/>
          <w:u w:val="none"/>
          <w:lang w:val="en"/>
        </w:rPr>
        <w:t xml:space="preserve"> et al.,</w:t>
      </w:r>
      <w:r>
        <w:rPr>
          <w:rStyle w:val="14"/>
          <w:rFonts w:cs="sans-serif" w:asciiTheme="minorHAnsi" w:hAnsiTheme="minorHAnsi"/>
          <w:color w:val="000000"/>
          <w:sz w:val="21"/>
          <w:szCs w:val="21"/>
          <w:u w:val="none"/>
        </w:rPr>
        <w:t xml:space="preserve"> 2011</w:t>
      </w:r>
      <w:r>
        <w:rPr>
          <w:rStyle w:val="14"/>
          <w:rFonts w:cs="sans-serif" w:asciiTheme="minorHAnsi" w:hAnsiTheme="minorHAnsi"/>
          <w:color w:val="000000"/>
          <w:sz w:val="21"/>
          <w:szCs w:val="21"/>
          <w:u w:val="none"/>
          <w:lang w:val="en"/>
        </w:rPr>
        <w:t>, dolphins, Galezo et al. 2018, bats, Levin et al. 2013, chamois, Crampe et al. 2021</w:t>
      </w:r>
      <w:r>
        <w:rPr>
          <w:rStyle w:val="14"/>
          <w:rFonts w:cs="sans-serif" w:asciiTheme="minorHAnsi" w:hAnsiTheme="minorHAnsi"/>
          <w:color w:val="000000"/>
          <w:sz w:val="21"/>
          <w:szCs w:val="21"/>
          <w:u w:val="none"/>
        </w:rPr>
        <w:t>)</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suggesting that factors other than </w:t>
      </w:r>
      <w:r>
        <w:rPr>
          <w:rFonts w:cs="sans-serif" w:asciiTheme="minorHAnsi" w:hAnsiTheme="minorHAnsi"/>
          <w:color w:val="000000"/>
          <w:sz w:val="21"/>
          <w:szCs w:val="21"/>
          <w:lang w:val="en"/>
        </w:rPr>
        <w:t xml:space="preserve">sexual size dimorphism </w:t>
      </w:r>
      <w:r>
        <w:rPr>
          <w:rFonts w:cs="sans-serif" w:asciiTheme="minorHAnsi" w:hAnsiTheme="minorHAnsi"/>
          <w:color w:val="000000"/>
          <w:sz w:val="21"/>
          <w:szCs w:val="21"/>
        </w:rPr>
        <w:t xml:space="preserve">can lead to sexual segregation, such as changes in environmental conditions (Paiva et al., 2017), breeding stages </w:t>
      </w:r>
      <w:r>
        <w:fldChar w:fldCharType="begin"/>
      </w:r>
      <w:r>
        <w:instrText xml:space="preserve"> HYPERLINK "https://www.zotero.org/google-docs/?ny0rGi" </w:instrText>
      </w:r>
      <w:r>
        <w:fldChar w:fldCharType="separate"/>
      </w:r>
      <w:r>
        <w:rPr>
          <w:rStyle w:val="14"/>
          <w:rFonts w:cs="sans-serif" w:asciiTheme="minorHAnsi" w:hAnsiTheme="minorHAnsi"/>
          <w:color w:val="000000"/>
          <w:sz w:val="21"/>
          <w:szCs w:val="21"/>
          <w:u w:val="none"/>
        </w:rPr>
        <w:t>(Granroth-Wilding &amp; Phillips, 2019)</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habitat preferences (Cleasby et al., 2015,</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Barbraud et al., 201</w:t>
      </w:r>
      <w:r>
        <w:rPr>
          <w:rFonts w:cs="sans-serif" w:asciiTheme="minorHAnsi" w:hAnsiTheme="minorHAnsi"/>
          <w:color w:val="000000"/>
          <w:sz w:val="21"/>
          <w:szCs w:val="21"/>
          <w:lang w:val="en"/>
        </w:rPr>
        <w:t>9</w:t>
      </w:r>
      <w:r>
        <w:rPr>
          <w:rFonts w:cs="sans-serif" w:asciiTheme="minorHAnsi" w:hAnsiTheme="minorHAnsi"/>
          <w:color w:val="000000"/>
          <w:sz w:val="21"/>
          <w:szCs w:val="21"/>
        </w:rPr>
        <w:t>) and differences in diet (Phillips et al., 2011).</w:t>
      </w:r>
      <w:r>
        <w:rPr>
          <w:rFonts w:cs="sans-serif" w:asciiTheme="minorHAnsi" w:hAnsiTheme="minorHAnsi"/>
          <w:color w:val="000000"/>
          <w:sz w:val="21"/>
          <w:szCs w:val="21"/>
          <w:lang w:val="en"/>
        </w:rPr>
        <w:t xml:space="preserve"> Finally, segregation between sexes could also occurs in</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 xml:space="preserve">time rather than in space (for example in gannets Clark et al. 2021 and shags, Harris et al. 2013). </w:t>
      </w:r>
      <w:r>
        <w:rPr>
          <w:rFonts w:cs="sans-serif" w:asciiTheme="minorHAnsi" w:hAnsiTheme="minorHAnsi"/>
          <w:color w:val="000000"/>
          <w:sz w:val="21"/>
          <w:szCs w:val="21"/>
        </w:rPr>
        <w:t>It is therefore likely that several non-exclusive factors (size dimorphism, habitat preferences,</w:t>
      </w:r>
      <w:r>
        <w:rPr>
          <w:rFonts w:cs="sans-serif" w:asciiTheme="minorHAnsi" w:hAnsiTheme="minorHAnsi"/>
          <w:color w:val="000000"/>
          <w:sz w:val="21"/>
          <w:szCs w:val="21"/>
          <w:lang w:val="en"/>
        </w:rPr>
        <w:t xml:space="preserve"> timing,</w:t>
      </w:r>
      <w:r>
        <w:rPr>
          <w:rFonts w:cs="sans-serif" w:asciiTheme="minorHAnsi" w:hAnsiTheme="minorHAnsi"/>
          <w:color w:val="000000"/>
          <w:sz w:val="21"/>
          <w:szCs w:val="21"/>
        </w:rPr>
        <w:t xml:space="preserve"> parental roles, breeding stages, foraging behaviour, age and diet) interact and should therefore be investigated together to better understand how sexual selection might influence ecological processes shaping individuals’ distribution (</w:t>
      </w:r>
      <w:r>
        <w:rPr>
          <w:rFonts w:cs="sans-serif" w:asciiTheme="minorHAnsi" w:hAnsiTheme="minorHAnsi"/>
          <w:color w:val="000000"/>
          <w:sz w:val="21"/>
          <w:szCs w:val="21"/>
          <w:lang w:val="en"/>
        </w:rPr>
        <w:t xml:space="preserve">Wearmouth &amp; Sims 2008, </w:t>
      </w:r>
      <w:r>
        <w:rPr>
          <w:rFonts w:cs="sans-serif" w:asciiTheme="minorHAnsi" w:hAnsiTheme="minorHAnsi"/>
          <w:color w:val="000000"/>
          <w:sz w:val="21"/>
          <w:szCs w:val="21"/>
        </w:rPr>
        <w:t>Giery &amp; Layman, 2019).</w:t>
      </w:r>
    </w:p>
    <w:p>
      <w:pPr>
        <w:pStyle w:val="16"/>
        <w:spacing w:before="240" w:beforeAutospacing="0" w:after="240" w:afterAutospacing="0" w:line="480" w:lineRule="auto"/>
        <w:ind w:firstLine="420"/>
        <w:rPr>
          <w:rFonts w:asciiTheme="minorHAnsi" w:hAnsiTheme="minorHAnsi"/>
          <w:lang w:val="en"/>
        </w:rPr>
      </w:pPr>
      <w:r>
        <w:rPr>
          <w:rFonts w:cs="sans-serif" w:asciiTheme="minorHAnsi" w:hAnsiTheme="minorHAnsi"/>
          <w:color w:val="000000"/>
          <w:sz w:val="21"/>
          <w:szCs w:val="21"/>
        </w:rPr>
        <w:t xml:space="preserve">Most previous studies on the distribution of neighbouring populations of </w:t>
      </w:r>
      <w:r>
        <w:rPr>
          <w:rFonts w:cs="sans-serif" w:asciiTheme="minorHAnsi" w:hAnsiTheme="minorHAnsi"/>
          <w:color w:val="000000"/>
          <w:sz w:val="21"/>
          <w:szCs w:val="21"/>
          <w:lang w:val="en"/>
        </w:rPr>
        <w:t>central place foragers</w:t>
      </w:r>
      <w:r>
        <w:rPr>
          <w:rFonts w:cs="sans-serif" w:asciiTheme="minorHAnsi" w:hAnsiTheme="minorHAnsi"/>
          <w:color w:val="000000"/>
          <w:sz w:val="21"/>
          <w:szCs w:val="21"/>
        </w:rPr>
        <w:t xml:space="preserve"> found partial or complete segregation (reviewed for seabirds in Bolton et al., 2019). Indeed, very few studies demonstrated aggregation of central place foragers in shared foraging areas (</w:t>
      </w:r>
      <w:r>
        <w:rPr>
          <w:rFonts w:cs="sans-serif" w:asciiTheme="minorHAnsi" w:hAnsiTheme="minorHAnsi"/>
          <w:color w:val="000000"/>
          <w:sz w:val="21"/>
          <w:szCs w:val="21"/>
          <w:lang w:val="en"/>
        </w:rPr>
        <w:t xml:space="preserve">but see </w:t>
      </w:r>
      <w:r>
        <w:rPr>
          <w:rFonts w:cs="sans-serif" w:asciiTheme="minorHAnsi" w:hAnsiTheme="minorHAnsi"/>
          <w:color w:val="000000"/>
          <w:sz w:val="21"/>
          <w:szCs w:val="21"/>
        </w:rPr>
        <w:t>Dean et al., 2015, Evans et al., 201</w:t>
      </w:r>
      <w:r>
        <w:rPr>
          <w:rFonts w:cs="sans-serif" w:asciiTheme="minorHAnsi" w:hAnsiTheme="minorHAnsi"/>
          <w:color w:val="000000"/>
          <w:sz w:val="21"/>
          <w:szCs w:val="21"/>
          <w:lang w:val="en"/>
        </w:rPr>
        <w:t>6</w:t>
      </w:r>
      <w:r>
        <w:rPr>
          <w:rFonts w:cs="sans-serif" w:asciiTheme="minorHAnsi" w:hAnsiTheme="minorHAnsi"/>
          <w:color w:val="000000"/>
          <w:sz w:val="21"/>
          <w:szCs w:val="21"/>
        </w:rPr>
        <w:t>). In our study, even though absolute overlap between populations’ at-sea distributions was relatively low, the overlap was higher than expected from the null model</w:t>
      </w:r>
      <w:r>
        <w:rPr>
          <w:rFonts w:cs="sans-serif" w:asciiTheme="minorHAnsi" w:hAnsiTheme="minorHAnsi"/>
          <w:color w:val="000000"/>
          <w:sz w:val="21"/>
          <w:szCs w:val="21"/>
          <w:lang w:val="en"/>
        </w:rPr>
        <w:t xml:space="preserve"> especially for females, or was non-significant </w:t>
      </w:r>
      <w:r>
        <w:rPr>
          <w:rFonts w:cs="sans-serif" w:asciiTheme="minorHAnsi" w:hAnsiTheme="minorHAnsi"/>
          <w:color w:val="000000"/>
          <w:sz w:val="21"/>
          <w:szCs w:val="21"/>
        </w:rPr>
        <w:t>(Table 2</w:t>
      </w:r>
      <w:r>
        <w:rPr>
          <w:rFonts w:cs="sans-serif" w:asciiTheme="minorHAnsi" w:hAnsiTheme="minorHAnsi"/>
          <w:color w:val="000000"/>
          <w:sz w:val="21"/>
          <w:szCs w:val="21"/>
          <w:lang w:val="en"/>
        </w:rPr>
        <w:t>, Fig. 4</w:t>
      </w:r>
      <w:r>
        <w:rPr>
          <w:rFonts w:cs="sans-serif" w:asciiTheme="minorHAnsi" w:hAnsiTheme="minorHAnsi"/>
          <w:color w:val="000000"/>
          <w:sz w:val="21"/>
          <w:szCs w:val="21"/>
        </w:rPr>
        <w:t>). Our study is, to our knowledge, one of the first to robustly describe this configuration (Bolton et al., 2019).</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The absence of interpopulation segregation could be viewed in relation to the relatively large distance between the two islands (~1000 km)</w:t>
      </w:r>
      <w:r>
        <w:rPr>
          <w:rFonts w:cs="sans-serif" w:asciiTheme="minorHAnsi" w:hAnsiTheme="minorHAnsi"/>
          <w:color w:val="000000"/>
          <w:sz w:val="21"/>
          <w:szCs w:val="21"/>
          <w:lang w:val="en"/>
        </w:rPr>
        <w:t xml:space="preserve"> with both populations potentially being below carrying capacity, implying </w:t>
      </w:r>
      <w:r>
        <w:rPr>
          <w:rFonts w:cs="sans-serif" w:asciiTheme="minorHAnsi" w:hAnsiTheme="minorHAnsi"/>
          <w:color w:val="000000"/>
          <w:sz w:val="21"/>
          <w:szCs w:val="21"/>
        </w:rPr>
        <w:t xml:space="preserve">low levels of competition (Fig. </w:t>
      </w:r>
      <w:r>
        <w:rPr>
          <w:rFonts w:cs="sans-serif" w:asciiTheme="minorHAnsi" w:hAnsiTheme="minorHAnsi"/>
          <w:color w:val="000000"/>
          <w:sz w:val="21"/>
          <w:szCs w:val="21"/>
          <w:lang w:val="en"/>
        </w:rPr>
        <w:t>5</w:t>
      </w:r>
      <w:r>
        <w:rPr>
          <w:rFonts w:cs="sans-serif" w:asciiTheme="minorHAnsi" w:hAnsiTheme="minorHAnsi"/>
          <w:color w:val="000000"/>
          <w:sz w:val="21"/>
          <w:szCs w:val="21"/>
        </w:rPr>
        <w:t>).</w:t>
      </w:r>
      <w:r>
        <w:rPr>
          <w:rFonts w:cs="sans-serif" w:asciiTheme="minorHAnsi" w:hAnsiTheme="minorHAnsi"/>
          <w:color w:val="000000"/>
          <w:sz w:val="21"/>
          <w:szCs w:val="21"/>
          <w:lang w:val="en"/>
        </w:rPr>
        <w:t xml:space="preserve"> </w:t>
      </w:r>
      <w:r>
        <w:rPr>
          <w:rFonts w:cs="sans-serif" w:asciiTheme="minorHAnsi" w:hAnsiTheme="minorHAnsi"/>
          <w:color w:val="000000"/>
          <w:sz w:val="21"/>
          <w:szCs w:val="21"/>
        </w:rPr>
        <w:t>Marion birds had greater distribution range, travelling further and longer,</w:t>
      </w:r>
      <w:r>
        <w:rPr>
          <w:rFonts w:cs="sans-serif" w:asciiTheme="minorHAnsi" w:hAnsiTheme="minorHAnsi"/>
          <w:color w:val="000000"/>
          <w:sz w:val="21"/>
          <w:szCs w:val="21"/>
          <w:lang w:val="en"/>
        </w:rPr>
        <w:t xml:space="preserve"> which also confirmed that intrapopulation competition has a stronger effect than interpopulation competition. Between populations, some positive effect of density dependence could even occur through exchange of information (Wakefield et al. 2013) leading individuals to share common areas, if the strength of competition is reduced and/or with greater food availability. In our study</w:t>
      </w:r>
      <w:r>
        <w:rPr>
          <w:rFonts w:cs="sans-serif" w:asciiTheme="minorHAnsi" w:hAnsiTheme="minorHAnsi"/>
          <w:color w:val="000000"/>
          <w:sz w:val="21"/>
          <w:szCs w:val="21"/>
        </w:rPr>
        <w:t xml:space="preserve">, </w:t>
      </w:r>
      <w:r>
        <w:rPr>
          <w:rFonts w:cs="sans-serif" w:asciiTheme="minorHAnsi" w:hAnsiTheme="minorHAnsi"/>
          <w:color w:val="000000"/>
          <w:sz w:val="21"/>
          <w:szCs w:val="21"/>
          <w:lang w:val="en"/>
        </w:rPr>
        <w:t xml:space="preserve">these </w:t>
      </w:r>
      <w:r>
        <w:rPr>
          <w:rFonts w:cs="sans-serif" w:asciiTheme="minorHAnsi" w:hAnsiTheme="minorHAnsi"/>
          <w:color w:val="000000"/>
          <w:sz w:val="21"/>
          <w:szCs w:val="21"/>
        </w:rPr>
        <w:t>shared areas were mainly on</w:t>
      </w:r>
      <w:r>
        <w:rPr>
          <w:rFonts w:cs="sans-serif" w:asciiTheme="minorHAnsi" w:hAnsiTheme="minorHAnsi"/>
          <w:color w:val="000000"/>
          <w:sz w:val="21"/>
          <w:szCs w:val="21"/>
          <w:lang w:val="en"/>
        </w:rPr>
        <w:t xml:space="preserve"> the African continental shelf, on</w:t>
      </w:r>
      <w:r>
        <w:rPr>
          <w:rFonts w:cs="sans-serif" w:asciiTheme="minorHAnsi" w:hAnsiTheme="minorHAnsi"/>
          <w:color w:val="000000"/>
          <w:sz w:val="21"/>
          <w:szCs w:val="21"/>
        </w:rPr>
        <w:t xml:space="preserve"> the Del-Cano Rise</w:t>
      </w:r>
      <w:r>
        <w:rPr>
          <w:rFonts w:cs="sans-serif" w:asciiTheme="minorHAnsi" w:hAnsiTheme="minorHAnsi"/>
          <w:color w:val="000000"/>
          <w:sz w:val="21"/>
          <w:szCs w:val="21"/>
          <w:lang w:val="en"/>
        </w:rPr>
        <w:t xml:space="preserve"> (a shallow area situated between Marion and Crozet)</w:t>
      </w:r>
      <w:r>
        <w:rPr>
          <w:rFonts w:cs="sans-serif" w:asciiTheme="minorHAnsi" w:hAnsiTheme="minorHAnsi"/>
          <w:color w:val="000000"/>
          <w:sz w:val="21"/>
          <w:szCs w:val="21"/>
        </w:rPr>
        <w:t xml:space="preserve"> and </w:t>
      </w:r>
      <w:r>
        <w:rPr>
          <w:rFonts w:cs="sans-serif" w:asciiTheme="minorHAnsi" w:hAnsiTheme="minorHAnsi"/>
          <w:color w:val="000000"/>
          <w:sz w:val="21"/>
          <w:szCs w:val="21"/>
          <w:lang w:val="en"/>
        </w:rPr>
        <w:t xml:space="preserve">on the </w:t>
      </w:r>
      <w:r>
        <w:rPr>
          <w:rFonts w:cs="sans-serif" w:asciiTheme="minorHAnsi" w:hAnsiTheme="minorHAnsi"/>
          <w:color w:val="000000"/>
          <w:sz w:val="21"/>
          <w:szCs w:val="21"/>
        </w:rPr>
        <w:t xml:space="preserve">Kerguelen Plateau (Fig. </w:t>
      </w:r>
      <w:r>
        <w:rPr>
          <w:rFonts w:cs="sans-serif" w:asciiTheme="minorHAnsi" w:hAnsiTheme="minorHAnsi"/>
          <w:color w:val="000000"/>
          <w:sz w:val="21"/>
          <w:szCs w:val="21"/>
          <w:lang w:val="en"/>
        </w:rPr>
        <w:t>5</w:t>
      </w:r>
      <w:r>
        <w:rPr>
          <w:rFonts w:cs="sans-serif" w:asciiTheme="minorHAnsi" w:hAnsiTheme="minorHAnsi"/>
          <w:color w:val="000000"/>
          <w:sz w:val="21"/>
          <w:szCs w:val="21"/>
        </w:rPr>
        <w:t xml:space="preserve">). These are known to be productive areas also targeted by other marine predators </w:t>
      </w:r>
      <w:r>
        <w:fldChar w:fldCharType="begin"/>
      </w:r>
      <w:r>
        <w:instrText xml:space="preserve"> HYPERLINK "https://www.zotero.org/google-docs/?FliFJG" </w:instrText>
      </w:r>
      <w:r>
        <w:fldChar w:fldCharType="separate"/>
      </w:r>
      <w:r>
        <w:rPr>
          <w:rStyle w:val="14"/>
          <w:rFonts w:cs="sans-serif" w:asciiTheme="minorHAnsi" w:hAnsiTheme="minorHAnsi"/>
          <w:color w:val="000000"/>
          <w:sz w:val="21"/>
          <w:szCs w:val="21"/>
          <w:u w:val="none"/>
        </w:rPr>
        <w:t>(Koubbi et al., 2012; Thiers, Delord, Bost, Guinet, &amp; Weimerskirch, 2017)</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 xml:space="preserve"> including wandering albatrosses from these two populations (Nel et al., 200</w:t>
      </w:r>
      <w:r>
        <w:rPr>
          <w:rFonts w:cs="sans-serif" w:asciiTheme="minorHAnsi" w:hAnsiTheme="minorHAnsi"/>
          <w:color w:val="000000"/>
          <w:sz w:val="21"/>
          <w:szCs w:val="21"/>
          <w:lang w:val="en"/>
        </w:rPr>
        <w:t>2b</w:t>
      </w:r>
      <w:r>
        <w:rPr>
          <w:rFonts w:cs="sans-serif" w:asciiTheme="minorHAnsi" w:hAnsiTheme="minorHAnsi"/>
          <w:color w:val="000000"/>
          <w:sz w:val="21"/>
          <w:szCs w:val="21"/>
        </w:rPr>
        <w:t>, Louzao et al., 2011</w:t>
      </w:r>
      <w:r>
        <w:rPr>
          <w:rFonts w:hint="default" w:cs="sans-serif" w:asciiTheme="minorHAnsi" w:hAnsiTheme="minorHAnsi"/>
          <w:color w:val="000000"/>
          <w:sz w:val="21"/>
          <w:szCs w:val="21"/>
          <w:lang w:val="en"/>
        </w:rPr>
        <w:t>, Corbeau et al. 2021a</w:t>
      </w:r>
      <w:r>
        <w:rPr>
          <w:rFonts w:cs="sans-serif" w:asciiTheme="minorHAnsi" w:hAnsiTheme="minorHAnsi"/>
          <w:color w:val="000000"/>
          <w:sz w:val="21"/>
          <w:szCs w:val="21"/>
        </w:rPr>
        <w:t>) and from the Kerguelen Archipelago (Pinaud &amp; Weimerskirch, 2007</w:t>
      </w:r>
      <w:r>
        <w:rPr>
          <w:rFonts w:hint="default" w:cs="sans-serif" w:asciiTheme="minorHAnsi" w:hAnsiTheme="minorHAnsi"/>
          <w:color w:val="000000"/>
          <w:sz w:val="21"/>
          <w:szCs w:val="21"/>
          <w:lang w:val="en"/>
        </w:rPr>
        <w:t>, Corbeau et al. 2021a</w:t>
      </w:r>
      <w:r>
        <w:rPr>
          <w:rFonts w:cs="sans-serif" w:asciiTheme="minorHAnsi" w:hAnsiTheme="minorHAnsi"/>
          <w:color w:val="000000"/>
          <w:sz w:val="21"/>
          <w:szCs w:val="21"/>
        </w:rPr>
        <w:t>).</w:t>
      </w:r>
    </w:p>
    <w:p>
      <w:pPr>
        <w:pStyle w:val="16"/>
        <w:spacing w:before="240" w:beforeAutospacing="0" w:after="240" w:afterAutospacing="0" w:line="480" w:lineRule="auto"/>
        <w:ind w:firstLine="420"/>
        <w:rPr>
          <w:rFonts w:asciiTheme="minorHAnsi" w:hAnsiTheme="minorHAnsi"/>
        </w:rPr>
      </w:pPr>
      <w:r>
        <w:rPr>
          <w:rFonts w:cs="sans-serif" w:asciiTheme="minorHAnsi" w:hAnsiTheme="minorHAnsi"/>
          <w:color w:val="000000"/>
          <w:sz w:val="21"/>
          <w:szCs w:val="21"/>
        </w:rPr>
        <w:t xml:space="preserve">One important factor that was not considered in terms of influencing </w:t>
      </w:r>
      <w:r>
        <w:rPr>
          <w:rFonts w:cs="sans-serif" w:asciiTheme="minorHAnsi" w:hAnsiTheme="minorHAnsi"/>
          <w:color w:val="000000"/>
          <w:sz w:val="21"/>
          <w:szCs w:val="21"/>
          <w:lang w:val="en"/>
        </w:rPr>
        <w:t xml:space="preserve">sexual segregation but also </w:t>
      </w:r>
      <w:r>
        <w:rPr>
          <w:rFonts w:cs="sans-serif" w:asciiTheme="minorHAnsi" w:hAnsiTheme="minorHAnsi"/>
          <w:color w:val="000000"/>
          <w:sz w:val="21"/>
          <w:szCs w:val="21"/>
        </w:rPr>
        <w:t>observed aggregation patterns</w:t>
      </w:r>
      <w:r>
        <w:rPr>
          <w:rFonts w:cs="sans-serif" w:asciiTheme="minorHAnsi" w:hAnsiTheme="minorHAnsi"/>
          <w:color w:val="000000"/>
          <w:sz w:val="21"/>
          <w:szCs w:val="21"/>
          <w:lang w:val="en"/>
        </w:rPr>
        <w:t>,</w:t>
      </w:r>
      <w:r>
        <w:rPr>
          <w:rFonts w:cs="sans-serif" w:asciiTheme="minorHAnsi" w:hAnsiTheme="minorHAnsi"/>
          <w:color w:val="000000"/>
          <w:sz w:val="21"/>
          <w:szCs w:val="21"/>
        </w:rPr>
        <w:t xml:space="preserve"> is the association of albatrosses with fisheries</w:t>
      </w:r>
      <w:r>
        <w:rPr>
          <w:rFonts w:cs="sans-serif" w:asciiTheme="minorHAnsi" w:hAnsiTheme="minorHAnsi"/>
          <w:color w:val="000000"/>
          <w:sz w:val="21"/>
          <w:szCs w:val="21"/>
          <w:lang w:val="en"/>
        </w:rPr>
        <w:t xml:space="preserve"> (as recently demonstrated over a large scale, in albatrosses, through the use of new radar-logger technology, Weimerskirch et al. 2020). Indeed, it is known that several seabird species are attracted by fisheries and suffer by-catch mortality (Gianuca et al. 2017). Sex-biased mortality rates due to by-catch have been observed, especially in species that displayed sexual segregation (Bugoni et al. 2011). This could be problematic for our study since if one sex is more attracted to fisheries (as recently demonstrated in shearwaters, Reyes-Gonzales et al. 2021), this could result in different areas used by sexes simply because of the distribution of fisheries fleets rather than natural ecological processes. However, a study recently demonstrated that male and female wandering albatrosses were similarly attracted by fisheries and found no evidence of competitive exclusion of females by larger males behind fishing vessels (Collet et al. 2017). This therefore suggests that female-biased by-catch rates in wandering albatrosses (Bugoni et al. 2011) are a result of differences in dispersion between the sexes, resulting in differential interactions with fisheries (Corbeau et al. 2021</w:t>
      </w:r>
      <w:r>
        <w:rPr>
          <w:rFonts w:hint="default" w:cs="sans-serif" w:asciiTheme="minorHAnsi" w:hAnsiTheme="minorHAnsi"/>
          <w:color w:val="000000"/>
          <w:sz w:val="21"/>
          <w:szCs w:val="21"/>
          <w:lang w:val="en"/>
        </w:rPr>
        <w:t>b</w:t>
      </w:r>
      <w:r>
        <w:rPr>
          <w:rFonts w:cs="sans-serif" w:asciiTheme="minorHAnsi" w:hAnsiTheme="minorHAnsi"/>
          <w:color w:val="000000"/>
          <w:sz w:val="21"/>
          <w:szCs w:val="21"/>
          <w:lang w:val="en"/>
        </w:rPr>
        <w:t xml:space="preserve">). The relative importance of intraspecfic competition, food resource availability and the presence of fisheries should ideally be considered together (see habitat models with fisheries data in Catry et al. 2013) to better understand the effect of intraspecific competition on the distribution of populations. We believe that the protocol developed in this study (Fig. 1) could be a useful step to further investigate the importance of fisheries and intraspecific competition in a variety of seabird species. This might become possible soon, as </w:t>
      </w:r>
      <w:r>
        <w:rPr>
          <w:rFonts w:cs="sans-serif" w:asciiTheme="minorHAnsi" w:hAnsiTheme="minorHAnsi"/>
          <w:color w:val="000000"/>
          <w:sz w:val="21"/>
          <w:szCs w:val="21"/>
        </w:rPr>
        <w:t>data on the location of legal and illegal fisheries</w:t>
      </w:r>
      <w:r>
        <w:rPr>
          <w:rFonts w:cs="sans-serif" w:asciiTheme="minorHAnsi" w:hAnsiTheme="minorHAnsi"/>
          <w:color w:val="000000"/>
          <w:sz w:val="21"/>
          <w:szCs w:val="21"/>
          <w:lang w:val="en"/>
        </w:rPr>
        <w:t xml:space="preserve"> is becoming increasingly available </w:t>
      </w:r>
      <w:r>
        <w:fldChar w:fldCharType="begin"/>
      </w:r>
      <w:r>
        <w:instrText xml:space="preserve"> HYPERLINK "https://www.zotero.org/google-docs/?1oYNH5" </w:instrText>
      </w:r>
      <w:r>
        <w:fldChar w:fldCharType="separate"/>
      </w:r>
      <w:r>
        <w:rPr>
          <w:rStyle w:val="14"/>
          <w:rFonts w:cs="sans-serif" w:asciiTheme="minorHAnsi" w:hAnsiTheme="minorHAnsi"/>
          <w:color w:val="000000"/>
          <w:sz w:val="21"/>
          <w:szCs w:val="21"/>
          <w:u w:val="none"/>
        </w:rPr>
        <w:t>(Park et al., 2020; Weimerskirch et al., 2020</w:t>
      </w:r>
      <w:r>
        <w:rPr>
          <w:rStyle w:val="14"/>
          <w:rFonts w:cs="sans-serif" w:asciiTheme="minorHAnsi" w:hAnsiTheme="minorHAnsi"/>
          <w:color w:val="000000"/>
          <w:sz w:val="21"/>
          <w:szCs w:val="21"/>
          <w:u w:val="none"/>
          <w:lang w:val="en"/>
        </w:rPr>
        <w:t>, Corbeau et al. 2021</w:t>
      </w:r>
      <w:r>
        <w:rPr>
          <w:rStyle w:val="14"/>
          <w:rFonts w:hint="default" w:cs="sans-serif" w:asciiTheme="minorHAnsi" w:hAnsiTheme="minorHAnsi"/>
          <w:color w:val="000000"/>
          <w:sz w:val="21"/>
          <w:szCs w:val="21"/>
          <w:u w:val="none"/>
          <w:lang w:val="en"/>
        </w:rPr>
        <w:t>a</w:t>
      </w:r>
      <w:r>
        <w:rPr>
          <w:rStyle w:val="14"/>
          <w:rFonts w:cs="sans-serif" w:asciiTheme="minorHAnsi" w:hAnsiTheme="minorHAnsi"/>
          <w:color w:val="000000"/>
          <w:sz w:val="21"/>
          <w:szCs w:val="21"/>
          <w:u w:val="none"/>
        </w:rPr>
        <w:t>)</w:t>
      </w:r>
      <w:r>
        <w:rPr>
          <w:rStyle w:val="14"/>
          <w:rFonts w:cs="sans-serif" w:asciiTheme="minorHAnsi" w:hAnsiTheme="minorHAnsi"/>
          <w:color w:val="000000"/>
          <w:sz w:val="21"/>
          <w:szCs w:val="21"/>
          <w:u w:val="none"/>
        </w:rPr>
        <w:fldChar w:fldCharType="end"/>
      </w:r>
      <w:r>
        <w:rPr>
          <w:rFonts w:cs="sans-serif" w:asciiTheme="minorHAnsi" w:hAnsiTheme="minorHAnsi"/>
          <w:color w:val="000000"/>
          <w:sz w:val="21"/>
          <w:szCs w:val="21"/>
        </w:rPr>
        <w:t>.</w:t>
      </w:r>
    </w:p>
    <w:p>
      <w:pPr>
        <w:spacing w:line="480" w:lineRule="auto"/>
        <w:rPr>
          <w:rFonts w:eastAsia="SimSun" w:cs="sans-serif"/>
          <w:color w:val="000000"/>
          <w:sz w:val="21"/>
          <w:szCs w:val="21"/>
          <w:lang w:val="en" w:bidi="ar"/>
        </w:rPr>
      </w:pPr>
    </w:p>
    <w:p>
      <w:pPr>
        <w:spacing w:line="480" w:lineRule="auto"/>
        <w:rPr>
          <w:b/>
          <w:bCs/>
          <w:iCs/>
          <w:sz w:val="21"/>
          <w:szCs w:val="21"/>
          <w:lang w:val="en"/>
        </w:rPr>
      </w:pPr>
      <w:r>
        <w:rPr>
          <w:b/>
          <w:bCs/>
          <w:iCs/>
          <w:sz w:val="21"/>
          <w:szCs w:val="21"/>
          <w:lang w:val="en"/>
        </w:rPr>
        <w:t>Acknowledgments</w:t>
      </w:r>
    </w:p>
    <w:p>
      <w:pPr>
        <w:spacing w:line="480" w:lineRule="auto"/>
        <w:rPr>
          <w:rFonts w:hint="default" w:asciiTheme="minorAscii" w:hAnsiTheme="minorAscii"/>
          <w:iCs/>
          <w:sz w:val="21"/>
          <w:szCs w:val="21"/>
          <w:lang w:val="en"/>
        </w:rPr>
      </w:pPr>
      <w:r>
        <w:rPr>
          <w:rFonts w:hint="default" w:asciiTheme="minorAscii" w:hAnsiTheme="minorAscii"/>
          <w:iCs/>
          <w:sz w:val="21"/>
          <w:szCs w:val="21"/>
          <w:lang w:val="en"/>
        </w:rPr>
        <w:t xml:space="preserve">We are grateful to all those involved in data collection at Possession Island and Albert Snyman, David Green and Stephan Keys who helped with the Marion field work. All experimental procedures were approved by the Nelson Mandela University’s animal ethics committee (A14-SCI-ZOO-012), the French ethics committee, the French Polar Environmental Committee. The Institut Polaire Français and the Terres Australes Antarctique Françaises provided logistical and financial support at the Crozet Islands. </w:t>
      </w:r>
      <w:r>
        <w:rPr>
          <w:rFonts w:hint="default" w:asciiTheme="minorAscii" w:hAnsiTheme="minorAscii"/>
          <w:sz w:val="21"/>
          <w:szCs w:val="21"/>
          <w:lang w:val="en-GB"/>
        </w:rPr>
        <w:t>The study is a contribution to the Program EARLYLIFE funded by a European Research Council Advanced Grant under the European Community’s Seven Framework Program FP7/2007–2013 (Grant Agreement ERC-2012-ADG_20120314 to Henri Weimerskirch) and to the Program Ocean Sentinel funded by the ERC under European Community’s H2020 Program (Grant</w:t>
      </w:r>
      <w:r>
        <w:rPr>
          <w:rFonts w:hint="default" w:asciiTheme="minorAscii" w:hAnsiTheme="minorAscii"/>
          <w:sz w:val="21"/>
          <w:szCs w:val="21"/>
          <w:lang w:val="en"/>
        </w:rPr>
        <w:t xml:space="preserve"> </w:t>
      </w:r>
      <w:r>
        <w:rPr>
          <w:rFonts w:hint="default" w:asciiTheme="minorAscii" w:hAnsiTheme="minorAscii"/>
          <w:sz w:val="21"/>
          <w:szCs w:val="21"/>
          <w:lang w:val="en-GB"/>
        </w:rPr>
        <w:t>Agreement ERC-2017-PoC_780058 to H</w:t>
      </w:r>
      <w:r>
        <w:rPr>
          <w:rFonts w:hint="default" w:asciiTheme="minorAscii" w:hAnsiTheme="minorAscii"/>
          <w:sz w:val="21"/>
          <w:szCs w:val="21"/>
          <w:lang w:val="en"/>
        </w:rPr>
        <w:t xml:space="preserve">enri </w:t>
      </w:r>
      <w:r>
        <w:rPr>
          <w:rFonts w:hint="default" w:asciiTheme="minorAscii" w:hAnsiTheme="minorAscii"/>
          <w:sz w:val="21"/>
          <w:szCs w:val="21"/>
          <w:lang w:val="en-GB"/>
        </w:rPr>
        <w:t>W</w:t>
      </w:r>
      <w:r>
        <w:rPr>
          <w:rFonts w:hint="default" w:asciiTheme="minorAscii" w:hAnsiTheme="minorAscii"/>
          <w:sz w:val="21"/>
          <w:szCs w:val="21"/>
          <w:lang w:val="en"/>
        </w:rPr>
        <w:t>eimerskirch</w:t>
      </w:r>
      <w:r>
        <w:rPr>
          <w:rFonts w:hint="default" w:asciiTheme="minorAscii" w:hAnsiTheme="minorAscii"/>
          <w:sz w:val="21"/>
          <w:szCs w:val="21"/>
          <w:lang w:val="en-GB"/>
        </w:rPr>
        <w:t>)</w:t>
      </w:r>
      <w:r>
        <w:rPr>
          <w:rFonts w:hint="default" w:asciiTheme="minorAscii" w:hAnsiTheme="minorAscii"/>
          <w:iCs/>
          <w:sz w:val="21"/>
          <w:szCs w:val="21"/>
          <w:lang w:val="en"/>
        </w:rPr>
        <w:t>. Research on Marion Island is made possible through the logistical support from South Africa's Department of Environment, Forestry, and Fisheries. Financial support was received from the South Africa's National Research Foundation (NRF), through its South African National Antarctic Programme, as a grant to Pierre Pistorius (grant number SNA093071). We are grateful to Geert Aarts and two anonymous reviewers for their valuable comments on the manuscript.</w:t>
      </w:r>
    </w:p>
    <w:p>
      <w:pPr>
        <w:spacing w:line="480" w:lineRule="auto"/>
        <w:rPr>
          <w:b/>
          <w:bCs/>
          <w:iCs/>
          <w:sz w:val="21"/>
          <w:szCs w:val="21"/>
          <w:lang w:val="en"/>
        </w:rPr>
      </w:pPr>
      <w:r>
        <w:rPr>
          <w:b/>
          <w:bCs/>
          <w:iCs/>
          <w:sz w:val="21"/>
          <w:szCs w:val="21"/>
          <w:lang w:val="en"/>
        </w:rPr>
        <w:t>Authors’ contribution</w:t>
      </w:r>
    </w:p>
    <w:p>
      <w:pPr>
        <w:spacing w:line="480" w:lineRule="auto"/>
        <w:rPr>
          <w:b/>
          <w:bCs/>
          <w:iCs/>
          <w:sz w:val="21"/>
          <w:szCs w:val="21"/>
          <w:lang w:val="en"/>
        </w:rPr>
      </w:pPr>
      <w:r>
        <w:rPr>
          <w:iCs/>
          <w:sz w:val="21"/>
          <w:szCs w:val="21"/>
          <w:lang w:val="en"/>
        </w:rPr>
        <w:t>F.O., R.R.R., C.A.B., H.W and P.A.P. conceptualized the study and were involved in study design; T.K.C., D.Z.K., A.C., H.W. and P.A.P. collected data and/or oversaw tracking data collection and database management; F.O. processed and analysed the data with assistance from R.R.R.; F.O. led the writing of the manuscript. All authors contributed critically to the drafts and gave final approval for publication.</w:t>
      </w:r>
    </w:p>
    <w:p>
      <w:pPr>
        <w:spacing w:line="480" w:lineRule="auto"/>
        <w:rPr>
          <w:b/>
          <w:bCs/>
          <w:iCs/>
          <w:sz w:val="21"/>
          <w:szCs w:val="21"/>
          <w:lang w:val="en"/>
        </w:rPr>
      </w:pPr>
      <w:r>
        <w:rPr>
          <w:b/>
          <w:bCs/>
          <w:iCs/>
          <w:sz w:val="21"/>
          <w:szCs w:val="21"/>
          <w:lang w:val="en"/>
        </w:rPr>
        <w:t>Data availability statement</w:t>
      </w:r>
    </w:p>
    <w:p>
      <w:pPr>
        <w:spacing w:line="480" w:lineRule="auto"/>
        <w:rPr>
          <w:rFonts w:hint="default"/>
          <w:b w:val="0"/>
          <w:bCs w:val="0"/>
          <w:iCs/>
          <w:sz w:val="21"/>
          <w:szCs w:val="21"/>
          <w:lang w:val="en"/>
        </w:rPr>
      </w:pPr>
      <w:r>
        <w:rPr>
          <w:rFonts w:hint="default"/>
          <w:b w:val="0"/>
          <w:bCs w:val="0"/>
          <w:iCs/>
          <w:sz w:val="21"/>
          <w:szCs w:val="21"/>
          <w:lang w:val="en" w:eastAsia="zh-CN"/>
        </w:rPr>
        <w:t xml:space="preserve">Data are available from the Dryad Digital Repository </w:t>
      </w:r>
      <w:r>
        <w:rPr>
          <w:rFonts w:hint="default"/>
          <w:b w:val="0"/>
          <w:bCs w:val="0"/>
          <w:iCs/>
          <w:sz w:val="21"/>
          <w:szCs w:val="21"/>
          <w:lang w:val="en" w:eastAsia="zh-CN"/>
        </w:rPr>
        <w:fldChar w:fldCharType="begin"/>
      </w:r>
      <w:r>
        <w:rPr>
          <w:rFonts w:hint="default"/>
          <w:b w:val="0"/>
          <w:bCs w:val="0"/>
          <w:iCs/>
          <w:sz w:val="21"/>
          <w:szCs w:val="21"/>
          <w:lang w:val="en" w:eastAsia="zh-CN"/>
        </w:rPr>
        <w:instrText xml:space="preserve"> HYPERLINK "https://orcid.org/0000-0002-1940-7797" \t "/home/florg/Documents\\x/_blank" </w:instrText>
      </w:r>
      <w:r>
        <w:rPr>
          <w:rFonts w:hint="default"/>
          <w:b w:val="0"/>
          <w:bCs w:val="0"/>
          <w:iCs/>
          <w:sz w:val="21"/>
          <w:szCs w:val="21"/>
          <w:lang w:val="en" w:eastAsia="zh-CN"/>
        </w:rPr>
        <w:fldChar w:fldCharType="separate"/>
      </w:r>
      <w:r>
        <w:rPr>
          <w:rFonts w:hint="default"/>
          <w:b w:val="0"/>
          <w:bCs w:val="0"/>
          <w:iCs/>
          <w:sz w:val="21"/>
          <w:szCs w:val="21"/>
          <w:lang w:val="en"/>
        </w:rPr>
        <w:t>https://orcid.org/0000-0002-1940-7797</w:t>
      </w:r>
      <w:r>
        <w:rPr>
          <w:rFonts w:hint="default"/>
          <w:b w:val="0"/>
          <w:bCs w:val="0"/>
          <w:iCs/>
          <w:sz w:val="21"/>
          <w:szCs w:val="21"/>
          <w:lang w:val="en" w:eastAsia="zh-CN"/>
        </w:rPr>
        <w:fldChar w:fldCharType="end"/>
      </w:r>
      <w:r>
        <w:rPr>
          <w:rFonts w:hint="default"/>
          <w:b w:val="0"/>
          <w:bCs w:val="0"/>
          <w:iCs/>
          <w:sz w:val="21"/>
          <w:szCs w:val="21"/>
          <w:lang w:val="en" w:eastAsia="zh-CN"/>
        </w:rPr>
        <w:t xml:space="preserve"> (Orgeret, Weimerskirch &amp; Pistorius 2021).</w:t>
      </w:r>
    </w:p>
    <w:p>
      <w:pPr>
        <w:spacing w:line="480" w:lineRule="auto"/>
        <w:rPr>
          <w:b/>
          <w:bCs/>
          <w:iCs/>
          <w:sz w:val="21"/>
          <w:szCs w:val="21"/>
          <w:lang w:val="en"/>
        </w:rPr>
      </w:pPr>
      <w:r>
        <w:rPr>
          <w:b/>
          <w:bCs/>
          <w:iCs/>
          <w:sz w:val="21"/>
          <w:szCs w:val="21"/>
          <w:lang w:val="en"/>
        </w:rPr>
        <w:t>Supporting information</w:t>
      </w:r>
    </w:p>
    <w:p>
      <w:pPr>
        <w:spacing w:line="480" w:lineRule="auto"/>
        <w:rPr>
          <w:iCs/>
          <w:sz w:val="21"/>
          <w:szCs w:val="21"/>
          <w:lang w:val="en"/>
        </w:rPr>
      </w:pPr>
      <w:r>
        <w:rPr>
          <w:iCs/>
          <w:sz w:val="21"/>
          <w:szCs w:val="21"/>
          <w:lang w:val="en"/>
        </w:rPr>
        <w:t>Additional supporting information could be found online.</w:t>
      </w:r>
    </w:p>
    <w:p>
      <w:pPr>
        <w:spacing w:line="480" w:lineRule="auto"/>
        <w:rPr>
          <w:b/>
          <w:bCs/>
          <w:iCs/>
          <w:sz w:val="21"/>
          <w:szCs w:val="21"/>
          <w:lang w:val="en"/>
        </w:rPr>
      </w:pPr>
      <w:r>
        <w:rPr>
          <w:b/>
          <w:bCs/>
          <w:iCs/>
          <w:sz w:val="21"/>
          <w:szCs w:val="21"/>
          <w:lang w:val="en"/>
        </w:rPr>
        <w:t>References</w:t>
      </w:r>
    </w:p>
    <w:p>
      <w:pPr>
        <w:spacing w:line="360" w:lineRule="auto"/>
        <w:ind w:left="400" w:hanging="400" w:hangingChars="200"/>
        <w:rPr>
          <w:iCs/>
          <w:lang w:val="en"/>
        </w:rPr>
      </w:pPr>
      <w:r>
        <w:rPr>
          <w:iCs/>
          <w:lang w:val="en"/>
        </w:rPr>
        <w:t xml:space="preserve">Aarts, G., MacKenzie, M., McConnell, B., Fedak, M., &amp; Matthiopoulos, J. (2008). Estimating space-use and habitat preference from wildlife telemetry data. Ecography, 31(1), 140–160. </w:t>
      </w:r>
      <w:r>
        <w:fldChar w:fldCharType="begin"/>
      </w:r>
      <w:r>
        <w:instrText xml:space="preserve"> HYPERLINK "https://doi.org/10.1111/j.2007.0906-7590.05236.x" </w:instrText>
      </w:r>
      <w:r>
        <w:fldChar w:fldCharType="separate"/>
      </w:r>
      <w:r>
        <w:rPr>
          <w:iCs/>
          <w:lang w:val="en"/>
        </w:rPr>
        <w:t>https://doi.org/10.1111/j.2007.0906-7590.05236.x</w:t>
      </w:r>
      <w:r>
        <w:rPr>
          <w:iCs/>
          <w:lang w:val="en"/>
        </w:rPr>
        <w:fldChar w:fldCharType="end"/>
      </w:r>
    </w:p>
    <w:p>
      <w:pPr>
        <w:spacing w:line="360" w:lineRule="auto"/>
        <w:ind w:left="400" w:hanging="400" w:hangingChars="200"/>
        <w:rPr>
          <w:iCs/>
          <w:lang w:val="en"/>
        </w:rPr>
      </w:pPr>
      <w:r>
        <w:rPr>
          <w:iCs/>
          <w:lang w:val="en"/>
        </w:rPr>
        <w:t xml:space="preserve">Åkesson, S., &amp; Weimerskirch, H. (2014). Evidence for Sex-Segregated Ocean Distributions of First-Winter Wandering Albatrosses at Crozet Islands. PLoS ONE, 9(2), e86779. </w:t>
      </w:r>
      <w:r>
        <w:fldChar w:fldCharType="begin"/>
      </w:r>
      <w:r>
        <w:instrText xml:space="preserve"> HYPERLINK "https://doi.org/10.1371/journal.pone.0086779" </w:instrText>
      </w:r>
      <w:r>
        <w:fldChar w:fldCharType="separate"/>
      </w:r>
      <w:r>
        <w:rPr>
          <w:iCs/>
          <w:lang w:val="en"/>
        </w:rPr>
        <w:t>https://doi.org/10.1371/journal.pone.0086779</w:t>
      </w:r>
      <w:r>
        <w:rPr>
          <w:iCs/>
          <w:lang w:val="en"/>
        </w:rPr>
        <w:fldChar w:fldCharType="end"/>
      </w:r>
    </w:p>
    <w:p>
      <w:pPr>
        <w:spacing w:line="360" w:lineRule="auto"/>
        <w:ind w:left="400" w:hanging="400" w:hangingChars="200"/>
        <w:rPr>
          <w:iCs/>
          <w:lang w:val="en"/>
        </w:rPr>
      </w:pPr>
      <w:r>
        <w:rPr>
          <w:iCs/>
          <w:lang w:val="en"/>
        </w:rPr>
        <w:t xml:space="preserve">Alves, J., Alves da Silva, A., Soares, A. M. V. M., &amp; Fonseca, C. (2013). Sexual segregation in red deer: Is social behaviour more important than habitat preferences? Animal Behaviour, 85(2), 501–509. </w:t>
      </w:r>
      <w:r>
        <w:fldChar w:fldCharType="begin"/>
      </w:r>
      <w:r>
        <w:instrText xml:space="preserve"> HYPERLINK "https://doi.org/10.1016/j.anbehav.2012.12.018" </w:instrText>
      </w:r>
      <w:r>
        <w:fldChar w:fldCharType="separate"/>
      </w:r>
      <w:r>
        <w:rPr>
          <w:iCs/>
          <w:lang w:val="en"/>
        </w:rPr>
        <w:t>https://doi.org/10.1016/j.anbehav.2012.12.018</w:t>
      </w:r>
      <w:r>
        <w:rPr>
          <w:iCs/>
          <w:lang w:val="en"/>
        </w:rPr>
        <w:fldChar w:fldCharType="end"/>
      </w:r>
    </w:p>
    <w:p>
      <w:pPr>
        <w:spacing w:line="360" w:lineRule="auto"/>
        <w:ind w:left="400" w:hanging="400" w:hangingChars="200"/>
        <w:rPr>
          <w:iCs/>
          <w:lang w:val="en"/>
        </w:rPr>
      </w:pPr>
      <w:r>
        <w:rPr>
          <w:iCs/>
          <w:lang w:val="en"/>
        </w:rPr>
        <w:t xml:space="preserve">Ashmole, N. P. (1963). The regulation numbers of tropical oceanic birds. Ibis, 103b(3), 458–473. </w:t>
      </w:r>
      <w:r>
        <w:fldChar w:fldCharType="begin"/>
      </w:r>
      <w:r>
        <w:instrText xml:space="preserve"> HYPERLINK "https://doi.org/10.1111/j.1474-919X.1963.tb06766.x" </w:instrText>
      </w:r>
      <w:r>
        <w:fldChar w:fldCharType="separate"/>
      </w:r>
      <w:r>
        <w:rPr>
          <w:iCs/>
          <w:lang w:val="en"/>
        </w:rPr>
        <w:t>https://doi.org/10.1111/j.1474-919X.1963.tb06766.x</w:t>
      </w:r>
      <w:r>
        <w:rPr>
          <w:iCs/>
          <w:lang w:val="en"/>
        </w:rPr>
        <w:fldChar w:fldCharType="end"/>
      </w:r>
    </w:p>
    <w:p>
      <w:pPr>
        <w:spacing w:line="360" w:lineRule="auto"/>
        <w:ind w:left="400" w:hanging="400" w:hangingChars="200"/>
        <w:rPr>
          <w:iCs/>
          <w:lang w:val="en"/>
        </w:rPr>
      </w:pPr>
      <w:r>
        <w:rPr>
          <w:iCs/>
          <w:lang w:val="en"/>
        </w:rPr>
        <w:t xml:space="preserve">Barbraud, C., Delord, K., Kato, A., Bustamante, P., &amp; Cherel, Y. (2019). Sexual segregation in a highly pagophilic and sexually dimorphic marine predator. BioRxiv, 472431. </w:t>
      </w:r>
      <w:r>
        <w:fldChar w:fldCharType="begin"/>
      </w:r>
      <w:r>
        <w:instrText xml:space="preserve"> HYPERLINK "https://doi.org/10.1101/472431" </w:instrText>
      </w:r>
      <w:r>
        <w:fldChar w:fldCharType="separate"/>
      </w:r>
      <w:r>
        <w:rPr>
          <w:iCs/>
          <w:lang w:val="en"/>
        </w:rPr>
        <w:t>https://doi.org/10.1101/472431</w:t>
      </w:r>
      <w:r>
        <w:rPr>
          <w:iCs/>
          <w:lang w:val="en"/>
        </w:rPr>
        <w:fldChar w:fldCharType="end"/>
      </w:r>
    </w:p>
    <w:p>
      <w:pPr>
        <w:spacing w:line="360" w:lineRule="auto"/>
        <w:ind w:left="400" w:hanging="400" w:hangingChars="200"/>
        <w:rPr>
          <w:iCs/>
          <w:lang w:val="en"/>
        </w:rPr>
      </w:pPr>
      <w:r>
        <w:rPr>
          <w:iCs/>
          <w:lang w:val="en"/>
        </w:rPr>
        <w:t xml:space="preserve">Beale, C. M., Lennon, J. J., Yearsley, J. M., Brewer, M. J., &amp; Elston, D. A. (2010). Regression analysis of spatial data. Ecology Letters, 13(2), 246–264. </w:t>
      </w:r>
      <w:r>
        <w:fldChar w:fldCharType="begin"/>
      </w:r>
      <w:r>
        <w:instrText xml:space="preserve"> HYPERLINK "https://doi.org/10.1111/j.1461-0248.2009.01422.x" </w:instrText>
      </w:r>
      <w:r>
        <w:fldChar w:fldCharType="separate"/>
      </w:r>
      <w:r>
        <w:rPr>
          <w:iCs/>
          <w:lang w:val="en"/>
        </w:rPr>
        <w:t>https://doi.org/10.1111/j.1461-0248.2009.01422.x</w:t>
      </w:r>
      <w:r>
        <w:rPr>
          <w:iCs/>
          <w:lang w:val="en"/>
        </w:rPr>
        <w:fldChar w:fldCharType="end"/>
      </w:r>
    </w:p>
    <w:p>
      <w:pPr>
        <w:spacing w:line="360" w:lineRule="auto"/>
        <w:ind w:left="400" w:hanging="400" w:hangingChars="200"/>
        <w:rPr>
          <w:iCs/>
          <w:lang w:val="en"/>
        </w:rPr>
      </w:pPr>
      <w:r>
        <w:rPr>
          <w:iCs/>
          <w:lang w:val="en"/>
        </w:rPr>
        <w:t xml:space="preserve">Bolnick, D. I., Svanbäck, R., Fordyce, J. A., Yang, L. H., Davis, J. M., Hulsey, C. D., &amp; Forister, M. L. (2003). The Ecology of Individuals: Incidence and Implications of Individual Specialization. The American Naturalist, 161(1), 1–28. </w:t>
      </w:r>
      <w:r>
        <w:fldChar w:fldCharType="begin"/>
      </w:r>
      <w:r>
        <w:instrText xml:space="preserve"> HYPERLINK "https://doi.org/10.1086/343878" </w:instrText>
      </w:r>
      <w:r>
        <w:fldChar w:fldCharType="separate"/>
      </w:r>
      <w:r>
        <w:rPr>
          <w:iCs/>
          <w:lang w:val="en"/>
        </w:rPr>
        <w:t>https://doi.org/10.1086/343878</w:t>
      </w:r>
      <w:r>
        <w:rPr>
          <w:iCs/>
          <w:lang w:val="en"/>
        </w:rPr>
        <w:fldChar w:fldCharType="end"/>
      </w:r>
    </w:p>
    <w:p>
      <w:pPr>
        <w:spacing w:line="360" w:lineRule="auto"/>
        <w:ind w:left="400" w:hanging="400" w:hangingChars="200"/>
        <w:rPr>
          <w:iCs/>
          <w:lang w:val="en"/>
        </w:rPr>
      </w:pPr>
      <w:r>
        <w:rPr>
          <w:iCs/>
          <w:lang w:val="en"/>
        </w:rPr>
        <w:t xml:space="preserve">Bolton, M., Conolly, G., Carroll, M., Wakefield, Ewan. D., &amp; Caldow, R. (2019). A review of the occurrence of inter‐colony segregation of seabird foraging areas and the implications for marine environmental impact assessment. Ibis, 161(2), 241–259. </w:t>
      </w:r>
      <w:r>
        <w:fldChar w:fldCharType="begin"/>
      </w:r>
      <w:r>
        <w:instrText xml:space="preserve"> HYPERLINK "https://doi.org/10.1111/ibi.12677" </w:instrText>
      </w:r>
      <w:r>
        <w:fldChar w:fldCharType="separate"/>
      </w:r>
      <w:r>
        <w:rPr>
          <w:iCs/>
          <w:lang w:val="en"/>
        </w:rPr>
        <w:t>https://doi.org/10.1111/ibi.12677</w:t>
      </w:r>
      <w:r>
        <w:rPr>
          <w:iCs/>
          <w:lang w:val="en"/>
        </w:rPr>
        <w:fldChar w:fldCharType="end"/>
      </w:r>
    </w:p>
    <w:p>
      <w:pPr>
        <w:spacing w:line="360" w:lineRule="auto"/>
        <w:ind w:left="400" w:hanging="400" w:hangingChars="200"/>
        <w:rPr>
          <w:iCs/>
          <w:lang w:val="en"/>
        </w:rPr>
      </w:pPr>
      <w:r>
        <w:rPr>
          <w:iCs/>
          <w:lang w:val="en"/>
        </w:rPr>
        <w:t xml:space="preserve">Bon, R., &amp; Campan, R. (1996). Unexplained sexual segregation in polygamous ungulates: A defense of an ontogenetic approach. Behavioural Processes, 38(2), 131–154. </w:t>
      </w:r>
      <w:r>
        <w:fldChar w:fldCharType="begin"/>
      </w:r>
      <w:r>
        <w:instrText xml:space="preserve"> HYPERLINK "https://doi.org/10.1016/S0376-6357(96)00029-0" </w:instrText>
      </w:r>
      <w:r>
        <w:fldChar w:fldCharType="separate"/>
      </w:r>
      <w:r>
        <w:rPr>
          <w:iCs/>
          <w:lang w:val="en"/>
        </w:rPr>
        <w:t>https://doi.org/10.1016/S0376-6357(96)00029-0</w:t>
      </w:r>
      <w:r>
        <w:rPr>
          <w:iCs/>
          <w:lang w:val="en"/>
        </w:rPr>
        <w:fldChar w:fldCharType="end"/>
      </w:r>
    </w:p>
    <w:p>
      <w:pPr>
        <w:spacing w:line="360" w:lineRule="auto"/>
        <w:ind w:left="400" w:hanging="400" w:hangingChars="200"/>
        <w:rPr>
          <w:iCs/>
          <w:lang w:val="en"/>
        </w:rPr>
      </w:pPr>
      <w:r>
        <w:rPr>
          <w:iCs/>
          <w:lang w:val="en"/>
        </w:rPr>
        <w:t xml:space="preserve">Bonenfant, C., Loe, L. E., Mysterud, A., Langvatn, R., Stenseth, N. Chr., Gaillard, J.-M., &amp; Klein, F. (2004). Multiple causes of sexual segregation in European red deer: Enlightenments from varying breeding phenology at high and low latitude. Proceedings of the Royal Society of London. Series B: Biological Sciences, 271(1542), 883–892. </w:t>
      </w:r>
      <w:r>
        <w:fldChar w:fldCharType="begin"/>
      </w:r>
      <w:r>
        <w:instrText xml:space="preserve"> HYPERLINK "https://doi.org/10.1098/rspb.2003.2661" </w:instrText>
      </w:r>
      <w:r>
        <w:fldChar w:fldCharType="separate"/>
      </w:r>
      <w:r>
        <w:rPr>
          <w:iCs/>
          <w:lang w:val="en"/>
        </w:rPr>
        <w:t>https://doi.org/10.1098/rspb.2003.2661</w:t>
      </w:r>
      <w:r>
        <w:rPr>
          <w:iCs/>
          <w:lang w:val="en"/>
        </w:rPr>
        <w:fldChar w:fldCharType="end"/>
      </w:r>
    </w:p>
    <w:p>
      <w:pPr>
        <w:spacing w:line="360" w:lineRule="auto"/>
        <w:ind w:left="400" w:hanging="400" w:hangingChars="200"/>
        <w:rPr>
          <w:iCs/>
          <w:lang w:val="en"/>
        </w:rPr>
      </w:pPr>
      <w:r>
        <w:rPr>
          <w:iCs/>
          <w:lang w:val="en"/>
        </w:rPr>
        <w:t xml:space="preserve">Boyd, C., Castillo, R., Hunt, G. L., Punt, A. E., VanBlaricom, G. R., Weimerskirch, H., &amp; Bertrand, S. (2015). Predictive modelling of habitat selection by marine predators with respect to the abundance and depth distribution of pelagic prey. Journal of Animal Ecology, 84(6), 1575–1588. </w:t>
      </w:r>
      <w:r>
        <w:fldChar w:fldCharType="begin"/>
      </w:r>
      <w:r>
        <w:instrText xml:space="preserve"> HYPERLINK "https://doi.org/10.1111/1365-2656.12409" </w:instrText>
      </w:r>
      <w:r>
        <w:fldChar w:fldCharType="separate"/>
      </w:r>
      <w:r>
        <w:rPr>
          <w:iCs/>
          <w:lang w:val="en"/>
        </w:rPr>
        <w:t>https://doi.org/10.1111/1365-2656.12409</w:t>
      </w:r>
      <w:r>
        <w:rPr>
          <w:iCs/>
          <w:lang w:val="en"/>
        </w:rPr>
        <w:fldChar w:fldCharType="end"/>
      </w:r>
    </w:p>
    <w:p>
      <w:pPr>
        <w:spacing w:line="360" w:lineRule="auto"/>
        <w:ind w:left="400" w:hanging="400" w:hangingChars="200"/>
        <w:rPr>
          <w:iCs/>
          <w:lang w:val="en"/>
        </w:rPr>
      </w:pPr>
      <w:r>
        <w:rPr>
          <w:iCs/>
          <w:lang w:val="en"/>
        </w:rPr>
        <w:t xml:space="preserve">Breed, G. A., Don Bowen, W., &amp; Leonard, M. L. (2013). Behavioral signature of intraspecific competition and density dependence in colony‐breeding marine predators. Ecology and Evolution, 3(11), 3838–3854. </w:t>
      </w:r>
      <w:r>
        <w:fldChar w:fldCharType="begin"/>
      </w:r>
      <w:r>
        <w:instrText xml:space="preserve"> HYPERLINK "https://doi.org/10.1002/ece3.754" </w:instrText>
      </w:r>
      <w:r>
        <w:fldChar w:fldCharType="separate"/>
      </w:r>
      <w:r>
        <w:rPr>
          <w:iCs/>
          <w:lang w:val="en"/>
        </w:rPr>
        <w:t>https://doi.org/10.1002/ece3.754</w:t>
      </w:r>
      <w:r>
        <w:rPr>
          <w:iCs/>
          <w:lang w:val="en"/>
        </w:rPr>
        <w:fldChar w:fldCharType="end"/>
      </w:r>
    </w:p>
    <w:p>
      <w:pPr>
        <w:spacing w:line="360" w:lineRule="auto"/>
        <w:ind w:left="400" w:hanging="400" w:hangingChars="200"/>
        <w:rPr>
          <w:iCs/>
          <w:lang w:val="en"/>
        </w:rPr>
      </w:pPr>
      <w:r>
        <w:rPr>
          <w:iCs/>
          <w:lang w:val="en"/>
        </w:rPr>
        <w:t xml:space="preserve">Bugoni, L., Griffiths, K., &amp; Furness, R. W. (2011). Sex-biased incidental mortality of albatrosses and petrels in longline fisheries: Differential distributions at sea or differential access to baits mediated by sexual size dimorphism? Journal of Ornithology, 152(2), 261–268. </w:t>
      </w:r>
      <w:r>
        <w:fldChar w:fldCharType="begin"/>
      </w:r>
      <w:r>
        <w:instrText xml:space="preserve"> HYPERLINK "https://doi.org/10.1007/s10336-010-0577-x" </w:instrText>
      </w:r>
      <w:r>
        <w:fldChar w:fldCharType="separate"/>
      </w:r>
      <w:r>
        <w:rPr>
          <w:iCs/>
          <w:lang w:val="en"/>
        </w:rPr>
        <w:t>https://doi.org/10.1007/s10336-010-0577-x</w:t>
      </w:r>
      <w:r>
        <w:rPr>
          <w:iCs/>
          <w:lang w:val="en"/>
        </w:rPr>
        <w:fldChar w:fldCharType="end"/>
      </w:r>
    </w:p>
    <w:p>
      <w:pPr>
        <w:spacing w:line="360" w:lineRule="auto"/>
        <w:ind w:left="400" w:hanging="400" w:hangingChars="200"/>
        <w:rPr>
          <w:iCs/>
          <w:lang w:val="en"/>
        </w:rPr>
      </w:pPr>
      <w:r>
        <w:rPr>
          <w:iCs/>
          <w:lang w:val="en"/>
        </w:rPr>
        <w:t>Burnham KP &amp; Anderson DR. (2002). Model selection and multimodel inference: A practical information-theoretic approach. New York, NY: Springer.</w:t>
      </w:r>
    </w:p>
    <w:p>
      <w:pPr>
        <w:spacing w:line="360" w:lineRule="auto"/>
        <w:ind w:left="400" w:hanging="400" w:hangingChars="200"/>
        <w:rPr>
          <w:iCs/>
          <w:lang w:val="en"/>
        </w:rPr>
      </w:pPr>
      <w:r>
        <w:rPr>
          <w:iCs/>
          <w:lang w:val="en"/>
        </w:rPr>
        <w:t xml:space="preserve">Cairns, D. K. (1989). The Regulation of Seabird Colony Size: A Hinterland Model. The American Naturalist, 134(1), 141–146. </w:t>
      </w:r>
      <w:r>
        <w:fldChar w:fldCharType="begin"/>
      </w:r>
      <w:r>
        <w:instrText xml:space="preserve"> HYPERLINK "https://doi.org/10.1086/284970" </w:instrText>
      </w:r>
      <w:r>
        <w:fldChar w:fldCharType="separate"/>
      </w:r>
      <w:r>
        <w:rPr>
          <w:iCs/>
          <w:lang w:val="en"/>
        </w:rPr>
        <w:t>https://doi.org/10.1086/284970</w:t>
      </w:r>
      <w:r>
        <w:rPr>
          <w:iCs/>
          <w:lang w:val="en"/>
        </w:rPr>
        <w:fldChar w:fldCharType="end"/>
      </w:r>
    </w:p>
    <w:p>
      <w:pPr>
        <w:spacing w:line="360" w:lineRule="auto"/>
        <w:ind w:left="400" w:hanging="400" w:hangingChars="200"/>
        <w:rPr>
          <w:iCs/>
          <w:lang w:val="en"/>
        </w:rPr>
      </w:pPr>
      <w:r>
        <w:rPr>
          <w:iCs/>
          <w:lang w:val="en"/>
        </w:rPr>
        <w:t xml:space="preserve">Calenge, C. (2006). The package “adehabitat” for the R software: A tool for the analysis of space and habitat use by animals. Ecological Modelling, 197(3–4), 516–519. </w:t>
      </w:r>
      <w:r>
        <w:fldChar w:fldCharType="begin"/>
      </w:r>
      <w:r>
        <w:instrText xml:space="preserve"> HYPERLINK "https://doi.org/10.1016/j.ecolmodel.2006.03.017" </w:instrText>
      </w:r>
      <w:r>
        <w:fldChar w:fldCharType="separate"/>
      </w:r>
      <w:r>
        <w:rPr>
          <w:iCs/>
          <w:lang w:val="en"/>
        </w:rPr>
        <w:t>https://doi.org/10.1016/j.ecolmodel.2006.03.017</w:t>
      </w:r>
      <w:r>
        <w:rPr>
          <w:iCs/>
          <w:lang w:val="en"/>
        </w:rPr>
        <w:fldChar w:fldCharType="end"/>
      </w:r>
    </w:p>
    <w:p>
      <w:pPr>
        <w:spacing w:line="360" w:lineRule="auto"/>
        <w:ind w:left="400" w:hanging="400" w:hangingChars="200"/>
        <w:rPr>
          <w:iCs/>
          <w:lang w:val="en"/>
        </w:rPr>
      </w:pPr>
      <w:r>
        <w:rPr>
          <w:iCs/>
          <w:lang w:val="en"/>
        </w:rPr>
        <w:t xml:space="preserve">Carpenter‐Kling, T., Reisinger, R. R., Orgeret, F., Connan, M., Stevens, K. L., Ryan, P. G., Makhado, A., &amp; Pistorius, P. A. (2020). Foraging in a dynamic environment: Response of four sympatric sub‐Antarctic albatross species to interannual environmental variability. Ecology and Evolution, 10(20), 11277–11295. </w:t>
      </w:r>
      <w:r>
        <w:fldChar w:fldCharType="begin"/>
      </w:r>
      <w:r>
        <w:instrText xml:space="preserve"> HYPERLINK "https://doi.org/10.1002/ece3.6766" </w:instrText>
      </w:r>
      <w:r>
        <w:fldChar w:fldCharType="separate"/>
      </w:r>
      <w:r>
        <w:rPr>
          <w:iCs/>
          <w:lang w:val="en"/>
        </w:rPr>
        <w:t>https://doi.org/10.1002/ece3.6766</w:t>
      </w:r>
      <w:r>
        <w:rPr>
          <w:iCs/>
          <w:lang w:val="en"/>
        </w:rPr>
        <w:fldChar w:fldCharType="end"/>
      </w:r>
    </w:p>
    <w:p>
      <w:pPr>
        <w:spacing w:line="360" w:lineRule="auto"/>
        <w:ind w:left="400" w:hanging="400" w:hangingChars="200"/>
        <w:rPr>
          <w:iCs/>
          <w:lang w:val="en"/>
        </w:rPr>
      </w:pPr>
      <w:r>
        <w:rPr>
          <w:iCs/>
          <w:lang w:val="en"/>
        </w:rPr>
        <w:t xml:space="preserve">Catry, P., Lemos, R. T., Brickle, P., Phillips, R. A., Matias, R., &amp; Granadeiro, J. P. (2013). Predicting the distribution of a threatened albatross: The importance of competition, fisheries and annual variability. Progress in Oceanography, 110, 1–10. </w:t>
      </w:r>
      <w:r>
        <w:fldChar w:fldCharType="begin"/>
      </w:r>
      <w:r>
        <w:instrText xml:space="preserve"> HYPERLINK "https://doi.org/10.1016/j.pocean.2013.01.005" </w:instrText>
      </w:r>
      <w:r>
        <w:fldChar w:fldCharType="separate"/>
      </w:r>
      <w:r>
        <w:rPr>
          <w:iCs/>
          <w:lang w:val="en"/>
        </w:rPr>
        <w:t>https://doi.org/10.1016/j.pocean.2013.01.005</w:t>
      </w:r>
      <w:r>
        <w:rPr>
          <w:iCs/>
          <w:lang w:val="en"/>
        </w:rPr>
        <w:fldChar w:fldCharType="end"/>
      </w:r>
    </w:p>
    <w:p>
      <w:pPr>
        <w:spacing w:line="360" w:lineRule="auto"/>
        <w:ind w:left="400" w:hanging="400" w:hangingChars="200"/>
        <w:rPr>
          <w:iCs/>
          <w:lang w:val="en"/>
        </w:rPr>
      </w:pPr>
      <w:r>
        <w:rPr>
          <w:iCs/>
          <w:lang w:val="en"/>
        </w:rPr>
        <w:t>Catry, P</w:t>
      </w:r>
      <w:r>
        <w:rPr>
          <w:rFonts w:hint="default"/>
          <w:iCs/>
          <w:lang w:val="en"/>
        </w:rPr>
        <w:t>.</w:t>
      </w:r>
      <w:r>
        <w:rPr>
          <w:iCs/>
          <w:lang w:val="en"/>
        </w:rPr>
        <w:t>, Phillips, R. A., Croxall, J. P., Ruckstuhl, K., &amp; Neuhaus, P. (2006). Sexual segregation in birds: Patterns, processes and implications for conservation. Sexual Segregation in Vertebrates: Ecology of the Two Sexes, 351–378.</w:t>
      </w:r>
    </w:p>
    <w:p>
      <w:pPr>
        <w:spacing w:line="360" w:lineRule="auto"/>
        <w:ind w:left="400" w:hanging="400" w:hangingChars="200"/>
        <w:rPr>
          <w:iCs/>
          <w:lang w:val="en"/>
        </w:rPr>
      </w:pPr>
      <w:r>
        <w:rPr>
          <w:iCs/>
          <w:lang w:val="en"/>
        </w:rPr>
        <w:t xml:space="preserve">Cecere, J. G., Bondì, S., Podofillini, S., Imperio, S., Griggio, M., Fulco, E., Curcio, A., Ménard, D., Mellone, U., Saino, N., Serra, L., Sarà, M., &amp; Rubolini, D. (2018). Spatial segregation of home ranges between neighbouring colonies in a diurnal raptor. Scientific Reports, 8(1), 11762. </w:t>
      </w:r>
      <w:r>
        <w:fldChar w:fldCharType="begin"/>
      </w:r>
      <w:r>
        <w:instrText xml:space="preserve"> HYPERLINK "https://doi.org/10.1038/s41598-018-29933-2" </w:instrText>
      </w:r>
      <w:r>
        <w:fldChar w:fldCharType="separate"/>
      </w:r>
      <w:r>
        <w:rPr>
          <w:iCs/>
          <w:lang w:val="en"/>
        </w:rPr>
        <w:t>https://doi.org/10.1038/s41598-018-29933-2</w:t>
      </w:r>
      <w:r>
        <w:rPr>
          <w:iCs/>
          <w:lang w:val="en"/>
        </w:rPr>
        <w:fldChar w:fldCharType="end"/>
      </w:r>
    </w:p>
    <w:p>
      <w:pPr>
        <w:spacing w:line="360" w:lineRule="auto"/>
        <w:ind w:left="400" w:hanging="400" w:hangingChars="200"/>
        <w:rPr>
          <w:iCs/>
          <w:lang w:val="en"/>
        </w:rPr>
      </w:pPr>
      <w:r>
        <w:rPr>
          <w:iCs/>
          <w:lang w:val="en"/>
        </w:rPr>
        <w:t xml:space="preserve">Clark, B., Cox, S., Atkins, K., Bearhop, S., Bicknell, A., Bodey, T., Cleasby, I., Grecian, W., Hamer, K., Loveday, B., Miller, P., Morgan, G., Morgan, L., Newton, J., Patrick, S., Scales, K., Sherley, R., Vigfúsdóttir, F., Wakefield, E., &amp; Votier, S. (2021). Sexual segregation of gannet foraging over 11 years: Movements vary but isotopic differences remain stable. Marine Ecology Progress Series, 661, 1–16. </w:t>
      </w:r>
      <w:r>
        <w:fldChar w:fldCharType="begin"/>
      </w:r>
      <w:r>
        <w:instrText xml:space="preserve"> HYPERLINK "https://doi.org/10.3354/meps13636" </w:instrText>
      </w:r>
      <w:r>
        <w:fldChar w:fldCharType="separate"/>
      </w:r>
      <w:r>
        <w:rPr>
          <w:iCs/>
          <w:lang w:val="en"/>
        </w:rPr>
        <w:t>https://doi.org/10.3354/meps13636</w:t>
      </w:r>
      <w:r>
        <w:rPr>
          <w:iCs/>
          <w:lang w:val="en"/>
        </w:rPr>
        <w:fldChar w:fldCharType="end"/>
      </w:r>
    </w:p>
    <w:p>
      <w:pPr>
        <w:spacing w:line="360" w:lineRule="auto"/>
        <w:ind w:left="400" w:hanging="400" w:hangingChars="200"/>
        <w:rPr>
          <w:iCs/>
          <w:lang w:val="en"/>
        </w:rPr>
      </w:pPr>
      <w:r>
        <w:rPr>
          <w:iCs/>
          <w:lang w:val="en"/>
        </w:rPr>
        <w:t xml:space="preserve">Clay, T. A., Joo, R., Weimerskirch, H., Phillips, R. A., Ouden, O., Basille, M., Clusella‐Trullas, S., Assink, J. D., &amp; Patrick, S. C. (2020). Sex‐specific effects of wind on the flight decisions of a sexually dimorphic soaring bird. Journal of Animal Ecology, 89(8), 1811–1823. </w:t>
      </w:r>
      <w:r>
        <w:fldChar w:fldCharType="begin"/>
      </w:r>
      <w:r>
        <w:instrText xml:space="preserve"> HYPERLINK "https://doi.org/10.1111/1365-2656.13267" </w:instrText>
      </w:r>
      <w:r>
        <w:fldChar w:fldCharType="separate"/>
      </w:r>
      <w:r>
        <w:rPr>
          <w:iCs/>
          <w:lang w:val="en"/>
        </w:rPr>
        <w:t>https://doi.org/10.1111/1365-2656.13267</w:t>
      </w:r>
      <w:r>
        <w:rPr>
          <w:iCs/>
          <w:lang w:val="en"/>
        </w:rPr>
        <w:fldChar w:fldCharType="end"/>
      </w:r>
    </w:p>
    <w:p>
      <w:pPr>
        <w:spacing w:line="360" w:lineRule="auto"/>
        <w:ind w:left="400" w:hanging="400" w:hangingChars="200"/>
        <w:rPr>
          <w:iCs/>
          <w:lang w:val="en"/>
        </w:rPr>
      </w:pPr>
      <w:r>
        <w:rPr>
          <w:iCs/>
          <w:lang w:val="en"/>
        </w:rPr>
        <w:t xml:space="preserve">Cleasby, I., Wakefield, E., Bodey, T., Davies, R., Patrick, S., Newton, J., Votier, S., Bearhop, S., &amp; Hamer, K. (2015). Sexual segregation in a wide-ranging marine predator is a consequence of habitat selection. Marine Ecology Progress Series, 518, 1–12. </w:t>
      </w:r>
      <w:r>
        <w:fldChar w:fldCharType="begin"/>
      </w:r>
      <w:r>
        <w:instrText xml:space="preserve"> HYPERLINK "https://doi.org/10.3354/meps11112" </w:instrText>
      </w:r>
      <w:r>
        <w:fldChar w:fldCharType="separate"/>
      </w:r>
      <w:r>
        <w:rPr>
          <w:iCs/>
          <w:lang w:val="en"/>
        </w:rPr>
        <w:t>https://doi.org/10.3354/meps11112</w:t>
      </w:r>
      <w:r>
        <w:rPr>
          <w:iCs/>
          <w:lang w:val="en"/>
        </w:rPr>
        <w:fldChar w:fldCharType="end"/>
      </w:r>
    </w:p>
    <w:p>
      <w:pPr>
        <w:spacing w:line="360" w:lineRule="auto"/>
        <w:ind w:left="400" w:hanging="400" w:hangingChars="200"/>
        <w:rPr>
          <w:iCs/>
          <w:lang w:val="en"/>
        </w:rPr>
      </w:pPr>
      <w:r>
        <w:rPr>
          <w:iCs/>
          <w:lang w:val="en"/>
        </w:rPr>
        <w:t xml:space="preserve">Collet, J., Patrick, S. C., &amp; Weimerskirch, H. (2017). Behavioral responses to encounter of fishing boats in wandering albatrosses. Ecology and Evolution, 7(10), 3335–3347. </w:t>
      </w:r>
      <w:r>
        <w:fldChar w:fldCharType="begin"/>
      </w:r>
      <w:r>
        <w:instrText xml:space="preserve"> HYPERLINK "https://doi.org/10.1002/ece3.2677" </w:instrText>
      </w:r>
      <w:r>
        <w:fldChar w:fldCharType="separate"/>
      </w:r>
      <w:r>
        <w:rPr>
          <w:iCs/>
          <w:lang w:val="en"/>
        </w:rPr>
        <w:t>https://doi.org/10.1002/ece3.2677</w:t>
      </w:r>
      <w:r>
        <w:rPr>
          <w:iCs/>
          <w:lang w:val="en"/>
        </w:rPr>
        <w:fldChar w:fldCharType="end"/>
      </w:r>
    </w:p>
    <w:p>
      <w:pPr>
        <w:spacing w:line="360" w:lineRule="auto"/>
        <w:ind w:left="400" w:hanging="400" w:hangingChars="200"/>
        <w:rPr>
          <w:iCs/>
          <w:lang w:val="en"/>
        </w:rPr>
      </w:pPr>
      <w:r>
        <w:rPr>
          <w:iCs/>
          <w:lang w:val="en"/>
        </w:rPr>
        <w:t xml:space="preserve">Connell, J. H. (1980). Diversity and the Coevolution of Competitors, or the Ghost of Competition Past. Oikos, 35(2), 131. </w:t>
      </w:r>
      <w:r>
        <w:fldChar w:fldCharType="begin"/>
      </w:r>
      <w:r>
        <w:instrText xml:space="preserve"> HYPERLINK "https://doi.org/10.2307/3544421" </w:instrText>
      </w:r>
      <w:r>
        <w:fldChar w:fldCharType="separate"/>
      </w:r>
      <w:r>
        <w:rPr>
          <w:iCs/>
          <w:lang w:val="en"/>
        </w:rPr>
        <w:t>https://doi.org/10.2307/3544421</w:t>
      </w:r>
      <w:r>
        <w:rPr>
          <w:iCs/>
          <w:lang w:val="en"/>
        </w:rPr>
        <w:fldChar w:fldCharType="end"/>
      </w:r>
    </w:p>
    <w:p>
      <w:pPr>
        <w:spacing w:line="360" w:lineRule="auto"/>
        <w:ind w:left="400" w:hanging="400" w:hangingChars="200"/>
        <w:rPr>
          <w:iCs/>
          <w:lang w:val="en"/>
        </w:rPr>
      </w:pPr>
      <w:r>
        <w:rPr>
          <w:iCs/>
          <w:lang w:val="en"/>
        </w:rPr>
        <w:t>Corbeau, A., Collet, J., Orgeret, F., Pistorius, P., &amp; Weimerskirch, H. (2021</w:t>
      </w:r>
      <w:r>
        <w:rPr>
          <w:rFonts w:hint="default"/>
          <w:iCs/>
          <w:lang w:val="en"/>
        </w:rPr>
        <w:t>a</w:t>
      </w:r>
      <w:r>
        <w:rPr>
          <w:iCs/>
          <w:lang w:val="en"/>
        </w:rPr>
        <w:t xml:space="preserve">). Fine‐scale interactions between boats and large albatrosses indicate variable susceptibility to bycatch risk according to species and populations. Animal Conservation, acv.12676. </w:t>
      </w:r>
      <w:r>
        <w:fldChar w:fldCharType="begin"/>
      </w:r>
      <w:r>
        <w:instrText xml:space="preserve"> HYPERLINK "https://doi.org/10.1111/acv.12676" </w:instrText>
      </w:r>
      <w:r>
        <w:fldChar w:fldCharType="separate"/>
      </w:r>
      <w:r>
        <w:rPr>
          <w:iCs/>
          <w:lang w:val="en"/>
        </w:rPr>
        <w:t>https://doi.org/10.1111/acv.12676</w:t>
      </w:r>
      <w:r>
        <w:rPr>
          <w:iCs/>
          <w:lang w:val="en"/>
        </w:rPr>
        <w:fldChar w:fldCharType="end"/>
      </w:r>
    </w:p>
    <w:p>
      <w:pPr>
        <w:spacing w:line="360" w:lineRule="auto"/>
        <w:ind w:left="400" w:hanging="400" w:hangingChars="200"/>
        <w:rPr>
          <w:iCs/>
          <w:lang w:val="en"/>
        </w:rPr>
      </w:pPr>
      <w:r>
        <w:rPr>
          <w:iCs/>
          <w:lang w:val="en" w:eastAsia="zh-CN"/>
        </w:rPr>
        <w:t>Corbeau, A., Collet, J., Pajot, A., Joo, R., Thellier, T., &amp; Weimerskirch, H. (2021</w:t>
      </w:r>
      <w:r>
        <w:rPr>
          <w:rFonts w:hint="default"/>
          <w:iCs/>
          <w:lang w:val="en" w:eastAsia="zh-CN"/>
        </w:rPr>
        <w:t>b</w:t>
      </w:r>
      <w:r>
        <w:rPr>
          <w:iCs/>
          <w:lang w:val="en" w:eastAsia="zh-CN"/>
        </w:rPr>
        <w:t xml:space="preserve">). Differences in foraging habitat result in contrasting fisheries interactions in two albatross populations. Marine Ecology Progress Series, 663, 197–208. </w:t>
      </w:r>
      <w:r>
        <w:rPr>
          <w:iCs/>
          <w:lang w:val="en" w:eastAsia="zh-CN"/>
        </w:rPr>
        <w:fldChar w:fldCharType="begin"/>
      </w:r>
      <w:r>
        <w:rPr>
          <w:iCs/>
          <w:lang w:val="en" w:eastAsia="zh-CN"/>
        </w:rPr>
        <w:instrText xml:space="preserve"> HYPERLINK "https://doi.org/10.3354/meps13648" </w:instrText>
      </w:r>
      <w:r>
        <w:rPr>
          <w:iCs/>
          <w:lang w:val="en" w:eastAsia="zh-CN"/>
        </w:rPr>
        <w:fldChar w:fldCharType="separate"/>
      </w:r>
      <w:r>
        <w:rPr>
          <w:iCs/>
          <w:lang w:val="en"/>
        </w:rPr>
        <w:t>https://doi.org/10.3354/meps13648</w:t>
      </w:r>
      <w:r>
        <w:rPr>
          <w:iCs/>
          <w:lang w:val="en" w:eastAsia="zh-CN"/>
        </w:rPr>
        <w:fldChar w:fldCharType="end"/>
      </w:r>
    </w:p>
    <w:p>
      <w:pPr>
        <w:spacing w:line="360" w:lineRule="auto"/>
        <w:ind w:left="400" w:hanging="400" w:hangingChars="200"/>
        <w:rPr>
          <w:iCs/>
          <w:lang w:val="en"/>
        </w:rPr>
      </w:pPr>
      <w:r>
        <w:rPr>
          <w:iCs/>
          <w:lang w:val="en"/>
        </w:rPr>
        <w:t xml:space="preserve">Cornioley, T., Börger, L., Ozgul, A., &amp; Weimerskirch, H. (2016). Impact of changing wind conditions on foraging and incubation success in male and female wandering albatrosses. Journal of Animal Ecology, 85(5), 1318–1327. </w:t>
      </w:r>
      <w:r>
        <w:fldChar w:fldCharType="begin"/>
      </w:r>
      <w:r>
        <w:instrText xml:space="preserve"> HYPERLINK "https://doi.org/10.1111/1365-2656.12552" </w:instrText>
      </w:r>
      <w:r>
        <w:fldChar w:fldCharType="separate"/>
      </w:r>
      <w:r>
        <w:rPr>
          <w:iCs/>
          <w:lang w:val="en"/>
        </w:rPr>
        <w:t>https://doi.org/10.1111/1365-2656.12552</w:t>
      </w:r>
      <w:r>
        <w:rPr>
          <w:iCs/>
          <w:lang w:val="en"/>
        </w:rPr>
        <w:fldChar w:fldCharType="end"/>
      </w:r>
    </w:p>
    <w:p>
      <w:pPr>
        <w:spacing w:line="360" w:lineRule="auto"/>
        <w:ind w:left="400" w:hanging="400" w:hangingChars="200"/>
        <w:rPr>
          <w:iCs/>
          <w:lang w:val="en"/>
        </w:rPr>
      </w:pPr>
      <w:r>
        <w:rPr>
          <w:iCs/>
          <w:lang w:val="en"/>
        </w:rPr>
        <w:t xml:space="preserve">Cornioley, T., Jenouvrier, S., Börger, L., Weimerskirch, H., &amp; Ozgul, A. (2017). Fathers matter: Male body mass affects life-history traits in a size-dimorphic seabird. Proceedings of the Royal Society B: Biological Sciences, 284(1854), 20170397. </w:t>
      </w:r>
      <w:r>
        <w:fldChar w:fldCharType="begin"/>
      </w:r>
      <w:r>
        <w:instrText xml:space="preserve"> HYPERLINK "https://doi.org/10.1098/rspb.2017.0397" </w:instrText>
      </w:r>
      <w:r>
        <w:fldChar w:fldCharType="separate"/>
      </w:r>
      <w:r>
        <w:rPr>
          <w:iCs/>
          <w:lang w:val="en"/>
        </w:rPr>
        <w:t>https://doi.org/10.1098/rspb.2017.0397</w:t>
      </w:r>
      <w:r>
        <w:rPr>
          <w:iCs/>
          <w:lang w:val="en"/>
        </w:rPr>
        <w:fldChar w:fldCharType="end"/>
      </w:r>
    </w:p>
    <w:p>
      <w:pPr>
        <w:spacing w:line="360" w:lineRule="auto"/>
        <w:ind w:left="400" w:hanging="400" w:hangingChars="200"/>
        <w:rPr>
          <w:iCs/>
          <w:lang w:val="en"/>
        </w:rPr>
      </w:pPr>
      <w:r>
        <w:rPr>
          <w:iCs/>
          <w:lang w:val="en"/>
        </w:rPr>
        <w:t xml:space="preserve">Courbin, N., Besnard, A., Péron, C., Saraux, C., Fort, J., Perret, S., Tornos, J., &amp; Grémillet, D. (2018). Short-term prey field lability constrains individual specialisation in resource selection and foraging site fidelity in a marine predator. Ecology Letters, 21(7), 1043–1054. </w:t>
      </w:r>
      <w:r>
        <w:fldChar w:fldCharType="begin"/>
      </w:r>
      <w:r>
        <w:instrText xml:space="preserve"> HYPERLINK "https://doi.org/10.1111/ele.12970" </w:instrText>
      </w:r>
      <w:r>
        <w:fldChar w:fldCharType="separate"/>
      </w:r>
      <w:r>
        <w:rPr>
          <w:iCs/>
          <w:lang w:val="en"/>
        </w:rPr>
        <w:t>https://doi.org/10.1111/ele.12970</w:t>
      </w:r>
      <w:r>
        <w:rPr>
          <w:iCs/>
          <w:lang w:val="en"/>
        </w:rPr>
        <w:fldChar w:fldCharType="end"/>
      </w:r>
    </w:p>
    <w:p>
      <w:pPr>
        <w:spacing w:line="360" w:lineRule="auto"/>
        <w:ind w:left="400" w:hanging="400" w:hangingChars="200"/>
        <w:rPr>
          <w:iCs/>
          <w:lang w:val="en"/>
        </w:rPr>
      </w:pPr>
      <w:r>
        <w:rPr>
          <w:iCs/>
          <w:lang w:val="en"/>
        </w:rPr>
        <w:t xml:space="preserve">Crampe, J.-P., Gerard, J.-F., Goulard, M., Milleret, C., Gonzalez, G., &amp; Bon, R. (2021). Year-round sexual segregation in the Pyrenean chamois, a nearly monomorphic polygynous herbivore. Behavioural Processes, 184, 104300. </w:t>
      </w:r>
      <w:r>
        <w:fldChar w:fldCharType="begin"/>
      </w:r>
      <w:r>
        <w:instrText xml:space="preserve"> HYPERLINK "https://doi.org/10.1016/j.beproc.2020.104300" </w:instrText>
      </w:r>
      <w:r>
        <w:fldChar w:fldCharType="separate"/>
      </w:r>
      <w:r>
        <w:rPr>
          <w:iCs/>
          <w:lang w:val="en"/>
        </w:rPr>
        <w:t>https://doi.org/10.1016/j.beproc.2020.104300</w:t>
      </w:r>
      <w:r>
        <w:rPr>
          <w:iCs/>
          <w:lang w:val="en"/>
        </w:rPr>
        <w:fldChar w:fldCharType="end"/>
      </w:r>
    </w:p>
    <w:p>
      <w:pPr>
        <w:spacing w:line="360" w:lineRule="auto"/>
        <w:ind w:left="400" w:hanging="400" w:hangingChars="200"/>
        <w:rPr>
          <w:iCs/>
          <w:lang w:val="en"/>
        </w:rPr>
      </w:pPr>
      <w:r>
        <w:rPr>
          <w:iCs/>
          <w:lang w:val="en"/>
        </w:rPr>
        <w:t xml:space="preserve">De Pascalis, F., Imperio, S., Benvenuti, A., Catoni, C., Rubolini, D., &amp; Cecere, J. G. (2020). Sex-specific foraging behaviour is affected by wind conditions in a sexually size dimorphic seabird. Animal Behaviour, 166, 207–218. </w:t>
      </w:r>
      <w:r>
        <w:fldChar w:fldCharType="begin"/>
      </w:r>
      <w:r>
        <w:instrText xml:space="preserve"> HYPERLINK "https://doi.org/10.1016/j.anbehav.2020.05.014" </w:instrText>
      </w:r>
      <w:r>
        <w:fldChar w:fldCharType="separate"/>
      </w:r>
      <w:r>
        <w:rPr>
          <w:iCs/>
          <w:lang w:val="en"/>
        </w:rPr>
        <w:t>https://doi.org/10.1016/j.anbehav.2020.05.014</w:t>
      </w:r>
      <w:r>
        <w:rPr>
          <w:iCs/>
          <w:lang w:val="en"/>
        </w:rPr>
        <w:fldChar w:fldCharType="end"/>
      </w:r>
    </w:p>
    <w:p>
      <w:pPr>
        <w:spacing w:line="360" w:lineRule="auto"/>
        <w:ind w:left="400" w:hanging="400" w:hangingChars="200"/>
        <w:rPr>
          <w:iCs/>
          <w:lang w:val="en"/>
        </w:rPr>
      </w:pPr>
      <w:r>
        <w:rPr>
          <w:iCs/>
          <w:lang w:val="en"/>
        </w:rPr>
        <w:t xml:space="preserve">Dean, B., Kirk, H., Fayet, A., Shoji, A., Freeman, R., Leonard, K., Perrins, C., &amp; Guilford, T. (2015). Simultaneous multi-colony tracking of a pelagic seabird reveals cross-colony utilization of a shared foraging area. Marine Ecology Progress Series, 538, 239–248. </w:t>
      </w:r>
      <w:r>
        <w:fldChar w:fldCharType="begin"/>
      </w:r>
      <w:r>
        <w:instrText xml:space="preserve"> HYPERLINK "https://doi.org/10.3354/meps11443" </w:instrText>
      </w:r>
      <w:r>
        <w:fldChar w:fldCharType="separate"/>
      </w:r>
      <w:r>
        <w:rPr>
          <w:iCs/>
          <w:lang w:val="en"/>
        </w:rPr>
        <w:t>https://doi.org/10.3354/meps11443</w:t>
      </w:r>
      <w:r>
        <w:rPr>
          <w:iCs/>
          <w:lang w:val="en"/>
        </w:rPr>
        <w:fldChar w:fldCharType="end"/>
      </w:r>
    </w:p>
    <w:p>
      <w:pPr>
        <w:spacing w:line="360" w:lineRule="auto"/>
        <w:ind w:left="400" w:hanging="400" w:hangingChars="200"/>
        <w:rPr>
          <w:iCs/>
          <w:lang w:val="en"/>
        </w:rPr>
      </w:pPr>
      <w:r>
        <w:rPr>
          <w:iCs/>
          <w:lang w:val="en"/>
        </w:rPr>
        <w:t xml:space="preserve">Evans, J. C., Dall, S. R. X., Bolton, M., Owen, E., &amp; Votier, S. C. (2016). Social foraging European shags: GPS tracking reveals birds from neighbouring colonies have shared foraging grounds. Journal of Ornithology, 157(1), 23–32. </w:t>
      </w:r>
      <w:r>
        <w:fldChar w:fldCharType="begin"/>
      </w:r>
      <w:r>
        <w:instrText xml:space="preserve"> HYPERLINK "https://doi.org/10.1007/s10336-015-1241-2" </w:instrText>
      </w:r>
      <w:r>
        <w:fldChar w:fldCharType="separate"/>
      </w:r>
      <w:r>
        <w:rPr>
          <w:iCs/>
          <w:lang w:val="en"/>
        </w:rPr>
        <w:t>https://doi.org/10.1007/s10336-015-1241-2</w:t>
      </w:r>
      <w:r>
        <w:rPr>
          <w:iCs/>
          <w:lang w:val="en"/>
        </w:rPr>
        <w:fldChar w:fldCharType="end"/>
      </w:r>
    </w:p>
    <w:p>
      <w:pPr>
        <w:spacing w:line="360" w:lineRule="auto"/>
        <w:ind w:left="400" w:hanging="400" w:hangingChars="200"/>
        <w:rPr>
          <w:iCs/>
          <w:lang w:val="en"/>
        </w:rPr>
      </w:pPr>
      <w:r>
        <w:rPr>
          <w:iCs/>
          <w:lang w:val="en"/>
        </w:rPr>
        <w:t xml:space="preserve">Fagan, W. F., Lewis, M. A., Auger-Méthé, M., Avgar, T., Benhamou, S., Breed, G., LaDage, L., Schlägel, U. E., Tang, W., Papastamatiou, Y. P., Forester, J., &amp; Mueller, T. (2013). Spatial memory and animal movement. Ecology Letters, 16(10), 1316–1329. </w:t>
      </w:r>
      <w:r>
        <w:fldChar w:fldCharType="begin"/>
      </w:r>
      <w:r>
        <w:instrText xml:space="preserve"> HYPERLINK "https://doi.org/10.1111/ele.12165" </w:instrText>
      </w:r>
      <w:r>
        <w:fldChar w:fldCharType="separate"/>
      </w:r>
      <w:r>
        <w:rPr>
          <w:iCs/>
          <w:lang w:val="en"/>
        </w:rPr>
        <w:t>https://doi.org/10.1111/ele.12165</w:t>
      </w:r>
      <w:r>
        <w:rPr>
          <w:iCs/>
          <w:lang w:val="en"/>
        </w:rPr>
        <w:fldChar w:fldCharType="end"/>
      </w:r>
    </w:p>
    <w:p>
      <w:pPr>
        <w:spacing w:line="360" w:lineRule="auto"/>
        <w:ind w:left="400" w:hanging="400" w:hangingChars="200"/>
        <w:rPr>
          <w:iCs/>
          <w:lang w:val="en"/>
        </w:rPr>
      </w:pPr>
      <w:r>
        <w:rPr>
          <w:iCs/>
          <w:lang w:val="en"/>
        </w:rPr>
        <w:t xml:space="preserve">Fieberg, J., &amp; Kochanny, C. O. (2005). Quantifying home-range overlap: The importance of the utilization distribution. Journal of Wildlife Management, 69(4), 1346–1359. </w:t>
      </w:r>
      <w:r>
        <w:fldChar w:fldCharType="begin"/>
      </w:r>
      <w:r>
        <w:instrText xml:space="preserve"> HYPERLINK "https://doi.org/10.2193/0022-541X(2005)69%5b1346:QHOTIO%5d2.0.CO;2" </w:instrText>
      </w:r>
      <w:r>
        <w:fldChar w:fldCharType="separate"/>
      </w:r>
      <w:r>
        <w:rPr>
          <w:iCs/>
          <w:lang w:val="en"/>
        </w:rPr>
        <w:t>https://doi.org/10.2193/0022-541X(2005)69[1346:QHOTIO]2.0.CO;2</w:t>
      </w:r>
      <w:r>
        <w:rPr>
          <w:iCs/>
          <w:lang w:val="en"/>
        </w:rPr>
        <w:fldChar w:fldCharType="end"/>
      </w:r>
    </w:p>
    <w:p>
      <w:pPr>
        <w:spacing w:line="360" w:lineRule="auto"/>
        <w:ind w:left="400" w:hanging="400" w:hangingChars="200"/>
        <w:rPr>
          <w:iCs/>
          <w:lang w:val="en"/>
        </w:rPr>
      </w:pPr>
      <w:r>
        <w:rPr>
          <w:iCs/>
          <w:lang w:val="en"/>
        </w:rPr>
        <w:t xml:space="preserve">Fithian, W., &amp; Hastie, T. (2013). Finite-sample equivalence in statistical models for presence-only data. The Annals of Applied Statistics, 7(4). </w:t>
      </w:r>
      <w:r>
        <w:fldChar w:fldCharType="begin"/>
      </w:r>
      <w:r>
        <w:instrText xml:space="preserve"> HYPERLINK "https://doi.org/10.1214/13-AOAS667" </w:instrText>
      </w:r>
      <w:r>
        <w:fldChar w:fldCharType="separate"/>
      </w:r>
      <w:r>
        <w:rPr>
          <w:iCs/>
          <w:lang w:val="en"/>
        </w:rPr>
        <w:t>https://doi.org/10.1214/13-AOAS667</w:t>
      </w:r>
      <w:r>
        <w:rPr>
          <w:iCs/>
          <w:lang w:val="en"/>
        </w:rPr>
        <w:fldChar w:fldCharType="end"/>
      </w:r>
    </w:p>
    <w:p>
      <w:pPr>
        <w:spacing w:line="360" w:lineRule="auto"/>
        <w:ind w:left="400" w:hanging="400" w:hangingChars="200"/>
        <w:rPr>
          <w:iCs/>
          <w:lang w:val="en"/>
        </w:rPr>
      </w:pPr>
      <w:r>
        <w:rPr>
          <w:iCs/>
          <w:lang w:val="en"/>
        </w:rPr>
        <w:t>Fretwell, S. D. (19</w:t>
      </w:r>
      <w:r>
        <w:rPr>
          <w:rFonts w:hint="default"/>
          <w:iCs/>
          <w:lang w:val="en"/>
        </w:rPr>
        <w:t>7</w:t>
      </w:r>
      <w:r>
        <w:rPr>
          <w:iCs/>
          <w:lang w:val="en"/>
        </w:rPr>
        <w:t>2). Populations in a Seasonal Environment (Vol. 106). Princeton University Press.</w:t>
      </w:r>
    </w:p>
    <w:p>
      <w:pPr>
        <w:spacing w:line="360" w:lineRule="auto"/>
        <w:ind w:left="400" w:hanging="400" w:hangingChars="200"/>
        <w:rPr>
          <w:iCs/>
          <w:lang w:val="en"/>
        </w:rPr>
      </w:pPr>
      <w:r>
        <w:rPr>
          <w:iCs/>
          <w:lang w:val="en"/>
        </w:rPr>
        <w:t xml:space="preserve">Froy, H., Lewis, S., Catry, P., Bishop, C. M., Forster, I. P., Fukuda, A., Higuchi, H., Phalan, B., Xavier, J. C., Nussey, D. H., &amp; Phillips, R. A. (2015). Age-Related Variation in Foraging Behaviour in the Wandering Albatross at South Georgia: No Evidence for Senescence. PLOS ONE, 10(1), e0116415. </w:t>
      </w:r>
      <w:r>
        <w:fldChar w:fldCharType="begin"/>
      </w:r>
      <w:r>
        <w:instrText xml:space="preserve"> HYPERLINK "https://doi.org/10.1371/journal.pone.0116415" </w:instrText>
      </w:r>
      <w:r>
        <w:fldChar w:fldCharType="separate"/>
      </w:r>
      <w:r>
        <w:rPr>
          <w:iCs/>
          <w:lang w:val="en"/>
        </w:rPr>
        <w:t>https://doi.org/10.1371/journal.pone.0116415</w:t>
      </w:r>
      <w:r>
        <w:rPr>
          <w:iCs/>
          <w:lang w:val="en"/>
        </w:rPr>
        <w:fldChar w:fldCharType="end"/>
      </w:r>
    </w:p>
    <w:p>
      <w:pPr>
        <w:spacing w:line="360" w:lineRule="auto"/>
        <w:ind w:left="400" w:hanging="400" w:hangingChars="200"/>
        <w:rPr>
          <w:iCs/>
          <w:lang w:val="en"/>
        </w:rPr>
      </w:pPr>
      <w:r>
        <w:rPr>
          <w:iCs/>
          <w:lang w:val="en"/>
        </w:rPr>
        <w:t xml:space="preserve">Galezo, A. A., Krzyszczyk, E., &amp; Mann, J. (2018). Sexual segregation in Indo-Pacific bottlenose dolphins is driven by female avoidance of males. Behavioral Ecology, 29(2), 377–386. </w:t>
      </w:r>
      <w:r>
        <w:fldChar w:fldCharType="begin"/>
      </w:r>
      <w:r>
        <w:instrText xml:space="preserve"> HYPERLINK "https://doi.org/10.1093/beheco/arx177" </w:instrText>
      </w:r>
      <w:r>
        <w:fldChar w:fldCharType="separate"/>
      </w:r>
      <w:r>
        <w:rPr>
          <w:iCs/>
          <w:lang w:val="en"/>
        </w:rPr>
        <w:t>https://doi.org/10.1093/beheco/arx177</w:t>
      </w:r>
      <w:r>
        <w:rPr>
          <w:iCs/>
          <w:lang w:val="en"/>
        </w:rPr>
        <w:fldChar w:fldCharType="end"/>
      </w:r>
    </w:p>
    <w:p>
      <w:pPr>
        <w:spacing w:line="360" w:lineRule="auto"/>
        <w:ind w:left="400" w:hanging="400" w:hangingChars="200"/>
        <w:rPr>
          <w:iCs/>
          <w:lang w:val="en"/>
        </w:rPr>
      </w:pPr>
      <w:r>
        <w:rPr>
          <w:iCs/>
          <w:lang w:val="en"/>
        </w:rPr>
        <w:t xml:space="preserve">Gianuca, D., Phillips, R. A., Townley, S., &amp; Votier, S. C. (2017). Global patterns of sex- and age-specific variation in seabird bycatch. Biological Conservation, 205, 60–76. </w:t>
      </w:r>
      <w:r>
        <w:fldChar w:fldCharType="begin"/>
      </w:r>
      <w:r>
        <w:instrText xml:space="preserve"> HYPERLINK "https://doi.org/10.1016/j.biocon.2016.11.028" </w:instrText>
      </w:r>
      <w:r>
        <w:fldChar w:fldCharType="separate"/>
      </w:r>
      <w:r>
        <w:rPr>
          <w:iCs/>
          <w:lang w:val="en"/>
        </w:rPr>
        <w:t>https://doi.org/10.1016/j.biocon.2016.11.028</w:t>
      </w:r>
      <w:r>
        <w:rPr>
          <w:iCs/>
          <w:lang w:val="en"/>
        </w:rPr>
        <w:fldChar w:fldCharType="end"/>
      </w:r>
    </w:p>
    <w:p>
      <w:pPr>
        <w:spacing w:line="360" w:lineRule="auto"/>
        <w:ind w:left="400" w:hanging="400" w:hangingChars="200"/>
        <w:rPr>
          <w:iCs/>
          <w:lang w:val="en"/>
        </w:rPr>
      </w:pPr>
      <w:r>
        <w:rPr>
          <w:iCs/>
          <w:lang w:val="en"/>
        </w:rPr>
        <w:t xml:space="preserve">Giery, S. T., &amp; Layman, C. A. (2019). Ecological Consequences Of Sexually Selected Traits: An Eco-Evolutionary Perspective. The Quarterly Review of Biology, 94(1), 29–74. </w:t>
      </w:r>
      <w:r>
        <w:fldChar w:fldCharType="begin"/>
      </w:r>
      <w:r>
        <w:instrText xml:space="preserve"> HYPERLINK "https://doi.org/10.1086/702341" </w:instrText>
      </w:r>
      <w:r>
        <w:fldChar w:fldCharType="separate"/>
      </w:r>
      <w:r>
        <w:rPr>
          <w:iCs/>
          <w:lang w:val="en"/>
        </w:rPr>
        <w:t>https://doi.org/10.1086/702341</w:t>
      </w:r>
      <w:r>
        <w:rPr>
          <w:iCs/>
          <w:lang w:val="en"/>
        </w:rPr>
        <w:fldChar w:fldCharType="end"/>
      </w:r>
    </w:p>
    <w:p>
      <w:pPr>
        <w:spacing w:line="360" w:lineRule="auto"/>
        <w:ind w:left="400" w:hanging="400" w:hangingChars="200"/>
        <w:rPr>
          <w:iCs/>
          <w:lang w:val="en"/>
        </w:rPr>
      </w:pPr>
      <w:r>
        <w:rPr>
          <w:iCs/>
          <w:lang w:val="en"/>
        </w:rPr>
        <w:t xml:space="preserve">Gonzalez-Solis, J., Croxall, J. P., &amp; Wood, A. G. (2000). Sexual dimorphism and sexual segregation in foraging strategies of northern giant petrels, Macronectes halli, during incubation. Oikos, 90(2), 390–398. </w:t>
      </w:r>
      <w:r>
        <w:fldChar w:fldCharType="begin"/>
      </w:r>
      <w:r>
        <w:instrText xml:space="preserve"> HYPERLINK "https://doi.org/10.1034/j.1600-0706.2000.900220.x" </w:instrText>
      </w:r>
      <w:r>
        <w:fldChar w:fldCharType="separate"/>
      </w:r>
      <w:r>
        <w:rPr>
          <w:iCs/>
          <w:lang w:val="en"/>
        </w:rPr>
        <w:t>https://doi.org/10.1034/j.1600-0706.2000.900220.x</w:t>
      </w:r>
      <w:r>
        <w:rPr>
          <w:iCs/>
          <w:lang w:val="en"/>
        </w:rPr>
        <w:fldChar w:fldCharType="end"/>
      </w:r>
    </w:p>
    <w:p>
      <w:pPr>
        <w:spacing w:line="360" w:lineRule="auto"/>
        <w:ind w:left="400" w:hanging="400" w:hangingChars="200"/>
        <w:rPr>
          <w:iCs/>
          <w:lang w:val="en"/>
        </w:rPr>
      </w:pPr>
      <w:r>
        <w:rPr>
          <w:iCs/>
          <w:lang w:val="en"/>
        </w:rPr>
        <w:t xml:space="preserve">Granroth-Wilding, H. M. V., &amp; Phillips, R. A. (2019). Segregation in space and time explains the coexistence of two sympatric sub-Antarctic petrels. Ibis, 161(1), 101–116. </w:t>
      </w:r>
      <w:r>
        <w:fldChar w:fldCharType="begin"/>
      </w:r>
      <w:r>
        <w:instrText xml:space="preserve"> HYPERLINK "https://doi.org/10.1111/ibi.12584" </w:instrText>
      </w:r>
      <w:r>
        <w:fldChar w:fldCharType="separate"/>
      </w:r>
      <w:r>
        <w:rPr>
          <w:iCs/>
          <w:lang w:val="en"/>
        </w:rPr>
        <w:t>https://doi.org/10.1111/ibi.12584</w:t>
      </w:r>
      <w:r>
        <w:rPr>
          <w:iCs/>
          <w:lang w:val="en"/>
        </w:rPr>
        <w:fldChar w:fldCharType="end"/>
      </w:r>
    </w:p>
    <w:p>
      <w:pPr>
        <w:spacing w:line="360" w:lineRule="auto"/>
        <w:ind w:left="400" w:hanging="400" w:hangingChars="200"/>
        <w:rPr>
          <w:iCs/>
          <w:lang w:val="en"/>
        </w:rPr>
      </w:pPr>
      <w:r>
        <w:rPr>
          <w:iCs/>
          <w:lang w:val="en"/>
        </w:rPr>
        <w:t xml:space="preserve">Green, D. B., Bestley, S., Trebilco, R., Corney, S. P., Lehodey, P., McMahon, C. R., Guinet, C., &amp; Hindell, M. A. (2020). Modelled mid‐trophic pelagic prey fields improve understanding of marine predator foraging behaviour. Ecography, 43(7), 1014–1026. </w:t>
      </w:r>
      <w:r>
        <w:fldChar w:fldCharType="begin"/>
      </w:r>
      <w:r>
        <w:instrText xml:space="preserve"> HYPERLINK "https://doi.org/10.1111/ecog.04939" </w:instrText>
      </w:r>
      <w:r>
        <w:fldChar w:fldCharType="separate"/>
      </w:r>
      <w:r>
        <w:rPr>
          <w:iCs/>
          <w:lang w:val="en"/>
        </w:rPr>
        <w:t>https://doi.org/10.1111/ecog.04939</w:t>
      </w:r>
      <w:r>
        <w:rPr>
          <w:iCs/>
          <w:lang w:val="en"/>
        </w:rPr>
        <w:fldChar w:fldCharType="end"/>
      </w:r>
    </w:p>
    <w:p>
      <w:pPr>
        <w:spacing w:line="360" w:lineRule="auto"/>
        <w:ind w:left="400" w:hanging="400" w:hangingChars="200"/>
        <w:rPr>
          <w:iCs/>
          <w:lang w:val="en"/>
        </w:rPr>
      </w:pPr>
      <w:r>
        <w:rPr>
          <w:iCs/>
          <w:lang w:val="en"/>
        </w:rPr>
        <w:t xml:space="preserve">Grémillet, D., Prudor, A., le Maho, Y., &amp; Weimerskirch, H. (2012). Vultures of the Seas: Hyperacidic Stomachs in Wandering Albatrosses as an Adaptation to Dispersed Food Resources, including Fishery Wastes. PLoS ONE, 7(6), e37834. </w:t>
      </w:r>
      <w:r>
        <w:fldChar w:fldCharType="begin"/>
      </w:r>
      <w:r>
        <w:instrText xml:space="preserve"> HYPERLINK "https://doi.org/10.1371/journal.pone.0037834" </w:instrText>
      </w:r>
      <w:r>
        <w:fldChar w:fldCharType="separate"/>
      </w:r>
      <w:r>
        <w:rPr>
          <w:iCs/>
          <w:lang w:val="en"/>
        </w:rPr>
        <w:t>https://doi.org/10.1371/journal.pone.0037834</w:t>
      </w:r>
      <w:r>
        <w:rPr>
          <w:iCs/>
          <w:lang w:val="en"/>
        </w:rPr>
        <w:fldChar w:fldCharType="end"/>
      </w:r>
    </w:p>
    <w:p>
      <w:pPr>
        <w:spacing w:line="360" w:lineRule="auto"/>
        <w:ind w:left="400" w:hanging="400" w:hangingChars="200"/>
        <w:rPr>
          <w:iCs/>
          <w:lang w:val="en"/>
        </w:rPr>
      </w:pPr>
      <w:r>
        <w:rPr>
          <w:iCs/>
          <w:lang w:val="en"/>
        </w:rPr>
        <w:t xml:space="preserve">Guisan, A., &amp; Zimmermann, N. E. (2000). Predictive habitat distribution models in ecology. Ecological Modelling, 135(2–3), 147–186. </w:t>
      </w:r>
      <w:r>
        <w:fldChar w:fldCharType="begin"/>
      </w:r>
      <w:r>
        <w:instrText xml:space="preserve"> HYPERLINK "https://doi.org/10.1016/S0304-3800(00)00354-9" </w:instrText>
      </w:r>
      <w:r>
        <w:fldChar w:fldCharType="separate"/>
      </w:r>
      <w:r>
        <w:rPr>
          <w:iCs/>
          <w:lang w:val="en"/>
        </w:rPr>
        <w:t>https://doi.org/10.1016/S0304-3800(00)00354-9</w:t>
      </w:r>
      <w:r>
        <w:rPr>
          <w:iCs/>
          <w:lang w:val="en"/>
        </w:rPr>
        <w:fldChar w:fldCharType="end"/>
      </w:r>
    </w:p>
    <w:p>
      <w:pPr>
        <w:spacing w:line="360" w:lineRule="auto"/>
        <w:ind w:left="400" w:hanging="400" w:hangingChars="200"/>
        <w:rPr>
          <w:iCs/>
          <w:lang w:val="en"/>
        </w:rPr>
      </w:pPr>
      <w:r>
        <w:rPr>
          <w:iCs/>
          <w:lang w:val="en"/>
        </w:rPr>
        <w:t>Harris, S., Raya Rey, A., Phillips, R. A., &amp; Quintana, F. (2013). Sexual segregation in timing of foraging by imperial shags (</w:t>
      </w:r>
      <w:r>
        <w:rPr>
          <w:i/>
          <w:lang w:val="en"/>
        </w:rPr>
        <w:t>Phalacrocorax atriceps</w:t>
      </w:r>
      <w:r>
        <w:rPr>
          <w:iCs/>
          <w:lang w:val="en"/>
        </w:rPr>
        <w:t xml:space="preserve">): Is it always ladies first? Marine Biology, 160(5), 1249–1258. </w:t>
      </w:r>
      <w:r>
        <w:fldChar w:fldCharType="begin"/>
      </w:r>
      <w:r>
        <w:instrText xml:space="preserve"> HYPERLINK "https://doi.org/10.1007/s00227-013-2177-9" </w:instrText>
      </w:r>
      <w:r>
        <w:fldChar w:fldCharType="separate"/>
      </w:r>
      <w:r>
        <w:rPr>
          <w:iCs/>
          <w:lang w:val="en"/>
        </w:rPr>
        <w:t>https://doi.org/10.1007/s00227-013-2177-9</w:t>
      </w:r>
      <w:r>
        <w:rPr>
          <w:iCs/>
          <w:lang w:val="en"/>
        </w:rPr>
        <w:fldChar w:fldCharType="end"/>
      </w:r>
    </w:p>
    <w:p>
      <w:pPr>
        <w:spacing w:line="360" w:lineRule="auto"/>
        <w:ind w:left="400" w:hanging="400" w:hangingChars="200"/>
        <w:rPr>
          <w:iCs/>
          <w:lang w:val="en"/>
        </w:rPr>
      </w:pPr>
      <w:r>
        <w:rPr>
          <w:iCs/>
          <w:lang w:val="en"/>
        </w:rPr>
        <w:t xml:space="preserve">Hutchinson, G. E. (1957). Concluding Remarks. Cold Spring Harbor Symposia on Quantitative Biology, 22, 415–427. </w:t>
      </w:r>
      <w:r>
        <w:fldChar w:fldCharType="begin"/>
      </w:r>
      <w:r>
        <w:instrText xml:space="preserve"> HYPERLINK "https://doi.org/10.1101/SQB.1957.022.01.039" </w:instrText>
      </w:r>
      <w:r>
        <w:fldChar w:fldCharType="separate"/>
      </w:r>
      <w:r>
        <w:rPr>
          <w:iCs/>
          <w:lang w:val="en"/>
        </w:rPr>
        <w:t>https://doi.org/10.1101/SQB.1957.022.01.039</w:t>
      </w:r>
      <w:r>
        <w:rPr>
          <w:iCs/>
          <w:lang w:val="en"/>
        </w:rPr>
        <w:fldChar w:fldCharType="end"/>
      </w:r>
    </w:p>
    <w:p>
      <w:pPr>
        <w:spacing w:line="360" w:lineRule="auto"/>
        <w:ind w:left="400" w:hanging="400" w:hangingChars="200"/>
        <w:rPr>
          <w:iCs/>
          <w:lang w:val="en"/>
        </w:rPr>
      </w:pPr>
      <w:r>
        <w:rPr>
          <w:iCs/>
          <w:lang w:val="en"/>
        </w:rPr>
        <w:t xml:space="preserve">Ito, K., Watanabe, Y. Y., Kokubun, N., &amp; Takahashi, A. (2020). Inter‐colony foraging area segregation quantified in small colonies of Adélie Penguins. Ibis, ibi.12837. </w:t>
      </w:r>
      <w:r>
        <w:fldChar w:fldCharType="begin"/>
      </w:r>
      <w:r>
        <w:instrText xml:space="preserve"> HYPERLINK "https://doi.org/10.1111/ibi.12837" </w:instrText>
      </w:r>
      <w:r>
        <w:fldChar w:fldCharType="separate"/>
      </w:r>
      <w:r>
        <w:rPr>
          <w:iCs/>
          <w:lang w:val="en"/>
        </w:rPr>
        <w:t>https://doi.org/10.1111/ibi.12837</w:t>
      </w:r>
      <w:r>
        <w:rPr>
          <w:iCs/>
          <w:lang w:val="en"/>
        </w:rPr>
        <w:fldChar w:fldCharType="end"/>
      </w:r>
    </w:p>
    <w:p>
      <w:pPr>
        <w:spacing w:line="360" w:lineRule="auto"/>
        <w:ind w:left="400" w:hanging="400" w:hangingChars="200"/>
        <w:rPr>
          <w:iCs/>
          <w:lang w:val="en"/>
        </w:rPr>
      </w:pPr>
      <w:r>
        <w:rPr>
          <w:iCs/>
          <w:lang w:val="en"/>
        </w:rPr>
        <w:t xml:space="preserve">Jones, K. A., Wood, H., Ashburner, J. P., Forcada, J., Ratcliffe, N., Votier, S. C., &amp; Staniland, I. J. (2020). Risk exposure trade-offs in the ontogeny of sexual segregation in Antarctic fur seal pups. Behavioral Ecology, 31(3), 719–730. </w:t>
      </w:r>
      <w:r>
        <w:fldChar w:fldCharType="begin"/>
      </w:r>
      <w:r>
        <w:instrText xml:space="preserve"> HYPERLINK "https://doi.org/10.1093/beheco/araa018" </w:instrText>
      </w:r>
      <w:r>
        <w:fldChar w:fldCharType="separate"/>
      </w:r>
      <w:r>
        <w:rPr>
          <w:iCs/>
          <w:lang w:val="en"/>
        </w:rPr>
        <w:t>https://doi.org/10.1093/beheco/araa018</w:t>
      </w:r>
      <w:r>
        <w:rPr>
          <w:iCs/>
          <w:lang w:val="en"/>
        </w:rPr>
        <w:fldChar w:fldCharType="end"/>
      </w:r>
    </w:p>
    <w:p>
      <w:pPr>
        <w:spacing w:line="360" w:lineRule="auto"/>
        <w:ind w:left="400" w:hanging="400" w:hangingChars="200"/>
        <w:rPr>
          <w:iCs/>
          <w:lang w:val="en"/>
        </w:rPr>
      </w:pPr>
      <w:r>
        <w:rPr>
          <w:iCs/>
          <w:lang w:val="en"/>
        </w:rPr>
        <w:t xml:space="preserve">Jouventin, P., &amp; Weimerskirch, H. (1990). Satellite tracking of Wandering albatrosses. Nature, 343(6260), 746–748. </w:t>
      </w:r>
      <w:r>
        <w:fldChar w:fldCharType="begin"/>
      </w:r>
      <w:r>
        <w:instrText xml:space="preserve"> HYPERLINK "https://doi.org/10.1038/343746a0" </w:instrText>
      </w:r>
      <w:r>
        <w:fldChar w:fldCharType="separate"/>
      </w:r>
      <w:r>
        <w:rPr>
          <w:iCs/>
          <w:lang w:val="en"/>
        </w:rPr>
        <w:t>https://doi.org/10.1038/343746a0</w:t>
      </w:r>
      <w:r>
        <w:rPr>
          <w:iCs/>
          <w:lang w:val="en"/>
        </w:rPr>
        <w:fldChar w:fldCharType="end"/>
      </w:r>
    </w:p>
    <w:p>
      <w:pPr>
        <w:spacing w:line="360" w:lineRule="auto"/>
        <w:ind w:left="400" w:hanging="400" w:hangingChars="200"/>
        <w:rPr>
          <w:iCs/>
          <w:lang w:val="en"/>
        </w:rPr>
      </w:pPr>
      <w:r>
        <w:rPr>
          <w:iCs/>
          <w:lang w:val="en"/>
        </w:rPr>
        <w:t xml:space="preserve">Kernaléguen, L., Arnould, J. P. Y., Guinet, C., Cazelles, B., Richard, P., &amp; Cherel, Y. (2016). Early-life sexual segregation: Ontogeny of isotopic niche differentiation in the Antarctic fur seal. Scientific Reports, 6(1), 33211. </w:t>
      </w:r>
      <w:r>
        <w:fldChar w:fldCharType="begin"/>
      </w:r>
      <w:r>
        <w:instrText xml:space="preserve"> HYPERLINK "https://doi.org/10.1038/srep33211" </w:instrText>
      </w:r>
      <w:r>
        <w:fldChar w:fldCharType="separate"/>
      </w:r>
      <w:r>
        <w:rPr>
          <w:iCs/>
          <w:lang w:val="en"/>
        </w:rPr>
        <w:t>https://doi.org/10.1038/srep33211</w:t>
      </w:r>
      <w:r>
        <w:rPr>
          <w:iCs/>
          <w:lang w:val="en"/>
        </w:rPr>
        <w:fldChar w:fldCharType="end"/>
      </w:r>
    </w:p>
    <w:p>
      <w:pPr>
        <w:spacing w:line="360" w:lineRule="auto"/>
        <w:ind w:left="400" w:hanging="400" w:hangingChars="200"/>
        <w:rPr>
          <w:iCs/>
          <w:lang w:val="en"/>
        </w:rPr>
      </w:pPr>
      <w:r>
        <w:rPr>
          <w:iCs/>
          <w:lang w:val="en"/>
        </w:rPr>
        <w:t xml:space="preserve">Koubbi, P., Crawford, R., Alloncle, N., Ameziane, N., Barbraud, C., Besson, D., Bost, C., Delord, K., Duhamel, G., Douglass, L., Guinet, C., Hosie, G., Hulley, P., Irisson, J. O., Kovacs, K., Lagabrielle, E., Leslie, R., Lombard, A. T., Makhado, A., … Weimerskirch, H. (2012). Estimating the biodiversity of Planning Domain 5 (Marion and Prince Edward Islands – Del Cano – Crozet) for ecoregionalisation [Report]. Commission for the Conservation of Antarctic Marine Living Resources. </w:t>
      </w:r>
      <w:r>
        <w:fldChar w:fldCharType="begin"/>
      </w:r>
      <w:r>
        <w:instrText xml:space="preserve"> HYPERLINK "https://hal.univ-reunion.fr/hal-01239644" </w:instrText>
      </w:r>
      <w:r>
        <w:fldChar w:fldCharType="separate"/>
      </w:r>
      <w:r>
        <w:rPr>
          <w:iCs/>
          <w:lang w:val="en"/>
        </w:rPr>
        <w:t>https://hal.univ-reunion.fr/hal-01239644</w:t>
      </w:r>
      <w:r>
        <w:rPr>
          <w:iCs/>
          <w:lang w:val="en"/>
        </w:rPr>
        <w:fldChar w:fldCharType="end"/>
      </w:r>
    </w:p>
    <w:p>
      <w:pPr>
        <w:spacing w:line="360" w:lineRule="auto"/>
        <w:ind w:left="400" w:hanging="400" w:hangingChars="200"/>
        <w:rPr>
          <w:iCs/>
          <w:lang w:val="en"/>
        </w:rPr>
      </w:pPr>
      <w:r>
        <w:rPr>
          <w:iCs/>
          <w:lang w:val="en"/>
        </w:rPr>
        <w:t xml:space="preserve">Lascelles, B. G., Taylor, P. R., Miller, M. G. R., Dias, M. P., Oppel, S., Torres, L., Hedd, A., Le Corre, M., Phillips, R. A., Shaffer, S. A., Weimerskirch, H., &amp; Small, C. (2016). Applying global criteria to tracking data to define important areas for marine conservation. Diversity and Distributions, 22(4), 422–431. </w:t>
      </w:r>
      <w:r>
        <w:fldChar w:fldCharType="begin"/>
      </w:r>
      <w:r>
        <w:instrText xml:space="preserve"> HYPERLINK "https://doi.org/10.1111/ddi.12411" </w:instrText>
      </w:r>
      <w:r>
        <w:fldChar w:fldCharType="separate"/>
      </w:r>
      <w:r>
        <w:rPr>
          <w:iCs/>
          <w:lang w:val="en"/>
        </w:rPr>
        <w:t>https://doi.org/10.1111/ddi.12411</w:t>
      </w:r>
      <w:r>
        <w:rPr>
          <w:iCs/>
          <w:lang w:val="en"/>
        </w:rPr>
        <w:fldChar w:fldCharType="end"/>
      </w:r>
    </w:p>
    <w:p>
      <w:pPr>
        <w:spacing w:line="360" w:lineRule="auto"/>
        <w:ind w:left="400" w:hanging="400" w:hangingChars="200"/>
        <w:rPr>
          <w:iCs/>
          <w:lang w:val="en"/>
        </w:rPr>
      </w:pPr>
      <w:r>
        <w:rPr>
          <w:iCs/>
          <w:lang w:val="en"/>
        </w:rPr>
        <w:t xml:space="preserve">Lehodey, P., Murtugudde, R., &amp; Senina, I. (2010). Bridging the gap from ocean models to population dynamics of large marine predators: A model of mid-trophic functional groups. Progress in Oceanography, 84(1–2), 69–84. </w:t>
      </w:r>
      <w:r>
        <w:fldChar w:fldCharType="begin"/>
      </w:r>
      <w:r>
        <w:instrText xml:space="preserve"> HYPERLINK "https://doi.org/10.1016/j.pocean.2009.09.008" </w:instrText>
      </w:r>
      <w:r>
        <w:fldChar w:fldCharType="separate"/>
      </w:r>
      <w:r>
        <w:rPr>
          <w:iCs/>
          <w:lang w:val="en"/>
        </w:rPr>
        <w:t>https://doi.org/10.1016/j.pocean.2009.09.008</w:t>
      </w:r>
      <w:r>
        <w:rPr>
          <w:iCs/>
          <w:lang w:val="en"/>
        </w:rPr>
        <w:fldChar w:fldCharType="end"/>
      </w:r>
    </w:p>
    <w:p>
      <w:pPr>
        <w:spacing w:line="360" w:lineRule="auto"/>
        <w:ind w:left="400" w:hanging="400" w:hangingChars="200"/>
        <w:rPr>
          <w:iCs/>
          <w:lang w:val="en"/>
        </w:rPr>
      </w:pPr>
      <w:r>
        <w:rPr>
          <w:iCs/>
          <w:lang w:val="en"/>
        </w:rPr>
        <w:t xml:space="preserve">Levin, E., Roll, U., Dolev, A., Yom-Tov, Y., &amp; Kronfeld-Shcor, N. (2013). Bats of a Gender Flock Together: Sexual Segregation in a Subtropical Bat. PLoS ONE, 8(2), e54987. </w:t>
      </w:r>
      <w:r>
        <w:fldChar w:fldCharType="begin"/>
      </w:r>
      <w:r>
        <w:instrText xml:space="preserve"> HYPERLINK "https://doi.org/10.1371/journal.pone.0054987" </w:instrText>
      </w:r>
      <w:r>
        <w:fldChar w:fldCharType="separate"/>
      </w:r>
      <w:r>
        <w:rPr>
          <w:iCs/>
          <w:lang w:val="en"/>
        </w:rPr>
        <w:t>https://doi.org/10.1371/journal.pone.0054987</w:t>
      </w:r>
      <w:r>
        <w:rPr>
          <w:iCs/>
          <w:lang w:val="en"/>
        </w:rPr>
        <w:fldChar w:fldCharType="end"/>
      </w:r>
    </w:p>
    <w:p>
      <w:pPr>
        <w:spacing w:line="360" w:lineRule="auto"/>
        <w:ind w:left="400" w:hanging="400" w:hangingChars="200"/>
        <w:rPr>
          <w:iCs/>
          <w:lang w:val="en"/>
        </w:rPr>
      </w:pPr>
      <w:r>
        <w:rPr>
          <w:iCs/>
          <w:lang w:val="en"/>
        </w:rPr>
        <w:t>Lewis, S., Sherratt, T. N., Hamer, K. C., &amp; Wanless, S. (2001). Evidence of intra-specific competition for food in a pelagic seabird. 412, 4.</w:t>
      </w:r>
    </w:p>
    <w:p>
      <w:pPr>
        <w:spacing w:line="360" w:lineRule="auto"/>
        <w:ind w:left="400" w:hanging="400" w:hangingChars="200"/>
        <w:rPr>
          <w:iCs/>
          <w:lang w:val="en"/>
        </w:rPr>
      </w:pPr>
      <w:r>
        <w:rPr>
          <w:iCs/>
          <w:lang w:val="en"/>
        </w:rPr>
        <w:t xml:space="preserve">Li, Z., &amp; Wood, S. N. (2020). Faster model matrix crossproducts for large generalized linear models with discretized covariates. Statistics and Computing, 30(1), 19–25. </w:t>
      </w:r>
      <w:r>
        <w:fldChar w:fldCharType="begin"/>
      </w:r>
      <w:r>
        <w:instrText xml:space="preserve"> HYPERLINK "https://doi.org/10.1007/s11222-019-09864-2" </w:instrText>
      </w:r>
      <w:r>
        <w:fldChar w:fldCharType="separate"/>
      </w:r>
      <w:r>
        <w:rPr>
          <w:iCs/>
          <w:lang w:val="en"/>
        </w:rPr>
        <w:t>https://doi.org/10.1007/s11222-019-09864-2</w:t>
      </w:r>
      <w:r>
        <w:rPr>
          <w:iCs/>
          <w:lang w:val="en"/>
        </w:rPr>
        <w:fldChar w:fldCharType="end"/>
      </w:r>
    </w:p>
    <w:p>
      <w:pPr>
        <w:spacing w:line="360" w:lineRule="auto"/>
        <w:ind w:left="400" w:hanging="400" w:hangingChars="200"/>
        <w:rPr>
          <w:iCs/>
          <w:lang w:val="en"/>
        </w:rPr>
      </w:pPr>
      <w:r>
        <w:rPr>
          <w:iCs/>
          <w:lang w:val="en"/>
        </w:rPr>
        <w:t xml:space="preserve">Loe, L. E., Irvine, R. J., Bonenfant, C., Stien, A., Langvatn, R., Albon, S. D., Mysterud, A., &amp; Stenseth, N. Chr. (2006). Testing five hypotheses of sexual segregation in an arctic ungulate: Sexual segregation in Svalbard reindeer. Journal of Animal Ecology, 75(2), 485–496. </w:t>
      </w:r>
      <w:r>
        <w:fldChar w:fldCharType="begin"/>
      </w:r>
      <w:r>
        <w:instrText xml:space="preserve"> HYPERLINK "https://doi.org/10.1111/j.1365-2656.2006.01069.x" </w:instrText>
      </w:r>
      <w:r>
        <w:fldChar w:fldCharType="separate"/>
      </w:r>
      <w:r>
        <w:rPr>
          <w:iCs/>
          <w:lang w:val="en"/>
        </w:rPr>
        <w:t>https://doi.org/10.1111/j.1365-2656.2006.01069.x</w:t>
      </w:r>
      <w:r>
        <w:rPr>
          <w:iCs/>
          <w:lang w:val="en"/>
        </w:rPr>
        <w:fldChar w:fldCharType="end"/>
      </w:r>
    </w:p>
    <w:p>
      <w:pPr>
        <w:spacing w:line="360" w:lineRule="auto"/>
        <w:ind w:left="400" w:hanging="400" w:hangingChars="200"/>
        <w:rPr>
          <w:iCs/>
          <w:lang w:val="en"/>
        </w:rPr>
      </w:pPr>
      <w:r>
        <w:rPr>
          <w:iCs/>
          <w:lang w:val="en"/>
        </w:rPr>
        <w:t xml:space="preserve">Louzao, M., Pinaud, D., Péron, C., Delord, K., Wiegand, T., &amp; Weimerskirch, H. (2011). Conserving pelagic habitats: Seascape modelling of an oceanic top predator: Seascape modelling of a marine predator. Journal of Applied Ecology, 48(1), 121–132. </w:t>
      </w:r>
      <w:r>
        <w:fldChar w:fldCharType="begin"/>
      </w:r>
      <w:r>
        <w:instrText xml:space="preserve"> HYPERLINK "https://doi.org/10.1111/j.1365-2664.2010.01910.x" </w:instrText>
      </w:r>
      <w:r>
        <w:fldChar w:fldCharType="separate"/>
      </w:r>
      <w:r>
        <w:rPr>
          <w:iCs/>
          <w:lang w:val="en"/>
        </w:rPr>
        <w:t>https://doi.org/10.1111/j.1365-2664.2010.01910.x</w:t>
      </w:r>
      <w:r>
        <w:rPr>
          <w:iCs/>
          <w:lang w:val="en"/>
        </w:rPr>
        <w:fldChar w:fldCharType="end"/>
      </w:r>
    </w:p>
    <w:p>
      <w:pPr>
        <w:spacing w:line="360" w:lineRule="auto"/>
        <w:ind w:left="400" w:hanging="400" w:hangingChars="200"/>
        <w:rPr>
          <w:iCs/>
          <w:lang w:val="en"/>
        </w:rPr>
      </w:pPr>
      <w:r>
        <w:rPr>
          <w:iCs/>
          <w:lang w:val="en"/>
        </w:rPr>
        <w:t xml:space="preserve">Ludynia, K., Dehnhard, N., Poisbleau, M., Demongin, L., Masello, J. F., Voigt, C. C., &amp; Quillfeldt, P. (2013). Sexual segregation in rockhopper penguins during incubation. Animal Behaviour, 85(1), 255–267. </w:t>
      </w:r>
      <w:r>
        <w:fldChar w:fldCharType="begin"/>
      </w:r>
      <w:r>
        <w:instrText xml:space="preserve"> HYPERLINK "https://doi.org/10.1016/j.anbehav.2012.11.001" </w:instrText>
      </w:r>
      <w:r>
        <w:fldChar w:fldCharType="separate"/>
      </w:r>
      <w:r>
        <w:rPr>
          <w:iCs/>
          <w:lang w:val="en"/>
        </w:rPr>
        <w:t>https://doi.org/10.1016/j.anbehav.2012.11.001</w:t>
      </w:r>
      <w:r>
        <w:rPr>
          <w:iCs/>
          <w:lang w:val="en"/>
        </w:rPr>
        <w:fldChar w:fldCharType="end"/>
      </w:r>
    </w:p>
    <w:p>
      <w:pPr>
        <w:spacing w:line="360" w:lineRule="auto"/>
        <w:ind w:left="400" w:hanging="400" w:hangingChars="200"/>
        <w:rPr>
          <w:iCs/>
          <w:lang w:val="en"/>
        </w:rPr>
      </w:pPr>
      <w:r>
        <w:rPr>
          <w:iCs/>
          <w:lang w:val="en"/>
        </w:rPr>
        <w:t xml:space="preserve">Matthiopoulos, J. (2003). The use of space by animals as a function of accessibility and preference. Ecological Modelling, 159(2–3), 239–268. </w:t>
      </w:r>
      <w:r>
        <w:fldChar w:fldCharType="begin"/>
      </w:r>
      <w:r>
        <w:instrText xml:space="preserve"> HYPERLINK "https://doi.org/10.1016/S0304-3800(02)00293-4" </w:instrText>
      </w:r>
      <w:r>
        <w:fldChar w:fldCharType="separate"/>
      </w:r>
      <w:r>
        <w:rPr>
          <w:iCs/>
          <w:lang w:val="en"/>
        </w:rPr>
        <w:t>https://doi.org/10.1016/S0304-3800(02)00293-4</w:t>
      </w:r>
      <w:r>
        <w:rPr>
          <w:iCs/>
          <w:lang w:val="en"/>
        </w:rPr>
        <w:fldChar w:fldCharType="end"/>
      </w:r>
    </w:p>
    <w:p>
      <w:pPr>
        <w:spacing w:line="360" w:lineRule="auto"/>
        <w:ind w:left="400" w:hanging="400" w:hangingChars="200"/>
        <w:rPr>
          <w:iCs/>
          <w:lang w:val="en"/>
        </w:rPr>
      </w:pPr>
      <w:r>
        <w:rPr>
          <w:iCs/>
          <w:lang w:val="en"/>
        </w:rPr>
        <w:t xml:space="preserve">May, R. M. (1974). Stability and Complexity in Model Ecosystems (Vol. 1). Princeton University Press. </w:t>
      </w:r>
      <w:r>
        <w:fldChar w:fldCharType="begin"/>
      </w:r>
      <w:r>
        <w:instrText xml:space="preserve"> HYPERLINK "https://doi.org/10.2307/j.ctvs32rq4" </w:instrText>
      </w:r>
      <w:r>
        <w:fldChar w:fldCharType="separate"/>
      </w:r>
      <w:r>
        <w:rPr>
          <w:iCs/>
          <w:lang w:val="en"/>
        </w:rPr>
        <w:t>https://doi.org/10.2307/j.ctvs32rq4</w:t>
      </w:r>
      <w:r>
        <w:rPr>
          <w:iCs/>
          <w:lang w:val="en"/>
        </w:rPr>
        <w:fldChar w:fldCharType="end"/>
      </w:r>
    </w:p>
    <w:p>
      <w:pPr>
        <w:spacing w:line="360" w:lineRule="auto"/>
        <w:ind w:left="400" w:hanging="400" w:hangingChars="200"/>
        <w:rPr>
          <w:iCs/>
          <w:lang w:val="en"/>
        </w:rPr>
      </w:pPr>
      <w:r>
        <w:rPr>
          <w:iCs/>
          <w:lang w:val="en"/>
        </w:rPr>
        <w:t>McLoughlin, P. D., Morris, D. W., Fortin, D., Wal, E. V., &amp; Contasti, A. L. (2010). Considering ecological dynamics in resource selection functions. Journal of Animal Ecology, 9.</w:t>
      </w:r>
    </w:p>
    <w:p>
      <w:pPr>
        <w:spacing w:line="360" w:lineRule="auto"/>
        <w:ind w:left="400" w:hanging="400" w:hangingChars="200"/>
        <w:rPr>
          <w:iCs/>
          <w:lang w:val="en"/>
        </w:rPr>
      </w:pPr>
      <w:r>
        <w:rPr>
          <w:iCs/>
          <w:lang w:val="en"/>
        </w:rPr>
        <w:t xml:space="preserve">Melo-Merino, S. M., Reyes-Bonilla, H., &amp; Lira-Noriega, A. (2020). Ecological niche models and species distribution models in marine environments: A literature review and spatial analysis of evidence. Ecological Modelling, 415, 108837. </w:t>
      </w:r>
      <w:r>
        <w:fldChar w:fldCharType="begin"/>
      </w:r>
      <w:r>
        <w:instrText xml:space="preserve"> HYPERLINK "https://doi.org/10.1016/j.ecolmodel.2019.108837" </w:instrText>
      </w:r>
      <w:r>
        <w:fldChar w:fldCharType="separate"/>
      </w:r>
      <w:r>
        <w:rPr>
          <w:iCs/>
          <w:lang w:val="en"/>
        </w:rPr>
        <w:t>https://doi.org/10.1016/j.ecolmodel.2019.108837</w:t>
      </w:r>
      <w:r>
        <w:rPr>
          <w:iCs/>
          <w:lang w:val="en"/>
        </w:rPr>
        <w:fldChar w:fldCharType="end"/>
      </w:r>
    </w:p>
    <w:p>
      <w:pPr>
        <w:spacing w:line="360" w:lineRule="auto"/>
        <w:ind w:left="400" w:hanging="400" w:hangingChars="200"/>
        <w:rPr>
          <w:iCs/>
          <w:lang w:val="en"/>
        </w:rPr>
      </w:pPr>
      <w:r>
        <w:rPr>
          <w:iCs/>
          <w:lang w:val="en"/>
        </w:rPr>
        <w:t xml:space="preserve">Nel, D. C., Ryan, P. G., Crawford, R. J., Cooper, J., &amp; Huyser, O. A. (2002a). Population trends of albatrosses and petrels at sub-Antarctic Marion Island. Polar Biology, 25(2), 81–89. </w:t>
      </w:r>
      <w:r>
        <w:fldChar w:fldCharType="begin"/>
      </w:r>
      <w:r>
        <w:instrText xml:space="preserve"> HYPERLINK "https://doi.org/10.1007/s003000100315" </w:instrText>
      </w:r>
      <w:r>
        <w:fldChar w:fldCharType="separate"/>
      </w:r>
      <w:r>
        <w:rPr>
          <w:iCs/>
          <w:lang w:val="en"/>
        </w:rPr>
        <w:t>https://doi.org/10.1007/s003000100315</w:t>
      </w:r>
      <w:r>
        <w:rPr>
          <w:iCs/>
          <w:lang w:val="en"/>
        </w:rPr>
        <w:fldChar w:fldCharType="end"/>
      </w:r>
    </w:p>
    <w:p>
      <w:pPr>
        <w:spacing w:line="360" w:lineRule="auto"/>
        <w:ind w:left="400" w:hanging="400" w:hangingChars="200"/>
        <w:rPr>
          <w:iCs/>
          <w:lang w:val="en"/>
        </w:rPr>
      </w:pPr>
      <w:r>
        <w:rPr>
          <w:iCs/>
          <w:lang w:val="en"/>
        </w:rPr>
        <w:t>Nel, D. C., Ryan, P. G., Nel, J. L., Wilson, R. Y. P., Tson, G. R., &amp; Tuck, G. N. (2002b). Foraging interactions between Wandering Albatrosses Diomedea exulans breeding on Marion Island and long-line ﬁsheries in the southern Indian Ocean. 14.</w:t>
      </w:r>
    </w:p>
    <w:p>
      <w:pPr>
        <w:spacing w:line="360" w:lineRule="auto"/>
        <w:ind w:left="400" w:hanging="400" w:hangingChars="200"/>
        <w:rPr>
          <w:iCs/>
          <w:lang w:val="en"/>
        </w:rPr>
      </w:pPr>
      <w:r>
        <w:rPr>
          <w:iCs/>
          <w:lang w:val="en"/>
        </w:rPr>
        <w:t>Orians, G. H., &amp; Pearson, N. E. (1979). On the theory of central place foraging. Analysis of ecological systems. Ohio State University Press, Columbus, 2, 155–177.</w:t>
      </w:r>
    </w:p>
    <w:p>
      <w:pPr>
        <w:spacing w:line="360" w:lineRule="auto"/>
        <w:ind w:left="400" w:hanging="400" w:hangingChars="200"/>
        <w:rPr>
          <w:iCs/>
          <w:lang w:val="en"/>
        </w:rPr>
      </w:pPr>
      <w:r>
        <w:rPr>
          <w:iCs/>
          <w:lang w:val="en" w:eastAsia="zh-CN"/>
        </w:rPr>
        <w:t xml:space="preserve">Orgeret, Florian; Weimerskirch, Henri; Pistorius, Pierre (2021), Wandering Albatross observed and simulated GPS tracks from Crozet and Marion islands (2016-2019), Dryad, Dataset, </w:t>
      </w:r>
      <w:r>
        <w:rPr>
          <w:iCs/>
          <w:lang w:val="en" w:eastAsia="zh-CN"/>
        </w:rPr>
        <w:fldChar w:fldCharType="begin"/>
      </w:r>
      <w:r>
        <w:rPr>
          <w:iCs/>
          <w:lang w:val="en" w:eastAsia="zh-CN"/>
        </w:rPr>
        <w:instrText xml:space="preserve"> HYPERLINK "https://doi.org/10.5061/dryad.08kprr52r" </w:instrText>
      </w:r>
      <w:r>
        <w:rPr>
          <w:iCs/>
          <w:lang w:val="en" w:eastAsia="zh-CN"/>
        </w:rPr>
        <w:fldChar w:fldCharType="separate"/>
      </w:r>
      <w:r>
        <w:rPr>
          <w:iCs/>
          <w:lang w:val="en"/>
        </w:rPr>
        <w:t>https://doi.org/10.5061/dryad.08kprr52r</w:t>
      </w:r>
      <w:r>
        <w:rPr>
          <w:iCs/>
          <w:lang w:val="en" w:eastAsia="zh-CN"/>
        </w:rPr>
        <w:fldChar w:fldCharType="end"/>
      </w:r>
    </w:p>
    <w:p>
      <w:pPr>
        <w:spacing w:line="360" w:lineRule="auto"/>
        <w:ind w:left="400" w:hanging="400" w:hangingChars="200"/>
        <w:rPr>
          <w:iCs/>
          <w:lang w:val="en"/>
        </w:rPr>
      </w:pPr>
      <w:r>
        <w:rPr>
          <w:iCs/>
          <w:lang w:val="en"/>
        </w:rPr>
        <w:t xml:space="preserve">Paiva, V. H., Pereira, J., Ceia, F. R., &amp; Ramos, J. A. (2017). Environmentally driven sexual segregation in a marine top predator. Scientific Reports, 7(1), 2590. </w:t>
      </w:r>
      <w:r>
        <w:fldChar w:fldCharType="begin"/>
      </w:r>
      <w:r>
        <w:instrText xml:space="preserve"> HYPERLINK "https://doi.org/10.1038/s41598-017-02854-2" </w:instrText>
      </w:r>
      <w:r>
        <w:fldChar w:fldCharType="separate"/>
      </w:r>
      <w:r>
        <w:rPr>
          <w:iCs/>
          <w:lang w:val="en"/>
        </w:rPr>
        <w:t>https://doi.org/10.1038/s41598-017-02854-2</w:t>
      </w:r>
      <w:r>
        <w:rPr>
          <w:iCs/>
          <w:lang w:val="en"/>
        </w:rPr>
        <w:fldChar w:fldCharType="end"/>
      </w:r>
    </w:p>
    <w:p>
      <w:pPr>
        <w:spacing w:line="360" w:lineRule="auto"/>
        <w:ind w:left="400" w:hanging="400" w:hangingChars="200"/>
        <w:rPr>
          <w:iCs/>
          <w:lang w:val="en"/>
        </w:rPr>
      </w:pPr>
      <w:r>
        <w:rPr>
          <w:iCs/>
          <w:lang w:val="en"/>
        </w:rPr>
        <w:t xml:space="preserve">Park, J., Lee, J., Seto, K., Hochberg, T., Wong, B. A., Miller, N. A., Takasaki, K., Kubota, H., Oozeki, Y., Doshi, S., Midzik, M., Hanich, Q., Sullivan, B., Woods, P., &amp; Kroodsma, D. A. (2020). Illuminating dark fishing fleets in North Korea. Science Advances, 6(30), eabb1197. </w:t>
      </w:r>
      <w:r>
        <w:fldChar w:fldCharType="begin"/>
      </w:r>
      <w:r>
        <w:instrText xml:space="preserve"> HYPERLINK "https://doi.org/10.1126/sciadv.abb1197" </w:instrText>
      </w:r>
      <w:r>
        <w:fldChar w:fldCharType="separate"/>
      </w:r>
      <w:r>
        <w:rPr>
          <w:iCs/>
          <w:lang w:val="en"/>
        </w:rPr>
        <w:t>https://doi.org/10.1126/sciadv.abb1197</w:t>
      </w:r>
      <w:r>
        <w:rPr>
          <w:iCs/>
          <w:lang w:val="en"/>
        </w:rPr>
        <w:fldChar w:fldCharType="end"/>
      </w:r>
    </w:p>
    <w:p>
      <w:pPr>
        <w:spacing w:line="360" w:lineRule="auto"/>
        <w:ind w:left="400" w:hanging="400" w:hangingChars="200"/>
        <w:rPr>
          <w:iCs/>
          <w:lang w:val="en"/>
        </w:rPr>
      </w:pPr>
      <w:r>
        <w:rPr>
          <w:iCs/>
          <w:lang w:val="en"/>
        </w:rPr>
        <w:t xml:space="preserve">Phillips, R. A., McGill, R. A. R., Dawson, D. A., &amp; Bearhop, S. (2011). Sexual segregation in distribution, diet and trophic level of seabirds: Insights from stable isotope analysis. Marine Biology, 158(10), 2199–2208. </w:t>
      </w:r>
      <w:r>
        <w:fldChar w:fldCharType="begin"/>
      </w:r>
      <w:r>
        <w:instrText xml:space="preserve"> HYPERLINK "https://doi.org/10.1007/s00227-011-1725-4" </w:instrText>
      </w:r>
      <w:r>
        <w:fldChar w:fldCharType="separate"/>
      </w:r>
      <w:r>
        <w:rPr>
          <w:iCs/>
          <w:lang w:val="en"/>
        </w:rPr>
        <w:t>https://doi.org/10.1007/s00227-011-1725-4</w:t>
      </w:r>
      <w:r>
        <w:rPr>
          <w:iCs/>
          <w:lang w:val="en"/>
        </w:rPr>
        <w:fldChar w:fldCharType="end"/>
      </w:r>
    </w:p>
    <w:p>
      <w:pPr>
        <w:spacing w:line="360" w:lineRule="auto"/>
        <w:ind w:left="400" w:hanging="400" w:hangingChars="200"/>
        <w:rPr>
          <w:iCs/>
          <w:lang w:val="en"/>
        </w:rPr>
      </w:pPr>
      <w:r>
        <w:rPr>
          <w:iCs/>
          <w:lang w:val="en"/>
        </w:rPr>
        <w:t xml:space="preserve">Phillips, R., Lewis, S., González-Solís, J., &amp; Daunt, F. (2017). Causes and consequences of individual variability and specialization in foraging and migration strategies of seabirds. Marine Ecology Progress Series, 578, 117–150. </w:t>
      </w:r>
      <w:r>
        <w:fldChar w:fldCharType="begin"/>
      </w:r>
      <w:r>
        <w:instrText xml:space="preserve"> HYPERLINK "https://doi.org/10.3354/meps12217" </w:instrText>
      </w:r>
      <w:r>
        <w:fldChar w:fldCharType="separate"/>
      </w:r>
      <w:r>
        <w:rPr>
          <w:iCs/>
          <w:lang w:val="en"/>
        </w:rPr>
        <w:t>https://doi.org/10.3354/meps12217</w:t>
      </w:r>
      <w:r>
        <w:rPr>
          <w:iCs/>
          <w:lang w:val="en"/>
        </w:rPr>
        <w:fldChar w:fldCharType="end"/>
      </w:r>
    </w:p>
    <w:p>
      <w:pPr>
        <w:spacing w:line="360" w:lineRule="auto"/>
        <w:ind w:left="400" w:hanging="400" w:hangingChars="200"/>
        <w:rPr>
          <w:iCs/>
          <w:lang w:val="en"/>
        </w:rPr>
      </w:pPr>
      <w:r>
        <w:rPr>
          <w:iCs/>
          <w:lang w:val="en"/>
        </w:rPr>
        <w:t>Pianka, E. R. (1981). Competition and niche theory. Theoretical Ecology: Principles and Applications, 167–196.</w:t>
      </w:r>
    </w:p>
    <w:p>
      <w:pPr>
        <w:spacing w:line="360" w:lineRule="auto"/>
        <w:ind w:left="400" w:hanging="400" w:hangingChars="200"/>
        <w:rPr>
          <w:iCs/>
          <w:lang w:val="en"/>
        </w:rPr>
      </w:pPr>
      <w:r>
        <w:rPr>
          <w:iCs/>
          <w:lang w:val="en"/>
        </w:rPr>
        <w:t>Pickering, S. P. C., &amp; Berrow, S. D. (2001). Cou</w:t>
      </w:r>
      <w:r>
        <w:rPr>
          <w:rFonts w:hint="default"/>
          <w:iCs/>
          <w:lang w:val="en"/>
        </w:rPr>
        <w:t>r</w:t>
      </w:r>
      <w:r>
        <w:rPr>
          <w:iCs/>
          <w:lang w:val="en"/>
        </w:rPr>
        <w:t>tship behaviour of the wandering albatross Diomedea exulans at Bird island, South Georgia. 10.</w:t>
      </w:r>
    </w:p>
    <w:p>
      <w:pPr>
        <w:spacing w:line="360" w:lineRule="auto"/>
        <w:ind w:left="400" w:hanging="400" w:hangingChars="200"/>
        <w:rPr>
          <w:iCs/>
          <w:lang w:val="en"/>
        </w:rPr>
      </w:pPr>
      <w:r>
        <w:rPr>
          <w:iCs/>
          <w:lang w:val="en"/>
        </w:rPr>
        <w:t xml:space="preserve">Pinaud, D., &amp; Weimerskirch, H. (2007). At-sea distribution and scale-dependent foraging behaviour of petrels and albatrosses: A comparative study. Journal of Animal Ecology, 76(1), 9–19. </w:t>
      </w:r>
      <w:r>
        <w:fldChar w:fldCharType="begin"/>
      </w:r>
      <w:r>
        <w:instrText xml:space="preserve"> HYPERLINK "https://doi.org/10.1111/j.1365-2656.2006.01186.x" </w:instrText>
      </w:r>
      <w:r>
        <w:fldChar w:fldCharType="separate"/>
      </w:r>
      <w:r>
        <w:rPr>
          <w:iCs/>
          <w:lang w:val="en"/>
        </w:rPr>
        <w:t>https://doi.org/10.1111/j.1365-2656.2006.01186.x</w:t>
      </w:r>
      <w:r>
        <w:rPr>
          <w:iCs/>
          <w:lang w:val="en"/>
        </w:rPr>
        <w:fldChar w:fldCharType="end"/>
      </w:r>
    </w:p>
    <w:p>
      <w:pPr>
        <w:spacing w:line="360" w:lineRule="auto"/>
        <w:ind w:left="400" w:hanging="400" w:hangingChars="200"/>
        <w:rPr>
          <w:iCs/>
          <w:lang w:val="en"/>
        </w:rPr>
      </w:pPr>
      <w:r>
        <w:rPr>
          <w:iCs/>
          <w:lang w:val="en"/>
        </w:rPr>
        <w:t xml:space="preserve">Polis, G. A. (1984). Age Structure Component of Niche Width and Intraspecific Resource Partitioning: Can Age Groups Function as Ecological Species? The American Naturalist, 123(4), 541–564. </w:t>
      </w:r>
      <w:r>
        <w:fldChar w:fldCharType="begin"/>
      </w:r>
      <w:r>
        <w:instrText xml:space="preserve"> HYPERLINK "https://doi.org/10.1086/284221" </w:instrText>
      </w:r>
      <w:r>
        <w:fldChar w:fldCharType="separate"/>
      </w:r>
      <w:r>
        <w:rPr>
          <w:iCs/>
          <w:lang w:val="en"/>
        </w:rPr>
        <w:t>https://doi.org/10.1086/284221</w:t>
      </w:r>
      <w:r>
        <w:rPr>
          <w:iCs/>
          <w:lang w:val="en"/>
        </w:rPr>
        <w:fldChar w:fldCharType="end"/>
      </w:r>
    </w:p>
    <w:p>
      <w:pPr>
        <w:spacing w:line="360" w:lineRule="auto"/>
        <w:ind w:left="400" w:hanging="400" w:hangingChars="200"/>
        <w:rPr>
          <w:iCs/>
          <w:lang w:val="en"/>
        </w:rPr>
      </w:pPr>
      <w:r>
        <w:rPr>
          <w:iCs/>
          <w:lang w:val="en"/>
        </w:rPr>
        <w:t xml:space="preserve">Raymond, B., Lea, M.-A., Patterson, T., Andrews-Goff, V., Sharples, R., Charrassin, J.-B., Cottin, M., Emmerson, L., Gales, N., Gales, R., Goldsworthy, S. D., Harcourt, R., Kato, A., Kirkwood, R., Lawton, K., Ropert-Coudert, Y., Southwell, C., van den Hoff, J., Wienecke, B., … Hindell, M. A. (2015). Important marine habitat off east Antarctica revealed by two decades of multi-species predator tracking. Ecography, 38(2), 121–129. </w:t>
      </w:r>
      <w:r>
        <w:fldChar w:fldCharType="begin"/>
      </w:r>
      <w:r>
        <w:instrText xml:space="preserve"> HYPERLINK "https://doi.org/10.1111/ecog.01021" </w:instrText>
      </w:r>
      <w:r>
        <w:fldChar w:fldCharType="separate"/>
      </w:r>
      <w:r>
        <w:rPr>
          <w:iCs/>
          <w:lang w:val="en"/>
        </w:rPr>
        <w:t>https://doi.org/10.1111/ecog.01021</w:t>
      </w:r>
      <w:r>
        <w:rPr>
          <w:iCs/>
          <w:lang w:val="en"/>
        </w:rPr>
        <w:fldChar w:fldCharType="end"/>
      </w:r>
    </w:p>
    <w:p>
      <w:pPr>
        <w:spacing w:line="360" w:lineRule="auto"/>
        <w:ind w:left="400" w:hanging="400" w:hangingChars="200"/>
        <w:rPr>
          <w:iCs/>
          <w:lang w:val="en"/>
        </w:rPr>
      </w:pPr>
      <w:r>
        <w:rPr>
          <w:iCs/>
          <w:lang w:val="en"/>
        </w:rPr>
        <w:t xml:space="preserve">Reisinger, R. R., Carpenter-Kling, T., Connan, M., Cherel, Y., &amp; Pistorius, P. A. (2020). Foraging behaviour and habitat-use drives niche segregation in sibling seabird species. Royal Society Open Science, 7(9), 200649. </w:t>
      </w:r>
      <w:r>
        <w:fldChar w:fldCharType="begin"/>
      </w:r>
      <w:r>
        <w:instrText xml:space="preserve"> HYPERLINK "https://doi.org/10.1098/rsos.200649" </w:instrText>
      </w:r>
      <w:r>
        <w:fldChar w:fldCharType="separate"/>
      </w:r>
      <w:r>
        <w:rPr>
          <w:iCs/>
          <w:lang w:val="en"/>
        </w:rPr>
        <w:t>https://doi.org/10.1098/rsos.200649</w:t>
      </w:r>
      <w:r>
        <w:rPr>
          <w:iCs/>
          <w:lang w:val="en"/>
        </w:rPr>
        <w:fldChar w:fldCharType="end"/>
      </w:r>
    </w:p>
    <w:p>
      <w:pPr>
        <w:spacing w:line="360" w:lineRule="auto"/>
        <w:ind w:left="400" w:hanging="400" w:hangingChars="200"/>
        <w:rPr>
          <w:iCs/>
          <w:lang w:val="en"/>
        </w:rPr>
      </w:pPr>
      <w:r>
        <w:rPr>
          <w:iCs/>
          <w:lang w:val="en"/>
        </w:rPr>
        <w:t xml:space="preserve">Reyes‐González, J. M., De Felipe, F., Morera‐Pujol, V., Soriano‐Redondo, A., Navarro‐Herrero, L., Zango, L., García‐Barcelona, S., Ramos, R., &amp; González‐Solís, J. (2021). Sexual segregation in the foraging behaviour of a slightly dimorphic seabird: Influence of the environment and fishery activity. Journal of Animal Ecology, 1365-2656.13437. </w:t>
      </w:r>
      <w:r>
        <w:fldChar w:fldCharType="begin"/>
      </w:r>
      <w:r>
        <w:instrText xml:space="preserve"> HYPERLINK "https://doi.org/10.1111/1365-2656.13437" </w:instrText>
      </w:r>
      <w:r>
        <w:fldChar w:fldCharType="separate"/>
      </w:r>
      <w:r>
        <w:rPr>
          <w:iCs/>
          <w:lang w:val="en"/>
        </w:rPr>
        <w:t>https://doi.org/10.1111/1365-2656.13437</w:t>
      </w:r>
      <w:r>
        <w:rPr>
          <w:iCs/>
          <w:lang w:val="en"/>
        </w:rPr>
        <w:fldChar w:fldCharType="end"/>
      </w:r>
    </w:p>
    <w:p>
      <w:pPr>
        <w:spacing w:line="360" w:lineRule="auto"/>
        <w:ind w:left="400" w:hanging="400" w:hangingChars="200"/>
        <w:rPr>
          <w:iCs/>
          <w:lang w:val="en"/>
        </w:rPr>
      </w:pPr>
      <w:r>
        <w:rPr>
          <w:iCs/>
          <w:lang w:val="en"/>
        </w:rPr>
        <w:t>Ruckstuhl, K., &amp; Neuhaus, P. (2006). Sexual Segregation in Vertebrates. Cambridge University Press.</w:t>
      </w:r>
    </w:p>
    <w:p>
      <w:pPr>
        <w:spacing w:line="360" w:lineRule="auto"/>
        <w:ind w:left="400" w:hanging="400" w:hangingChars="200"/>
        <w:rPr>
          <w:iCs/>
          <w:lang w:val="en"/>
        </w:rPr>
      </w:pPr>
      <w:r>
        <w:rPr>
          <w:iCs/>
          <w:lang w:val="en"/>
        </w:rPr>
        <w:t xml:space="preserve">Ryan, P. G., Jones, M. G., Dyer, B. M., Upfold, L., &amp; Crawford, R. J. (2009). Recent population estimates and trends in numbers of albatrosses and giant petrels breeding at the sub-Antarctic Prince Edward Islands. African Journal of Marine Science, 31(3), 409–417. </w:t>
      </w:r>
      <w:r>
        <w:fldChar w:fldCharType="begin"/>
      </w:r>
      <w:r>
        <w:instrText xml:space="preserve"> HYPERLINK "https://doi.org/10.2989/AJMS.2009.31.3.13.1001" </w:instrText>
      </w:r>
      <w:r>
        <w:fldChar w:fldCharType="separate"/>
      </w:r>
      <w:r>
        <w:rPr>
          <w:iCs/>
          <w:lang w:val="en"/>
        </w:rPr>
        <w:t>https://doi.org/10.2989/AJMS.2009.31.3.13.1001</w:t>
      </w:r>
      <w:r>
        <w:rPr>
          <w:iCs/>
          <w:lang w:val="en"/>
        </w:rPr>
        <w:fldChar w:fldCharType="end"/>
      </w:r>
    </w:p>
    <w:p>
      <w:pPr>
        <w:spacing w:line="360" w:lineRule="auto"/>
        <w:ind w:left="400" w:hanging="400" w:hangingChars="200"/>
        <w:rPr>
          <w:iCs/>
          <w:lang w:val="en"/>
        </w:rPr>
      </w:pPr>
      <w:r>
        <w:rPr>
          <w:iCs/>
          <w:lang w:val="en"/>
        </w:rPr>
        <w:t>Schoener, T. W. (1974). Resource Partitioning in Ecological Communities. Science, 185(4145), 27–39. JSTOR.</w:t>
      </w:r>
    </w:p>
    <w:p>
      <w:pPr>
        <w:spacing w:line="360" w:lineRule="auto"/>
        <w:ind w:left="400" w:hanging="400" w:hangingChars="200"/>
        <w:rPr>
          <w:iCs/>
          <w:lang w:val="en"/>
        </w:rPr>
      </w:pPr>
      <w:r>
        <w:rPr>
          <w:iCs/>
          <w:lang w:val="en"/>
        </w:rPr>
        <w:t xml:space="preserve">Shaffer, S. A., Weimerskirch, H., &amp; Costa, D. P. (2001). Functional significance of sexual dimorphism in Wandering Albatrosses, Diomedea exulans. Functional Ecology, 15(2), 203–210. </w:t>
      </w:r>
      <w:r>
        <w:fldChar w:fldCharType="begin"/>
      </w:r>
      <w:r>
        <w:instrText xml:space="preserve"> HYPERLINK "https://doi.org/10.1046/j.1365-2435.2001.00514.x" </w:instrText>
      </w:r>
      <w:r>
        <w:fldChar w:fldCharType="separate"/>
      </w:r>
      <w:r>
        <w:rPr>
          <w:iCs/>
          <w:lang w:val="en"/>
        </w:rPr>
        <w:t>https://doi.org/10.1046/j.1365-2435.2001.00514.x</w:t>
      </w:r>
      <w:r>
        <w:rPr>
          <w:iCs/>
          <w:lang w:val="en"/>
        </w:rPr>
        <w:fldChar w:fldCharType="end"/>
      </w:r>
    </w:p>
    <w:p>
      <w:pPr>
        <w:spacing w:line="360" w:lineRule="auto"/>
        <w:ind w:left="400" w:hanging="400" w:hangingChars="200"/>
        <w:rPr>
          <w:iCs/>
          <w:lang w:val="en"/>
        </w:rPr>
      </w:pPr>
      <w:r>
        <w:rPr>
          <w:iCs/>
          <w:lang w:val="en"/>
        </w:rPr>
        <w:t xml:space="preserve">Stewart, B. S. (1997). Ontogeny of Differential Migration and Sexual Segregation in Northern Elephant Seals. Journal of Mammalogy, 78(4), 1101–1116. </w:t>
      </w:r>
      <w:r>
        <w:fldChar w:fldCharType="begin"/>
      </w:r>
      <w:r>
        <w:instrText xml:space="preserve"> HYPERLINK "https://doi.org/10.2307/1383053" </w:instrText>
      </w:r>
      <w:r>
        <w:fldChar w:fldCharType="separate"/>
      </w:r>
      <w:r>
        <w:rPr>
          <w:iCs/>
          <w:lang w:val="en"/>
        </w:rPr>
        <w:t>https://doi.org/10.2307/1383053</w:t>
      </w:r>
      <w:r>
        <w:rPr>
          <w:iCs/>
          <w:lang w:val="en"/>
        </w:rPr>
        <w:fldChar w:fldCharType="end"/>
      </w:r>
    </w:p>
    <w:p>
      <w:pPr>
        <w:spacing w:line="360" w:lineRule="auto"/>
        <w:ind w:left="400" w:hanging="400" w:hangingChars="200"/>
        <w:rPr>
          <w:iCs/>
          <w:lang w:val="en"/>
        </w:rPr>
      </w:pPr>
      <w:r>
        <w:rPr>
          <w:iCs/>
          <w:lang w:val="en"/>
        </w:rPr>
        <w:t xml:space="preserve">Thiers, L., Delord, K., Bost, C.-A., Guinet, C., &amp; Weimerskirch, H. (2017). Important marine sectors for the top predator community around Kerguelen Archipelago. Polar Biology, 40(2), 365–378. </w:t>
      </w:r>
      <w:r>
        <w:fldChar w:fldCharType="begin"/>
      </w:r>
      <w:r>
        <w:instrText xml:space="preserve"> HYPERLINK "https://doi.org/10.1007/s00300-016-1964-4" </w:instrText>
      </w:r>
      <w:r>
        <w:fldChar w:fldCharType="separate"/>
      </w:r>
      <w:r>
        <w:rPr>
          <w:iCs/>
          <w:lang w:val="en"/>
        </w:rPr>
        <w:t>https://doi.org/10.1007/s00300-016-1964-4</w:t>
      </w:r>
      <w:r>
        <w:rPr>
          <w:iCs/>
          <w:lang w:val="en"/>
        </w:rPr>
        <w:fldChar w:fldCharType="end"/>
      </w:r>
    </w:p>
    <w:p>
      <w:pPr>
        <w:spacing w:line="360" w:lineRule="auto"/>
        <w:ind w:left="400" w:hanging="400" w:hangingChars="200"/>
        <w:rPr>
          <w:iCs/>
          <w:lang w:val="en"/>
        </w:rPr>
      </w:pPr>
      <w:r>
        <w:rPr>
          <w:iCs/>
          <w:lang w:val="en"/>
        </w:rPr>
        <w:t>Torres, L. G., Read, A. J., &amp; Halpin, P. (2008). Fine-Scale Habitat Modeling of a Top Marine Predator: Do Prey Data Improve Predictive Capacity? Ecological Applications, 18(7), 1702–1717.</w:t>
      </w:r>
    </w:p>
    <w:p>
      <w:pPr>
        <w:spacing w:line="360" w:lineRule="auto"/>
        <w:ind w:left="400" w:hanging="400" w:hangingChars="200"/>
        <w:rPr>
          <w:iCs/>
          <w:lang w:val="en"/>
        </w:rPr>
      </w:pPr>
      <w:r>
        <w:rPr>
          <w:iCs/>
          <w:lang w:val="en"/>
        </w:rPr>
        <w:t xml:space="preserve">Turchin, P. (2001). Does population ecology have general laws? Oikos, 94(1), 17–26. </w:t>
      </w:r>
      <w:r>
        <w:fldChar w:fldCharType="begin"/>
      </w:r>
      <w:r>
        <w:instrText xml:space="preserve"> HYPERLINK "https://doi.org/10.1034/j.1600-0706.2001.11310.x" </w:instrText>
      </w:r>
      <w:r>
        <w:fldChar w:fldCharType="separate"/>
      </w:r>
      <w:r>
        <w:rPr>
          <w:iCs/>
          <w:lang w:val="en"/>
        </w:rPr>
        <w:t>https://doi.org/10.1034/j.1600-0706.2001.11310.x</w:t>
      </w:r>
      <w:r>
        <w:rPr>
          <w:iCs/>
          <w:lang w:val="en"/>
        </w:rPr>
        <w:fldChar w:fldCharType="end"/>
      </w:r>
    </w:p>
    <w:p>
      <w:pPr>
        <w:spacing w:line="360" w:lineRule="auto"/>
        <w:ind w:left="400" w:hanging="400" w:hangingChars="200"/>
        <w:rPr>
          <w:iCs/>
          <w:lang w:val="en"/>
        </w:rPr>
      </w:pPr>
      <w:r>
        <w:rPr>
          <w:iCs/>
          <w:lang w:val="en"/>
        </w:rPr>
        <w:t xml:space="preserve">Wakefield, E. D., Bodey, T. W., Bearhop, S., Blackburn, J., Colhoun, K., Davies, R., Dwyer, R. G., Green, J. A., Grémillet, D., Jackson, A. L., Jessopp, M. J., Kane, A., Langston, R. H. W., Lescroël, A., Murray, S., Le Nuz, M., Patrick, S. C., Péron, C., Soanes, L. M., … Hamer, K. C. (2013). Space Partitioning Without Territoriality in Gannets. Science, 341(6141), 68–70. </w:t>
      </w:r>
      <w:r>
        <w:fldChar w:fldCharType="begin"/>
      </w:r>
      <w:r>
        <w:instrText xml:space="preserve"> HYPERLINK "https://doi.org/10.1126/science.1236077" </w:instrText>
      </w:r>
      <w:r>
        <w:fldChar w:fldCharType="separate"/>
      </w:r>
      <w:r>
        <w:rPr>
          <w:iCs/>
          <w:lang w:val="en"/>
        </w:rPr>
        <w:t>https://doi.org/10.1126/science.1236077</w:t>
      </w:r>
      <w:r>
        <w:rPr>
          <w:iCs/>
          <w:lang w:val="en"/>
        </w:rPr>
        <w:fldChar w:fldCharType="end"/>
      </w:r>
    </w:p>
    <w:p>
      <w:pPr>
        <w:spacing w:line="360" w:lineRule="auto"/>
        <w:ind w:left="400" w:hanging="400" w:hangingChars="200"/>
        <w:rPr>
          <w:iCs/>
          <w:lang w:val="en"/>
        </w:rPr>
      </w:pPr>
      <w:r>
        <w:rPr>
          <w:iCs/>
          <w:lang w:val="en"/>
        </w:rPr>
        <w:t xml:space="preserve">Wakefield, E. D., Phillips, R. A., Matthiopoulos, J., Fukuda, A., Higuchi, H., Marshall, G. J., &amp; Trathan, P. N. (2009). Wind field and sex constrain the flight speeds of central-place foraging albatrosses. Ecological Monographs, 79(4), 663–679. </w:t>
      </w:r>
      <w:r>
        <w:fldChar w:fldCharType="begin"/>
      </w:r>
      <w:r>
        <w:instrText xml:space="preserve"> HYPERLINK "https://doi.org/10.1890/07-2111.1" </w:instrText>
      </w:r>
      <w:r>
        <w:fldChar w:fldCharType="separate"/>
      </w:r>
      <w:r>
        <w:rPr>
          <w:iCs/>
          <w:lang w:val="en"/>
        </w:rPr>
        <w:t>https://doi.org/10.1890/07-2111.1</w:t>
      </w:r>
      <w:r>
        <w:rPr>
          <w:iCs/>
          <w:lang w:val="en"/>
        </w:rPr>
        <w:fldChar w:fldCharType="end"/>
      </w:r>
    </w:p>
    <w:p>
      <w:pPr>
        <w:spacing w:line="360" w:lineRule="auto"/>
        <w:ind w:left="400" w:hanging="400" w:hangingChars="200"/>
        <w:rPr>
          <w:iCs/>
          <w:lang w:val="en"/>
        </w:rPr>
      </w:pPr>
      <w:r>
        <w:rPr>
          <w:iCs/>
          <w:lang w:val="en"/>
        </w:rPr>
        <w:t xml:space="preserve">Wakefield, E. D., Phillips, R. A., Trathan, P. N., Arata, J., Gales, R., Huin, N., Robertson, G., Waugh, S. M., Weimerskirch, H., &amp; Matthiopoulos, J. (2011). Habitat preference, accessibility, and competition limit the global distribution of breeding Black-browed Albatrosses. Ecological Monographs, 81(1), 141–167. </w:t>
      </w:r>
      <w:r>
        <w:fldChar w:fldCharType="begin"/>
      </w:r>
      <w:r>
        <w:instrText xml:space="preserve"> HYPERLINK "https://doi.org/10.1890/09-0763.1" </w:instrText>
      </w:r>
      <w:r>
        <w:fldChar w:fldCharType="separate"/>
      </w:r>
      <w:r>
        <w:rPr>
          <w:iCs/>
          <w:lang w:val="en"/>
        </w:rPr>
        <w:t>https://doi.org/10.1890/09-0763.1</w:t>
      </w:r>
      <w:r>
        <w:rPr>
          <w:iCs/>
          <w:lang w:val="en"/>
        </w:rPr>
        <w:fldChar w:fldCharType="end"/>
      </w:r>
    </w:p>
    <w:p>
      <w:pPr>
        <w:spacing w:line="360" w:lineRule="auto"/>
        <w:ind w:left="400" w:hanging="400" w:hangingChars="200"/>
        <w:rPr>
          <w:iCs/>
          <w:lang w:val="en"/>
        </w:rPr>
      </w:pPr>
      <w:r>
        <w:rPr>
          <w:iCs/>
          <w:lang w:val="en"/>
        </w:rPr>
        <w:t xml:space="preserve">Wang, M., Alves, J., da Silva, A. A., Yang, W., &amp; Ruckstuhl, K. E. (2018). The effect of male age on patterns of sexual segregation in Siberian ibex. Scientific Reports, 8(1), 13095. </w:t>
      </w:r>
      <w:r>
        <w:fldChar w:fldCharType="begin"/>
      </w:r>
      <w:r>
        <w:instrText xml:space="preserve"> HYPERLINK "https://doi.org/10.1038/s41598-018-31463-w" </w:instrText>
      </w:r>
      <w:r>
        <w:fldChar w:fldCharType="separate"/>
      </w:r>
      <w:r>
        <w:rPr>
          <w:iCs/>
          <w:lang w:val="en"/>
        </w:rPr>
        <w:t>https://doi.org/10.1038/s41598-018-31463-w</w:t>
      </w:r>
      <w:r>
        <w:rPr>
          <w:iCs/>
          <w:lang w:val="en"/>
        </w:rPr>
        <w:fldChar w:fldCharType="end"/>
      </w:r>
    </w:p>
    <w:p>
      <w:pPr>
        <w:spacing w:line="360" w:lineRule="auto"/>
        <w:ind w:left="400" w:hanging="400" w:hangingChars="200"/>
        <w:rPr>
          <w:iCs/>
          <w:lang w:val="en"/>
        </w:rPr>
      </w:pPr>
      <w:r>
        <w:rPr>
          <w:iCs/>
          <w:lang w:val="en"/>
        </w:rPr>
        <w:t xml:space="preserve">Wearmouth, V. J., &amp; Sims, D. W. (2008). Chapter 2 Sexual Segregation in Marine Fish, Reptiles, Birds and Mammals. In Advances in Marine Biology (Vol. 54, pp. 107–170). Elsevier. </w:t>
      </w:r>
      <w:r>
        <w:fldChar w:fldCharType="begin"/>
      </w:r>
      <w:r>
        <w:instrText xml:space="preserve"> HYPERLINK "https://doi.org/10.1016/S0065-2881(08)00002-3" </w:instrText>
      </w:r>
      <w:r>
        <w:fldChar w:fldCharType="separate"/>
      </w:r>
      <w:r>
        <w:rPr>
          <w:iCs/>
          <w:lang w:val="en"/>
        </w:rPr>
        <w:t>https://doi.org/10.1016/S0065-2881(08)00002-3</w:t>
      </w:r>
      <w:r>
        <w:rPr>
          <w:iCs/>
          <w:lang w:val="en"/>
        </w:rPr>
        <w:fldChar w:fldCharType="end"/>
      </w:r>
    </w:p>
    <w:p>
      <w:pPr>
        <w:spacing w:line="360" w:lineRule="auto"/>
        <w:ind w:left="400" w:hanging="400" w:hangingChars="200"/>
        <w:rPr>
          <w:iCs/>
          <w:lang w:val="en"/>
        </w:rPr>
      </w:pPr>
      <w:r>
        <w:rPr>
          <w:iCs/>
          <w:lang w:val="en"/>
        </w:rPr>
        <w:t xml:space="preserve">Weimerskirch, H. (1991). Sex-Specific Differences in Molt Strategy in Relation to Breeding in the Wandering Albatross. The Condor, 93(3), 731–737. </w:t>
      </w:r>
      <w:r>
        <w:fldChar w:fldCharType="begin"/>
      </w:r>
      <w:r>
        <w:instrText xml:space="preserve"> HYPERLINK "https://doi.org/10.2307/1368205" </w:instrText>
      </w:r>
      <w:r>
        <w:fldChar w:fldCharType="separate"/>
      </w:r>
      <w:r>
        <w:rPr>
          <w:iCs/>
          <w:lang w:val="en"/>
        </w:rPr>
        <w:t>https://doi.org/10.2307/1368205</w:t>
      </w:r>
      <w:r>
        <w:rPr>
          <w:iCs/>
          <w:lang w:val="en"/>
        </w:rPr>
        <w:fldChar w:fldCharType="end"/>
      </w:r>
    </w:p>
    <w:p>
      <w:pPr>
        <w:spacing w:line="360" w:lineRule="auto"/>
        <w:ind w:left="400" w:hanging="400" w:hangingChars="200"/>
        <w:rPr>
          <w:iCs/>
          <w:lang w:val="en"/>
        </w:rPr>
      </w:pPr>
      <w:r>
        <w:rPr>
          <w:iCs/>
          <w:lang w:val="en"/>
        </w:rPr>
        <w:t xml:space="preserve">Weimerskirch, H., Filippi, D. P., Collet, J., Waugh, S. M., &amp; Patrick, S. C. (2018). Use of radar detectors to track attendance of albatrosses at fishing vessels: Seabird-Fishery Interactions. Conservation Biology, 32(1), 240–245. </w:t>
      </w:r>
      <w:r>
        <w:fldChar w:fldCharType="begin"/>
      </w:r>
      <w:r>
        <w:instrText xml:space="preserve"> HYPERLINK "https://doi.org/10.1111/cobi.12965" </w:instrText>
      </w:r>
      <w:r>
        <w:fldChar w:fldCharType="separate"/>
      </w:r>
      <w:r>
        <w:rPr>
          <w:iCs/>
          <w:lang w:val="en"/>
        </w:rPr>
        <w:t>https://doi.org/10.1111/cobi.12965</w:t>
      </w:r>
      <w:r>
        <w:rPr>
          <w:iCs/>
          <w:lang w:val="en"/>
        </w:rPr>
        <w:fldChar w:fldCharType="end"/>
      </w:r>
    </w:p>
    <w:p>
      <w:pPr>
        <w:spacing w:line="360" w:lineRule="auto"/>
        <w:ind w:left="400" w:hanging="400" w:hangingChars="200"/>
        <w:rPr>
          <w:iCs/>
          <w:lang w:val="en"/>
        </w:rPr>
      </w:pPr>
      <w:r>
        <w:rPr>
          <w:iCs/>
          <w:lang w:val="en"/>
        </w:rPr>
        <w:t xml:space="preserve">Weimerskirch, H., Lequette, B., &amp; Jouventin, P. (1989). Development and maturation of plumage in the wandering albatross Diomedea exulans. Journal of Zoology, 219(3), 411–421. </w:t>
      </w:r>
      <w:r>
        <w:fldChar w:fldCharType="begin"/>
      </w:r>
      <w:r>
        <w:instrText xml:space="preserve"> HYPERLINK "https://doi.org/10.1111/j.1469-7998.1989.tb02589.x" </w:instrText>
      </w:r>
      <w:r>
        <w:fldChar w:fldCharType="separate"/>
      </w:r>
      <w:r>
        <w:rPr>
          <w:iCs/>
          <w:lang w:val="en"/>
        </w:rPr>
        <w:t>https://doi.org/10.1111/j.1469-7998.1989.tb02589.x</w:t>
      </w:r>
      <w:r>
        <w:rPr>
          <w:iCs/>
          <w:lang w:val="en"/>
        </w:rPr>
        <w:fldChar w:fldCharType="end"/>
      </w:r>
    </w:p>
    <w:p>
      <w:pPr>
        <w:spacing w:line="360" w:lineRule="auto"/>
        <w:ind w:left="400" w:hanging="400" w:hangingChars="200"/>
        <w:rPr>
          <w:iCs/>
          <w:lang w:val="en"/>
        </w:rPr>
      </w:pPr>
      <w:r>
        <w:rPr>
          <w:iCs/>
          <w:lang w:val="en"/>
        </w:rPr>
        <w:t xml:space="preserve">Weimerskirch, Henri. (1995). Regulation of foraging trips and incubation routine in male and female wandering albatrosses. Oecologia, 102(1), 37–43. </w:t>
      </w:r>
      <w:r>
        <w:fldChar w:fldCharType="begin"/>
      </w:r>
      <w:r>
        <w:instrText xml:space="preserve"> HYPERLINK "https://doi.org/10.1007/BF00333308" </w:instrText>
      </w:r>
      <w:r>
        <w:fldChar w:fldCharType="separate"/>
      </w:r>
      <w:r>
        <w:rPr>
          <w:iCs/>
          <w:lang w:val="en"/>
        </w:rPr>
        <w:t>https://doi.org/10.1007/BF00333308</w:t>
      </w:r>
      <w:r>
        <w:rPr>
          <w:iCs/>
          <w:lang w:val="en"/>
        </w:rPr>
        <w:fldChar w:fldCharType="end"/>
      </w:r>
    </w:p>
    <w:p>
      <w:pPr>
        <w:spacing w:line="360" w:lineRule="auto"/>
        <w:ind w:left="400" w:hanging="400" w:hangingChars="200"/>
        <w:rPr>
          <w:rFonts w:hint="default"/>
          <w:iCs/>
          <w:lang w:val="en"/>
        </w:rPr>
      </w:pPr>
      <w:r>
        <w:rPr>
          <w:iCs/>
          <w:lang w:val="en"/>
        </w:rPr>
        <w:t>Weimerskirch, H</w:t>
      </w:r>
      <w:r>
        <w:rPr>
          <w:rFonts w:hint="default"/>
          <w:iCs/>
          <w:lang w:val="en"/>
        </w:rPr>
        <w:t>., Brothers, N., Jouventin, P.</w:t>
      </w:r>
      <w:r>
        <w:rPr>
          <w:iCs/>
          <w:lang w:val="en"/>
        </w:rPr>
        <w:t xml:space="preserve"> (1997). Population dynamics of wandering albatross Diomedea exulans and Amsterdam albatross D. amsterdamensis in the Indian Ocean and their relationships with long-line fisheries: Conservation implications.</w:t>
      </w:r>
      <w:r>
        <w:rPr>
          <w:rFonts w:hint="default"/>
          <w:iCs/>
          <w:lang w:val="en"/>
        </w:rPr>
        <w:t xml:space="preserve"> Biological Conservation, 79(2-3),257-270</w:t>
      </w:r>
      <w:r>
        <w:rPr>
          <w:iCs/>
          <w:lang w:val="en"/>
        </w:rPr>
        <w:t>.</w:t>
      </w:r>
      <w:r>
        <w:rPr>
          <w:rFonts w:hint="default"/>
          <w:iCs/>
          <w:lang w:val="en"/>
        </w:rPr>
        <w:t xml:space="preserve"> </w:t>
      </w:r>
      <w:r>
        <w:rPr>
          <w:rFonts w:hint="default"/>
          <w:iCs/>
          <w:lang w:val="en" w:eastAsia="zh-CN"/>
        </w:rPr>
        <w:fldChar w:fldCharType="begin"/>
      </w:r>
      <w:r>
        <w:rPr>
          <w:rFonts w:hint="default"/>
          <w:iCs/>
          <w:lang w:val="en" w:eastAsia="zh-CN"/>
        </w:rPr>
        <w:instrText xml:space="preserve"> HYPERLINK "https://doi.org/10.1016/S0006-3207(96)00084-5" \o "Persistent link using digital object identifier" \t "/home/florg/Documents\\x/_blank" </w:instrText>
      </w:r>
      <w:r>
        <w:rPr>
          <w:rFonts w:hint="default"/>
          <w:iCs/>
          <w:lang w:val="en" w:eastAsia="zh-CN"/>
        </w:rPr>
        <w:fldChar w:fldCharType="separate"/>
      </w:r>
      <w:r>
        <w:rPr>
          <w:rFonts w:hint="default"/>
          <w:iCs/>
          <w:lang w:val="en"/>
        </w:rPr>
        <w:t>https://doi.org/10.1016/S0006-3207(96)00084-5</w:t>
      </w:r>
      <w:r>
        <w:rPr>
          <w:rFonts w:hint="default"/>
          <w:iCs/>
          <w:lang w:val="en" w:eastAsia="zh-CN"/>
        </w:rPr>
        <w:fldChar w:fldCharType="end"/>
      </w:r>
      <w:r>
        <w:rPr>
          <w:rFonts w:hint="default"/>
          <w:iCs/>
          <w:lang w:val="en"/>
        </w:rPr>
        <w:t xml:space="preserve"> </w:t>
      </w:r>
    </w:p>
    <w:p>
      <w:pPr>
        <w:spacing w:line="360" w:lineRule="auto"/>
        <w:ind w:left="400" w:hanging="400" w:hangingChars="200"/>
        <w:rPr>
          <w:iCs/>
          <w:lang w:val="en"/>
        </w:rPr>
      </w:pPr>
      <w:r>
        <w:rPr>
          <w:iCs/>
          <w:lang w:val="en"/>
        </w:rPr>
        <w:t xml:space="preserve">Weimerskirch, Henri. (2018). Linking demographic processes and foraging ecology in wandering albatross-Conservation implications. Journal of Animal Ecology, 87(4), 945–955. </w:t>
      </w:r>
      <w:r>
        <w:fldChar w:fldCharType="begin"/>
      </w:r>
      <w:r>
        <w:instrText xml:space="preserve"> HYPERLINK "https://doi.org/10.1111/1365-2656.12817" </w:instrText>
      </w:r>
      <w:r>
        <w:fldChar w:fldCharType="separate"/>
      </w:r>
      <w:r>
        <w:rPr>
          <w:iCs/>
          <w:lang w:val="en"/>
        </w:rPr>
        <w:t>https://doi.org/10.1111/1365-2656.12817</w:t>
      </w:r>
      <w:r>
        <w:rPr>
          <w:iCs/>
          <w:lang w:val="en"/>
        </w:rPr>
        <w:fldChar w:fldCharType="end"/>
      </w:r>
    </w:p>
    <w:p>
      <w:pPr>
        <w:spacing w:line="360" w:lineRule="auto"/>
        <w:ind w:left="400" w:hanging="400" w:hangingChars="200"/>
        <w:rPr>
          <w:iCs/>
          <w:lang w:val="en"/>
        </w:rPr>
      </w:pPr>
      <w:r>
        <w:rPr>
          <w:iCs/>
          <w:lang w:val="en"/>
        </w:rPr>
        <w:t xml:space="preserve">Weimerskirch, Henri, Barbraud, C., &amp; Lys, P. (2000). Sex differences in parental investment and chick growth in wandering albatrosses: Fitness consequences. Ecology, 81(2), 309–318. </w:t>
      </w:r>
      <w:r>
        <w:fldChar w:fldCharType="begin"/>
      </w:r>
      <w:r>
        <w:instrText xml:space="preserve"> HYPERLINK "https://doi.org/10.1890/0012-9658(2000)081%5b0309:SDIPIA%5d2.0.CO;2" </w:instrText>
      </w:r>
      <w:r>
        <w:fldChar w:fldCharType="separate"/>
      </w:r>
      <w:r>
        <w:rPr>
          <w:iCs/>
          <w:lang w:val="en"/>
        </w:rPr>
        <w:t>https://doi.org/10.1890/0012-9658(2000)081[0309:SDIPIA]2.0.CO;2</w:t>
      </w:r>
      <w:r>
        <w:rPr>
          <w:iCs/>
          <w:lang w:val="en"/>
        </w:rPr>
        <w:fldChar w:fldCharType="end"/>
      </w:r>
    </w:p>
    <w:p>
      <w:pPr>
        <w:spacing w:line="360" w:lineRule="auto"/>
        <w:ind w:left="400" w:hanging="400" w:hangingChars="200"/>
        <w:rPr>
          <w:iCs/>
          <w:lang w:val="en"/>
        </w:rPr>
      </w:pPr>
      <w:r>
        <w:rPr>
          <w:iCs/>
          <w:lang w:val="en"/>
        </w:rPr>
        <w:t xml:space="preserve">Weimerskirch, Henri, Collet, J., Corbeau, A., Pajot, A., Hoarau, F., Marteau, C., Filippi, D., &amp; Patrick, S. C. (2020). Ocean sentinel albatrosses locate illegal vessels and provide the first estimate of the extent of nondeclared fishing. Proceedings of the National Academy of Sciences, 117(6), 3006–3014. </w:t>
      </w:r>
      <w:r>
        <w:fldChar w:fldCharType="begin"/>
      </w:r>
      <w:r>
        <w:instrText xml:space="preserve"> HYPERLINK "https://doi.org/10.1073/pnas.1915499117" </w:instrText>
      </w:r>
      <w:r>
        <w:fldChar w:fldCharType="separate"/>
      </w:r>
      <w:r>
        <w:rPr>
          <w:iCs/>
          <w:lang w:val="en"/>
        </w:rPr>
        <w:t>https://doi.org/10.1073/pnas.1915499117</w:t>
      </w:r>
      <w:r>
        <w:rPr>
          <w:iCs/>
          <w:lang w:val="en"/>
        </w:rPr>
        <w:fldChar w:fldCharType="end"/>
      </w:r>
    </w:p>
    <w:p>
      <w:pPr>
        <w:spacing w:line="360" w:lineRule="auto"/>
        <w:ind w:left="400" w:hanging="400" w:hangingChars="200"/>
        <w:rPr>
          <w:iCs/>
          <w:lang w:val="en"/>
        </w:rPr>
      </w:pPr>
      <w:r>
        <w:rPr>
          <w:iCs/>
          <w:lang w:val="en"/>
        </w:rPr>
        <w:t>Weimerskirch, Henri, Lallemand, J., &amp; Martin, J. (2005). Population Sex Ratio Variation in a Monogamous Long-Lived Bird, the Wandering Albatross. Journal of Animal Ecology, 74(2), 285–291.</w:t>
      </w:r>
    </w:p>
    <w:p>
      <w:pPr>
        <w:spacing w:line="360" w:lineRule="auto"/>
        <w:ind w:left="400" w:hanging="400" w:hangingChars="200"/>
        <w:rPr>
          <w:iCs/>
          <w:lang w:val="en"/>
        </w:rPr>
      </w:pPr>
      <w:r>
        <w:rPr>
          <w:iCs/>
          <w:lang w:val="en"/>
        </w:rPr>
        <w:t xml:space="preserve">Weimerskirch, Henri, Salamolard, M., Sarrazin, F., &amp; Jouventin, P. (1993). Foraging Strategy of Wandering Albatrosses Through The Breeding Season: A Study Using Satellite Telemetry. The Auk, 110(2), 325–342. </w:t>
      </w:r>
      <w:r>
        <w:fldChar w:fldCharType="begin"/>
      </w:r>
      <w:r>
        <w:instrText xml:space="preserve"> HYPERLINK "https://doi.org/10.1093/auk/110.2.325" </w:instrText>
      </w:r>
      <w:r>
        <w:fldChar w:fldCharType="separate"/>
      </w:r>
      <w:r>
        <w:rPr>
          <w:iCs/>
          <w:lang w:val="en"/>
        </w:rPr>
        <w:t>https://doi.org/10.1093/auk/110.2.325</w:t>
      </w:r>
      <w:r>
        <w:rPr>
          <w:iCs/>
          <w:lang w:val="en"/>
        </w:rPr>
        <w:fldChar w:fldCharType="end"/>
      </w:r>
    </w:p>
    <w:p>
      <w:pPr>
        <w:spacing w:line="360" w:lineRule="auto"/>
        <w:ind w:left="400" w:hanging="400" w:hangingChars="200"/>
        <w:rPr>
          <w:iCs/>
          <w:lang w:val="en"/>
        </w:rPr>
      </w:pPr>
      <w:r>
        <w:rPr>
          <w:iCs/>
          <w:lang w:val="en"/>
        </w:rPr>
        <w:t xml:space="preserve">Whiteside, M. A., van Horik, J. O., Langley, E. J. G., Beardsworth, C. E., &amp; Madden, J. R. (2018). Size dimorphism and sexual segregation in pheasants: Tests of three competing hypotheses. PeerJ, 6, e5674. </w:t>
      </w:r>
      <w:r>
        <w:fldChar w:fldCharType="begin"/>
      </w:r>
      <w:r>
        <w:instrText xml:space="preserve"> HYPERLINK "https://doi.org/10.7717/peerj.5674" </w:instrText>
      </w:r>
      <w:r>
        <w:fldChar w:fldCharType="separate"/>
      </w:r>
      <w:r>
        <w:rPr>
          <w:iCs/>
          <w:lang w:val="en"/>
        </w:rPr>
        <w:t>https://doi.org/10.7717/peerj.5674</w:t>
      </w:r>
      <w:r>
        <w:rPr>
          <w:iCs/>
          <w:lang w:val="en"/>
        </w:rPr>
        <w:fldChar w:fldCharType="end"/>
      </w:r>
    </w:p>
    <w:p>
      <w:pPr>
        <w:spacing w:line="360" w:lineRule="auto"/>
        <w:ind w:left="400" w:hanging="400" w:hangingChars="200"/>
        <w:rPr>
          <w:iCs/>
          <w:lang w:val="en"/>
        </w:rPr>
      </w:pPr>
      <w:r>
        <w:rPr>
          <w:iCs/>
          <w:lang w:val="en"/>
        </w:rPr>
        <w:t>Wood, S. N. (2017). Generalized additive models: An introduction with R. CRC press.</w:t>
      </w:r>
    </w:p>
    <w:p>
      <w:pPr>
        <w:spacing w:line="360" w:lineRule="auto"/>
        <w:ind w:left="400" w:hanging="400" w:hangingChars="200"/>
        <w:rPr>
          <w:iCs/>
          <w:lang w:val="en"/>
        </w:rPr>
      </w:pPr>
      <w:r>
        <w:rPr>
          <w:iCs/>
          <w:lang w:val="en"/>
        </w:rPr>
        <w:t>Xavier, J. C., &amp; Croxall, J. P. (2005). Sexual differences in foraging behaviour and diets: A case study of wandering albatrosses. Sexual Segregation in Vertebrates: Ecology of the Two Sexes. Cambridge University Press, Cambridge, 74–91.</w:t>
      </w:r>
    </w:p>
    <w:p>
      <w:pPr>
        <w:spacing w:line="360" w:lineRule="auto"/>
        <w:ind w:left="400" w:hanging="400" w:hangingChars="200"/>
        <w:rPr>
          <w:b/>
          <w:bCs/>
          <w:iCs/>
          <w:lang w:val="en"/>
        </w:rPr>
      </w:pPr>
      <w:r>
        <w:rPr>
          <w:iCs/>
          <w:lang w:val="en"/>
        </w:rPr>
        <w:t xml:space="preserve">Yamamoto, T., Takahashi, A., Oka, N., Iida, T., Katsumata, N., Sato, K., &amp; Trathan, P. (2011). Foraging areas of streaked shearwaters in relation to seasonal changes in the marine environment of the Northwestern Pacific: Inter-colony and sex-related differences. Marine Ecology Progress Series, 424, 191–204. </w:t>
      </w:r>
      <w:r>
        <w:fldChar w:fldCharType="begin"/>
      </w:r>
      <w:r>
        <w:instrText xml:space="preserve"> HYPERLINK "https://doi.org/10.3354/meps08973" </w:instrText>
      </w:r>
      <w:r>
        <w:fldChar w:fldCharType="separate"/>
      </w:r>
      <w:r>
        <w:rPr>
          <w:iCs/>
          <w:lang w:val="en"/>
        </w:rPr>
        <w:t>https://doi.org/10.3354/meps08973</w:t>
      </w:r>
      <w:r>
        <w:rPr>
          <w:iCs/>
          <w:lang w:val="en"/>
        </w:rPr>
        <w:fldChar w:fldCharType="end"/>
      </w:r>
    </w:p>
    <w:p>
      <w:pPr>
        <w:spacing w:line="480" w:lineRule="auto"/>
        <w:rPr>
          <w:b/>
          <w:bCs/>
          <w:iCs/>
          <w:sz w:val="21"/>
          <w:szCs w:val="21"/>
          <w:lang w:val="en"/>
        </w:rPr>
      </w:pPr>
    </w:p>
    <w:p>
      <w:pPr>
        <w:spacing w:line="480" w:lineRule="auto"/>
        <w:rPr>
          <w:b/>
          <w:bCs/>
          <w:iCs/>
          <w:sz w:val="21"/>
          <w:szCs w:val="21"/>
          <w:lang w:val="en"/>
        </w:rPr>
      </w:pPr>
    </w:p>
    <w:p>
      <w:pPr>
        <w:spacing w:line="480" w:lineRule="auto"/>
        <w:rPr>
          <w:b/>
          <w:bCs/>
          <w:iCs/>
          <w:sz w:val="21"/>
          <w:szCs w:val="21"/>
          <w:lang w:val="en"/>
        </w:rPr>
      </w:pPr>
    </w:p>
    <w:p>
      <w:pPr>
        <w:spacing w:line="480" w:lineRule="auto"/>
        <w:rPr>
          <w:b/>
          <w:bCs/>
          <w:iCs/>
          <w:sz w:val="21"/>
          <w:szCs w:val="21"/>
          <w:lang w:val="en"/>
        </w:rPr>
      </w:pPr>
    </w:p>
    <w:p>
      <w:pPr>
        <w:spacing w:line="480" w:lineRule="auto"/>
        <w:rPr>
          <w:b/>
          <w:bCs/>
          <w:iCs/>
          <w:sz w:val="21"/>
          <w:szCs w:val="21"/>
          <w:lang w:val="en"/>
        </w:rPr>
      </w:pPr>
    </w:p>
    <w:p>
      <w:pPr>
        <w:spacing w:line="480" w:lineRule="auto"/>
        <w:rPr>
          <w:b/>
          <w:bCs/>
          <w:iCs/>
          <w:sz w:val="21"/>
          <w:szCs w:val="21"/>
          <w:lang w:val="en"/>
        </w:rPr>
      </w:pPr>
    </w:p>
    <w:p>
      <w:pPr>
        <w:spacing w:line="480" w:lineRule="auto"/>
        <w:rPr>
          <w:b/>
          <w:bCs/>
          <w:iCs/>
          <w:sz w:val="21"/>
          <w:szCs w:val="21"/>
          <w:lang w:val="en"/>
        </w:rPr>
      </w:pPr>
    </w:p>
    <w:p>
      <w:pPr>
        <w:jc w:val="both"/>
        <w:rPr>
          <w:rFonts w:eastAsiaTheme="majorEastAsia" w:cstheme="majorEastAsia"/>
          <w:sz w:val="21"/>
          <w:szCs w:val="21"/>
          <w:lang w:val="en"/>
        </w:rPr>
      </w:pPr>
      <w:r>
        <w:rPr>
          <w:rFonts w:eastAsiaTheme="majorEastAsia" w:cstheme="majorEastAsia"/>
          <w:b/>
          <w:bCs/>
          <w:sz w:val="21"/>
          <w:szCs w:val="21"/>
          <w:lang w:val="en"/>
        </w:rPr>
        <w:t>Table 1:</w:t>
      </w:r>
      <w:r>
        <w:rPr>
          <w:rFonts w:eastAsiaTheme="majorEastAsia" w:cstheme="majorEastAsia"/>
          <w:sz w:val="21"/>
          <w:szCs w:val="21"/>
          <w:lang w:val="en"/>
        </w:rPr>
        <w:t xml:space="preserve"> Trip parameters (mean±SD) per site and sex with corresponding sample size (number of individuals: Nid; Number of trips: Ntrip)</w:t>
      </w:r>
    </w:p>
    <w:tbl>
      <w:tblPr>
        <w:tblStyle w:val="5"/>
        <w:tblW w:w="8429" w:type="dxa"/>
        <w:tblInd w:w="93" w:type="dxa"/>
        <w:tblLayout w:type="fixed"/>
        <w:tblCellMar>
          <w:top w:w="0" w:type="dxa"/>
          <w:left w:w="108" w:type="dxa"/>
          <w:bottom w:w="0" w:type="dxa"/>
          <w:right w:w="108" w:type="dxa"/>
        </w:tblCellMar>
      </w:tblPr>
      <w:tblGrid>
        <w:gridCol w:w="1013"/>
        <w:gridCol w:w="1300"/>
        <w:gridCol w:w="680"/>
        <w:gridCol w:w="820"/>
        <w:gridCol w:w="1636"/>
        <w:gridCol w:w="1613"/>
        <w:gridCol w:w="1367"/>
      </w:tblGrid>
      <w:tr>
        <w:tblPrEx>
          <w:tblCellMar>
            <w:top w:w="0" w:type="dxa"/>
            <w:left w:w="108" w:type="dxa"/>
            <w:bottom w:w="0" w:type="dxa"/>
            <w:right w:w="108" w:type="dxa"/>
          </w:tblCellMar>
        </w:tblPrEx>
        <w:trPr>
          <w:trHeight w:val="315" w:hRule="atLeast"/>
        </w:trPr>
        <w:tc>
          <w:tcPr>
            <w:tcW w:w="1013" w:type="dxa"/>
            <w:tcBorders>
              <w:top w:val="nil"/>
              <w:left w:val="nil"/>
              <w:bottom w:val="single" w:color="000000" w:sz="4" w:space="0"/>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Site</w:t>
            </w:r>
          </w:p>
        </w:tc>
        <w:tc>
          <w:tcPr>
            <w:tcW w:w="1300" w:type="dxa"/>
            <w:tcBorders>
              <w:top w:val="nil"/>
              <w:left w:val="nil"/>
              <w:bottom w:val="single" w:color="000000" w:sz="4" w:space="0"/>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Sex</w:t>
            </w:r>
          </w:p>
        </w:tc>
        <w:tc>
          <w:tcPr>
            <w:tcW w:w="680" w:type="dxa"/>
            <w:tcBorders>
              <w:top w:val="nil"/>
              <w:left w:val="nil"/>
              <w:bottom w:val="single" w:color="000000" w:sz="4" w:space="0"/>
              <w:right w:val="nil"/>
            </w:tcBorders>
            <w:shd w:val="clear" w:color="auto" w:fill="auto"/>
            <w:noWrap/>
            <w:vAlign w:val="center"/>
          </w:tcPr>
          <w:p>
            <w:pPr>
              <w:jc w:val="center"/>
              <w:textAlignment w:val="center"/>
              <w:rPr>
                <w:rFonts w:cs="Calibri"/>
                <w:color w:val="000000"/>
                <w:sz w:val="22"/>
                <w:szCs w:val="22"/>
                <w:lang w:val="en"/>
              </w:rPr>
            </w:pPr>
            <w:r>
              <w:rPr>
                <w:rFonts w:eastAsia="SimSun" w:cs="Calibri"/>
                <w:color w:val="000000"/>
                <w:sz w:val="22"/>
                <w:szCs w:val="22"/>
                <w:lang w:bidi="ar"/>
              </w:rPr>
              <w:t>N</w:t>
            </w:r>
            <w:r>
              <w:rPr>
                <w:rFonts w:eastAsia="SimSun" w:cs="Calibri"/>
                <w:color w:val="000000"/>
                <w:sz w:val="22"/>
                <w:szCs w:val="22"/>
                <w:lang w:val="en" w:bidi="ar"/>
              </w:rPr>
              <w:t>id</w:t>
            </w:r>
          </w:p>
        </w:tc>
        <w:tc>
          <w:tcPr>
            <w:tcW w:w="820" w:type="dxa"/>
            <w:tcBorders>
              <w:top w:val="nil"/>
              <w:left w:val="nil"/>
              <w:bottom w:val="single" w:color="000000" w:sz="4" w:space="0"/>
              <w:right w:val="nil"/>
            </w:tcBorders>
            <w:shd w:val="clear" w:color="auto" w:fill="auto"/>
            <w:noWrap/>
            <w:vAlign w:val="center"/>
          </w:tcPr>
          <w:p>
            <w:pPr>
              <w:jc w:val="center"/>
              <w:textAlignment w:val="center"/>
              <w:rPr>
                <w:rFonts w:eastAsia="SimSun" w:cs="Calibri"/>
                <w:color w:val="000000"/>
                <w:sz w:val="22"/>
                <w:szCs w:val="22"/>
                <w:lang w:val="en" w:bidi="ar"/>
              </w:rPr>
            </w:pPr>
            <w:r>
              <w:rPr>
                <w:rFonts w:eastAsia="SimSun" w:cs="Calibri"/>
                <w:color w:val="000000"/>
                <w:sz w:val="22"/>
                <w:szCs w:val="22"/>
                <w:lang w:val="en" w:bidi="ar"/>
              </w:rPr>
              <w:t>Ntrip</w:t>
            </w:r>
          </w:p>
        </w:tc>
        <w:tc>
          <w:tcPr>
            <w:tcW w:w="1636" w:type="dxa"/>
            <w:tcBorders>
              <w:top w:val="nil"/>
              <w:left w:val="nil"/>
              <w:bottom w:val="single" w:color="000000" w:sz="4" w:space="0"/>
              <w:right w:val="nil"/>
            </w:tcBorders>
            <w:shd w:val="clear" w:color="auto" w:fill="auto"/>
            <w:noWrap/>
            <w:vAlign w:val="center"/>
          </w:tcPr>
          <w:p>
            <w:pPr>
              <w:jc w:val="center"/>
              <w:textAlignment w:val="center"/>
              <w:rPr>
                <w:rFonts w:eastAsia="SimSun" w:cs="Calibri"/>
                <w:color w:val="000000"/>
                <w:sz w:val="22"/>
                <w:szCs w:val="22"/>
                <w:lang w:val="en" w:bidi="ar"/>
              </w:rPr>
            </w:pPr>
            <w:r>
              <w:rPr>
                <w:rFonts w:eastAsia="SimSun" w:cs="Calibri"/>
                <w:color w:val="000000"/>
                <w:sz w:val="22"/>
                <w:szCs w:val="22"/>
                <w:lang w:bidi="ar"/>
              </w:rPr>
              <w:t>Max</w:t>
            </w:r>
            <w:r>
              <w:rPr>
                <w:rFonts w:eastAsia="SimSun" w:cs="Calibri"/>
                <w:color w:val="000000"/>
                <w:sz w:val="22"/>
                <w:szCs w:val="22"/>
                <w:lang w:val="en" w:bidi="ar"/>
              </w:rPr>
              <w:t>imum</w:t>
            </w:r>
            <w:r>
              <w:rPr>
                <w:rFonts w:eastAsia="SimSun" w:cs="Calibri"/>
                <w:color w:val="000000"/>
                <w:sz w:val="22"/>
                <w:szCs w:val="22"/>
                <w:lang w:bidi="ar"/>
              </w:rPr>
              <w:t xml:space="preserve"> </w:t>
            </w:r>
            <w:r>
              <w:rPr>
                <w:rFonts w:eastAsia="SimSun" w:cs="Calibri"/>
                <w:color w:val="000000"/>
                <w:sz w:val="22"/>
                <w:szCs w:val="22"/>
                <w:lang w:val="en" w:bidi="ar"/>
              </w:rPr>
              <w:t xml:space="preserve">range </w:t>
            </w:r>
          </w:p>
          <w:p>
            <w:pPr>
              <w:jc w:val="center"/>
              <w:textAlignment w:val="center"/>
              <w:rPr>
                <w:rFonts w:cs="Calibri"/>
                <w:color w:val="000000"/>
                <w:sz w:val="22"/>
                <w:szCs w:val="22"/>
                <w:lang w:val="en"/>
              </w:rPr>
            </w:pPr>
            <w:r>
              <w:rPr>
                <w:rFonts w:eastAsia="SimSun" w:cs="Calibri"/>
                <w:color w:val="000000"/>
                <w:sz w:val="22"/>
                <w:szCs w:val="22"/>
                <w:lang w:val="en" w:bidi="ar"/>
              </w:rPr>
              <w:t>(km)</w:t>
            </w:r>
          </w:p>
        </w:tc>
        <w:tc>
          <w:tcPr>
            <w:tcW w:w="1613" w:type="dxa"/>
            <w:tcBorders>
              <w:top w:val="nil"/>
              <w:left w:val="nil"/>
              <w:bottom w:val="single" w:color="000000" w:sz="4" w:space="0"/>
              <w:right w:val="nil"/>
            </w:tcBorders>
            <w:shd w:val="clear" w:color="auto" w:fill="auto"/>
            <w:noWrap/>
            <w:vAlign w:val="center"/>
          </w:tcPr>
          <w:p>
            <w:pPr>
              <w:jc w:val="center"/>
              <w:textAlignment w:val="center"/>
              <w:rPr>
                <w:rFonts w:eastAsia="SimSun" w:cs="Calibri"/>
                <w:color w:val="000000"/>
                <w:sz w:val="22"/>
                <w:szCs w:val="22"/>
                <w:lang w:val="en" w:bidi="ar"/>
              </w:rPr>
            </w:pPr>
            <w:r>
              <w:rPr>
                <w:rFonts w:eastAsia="SimSun" w:cs="Calibri"/>
                <w:color w:val="000000"/>
                <w:sz w:val="22"/>
                <w:szCs w:val="22"/>
                <w:lang w:val="en" w:bidi="ar"/>
              </w:rPr>
              <w:t>Total traveled distance (km)</w:t>
            </w:r>
          </w:p>
        </w:tc>
        <w:tc>
          <w:tcPr>
            <w:tcW w:w="1367" w:type="dxa"/>
            <w:tcBorders>
              <w:top w:val="nil"/>
              <w:left w:val="nil"/>
              <w:bottom w:val="single" w:color="000000" w:sz="4" w:space="0"/>
              <w:right w:val="nil"/>
            </w:tcBorders>
            <w:shd w:val="clear" w:color="auto" w:fill="auto"/>
            <w:noWrap/>
            <w:vAlign w:val="center"/>
          </w:tcPr>
          <w:p>
            <w:pPr>
              <w:jc w:val="center"/>
              <w:textAlignment w:val="center"/>
              <w:rPr>
                <w:rFonts w:eastAsia="SimSun" w:cs="Calibri"/>
                <w:color w:val="000000"/>
                <w:sz w:val="22"/>
                <w:szCs w:val="22"/>
                <w:lang w:val="en" w:bidi="ar"/>
              </w:rPr>
            </w:pPr>
            <w:r>
              <w:rPr>
                <w:rFonts w:eastAsia="SimSun" w:cs="Calibri"/>
                <w:color w:val="000000"/>
                <w:sz w:val="22"/>
                <w:szCs w:val="22"/>
                <w:lang w:bidi="ar"/>
              </w:rPr>
              <w:t>Trip duration</w:t>
            </w:r>
            <w:r>
              <w:rPr>
                <w:rFonts w:eastAsia="SimSun" w:cs="Calibri"/>
                <w:color w:val="000000"/>
                <w:sz w:val="22"/>
                <w:szCs w:val="22"/>
                <w:lang w:val="en" w:bidi="ar"/>
              </w:rPr>
              <w:t xml:space="preserve"> (days)</w:t>
            </w:r>
          </w:p>
        </w:tc>
      </w:tr>
      <w:tr>
        <w:tblPrEx>
          <w:tblCellMar>
            <w:top w:w="0" w:type="dxa"/>
            <w:left w:w="108" w:type="dxa"/>
            <w:bottom w:w="0" w:type="dxa"/>
            <w:right w:w="108" w:type="dxa"/>
          </w:tblCellMar>
        </w:tblPrEx>
        <w:trPr>
          <w:trHeight w:val="315" w:hRule="atLeast"/>
        </w:trPr>
        <w:tc>
          <w:tcPr>
            <w:tcW w:w="1013"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Crozet</w:t>
            </w:r>
          </w:p>
        </w:tc>
        <w:tc>
          <w:tcPr>
            <w:tcW w:w="1300"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Females</w:t>
            </w:r>
          </w:p>
        </w:tc>
        <w:tc>
          <w:tcPr>
            <w:tcW w:w="680" w:type="dxa"/>
            <w:tcBorders>
              <w:top w:val="nil"/>
              <w:left w:val="nil"/>
              <w:bottom w:val="nil"/>
              <w:right w:val="nil"/>
            </w:tcBorders>
            <w:shd w:val="clear" w:color="auto" w:fill="auto"/>
            <w:noWrap/>
            <w:vAlign w:val="center"/>
          </w:tcPr>
          <w:p>
            <w:pPr>
              <w:jc w:val="center"/>
              <w:textAlignment w:val="center"/>
              <w:rPr>
                <w:rFonts w:cs="Calibri"/>
                <w:color w:val="000000"/>
                <w:sz w:val="22"/>
                <w:szCs w:val="22"/>
                <w:lang w:val="en"/>
              </w:rPr>
            </w:pPr>
            <w:r>
              <w:rPr>
                <w:rFonts w:eastAsia="SimSun" w:cs="Calibri"/>
                <w:color w:val="000000"/>
                <w:sz w:val="22"/>
                <w:szCs w:val="22"/>
                <w:lang w:val="en" w:bidi="ar"/>
              </w:rPr>
              <w:t>66</w:t>
            </w:r>
          </w:p>
        </w:tc>
        <w:tc>
          <w:tcPr>
            <w:tcW w:w="820" w:type="dxa"/>
            <w:tcBorders>
              <w:top w:val="nil"/>
              <w:left w:val="nil"/>
              <w:bottom w:val="nil"/>
              <w:right w:val="nil"/>
            </w:tcBorders>
            <w:shd w:val="clear" w:color="auto" w:fill="auto"/>
            <w:noWrap/>
            <w:vAlign w:val="center"/>
          </w:tcPr>
          <w:p>
            <w:pPr>
              <w:jc w:val="center"/>
              <w:textAlignment w:val="center"/>
              <w:rPr>
                <w:rFonts w:eastAsia="SimSun" w:cs="Calibri"/>
                <w:color w:val="000000"/>
                <w:sz w:val="22"/>
                <w:szCs w:val="22"/>
                <w:lang w:val="en" w:bidi="ar"/>
              </w:rPr>
            </w:pPr>
            <w:r>
              <w:rPr>
                <w:rFonts w:eastAsia="SimSun" w:cs="Calibri"/>
                <w:color w:val="000000"/>
                <w:sz w:val="22"/>
                <w:szCs w:val="22"/>
                <w:lang w:val="en" w:bidi="ar"/>
              </w:rPr>
              <w:t>69</w:t>
            </w:r>
          </w:p>
        </w:tc>
        <w:tc>
          <w:tcPr>
            <w:tcW w:w="1636"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1265</w:t>
            </w:r>
            <w:r>
              <w:rPr>
                <w:rFonts w:eastAsia="SimSun" w:cs="Calibri"/>
                <w:color w:val="000000"/>
                <w:sz w:val="22"/>
                <w:szCs w:val="22"/>
                <w:lang w:val="en" w:bidi="ar"/>
              </w:rPr>
              <w:t>±</w:t>
            </w:r>
            <w:r>
              <w:rPr>
                <w:rFonts w:eastAsia="SimSun" w:cs="Calibri"/>
                <w:color w:val="000000"/>
                <w:sz w:val="22"/>
                <w:szCs w:val="22"/>
                <w:lang w:bidi="ar"/>
              </w:rPr>
              <w:t>674</w:t>
            </w:r>
          </w:p>
        </w:tc>
        <w:tc>
          <w:tcPr>
            <w:tcW w:w="1613" w:type="dxa"/>
            <w:tcBorders>
              <w:top w:val="nil"/>
              <w:left w:val="nil"/>
              <w:bottom w:val="nil"/>
              <w:right w:val="nil"/>
            </w:tcBorders>
            <w:shd w:val="clear" w:color="auto" w:fill="auto"/>
            <w:noWrap/>
            <w:vAlign w:val="center"/>
          </w:tcPr>
          <w:p>
            <w:pPr>
              <w:jc w:val="center"/>
              <w:textAlignment w:val="center"/>
              <w:rPr>
                <w:rFonts w:eastAsia="SimSun" w:cs="Calibri"/>
                <w:color w:val="000000"/>
                <w:sz w:val="22"/>
                <w:szCs w:val="22"/>
                <w:lang w:val="en" w:bidi="ar"/>
              </w:rPr>
            </w:pPr>
            <w:r>
              <w:rPr>
                <w:rFonts w:eastAsia="SimSun" w:cs="Calibri"/>
                <w:color w:val="000000"/>
                <w:sz w:val="22"/>
                <w:szCs w:val="22"/>
                <w:lang w:val="en" w:bidi="ar"/>
              </w:rPr>
              <w:t>5381±3036</w:t>
            </w:r>
          </w:p>
        </w:tc>
        <w:tc>
          <w:tcPr>
            <w:tcW w:w="1367"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11.4</w:t>
            </w:r>
            <w:r>
              <w:rPr>
                <w:rFonts w:eastAsia="SimSun" w:cs="Calibri"/>
                <w:color w:val="000000"/>
                <w:sz w:val="22"/>
                <w:szCs w:val="22"/>
                <w:lang w:val="en" w:bidi="ar"/>
              </w:rPr>
              <w:t>±</w:t>
            </w:r>
            <w:r>
              <w:rPr>
                <w:rFonts w:eastAsia="SimSun" w:cs="Calibri"/>
                <w:color w:val="000000"/>
                <w:sz w:val="22"/>
                <w:szCs w:val="22"/>
                <w:lang w:bidi="ar"/>
              </w:rPr>
              <w:t>4.3</w:t>
            </w:r>
          </w:p>
        </w:tc>
      </w:tr>
      <w:tr>
        <w:tblPrEx>
          <w:tblCellMar>
            <w:top w:w="0" w:type="dxa"/>
            <w:left w:w="108" w:type="dxa"/>
            <w:bottom w:w="0" w:type="dxa"/>
            <w:right w:w="108" w:type="dxa"/>
          </w:tblCellMar>
        </w:tblPrEx>
        <w:trPr>
          <w:trHeight w:val="315" w:hRule="atLeast"/>
        </w:trPr>
        <w:tc>
          <w:tcPr>
            <w:tcW w:w="1013"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Crozet</w:t>
            </w:r>
          </w:p>
        </w:tc>
        <w:tc>
          <w:tcPr>
            <w:tcW w:w="1300"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Males</w:t>
            </w:r>
          </w:p>
        </w:tc>
        <w:tc>
          <w:tcPr>
            <w:tcW w:w="680" w:type="dxa"/>
            <w:tcBorders>
              <w:top w:val="nil"/>
              <w:left w:val="nil"/>
              <w:bottom w:val="nil"/>
              <w:right w:val="nil"/>
            </w:tcBorders>
            <w:shd w:val="clear" w:color="auto" w:fill="auto"/>
            <w:noWrap/>
            <w:vAlign w:val="center"/>
          </w:tcPr>
          <w:p>
            <w:pPr>
              <w:jc w:val="center"/>
              <w:textAlignment w:val="center"/>
              <w:rPr>
                <w:rFonts w:cs="Calibri"/>
                <w:color w:val="000000"/>
                <w:sz w:val="22"/>
                <w:szCs w:val="22"/>
                <w:lang w:val="en"/>
              </w:rPr>
            </w:pPr>
            <w:r>
              <w:rPr>
                <w:rFonts w:eastAsia="SimSun" w:cs="Calibri"/>
                <w:color w:val="000000"/>
                <w:sz w:val="22"/>
                <w:szCs w:val="22"/>
                <w:lang w:val="en" w:bidi="ar"/>
              </w:rPr>
              <w:t>55</w:t>
            </w:r>
          </w:p>
        </w:tc>
        <w:tc>
          <w:tcPr>
            <w:tcW w:w="820" w:type="dxa"/>
            <w:tcBorders>
              <w:top w:val="nil"/>
              <w:left w:val="nil"/>
              <w:bottom w:val="nil"/>
              <w:right w:val="nil"/>
            </w:tcBorders>
            <w:shd w:val="clear" w:color="auto" w:fill="auto"/>
            <w:noWrap/>
            <w:vAlign w:val="center"/>
          </w:tcPr>
          <w:p>
            <w:pPr>
              <w:jc w:val="center"/>
              <w:textAlignment w:val="center"/>
              <w:rPr>
                <w:rFonts w:eastAsia="SimSun" w:cs="Calibri"/>
                <w:color w:val="000000"/>
                <w:sz w:val="22"/>
                <w:szCs w:val="22"/>
                <w:lang w:val="en" w:bidi="ar"/>
              </w:rPr>
            </w:pPr>
            <w:r>
              <w:rPr>
                <w:rFonts w:eastAsia="SimSun" w:cs="Calibri"/>
                <w:color w:val="000000"/>
                <w:sz w:val="22"/>
                <w:szCs w:val="22"/>
                <w:lang w:val="en" w:bidi="ar"/>
              </w:rPr>
              <w:t>57</w:t>
            </w:r>
          </w:p>
        </w:tc>
        <w:tc>
          <w:tcPr>
            <w:tcW w:w="1636"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1350</w:t>
            </w:r>
            <w:r>
              <w:rPr>
                <w:rFonts w:eastAsia="SimSun" w:cs="Calibri"/>
                <w:color w:val="000000"/>
                <w:sz w:val="22"/>
                <w:szCs w:val="22"/>
                <w:lang w:val="en" w:bidi="ar"/>
              </w:rPr>
              <w:t>±</w:t>
            </w:r>
            <w:r>
              <w:rPr>
                <w:rFonts w:eastAsia="SimSun" w:cs="Calibri"/>
                <w:color w:val="000000"/>
                <w:sz w:val="22"/>
                <w:szCs w:val="22"/>
                <w:lang w:bidi="ar"/>
              </w:rPr>
              <w:t>1117</w:t>
            </w:r>
          </w:p>
        </w:tc>
        <w:tc>
          <w:tcPr>
            <w:tcW w:w="1613" w:type="dxa"/>
            <w:tcBorders>
              <w:top w:val="nil"/>
              <w:left w:val="nil"/>
              <w:bottom w:val="nil"/>
              <w:right w:val="nil"/>
            </w:tcBorders>
            <w:shd w:val="clear" w:color="auto" w:fill="auto"/>
            <w:noWrap/>
            <w:vAlign w:val="center"/>
          </w:tcPr>
          <w:p>
            <w:pPr>
              <w:jc w:val="center"/>
              <w:textAlignment w:val="center"/>
              <w:rPr>
                <w:rFonts w:eastAsia="SimSun" w:cs="Calibri"/>
                <w:color w:val="000000"/>
                <w:sz w:val="22"/>
                <w:szCs w:val="22"/>
                <w:lang w:val="en" w:bidi="ar"/>
              </w:rPr>
            </w:pPr>
            <w:r>
              <w:rPr>
                <w:rFonts w:eastAsia="SimSun" w:cs="Calibri"/>
                <w:color w:val="000000"/>
                <w:sz w:val="22"/>
                <w:szCs w:val="22"/>
                <w:lang w:val="en" w:bidi="ar"/>
              </w:rPr>
              <w:t>5662±5407</w:t>
            </w:r>
          </w:p>
        </w:tc>
        <w:tc>
          <w:tcPr>
            <w:tcW w:w="1367"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11.7</w:t>
            </w:r>
            <w:r>
              <w:rPr>
                <w:rFonts w:eastAsia="SimSun" w:cs="Calibri"/>
                <w:color w:val="000000"/>
                <w:sz w:val="22"/>
                <w:szCs w:val="22"/>
                <w:lang w:val="en" w:bidi="ar"/>
              </w:rPr>
              <w:t>±</w:t>
            </w:r>
            <w:r>
              <w:rPr>
                <w:rFonts w:eastAsia="SimSun" w:cs="Calibri"/>
                <w:color w:val="000000"/>
                <w:sz w:val="22"/>
                <w:szCs w:val="22"/>
                <w:lang w:bidi="ar"/>
              </w:rPr>
              <w:t>6.3</w:t>
            </w:r>
          </w:p>
        </w:tc>
      </w:tr>
      <w:tr>
        <w:tblPrEx>
          <w:tblCellMar>
            <w:top w:w="0" w:type="dxa"/>
            <w:left w:w="108" w:type="dxa"/>
            <w:bottom w:w="0" w:type="dxa"/>
            <w:right w:w="108" w:type="dxa"/>
          </w:tblCellMar>
        </w:tblPrEx>
        <w:trPr>
          <w:trHeight w:val="315" w:hRule="atLeast"/>
        </w:trPr>
        <w:tc>
          <w:tcPr>
            <w:tcW w:w="1013"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Marion</w:t>
            </w:r>
          </w:p>
        </w:tc>
        <w:tc>
          <w:tcPr>
            <w:tcW w:w="1300"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Females</w:t>
            </w:r>
          </w:p>
        </w:tc>
        <w:tc>
          <w:tcPr>
            <w:tcW w:w="680" w:type="dxa"/>
            <w:tcBorders>
              <w:top w:val="nil"/>
              <w:left w:val="nil"/>
              <w:bottom w:val="nil"/>
              <w:right w:val="nil"/>
            </w:tcBorders>
            <w:shd w:val="clear" w:color="auto" w:fill="auto"/>
            <w:noWrap/>
            <w:vAlign w:val="center"/>
          </w:tcPr>
          <w:p>
            <w:pPr>
              <w:jc w:val="center"/>
              <w:textAlignment w:val="center"/>
              <w:rPr>
                <w:rFonts w:cs="Calibri"/>
                <w:color w:val="000000"/>
                <w:sz w:val="22"/>
                <w:szCs w:val="22"/>
                <w:lang w:val="en"/>
              </w:rPr>
            </w:pPr>
            <w:r>
              <w:rPr>
                <w:rFonts w:eastAsia="SimSun" w:cs="Calibri"/>
                <w:color w:val="000000"/>
                <w:sz w:val="22"/>
                <w:szCs w:val="22"/>
                <w:lang w:val="en" w:bidi="ar"/>
              </w:rPr>
              <w:t>44</w:t>
            </w:r>
          </w:p>
        </w:tc>
        <w:tc>
          <w:tcPr>
            <w:tcW w:w="820" w:type="dxa"/>
            <w:tcBorders>
              <w:top w:val="nil"/>
              <w:left w:val="nil"/>
              <w:bottom w:val="nil"/>
              <w:right w:val="nil"/>
            </w:tcBorders>
            <w:shd w:val="clear" w:color="auto" w:fill="auto"/>
            <w:noWrap/>
            <w:vAlign w:val="center"/>
          </w:tcPr>
          <w:p>
            <w:pPr>
              <w:jc w:val="center"/>
              <w:textAlignment w:val="center"/>
              <w:rPr>
                <w:rFonts w:eastAsia="SimSun" w:cs="Calibri"/>
                <w:color w:val="000000"/>
                <w:sz w:val="22"/>
                <w:szCs w:val="22"/>
                <w:lang w:val="en" w:bidi="ar"/>
              </w:rPr>
            </w:pPr>
            <w:r>
              <w:rPr>
                <w:rFonts w:eastAsia="SimSun" w:cs="Calibri"/>
                <w:color w:val="000000"/>
                <w:sz w:val="22"/>
                <w:szCs w:val="22"/>
                <w:lang w:val="en" w:bidi="ar"/>
              </w:rPr>
              <w:t>49</w:t>
            </w:r>
          </w:p>
        </w:tc>
        <w:tc>
          <w:tcPr>
            <w:tcW w:w="1636"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1647</w:t>
            </w:r>
            <w:r>
              <w:rPr>
                <w:rFonts w:eastAsia="SimSun" w:cs="Calibri"/>
                <w:color w:val="000000"/>
                <w:sz w:val="22"/>
                <w:szCs w:val="22"/>
                <w:lang w:val="en" w:bidi="ar"/>
              </w:rPr>
              <w:t>±</w:t>
            </w:r>
            <w:r>
              <w:rPr>
                <w:rFonts w:eastAsia="SimSun" w:cs="Calibri"/>
                <w:color w:val="000000"/>
                <w:sz w:val="22"/>
                <w:szCs w:val="22"/>
                <w:lang w:bidi="ar"/>
              </w:rPr>
              <w:t>855</w:t>
            </w:r>
          </w:p>
        </w:tc>
        <w:tc>
          <w:tcPr>
            <w:tcW w:w="1613" w:type="dxa"/>
            <w:tcBorders>
              <w:top w:val="nil"/>
              <w:left w:val="nil"/>
              <w:bottom w:val="nil"/>
              <w:right w:val="nil"/>
            </w:tcBorders>
            <w:shd w:val="clear" w:color="auto" w:fill="auto"/>
            <w:noWrap/>
            <w:vAlign w:val="center"/>
          </w:tcPr>
          <w:p>
            <w:pPr>
              <w:jc w:val="center"/>
              <w:textAlignment w:val="center"/>
              <w:rPr>
                <w:rFonts w:eastAsia="SimSun" w:cs="Calibri"/>
                <w:color w:val="000000"/>
                <w:sz w:val="22"/>
                <w:szCs w:val="22"/>
                <w:lang w:val="en" w:bidi="ar"/>
              </w:rPr>
            </w:pPr>
            <w:r>
              <w:rPr>
                <w:rFonts w:eastAsia="SimSun" w:cs="Calibri"/>
                <w:color w:val="000000"/>
                <w:sz w:val="22"/>
                <w:szCs w:val="22"/>
                <w:lang w:val="en" w:bidi="ar"/>
              </w:rPr>
              <w:t>7157±3041</w:t>
            </w:r>
          </w:p>
        </w:tc>
        <w:tc>
          <w:tcPr>
            <w:tcW w:w="1367"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14</w:t>
            </w:r>
            <w:r>
              <w:rPr>
                <w:rFonts w:eastAsia="SimSun" w:cs="Calibri"/>
                <w:color w:val="000000"/>
                <w:sz w:val="22"/>
                <w:szCs w:val="22"/>
                <w:lang w:val="en" w:bidi="ar"/>
              </w:rPr>
              <w:t>±</w:t>
            </w:r>
            <w:r>
              <w:rPr>
                <w:rFonts w:eastAsia="SimSun" w:cs="Calibri"/>
                <w:color w:val="000000"/>
                <w:sz w:val="22"/>
                <w:szCs w:val="22"/>
                <w:lang w:bidi="ar"/>
              </w:rPr>
              <w:t>4.0</w:t>
            </w:r>
          </w:p>
        </w:tc>
      </w:tr>
      <w:tr>
        <w:tblPrEx>
          <w:tblCellMar>
            <w:top w:w="0" w:type="dxa"/>
            <w:left w:w="108" w:type="dxa"/>
            <w:bottom w:w="0" w:type="dxa"/>
            <w:right w:w="108" w:type="dxa"/>
          </w:tblCellMar>
        </w:tblPrEx>
        <w:trPr>
          <w:trHeight w:val="315" w:hRule="atLeast"/>
        </w:trPr>
        <w:tc>
          <w:tcPr>
            <w:tcW w:w="1013"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Marion</w:t>
            </w:r>
          </w:p>
        </w:tc>
        <w:tc>
          <w:tcPr>
            <w:tcW w:w="1300"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Males</w:t>
            </w:r>
          </w:p>
        </w:tc>
        <w:tc>
          <w:tcPr>
            <w:tcW w:w="680" w:type="dxa"/>
            <w:tcBorders>
              <w:top w:val="nil"/>
              <w:left w:val="nil"/>
              <w:bottom w:val="nil"/>
              <w:right w:val="nil"/>
            </w:tcBorders>
            <w:shd w:val="clear" w:color="auto" w:fill="auto"/>
            <w:noWrap/>
            <w:vAlign w:val="center"/>
          </w:tcPr>
          <w:p>
            <w:pPr>
              <w:jc w:val="center"/>
              <w:textAlignment w:val="center"/>
              <w:rPr>
                <w:rFonts w:cs="Calibri"/>
                <w:color w:val="000000"/>
                <w:sz w:val="22"/>
                <w:szCs w:val="22"/>
                <w:lang w:val="en"/>
              </w:rPr>
            </w:pPr>
            <w:r>
              <w:rPr>
                <w:rFonts w:eastAsia="SimSun" w:cs="Calibri"/>
                <w:color w:val="000000"/>
                <w:sz w:val="22"/>
                <w:szCs w:val="22"/>
                <w:lang w:val="en" w:bidi="ar"/>
              </w:rPr>
              <w:t>27</w:t>
            </w:r>
          </w:p>
        </w:tc>
        <w:tc>
          <w:tcPr>
            <w:tcW w:w="820" w:type="dxa"/>
            <w:tcBorders>
              <w:top w:val="nil"/>
              <w:left w:val="nil"/>
              <w:bottom w:val="nil"/>
              <w:right w:val="nil"/>
            </w:tcBorders>
            <w:shd w:val="clear" w:color="auto" w:fill="auto"/>
            <w:noWrap/>
            <w:vAlign w:val="center"/>
          </w:tcPr>
          <w:p>
            <w:pPr>
              <w:jc w:val="center"/>
              <w:textAlignment w:val="center"/>
              <w:rPr>
                <w:rFonts w:eastAsia="SimSun" w:cs="Calibri"/>
                <w:color w:val="000000"/>
                <w:sz w:val="22"/>
                <w:szCs w:val="22"/>
                <w:lang w:val="en" w:bidi="ar"/>
              </w:rPr>
            </w:pPr>
            <w:r>
              <w:rPr>
                <w:rFonts w:eastAsia="SimSun" w:cs="Calibri"/>
                <w:color w:val="000000"/>
                <w:sz w:val="22"/>
                <w:szCs w:val="22"/>
                <w:lang w:val="en" w:bidi="ar"/>
              </w:rPr>
              <w:t>29</w:t>
            </w:r>
          </w:p>
        </w:tc>
        <w:tc>
          <w:tcPr>
            <w:tcW w:w="1636"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2265</w:t>
            </w:r>
            <w:r>
              <w:rPr>
                <w:rFonts w:eastAsia="SimSun" w:cs="Calibri"/>
                <w:color w:val="000000"/>
                <w:sz w:val="22"/>
                <w:szCs w:val="22"/>
                <w:lang w:val="en" w:bidi="ar"/>
              </w:rPr>
              <w:t>±</w:t>
            </w:r>
            <w:r>
              <w:rPr>
                <w:rFonts w:eastAsia="SimSun" w:cs="Calibri"/>
                <w:color w:val="000000"/>
                <w:sz w:val="22"/>
                <w:szCs w:val="22"/>
                <w:lang w:bidi="ar"/>
              </w:rPr>
              <w:t>1077</w:t>
            </w:r>
          </w:p>
        </w:tc>
        <w:tc>
          <w:tcPr>
            <w:tcW w:w="1613" w:type="dxa"/>
            <w:tcBorders>
              <w:top w:val="nil"/>
              <w:left w:val="nil"/>
              <w:bottom w:val="nil"/>
              <w:right w:val="nil"/>
            </w:tcBorders>
            <w:shd w:val="clear" w:color="auto" w:fill="auto"/>
            <w:noWrap/>
            <w:vAlign w:val="center"/>
          </w:tcPr>
          <w:p>
            <w:pPr>
              <w:jc w:val="center"/>
              <w:textAlignment w:val="center"/>
              <w:rPr>
                <w:rFonts w:eastAsia="SimSun" w:cs="Calibri"/>
                <w:color w:val="000000"/>
                <w:sz w:val="22"/>
                <w:szCs w:val="22"/>
                <w:lang w:val="en" w:bidi="ar"/>
              </w:rPr>
            </w:pPr>
            <w:r>
              <w:rPr>
                <w:rFonts w:eastAsia="SimSun" w:cs="Calibri"/>
                <w:color w:val="000000"/>
                <w:sz w:val="22"/>
                <w:szCs w:val="22"/>
                <w:lang w:val="en" w:bidi="ar"/>
              </w:rPr>
              <w:t>8605±4723</w:t>
            </w:r>
          </w:p>
        </w:tc>
        <w:tc>
          <w:tcPr>
            <w:tcW w:w="1367" w:type="dxa"/>
            <w:tcBorders>
              <w:top w:val="nil"/>
              <w:left w:val="nil"/>
              <w:bottom w:val="nil"/>
              <w:right w:val="nil"/>
            </w:tcBorders>
            <w:shd w:val="clear" w:color="auto" w:fill="auto"/>
            <w:noWrap/>
            <w:vAlign w:val="center"/>
          </w:tcPr>
          <w:p>
            <w:pPr>
              <w:jc w:val="center"/>
              <w:textAlignment w:val="center"/>
              <w:rPr>
                <w:rFonts w:cs="Calibri"/>
                <w:color w:val="000000"/>
                <w:sz w:val="22"/>
                <w:szCs w:val="22"/>
              </w:rPr>
            </w:pPr>
            <w:r>
              <w:rPr>
                <w:rFonts w:eastAsia="SimSun" w:cs="Calibri"/>
                <w:color w:val="000000"/>
                <w:sz w:val="22"/>
                <w:szCs w:val="22"/>
                <w:lang w:bidi="ar"/>
              </w:rPr>
              <w:t>15.2</w:t>
            </w:r>
            <w:r>
              <w:rPr>
                <w:rFonts w:eastAsia="SimSun" w:cs="Calibri"/>
                <w:color w:val="000000"/>
                <w:sz w:val="22"/>
                <w:szCs w:val="22"/>
                <w:lang w:val="en" w:bidi="ar"/>
              </w:rPr>
              <w:t>±</w:t>
            </w:r>
            <w:r>
              <w:rPr>
                <w:rFonts w:eastAsia="SimSun" w:cs="Calibri"/>
                <w:color w:val="000000"/>
                <w:sz w:val="22"/>
                <w:szCs w:val="22"/>
                <w:lang w:bidi="ar"/>
              </w:rPr>
              <w:t>6.1</w:t>
            </w:r>
          </w:p>
        </w:tc>
      </w:tr>
    </w:tbl>
    <w:p>
      <w:pPr>
        <w:jc w:val="both"/>
        <w:rPr>
          <w:rFonts w:eastAsiaTheme="majorEastAsia" w:cstheme="majorEastAsia"/>
          <w:sz w:val="21"/>
          <w:szCs w:val="21"/>
          <w:lang w:val="en"/>
        </w:rPr>
      </w:pPr>
    </w:p>
    <w:p>
      <w:pPr>
        <w:jc w:val="both"/>
        <w:rPr>
          <w:rFonts w:eastAsiaTheme="majorEastAsia" w:cstheme="majorEastAsia"/>
          <w:b/>
          <w:bCs/>
          <w:sz w:val="21"/>
          <w:szCs w:val="21"/>
          <w:lang w:val="en"/>
        </w:rPr>
      </w:pPr>
    </w:p>
    <w:p>
      <w:pPr>
        <w:jc w:val="both"/>
        <w:rPr>
          <w:rFonts w:eastAsiaTheme="majorEastAsia" w:cstheme="majorEastAsia"/>
          <w:b/>
          <w:bCs/>
          <w:sz w:val="21"/>
          <w:szCs w:val="21"/>
          <w:lang w:val="en"/>
        </w:rPr>
      </w:pPr>
    </w:p>
    <w:p>
      <w:pPr>
        <w:jc w:val="both"/>
        <w:rPr>
          <w:rFonts w:eastAsiaTheme="majorEastAsia" w:cstheme="majorEastAsia"/>
          <w:b/>
          <w:bCs/>
          <w:sz w:val="21"/>
          <w:szCs w:val="21"/>
          <w:lang w:val="en"/>
        </w:rPr>
      </w:pPr>
    </w:p>
    <w:p>
      <w:pPr>
        <w:jc w:val="both"/>
        <w:rPr>
          <w:rFonts w:eastAsiaTheme="majorEastAsia" w:cstheme="majorEastAsia"/>
          <w:b/>
          <w:bCs/>
          <w:sz w:val="21"/>
          <w:szCs w:val="21"/>
          <w:lang w:val="en"/>
        </w:rPr>
      </w:pPr>
    </w:p>
    <w:p>
      <w:pPr>
        <w:jc w:val="both"/>
        <w:rPr>
          <w:rFonts w:eastAsiaTheme="majorEastAsia" w:cstheme="majorEastAsia"/>
          <w:b/>
          <w:bCs/>
          <w:sz w:val="21"/>
          <w:szCs w:val="21"/>
          <w:lang w:val="en"/>
        </w:rPr>
      </w:pPr>
    </w:p>
    <w:p>
      <w:pPr>
        <w:jc w:val="both"/>
        <w:rPr>
          <w:rFonts w:eastAsiaTheme="majorEastAsia" w:cstheme="majorEastAsia"/>
          <w:b/>
          <w:bCs/>
          <w:sz w:val="21"/>
          <w:szCs w:val="21"/>
          <w:lang w:val="en"/>
        </w:rPr>
      </w:pPr>
    </w:p>
    <w:p>
      <w:pPr>
        <w:jc w:val="both"/>
        <w:rPr>
          <w:rFonts w:eastAsiaTheme="majorEastAsia" w:cstheme="majorEastAsia"/>
          <w:b/>
          <w:bCs/>
          <w:sz w:val="21"/>
          <w:szCs w:val="21"/>
          <w:lang w:val="en"/>
        </w:rPr>
      </w:pPr>
    </w:p>
    <w:p>
      <w:pPr>
        <w:jc w:val="both"/>
        <w:rPr>
          <w:rFonts w:eastAsiaTheme="majorEastAsia" w:cstheme="majorEastAsia"/>
          <w:b/>
          <w:bCs/>
          <w:sz w:val="21"/>
          <w:szCs w:val="21"/>
          <w:lang w:val="en"/>
        </w:rPr>
      </w:pPr>
    </w:p>
    <w:p>
      <w:pPr>
        <w:jc w:val="both"/>
        <w:rPr>
          <w:rFonts w:eastAsiaTheme="majorEastAsia" w:cstheme="majorEastAsia"/>
          <w:b/>
          <w:bCs/>
          <w:sz w:val="21"/>
          <w:szCs w:val="21"/>
          <w:lang w:val="en"/>
        </w:rPr>
      </w:pPr>
    </w:p>
    <w:p>
      <w:pPr>
        <w:jc w:val="both"/>
        <w:rPr>
          <w:rFonts w:eastAsiaTheme="majorEastAsia" w:cstheme="majorEastAsia"/>
          <w:b/>
          <w:bCs/>
          <w:sz w:val="21"/>
          <w:szCs w:val="21"/>
          <w:lang w:val="en"/>
        </w:rPr>
      </w:pPr>
    </w:p>
    <w:p>
      <w:pPr>
        <w:jc w:val="both"/>
        <w:rPr>
          <w:rFonts w:eastAsiaTheme="majorEastAsia" w:cstheme="majorEastAsia"/>
          <w:b/>
          <w:bCs/>
          <w:sz w:val="21"/>
          <w:szCs w:val="21"/>
          <w:lang w:val="en"/>
        </w:rPr>
      </w:pPr>
    </w:p>
    <w:p>
      <w:pPr>
        <w:jc w:val="both"/>
        <w:rPr>
          <w:rFonts w:eastAsiaTheme="majorEastAsia" w:cstheme="majorEastAsia"/>
          <w:b/>
          <w:bCs/>
          <w:sz w:val="21"/>
          <w:szCs w:val="21"/>
          <w:lang w:val="en"/>
        </w:rPr>
      </w:pPr>
    </w:p>
    <w:p>
      <w:pPr>
        <w:jc w:val="both"/>
        <w:rPr>
          <w:rFonts w:eastAsiaTheme="majorEastAsia" w:cstheme="majorEastAsia"/>
          <w:b/>
          <w:bCs/>
          <w:sz w:val="21"/>
          <w:szCs w:val="21"/>
          <w:lang w:val="en"/>
        </w:rPr>
      </w:pPr>
    </w:p>
    <w:p>
      <w:pPr>
        <w:jc w:val="both"/>
        <w:rPr>
          <w:rFonts w:eastAsiaTheme="majorEastAsia" w:cstheme="majorEastAsia"/>
          <w:sz w:val="21"/>
          <w:szCs w:val="21"/>
          <w:lang w:val="en"/>
        </w:rPr>
        <w:sectPr>
          <w:footerReference r:id="rId5" w:type="default"/>
          <w:pgSz w:w="11906" w:h="16838"/>
          <w:pgMar w:top="1440" w:right="1800" w:bottom="1440" w:left="1800" w:header="720" w:footer="720" w:gutter="0"/>
          <w:lnNumType w:countBy="1" w:restart="continuous"/>
          <w:cols w:space="720" w:num="1"/>
          <w:docGrid w:linePitch="360" w:charSpace="0"/>
        </w:sectPr>
      </w:pPr>
      <w:r>
        <w:rPr>
          <w:rFonts w:eastAsiaTheme="majorEastAsia" w:cstheme="majorEastAsia"/>
          <w:b/>
          <w:bCs/>
          <w:sz w:val="21"/>
          <w:szCs w:val="21"/>
          <w:lang w:val="en"/>
        </w:rPr>
        <w:t>Table 2:</w:t>
      </w:r>
      <w:r>
        <w:rPr>
          <w:rFonts w:eastAsiaTheme="majorEastAsia" w:cstheme="majorEastAsia"/>
          <w:sz w:val="21"/>
          <w:szCs w:val="21"/>
          <w:lang w:val="en"/>
        </w:rPr>
        <w:t xml:space="preserve"> Kernel Utilization Distribution (95% UD) overlap (Bhattacharyya Affinity index) between Crozet (CRO) and Marion (MAR) by sex (Males = M, Females = F) and years. When the observed overlaps were significantly higher or lower than the overlaps calculated from the 1000 simulated tracks, we interpreted this as aggregation or segregation, respectively, between sites and sexes. Note that intrapopulation competition systematically resulted in segregation between sexes, with a higher rate than interpopulation competition that, in contrast, resulted in non-significant overlaps or more aggregation than expected (but see marginally significance for segregation between MAR.F and CRO.M in 2019). Intrapopulation competition overlaps are highlighted in grey. Codes: *&lt;0.05; **&lt;0.01; ***&lt;0.001; ns: non-significant</w:t>
      </w:r>
    </w:p>
    <w:tbl>
      <w:tblPr>
        <w:tblStyle w:val="5"/>
        <w:tblW w:w="0" w:type="auto"/>
        <w:tblInd w:w="86" w:type="dxa"/>
        <w:tblLayout w:type="autofit"/>
        <w:tblCellMar>
          <w:top w:w="0" w:type="dxa"/>
          <w:left w:w="108" w:type="dxa"/>
          <w:bottom w:w="0" w:type="dxa"/>
          <w:right w:w="108" w:type="dxa"/>
        </w:tblCellMar>
      </w:tblPr>
      <w:tblGrid>
        <w:gridCol w:w="1229"/>
        <w:gridCol w:w="1229"/>
        <w:gridCol w:w="705"/>
        <w:gridCol w:w="776"/>
        <w:gridCol w:w="1275"/>
        <w:gridCol w:w="2461"/>
        <w:gridCol w:w="1737"/>
        <w:gridCol w:w="1031"/>
        <w:gridCol w:w="747"/>
      </w:tblGrid>
      <w:tr>
        <w:tblPrEx>
          <w:tblCellMar>
            <w:top w:w="0" w:type="dxa"/>
            <w:left w:w="108" w:type="dxa"/>
            <w:bottom w:w="0" w:type="dxa"/>
            <w:right w:w="108" w:type="dxa"/>
          </w:tblCellMar>
        </w:tblPrEx>
        <w:trPr>
          <w:trHeight w:val="317" w:hRule="exact"/>
        </w:trPr>
        <w:tc>
          <w:tcPr>
            <w:tcW w:w="0" w:type="auto"/>
            <w:tcBorders>
              <w:top w:val="nil"/>
              <w:left w:val="nil"/>
              <w:bottom w:val="single" w:color="000000" w:sz="4" w:space="0"/>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Site.sex1</w:t>
            </w:r>
          </w:p>
        </w:tc>
        <w:tc>
          <w:tcPr>
            <w:tcW w:w="0" w:type="auto"/>
            <w:tcBorders>
              <w:top w:val="nil"/>
              <w:left w:val="nil"/>
              <w:bottom w:val="single" w:color="000000" w:sz="4" w:space="0"/>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Site.sex2</w:t>
            </w:r>
          </w:p>
        </w:tc>
        <w:tc>
          <w:tcPr>
            <w:tcW w:w="0" w:type="auto"/>
            <w:tcBorders>
              <w:top w:val="nil"/>
              <w:left w:val="nil"/>
              <w:bottom w:val="single" w:color="000000" w:sz="4" w:space="0"/>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UD</w:t>
            </w:r>
          </w:p>
        </w:tc>
        <w:tc>
          <w:tcPr>
            <w:tcW w:w="0" w:type="auto"/>
            <w:tcBorders>
              <w:top w:val="nil"/>
              <w:left w:val="nil"/>
              <w:bottom w:val="single" w:color="000000" w:sz="4" w:space="0"/>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Year</w:t>
            </w:r>
          </w:p>
        </w:tc>
        <w:tc>
          <w:tcPr>
            <w:tcW w:w="0" w:type="auto"/>
            <w:tcBorders>
              <w:top w:val="nil"/>
              <w:left w:val="nil"/>
              <w:bottom w:val="single" w:color="000000" w:sz="4" w:space="0"/>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Observed</w:t>
            </w:r>
          </w:p>
        </w:tc>
        <w:tc>
          <w:tcPr>
            <w:tcW w:w="0" w:type="auto"/>
            <w:tcBorders>
              <w:top w:val="nil"/>
              <w:left w:val="nil"/>
              <w:bottom w:val="single" w:color="000000" w:sz="4" w:space="0"/>
              <w:right w:val="nil"/>
            </w:tcBorders>
            <w:shd w:val="clear" w:color="auto" w:fill="auto"/>
            <w:noWrap/>
            <w:vAlign w:val="center"/>
          </w:tcPr>
          <w:p>
            <w:pPr>
              <w:jc w:val="center"/>
              <w:textAlignment w:val="center"/>
              <w:rPr>
                <w:rFonts w:ascii="Calibri" w:hAnsi="Calibri" w:cs="Calibri"/>
                <w:color w:val="000000"/>
                <w:sz w:val="22"/>
                <w:szCs w:val="22"/>
                <w:lang w:val="en"/>
              </w:rPr>
            </w:pPr>
            <w:r>
              <w:rPr>
                <w:rFonts w:ascii="Calibri" w:hAnsi="Calibri" w:eastAsia="SimSun" w:cs="Calibri"/>
                <w:color w:val="000000"/>
                <w:sz w:val="22"/>
                <w:szCs w:val="22"/>
                <w:lang w:bidi="ar"/>
              </w:rPr>
              <w:t xml:space="preserve">Simulated </w:t>
            </w:r>
            <w:r>
              <w:rPr>
                <w:rFonts w:ascii="Calibri" w:hAnsi="Calibri" w:eastAsia="SimSun" w:cs="Calibri"/>
                <w:color w:val="000000"/>
                <w:sz w:val="22"/>
                <w:szCs w:val="22"/>
                <w:lang w:val="en" w:bidi="ar"/>
              </w:rPr>
              <w:t>mean</w:t>
            </w:r>
            <w:r>
              <w:rPr>
                <w:rFonts w:eastAsia="SimSun" w:cs="Calibri"/>
                <w:color w:val="000000"/>
                <w:sz w:val="22"/>
                <w:szCs w:val="22"/>
                <w:lang w:val="en" w:bidi="ar"/>
              </w:rPr>
              <w:t>±sd</w:t>
            </w:r>
          </w:p>
        </w:tc>
        <w:tc>
          <w:tcPr>
            <w:tcW w:w="0" w:type="auto"/>
            <w:tcBorders>
              <w:top w:val="nil"/>
              <w:left w:val="nil"/>
              <w:bottom w:val="single" w:color="000000" w:sz="4" w:space="0"/>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interpretation</w:t>
            </w:r>
          </w:p>
        </w:tc>
        <w:tc>
          <w:tcPr>
            <w:tcW w:w="0" w:type="auto"/>
            <w:tcBorders>
              <w:top w:val="nil"/>
              <w:left w:val="nil"/>
              <w:bottom w:val="single" w:color="000000" w:sz="4" w:space="0"/>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pvalue</w:t>
            </w:r>
          </w:p>
        </w:tc>
        <w:tc>
          <w:tcPr>
            <w:tcW w:w="0" w:type="auto"/>
            <w:tcBorders>
              <w:top w:val="nil"/>
              <w:left w:val="nil"/>
              <w:bottom w:val="single" w:color="000000" w:sz="4" w:space="0"/>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code</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CRO.F</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CRO.M</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2016</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0.49 </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0.71</w:t>
            </w:r>
            <w:r>
              <w:rPr>
                <w:rFonts w:eastAsia="SimSun" w:cs="Calibri"/>
                <w:color w:val="000000"/>
                <w:sz w:val="22"/>
                <w:szCs w:val="22"/>
                <w:lang w:val="en" w:bidi="ar"/>
              </w:rPr>
              <w:t>±</w:t>
            </w:r>
            <w:r>
              <w:rPr>
                <w:rFonts w:ascii="Calibri" w:hAnsi="Calibri" w:eastAsia="SimSun" w:cs="Calibri"/>
                <w:color w:val="000000"/>
                <w:sz w:val="22"/>
                <w:szCs w:val="22"/>
                <w:lang w:bidi="ar"/>
              </w:rPr>
              <w:t xml:space="preserve">0.04  </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&lt;0.001</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2016</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0.49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lang w:val="en"/>
              </w:rPr>
            </w:pPr>
            <w:r>
              <w:rPr>
                <w:rFonts w:ascii="Calibri" w:hAnsi="Calibri" w:eastAsia="SimSun" w:cs="Calibri"/>
                <w:color w:val="000000"/>
                <w:sz w:val="22"/>
                <w:szCs w:val="22"/>
                <w:lang w:bidi="ar"/>
              </w:rPr>
              <w:t>0.26</w:t>
            </w:r>
            <w:r>
              <w:rPr>
                <w:rFonts w:eastAsia="SimSun" w:cs="Calibri"/>
                <w:color w:val="000000"/>
                <w:sz w:val="22"/>
                <w:szCs w:val="22"/>
                <w:lang w:val="en" w:bidi="ar"/>
              </w:rPr>
              <w:t>±</w:t>
            </w:r>
            <w:r>
              <w:rPr>
                <w:rFonts w:ascii="Calibri" w:hAnsi="Calibri" w:eastAsia="SimSun" w:cs="Calibri"/>
                <w:color w:val="000000"/>
                <w:sz w:val="22"/>
                <w:szCs w:val="22"/>
                <w:lang w:bidi="ar"/>
              </w:rPr>
              <w:t>0.1</w:t>
            </w:r>
            <w:r>
              <w:rPr>
                <w:rFonts w:ascii="Calibri" w:hAnsi="Calibri" w:eastAsia="SimSun" w:cs="Calibri"/>
                <w:color w:val="000000"/>
                <w:sz w:val="22"/>
                <w:szCs w:val="22"/>
                <w:lang w:val="en" w:bidi="ar"/>
              </w:rPr>
              <w:t>0</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aggregation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0.012</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2016</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0.20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0.30</w:t>
            </w:r>
            <w:r>
              <w:rPr>
                <w:rFonts w:eastAsia="SimSun" w:cs="Calibri"/>
                <w:color w:val="000000"/>
                <w:sz w:val="22"/>
                <w:szCs w:val="22"/>
                <w:lang w:val="en" w:bidi="ar"/>
              </w:rPr>
              <w:t>±</w:t>
            </w:r>
            <w:r>
              <w:rPr>
                <w:rFonts w:ascii="Calibri" w:hAnsi="Calibri" w:eastAsia="SimSun" w:cs="Calibri"/>
                <w:color w:val="000000"/>
                <w:sz w:val="22"/>
                <w:szCs w:val="22"/>
                <w:lang w:bidi="ar"/>
              </w:rPr>
              <w:t xml:space="preserve">0.11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0.196</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ns</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2016</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0.41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0.38</w:t>
            </w:r>
            <w:r>
              <w:rPr>
                <w:rFonts w:eastAsia="SimSun" w:cs="Calibri"/>
                <w:color w:val="000000"/>
                <w:sz w:val="22"/>
                <w:szCs w:val="22"/>
                <w:lang w:val="en" w:bidi="ar"/>
              </w:rPr>
              <w:t>±</w:t>
            </w:r>
            <w:r>
              <w:rPr>
                <w:rFonts w:ascii="Calibri" w:hAnsi="Calibri" w:eastAsia="SimSun" w:cs="Calibri"/>
                <w:color w:val="000000"/>
                <w:sz w:val="22"/>
                <w:szCs w:val="22"/>
                <w:lang w:bidi="ar"/>
              </w:rPr>
              <w:t xml:space="preserve">0.11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aggregation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0.426</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ns</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2016</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0.36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0.35</w:t>
            </w:r>
            <w:r>
              <w:rPr>
                <w:rFonts w:eastAsia="SimSun" w:cs="Calibri"/>
                <w:color w:val="000000"/>
                <w:sz w:val="22"/>
                <w:szCs w:val="22"/>
                <w:lang w:val="en" w:bidi="ar"/>
              </w:rPr>
              <w:t>±</w:t>
            </w:r>
            <w:r>
              <w:rPr>
                <w:rFonts w:ascii="Calibri" w:hAnsi="Calibri" w:eastAsia="SimSun" w:cs="Calibri"/>
                <w:color w:val="000000"/>
                <w:sz w:val="22"/>
                <w:szCs w:val="22"/>
                <w:lang w:bidi="ar"/>
              </w:rPr>
              <w:t xml:space="preserve">0.11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aggregation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0.452</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ns</w:t>
            </w:r>
          </w:p>
        </w:tc>
      </w:tr>
      <w:tr>
        <w:tblPrEx>
          <w:tblCellMar>
            <w:top w:w="0" w:type="dxa"/>
            <w:left w:w="108" w:type="dxa"/>
            <w:bottom w:w="0" w:type="dxa"/>
            <w:right w:w="108" w:type="dxa"/>
          </w:tblCellMar>
        </w:tblPrEx>
        <w:trPr>
          <w:trHeight w:val="317" w:hRule="exact"/>
        </w:trPr>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MAR.F</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MAR.M</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2016</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0.25 </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0.50</w:t>
            </w:r>
            <w:r>
              <w:rPr>
                <w:rFonts w:eastAsia="SimSun" w:cs="Calibri"/>
                <w:color w:val="000000"/>
                <w:sz w:val="22"/>
                <w:szCs w:val="22"/>
                <w:lang w:val="en" w:bidi="ar"/>
              </w:rPr>
              <w:t>±</w:t>
            </w:r>
            <w:r>
              <w:rPr>
                <w:rFonts w:ascii="Calibri" w:hAnsi="Calibri" w:eastAsia="SimSun" w:cs="Calibri"/>
                <w:color w:val="000000"/>
                <w:sz w:val="22"/>
                <w:szCs w:val="22"/>
                <w:lang w:bidi="ar"/>
              </w:rPr>
              <w:t xml:space="preserve">0.08 </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0.001</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CRO.F</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CRO.M</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2017</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0.48 </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0.73</w:t>
            </w:r>
            <w:r>
              <w:rPr>
                <w:rFonts w:eastAsia="SimSun" w:cs="Calibri"/>
                <w:color w:val="000000"/>
                <w:sz w:val="22"/>
                <w:szCs w:val="22"/>
                <w:lang w:val="en" w:bidi="ar"/>
              </w:rPr>
              <w:t>±</w:t>
            </w:r>
            <w:r>
              <w:rPr>
                <w:rFonts w:ascii="Calibri" w:hAnsi="Calibri" w:eastAsia="SimSun" w:cs="Calibri"/>
                <w:color w:val="000000"/>
                <w:sz w:val="22"/>
                <w:szCs w:val="22"/>
                <w:lang w:bidi="ar"/>
              </w:rPr>
              <w:t xml:space="preserve">0.05 </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&lt;0.001</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2017</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0.46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0.22</w:t>
            </w:r>
            <w:r>
              <w:rPr>
                <w:rFonts w:eastAsia="SimSun" w:cs="Calibri"/>
                <w:color w:val="000000"/>
                <w:sz w:val="22"/>
                <w:szCs w:val="22"/>
                <w:lang w:val="en" w:bidi="ar"/>
              </w:rPr>
              <w:t>±</w:t>
            </w:r>
            <w:r>
              <w:rPr>
                <w:rFonts w:ascii="Calibri" w:hAnsi="Calibri" w:eastAsia="SimSun" w:cs="Calibri"/>
                <w:color w:val="000000"/>
                <w:sz w:val="22"/>
                <w:szCs w:val="22"/>
                <w:lang w:bidi="ar"/>
              </w:rPr>
              <w:t xml:space="preserve">0.10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aggregation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0.019</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2017</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0.12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0.22</w:t>
            </w:r>
            <w:r>
              <w:rPr>
                <w:rFonts w:eastAsia="SimSun" w:cs="Calibri"/>
                <w:color w:val="000000"/>
                <w:sz w:val="22"/>
                <w:szCs w:val="22"/>
                <w:lang w:val="en" w:bidi="ar"/>
              </w:rPr>
              <w:t>±</w:t>
            </w:r>
            <w:r>
              <w:rPr>
                <w:rFonts w:ascii="Calibri" w:hAnsi="Calibri" w:eastAsia="SimSun" w:cs="Calibri"/>
                <w:color w:val="000000"/>
                <w:sz w:val="22"/>
                <w:szCs w:val="22"/>
                <w:lang w:bidi="ar"/>
              </w:rPr>
              <w:t xml:space="preserve">0.11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0.217</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ns</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2017</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0.08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0.20</w:t>
            </w:r>
            <w:r>
              <w:rPr>
                <w:rFonts w:eastAsia="SimSun" w:cs="Calibri"/>
                <w:color w:val="000000"/>
                <w:sz w:val="22"/>
                <w:szCs w:val="22"/>
                <w:lang w:val="en" w:bidi="ar"/>
              </w:rPr>
              <w:t>±</w:t>
            </w:r>
            <w:r>
              <w:rPr>
                <w:rFonts w:ascii="Calibri" w:hAnsi="Calibri" w:eastAsia="SimSun" w:cs="Calibri"/>
                <w:color w:val="000000"/>
                <w:sz w:val="22"/>
                <w:szCs w:val="22"/>
                <w:lang w:bidi="ar"/>
              </w:rPr>
              <w:t xml:space="preserve">0.11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0.133</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ns</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2017</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0.14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0.21</w:t>
            </w:r>
            <w:r>
              <w:rPr>
                <w:rFonts w:eastAsia="SimSun" w:cs="Calibri"/>
                <w:color w:val="000000"/>
                <w:sz w:val="22"/>
                <w:szCs w:val="22"/>
                <w:lang w:val="en" w:bidi="ar"/>
              </w:rPr>
              <w:t>±</w:t>
            </w:r>
            <w:r>
              <w:rPr>
                <w:rFonts w:ascii="Calibri" w:hAnsi="Calibri" w:eastAsia="SimSun" w:cs="Calibri"/>
                <w:color w:val="000000"/>
                <w:sz w:val="22"/>
                <w:szCs w:val="22"/>
                <w:lang w:bidi="ar"/>
              </w:rPr>
              <w:t xml:space="preserve">0.11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lang w:val="en"/>
              </w:rPr>
            </w:pPr>
            <w:r>
              <w:rPr>
                <w:rFonts w:ascii="Calibri" w:hAnsi="Calibri" w:eastAsia="SimSun" w:cs="Calibri"/>
                <w:color w:val="000000"/>
                <w:sz w:val="22"/>
                <w:szCs w:val="22"/>
                <w:lang w:bidi="ar"/>
              </w:rPr>
              <w:t>0.32</w:t>
            </w:r>
            <w:r>
              <w:rPr>
                <w:rFonts w:ascii="Calibri" w:hAnsi="Calibri" w:eastAsia="SimSun" w:cs="Calibri"/>
                <w:color w:val="000000"/>
                <w:sz w:val="22"/>
                <w:szCs w:val="22"/>
                <w:lang w:val="en" w:bidi="ar"/>
              </w:rPr>
              <w:t>0</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ns</w:t>
            </w:r>
          </w:p>
        </w:tc>
      </w:tr>
      <w:tr>
        <w:tblPrEx>
          <w:tblCellMar>
            <w:top w:w="0" w:type="dxa"/>
            <w:left w:w="108" w:type="dxa"/>
            <w:bottom w:w="0" w:type="dxa"/>
            <w:right w:w="108" w:type="dxa"/>
          </w:tblCellMar>
        </w:tblPrEx>
        <w:trPr>
          <w:trHeight w:val="317" w:hRule="exact"/>
        </w:trPr>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MAR.F</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MAR.M</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2017</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0.29 </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0.63</w:t>
            </w:r>
            <w:r>
              <w:rPr>
                <w:rFonts w:eastAsia="SimSun" w:cs="Calibri"/>
                <w:color w:val="000000"/>
                <w:sz w:val="22"/>
                <w:szCs w:val="22"/>
                <w:lang w:val="en" w:bidi="ar"/>
              </w:rPr>
              <w:t>±</w:t>
            </w:r>
            <w:r>
              <w:rPr>
                <w:rFonts w:ascii="Calibri" w:hAnsi="Calibri" w:eastAsia="SimSun" w:cs="Calibri"/>
                <w:color w:val="000000"/>
                <w:sz w:val="22"/>
                <w:szCs w:val="22"/>
                <w:lang w:bidi="ar"/>
              </w:rPr>
              <w:t xml:space="preserve">0.06 </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&lt;0.001</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CRO.F</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CRO.M</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2018</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0.50 </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0.75</w:t>
            </w:r>
            <w:r>
              <w:rPr>
                <w:rFonts w:eastAsia="SimSun" w:cs="Calibri"/>
                <w:color w:val="000000"/>
                <w:sz w:val="22"/>
                <w:szCs w:val="22"/>
                <w:lang w:val="en" w:bidi="ar"/>
              </w:rPr>
              <w:t>±</w:t>
            </w:r>
            <w:r>
              <w:rPr>
                <w:rFonts w:ascii="Calibri" w:hAnsi="Calibri" w:eastAsia="SimSun" w:cs="Calibri"/>
                <w:color w:val="000000"/>
                <w:sz w:val="22"/>
                <w:szCs w:val="22"/>
                <w:lang w:bidi="ar"/>
              </w:rPr>
              <w:t xml:space="preserve">0.04 </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&lt;0.001</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2018</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0.41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0.20</w:t>
            </w:r>
            <w:r>
              <w:rPr>
                <w:rFonts w:eastAsia="SimSun" w:cs="Calibri"/>
                <w:color w:val="000000"/>
                <w:sz w:val="22"/>
                <w:szCs w:val="22"/>
                <w:lang w:val="en" w:bidi="ar"/>
              </w:rPr>
              <w:t>±</w:t>
            </w:r>
            <w:r>
              <w:rPr>
                <w:rFonts w:ascii="Calibri" w:hAnsi="Calibri" w:eastAsia="SimSun" w:cs="Calibri"/>
                <w:color w:val="000000"/>
                <w:sz w:val="22"/>
                <w:szCs w:val="22"/>
                <w:lang w:bidi="ar"/>
              </w:rPr>
              <w:t xml:space="preserve">0.09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aggregation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0.017</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2018</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0.11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0.27</w:t>
            </w:r>
            <w:r>
              <w:rPr>
                <w:rFonts w:eastAsia="SimSun" w:cs="Calibri"/>
                <w:color w:val="000000"/>
                <w:sz w:val="22"/>
                <w:szCs w:val="22"/>
                <w:lang w:val="en" w:bidi="ar"/>
              </w:rPr>
              <w:t>±</w:t>
            </w:r>
            <w:r>
              <w:rPr>
                <w:rFonts w:ascii="Calibri" w:hAnsi="Calibri" w:eastAsia="SimSun" w:cs="Calibri"/>
                <w:color w:val="000000"/>
                <w:sz w:val="22"/>
                <w:szCs w:val="22"/>
                <w:lang w:bidi="ar"/>
              </w:rPr>
              <w:t xml:space="preserve">0.10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0.056</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ns</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2018</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0.21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0.35</w:t>
            </w:r>
            <w:r>
              <w:rPr>
                <w:rFonts w:eastAsia="SimSun" w:cs="Calibri"/>
                <w:color w:val="000000"/>
                <w:sz w:val="22"/>
                <w:szCs w:val="22"/>
                <w:lang w:val="en" w:bidi="ar"/>
              </w:rPr>
              <w:t>±</w:t>
            </w:r>
            <w:r>
              <w:rPr>
                <w:rFonts w:ascii="Calibri" w:hAnsi="Calibri" w:eastAsia="SimSun" w:cs="Calibri"/>
                <w:color w:val="000000"/>
                <w:sz w:val="22"/>
                <w:szCs w:val="22"/>
                <w:lang w:bidi="ar"/>
              </w:rPr>
              <w:t xml:space="preserve">0.10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0.102</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ns</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2018</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0.15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0.27</w:t>
            </w:r>
            <w:r>
              <w:rPr>
                <w:rFonts w:eastAsia="SimSun" w:cs="Calibri"/>
                <w:color w:val="000000"/>
                <w:sz w:val="22"/>
                <w:szCs w:val="22"/>
                <w:lang w:val="en" w:bidi="ar"/>
              </w:rPr>
              <w:t>±</w:t>
            </w:r>
            <w:r>
              <w:rPr>
                <w:rFonts w:ascii="Calibri" w:hAnsi="Calibri" w:eastAsia="SimSun" w:cs="Calibri"/>
                <w:color w:val="000000"/>
                <w:sz w:val="22"/>
                <w:szCs w:val="22"/>
                <w:lang w:bidi="ar"/>
              </w:rPr>
              <w:t xml:space="preserve">0.10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0.115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ns</w:t>
            </w:r>
          </w:p>
        </w:tc>
      </w:tr>
      <w:tr>
        <w:tblPrEx>
          <w:tblCellMar>
            <w:top w:w="0" w:type="dxa"/>
            <w:left w:w="108" w:type="dxa"/>
            <w:bottom w:w="0" w:type="dxa"/>
            <w:right w:w="108" w:type="dxa"/>
          </w:tblCellMar>
        </w:tblPrEx>
        <w:trPr>
          <w:trHeight w:val="317" w:hRule="exact"/>
        </w:trPr>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MAR.F</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MAR.M</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2018</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0.23 </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0.68</w:t>
            </w:r>
            <w:r>
              <w:rPr>
                <w:rFonts w:eastAsia="SimSun" w:cs="Calibri"/>
                <w:color w:val="000000"/>
                <w:sz w:val="22"/>
                <w:szCs w:val="22"/>
                <w:lang w:val="en" w:bidi="ar"/>
              </w:rPr>
              <w:t>±</w:t>
            </w:r>
            <w:r>
              <w:rPr>
                <w:rFonts w:ascii="Calibri" w:hAnsi="Calibri" w:eastAsia="SimSun" w:cs="Calibri"/>
                <w:color w:val="000000"/>
                <w:sz w:val="22"/>
                <w:szCs w:val="22"/>
                <w:lang w:bidi="ar"/>
              </w:rPr>
              <w:t>0.05</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&lt;0.001</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CRO.F</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CRO.M</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2019</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0.57 </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0.79</w:t>
            </w:r>
            <w:r>
              <w:rPr>
                <w:rFonts w:eastAsia="SimSun" w:cs="Calibri"/>
                <w:color w:val="000000"/>
                <w:sz w:val="22"/>
                <w:szCs w:val="22"/>
                <w:lang w:val="en" w:bidi="ar"/>
              </w:rPr>
              <w:t>±</w:t>
            </w:r>
            <w:r>
              <w:rPr>
                <w:rFonts w:ascii="Calibri" w:hAnsi="Calibri" w:eastAsia="SimSun" w:cs="Calibri"/>
                <w:color w:val="000000"/>
                <w:sz w:val="22"/>
                <w:szCs w:val="22"/>
                <w:lang w:bidi="ar"/>
              </w:rPr>
              <w:t xml:space="preserve">0.03 </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&lt;0.001</w:t>
            </w:r>
          </w:p>
        </w:tc>
        <w:tc>
          <w:tcPr>
            <w:tcW w:w="0" w:type="auto"/>
            <w:tcBorders>
              <w:top w:val="nil"/>
              <w:left w:val="nil"/>
              <w:bottom w:val="nil"/>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2019</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0.31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0.28</w:t>
            </w:r>
            <w:r>
              <w:rPr>
                <w:rFonts w:eastAsia="SimSun" w:cs="Calibri"/>
                <w:color w:val="000000"/>
                <w:sz w:val="22"/>
                <w:szCs w:val="22"/>
                <w:lang w:val="en" w:bidi="ar"/>
              </w:rPr>
              <w:t>±</w:t>
            </w:r>
            <w:r>
              <w:rPr>
                <w:rFonts w:ascii="Calibri" w:hAnsi="Calibri" w:eastAsia="SimSun" w:cs="Calibri"/>
                <w:color w:val="000000"/>
                <w:sz w:val="22"/>
                <w:szCs w:val="22"/>
                <w:lang w:bidi="ar"/>
              </w:rPr>
              <w:t xml:space="preserve">0.09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aggregation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lang w:val="en"/>
              </w:rPr>
            </w:pPr>
            <w:r>
              <w:rPr>
                <w:rFonts w:ascii="Calibri" w:hAnsi="Calibri" w:eastAsia="SimSun" w:cs="Calibri"/>
                <w:color w:val="000000"/>
                <w:sz w:val="22"/>
                <w:szCs w:val="22"/>
                <w:lang w:bidi="ar"/>
              </w:rPr>
              <w:t>0.37</w:t>
            </w:r>
            <w:r>
              <w:rPr>
                <w:rFonts w:ascii="Calibri" w:hAnsi="Calibri" w:eastAsia="SimSun" w:cs="Calibri"/>
                <w:color w:val="000000"/>
                <w:sz w:val="22"/>
                <w:szCs w:val="22"/>
                <w:lang w:val="en" w:bidi="ar"/>
              </w:rPr>
              <w:t>0</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ns</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2019</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0.42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0.26</w:t>
            </w:r>
            <w:r>
              <w:rPr>
                <w:rFonts w:eastAsia="SimSun" w:cs="Calibri"/>
                <w:color w:val="000000"/>
                <w:sz w:val="22"/>
                <w:szCs w:val="22"/>
                <w:lang w:val="en" w:bidi="ar"/>
              </w:rPr>
              <w:t>±</w:t>
            </w:r>
            <w:r>
              <w:rPr>
                <w:rFonts w:ascii="Calibri" w:hAnsi="Calibri" w:eastAsia="SimSun" w:cs="Calibri"/>
                <w:color w:val="000000"/>
                <w:sz w:val="22"/>
                <w:szCs w:val="22"/>
                <w:lang w:bidi="ar"/>
              </w:rPr>
              <w:t xml:space="preserve">0.11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aggregation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lang w:val="en"/>
              </w:rPr>
            </w:pPr>
            <w:r>
              <w:rPr>
                <w:rFonts w:ascii="Calibri" w:hAnsi="Calibri" w:eastAsia="SimSun" w:cs="Calibri"/>
                <w:color w:val="000000"/>
                <w:sz w:val="22"/>
                <w:szCs w:val="22"/>
                <w:lang w:bidi="ar"/>
              </w:rPr>
              <w:t>0.08</w:t>
            </w:r>
            <w:r>
              <w:rPr>
                <w:rFonts w:ascii="Calibri" w:hAnsi="Calibri" w:eastAsia="SimSun" w:cs="Calibri"/>
                <w:color w:val="000000"/>
                <w:sz w:val="22"/>
                <w:szCs w:val="22"/>
                <w:lang w:val="en" w:bidi="ar"/>
              </w:rPr>
              <w:t>0</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ns</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2019</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0.44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0.19</w:t>
            </w:r>
            <w:r>
              <w:rPr>
                <w:rFonts w:eastAsia="SimSun" w:cs="Calibri"/>
                <w:color w:val="000000"/>
                <w:sz w:val="22"/>
                <w:szCs w:val="22"/>
                <w:lang w:val="en" w:bidi="ar"/>
              </w:rPr>
              <w:t>±</w:t>
            </w:r>
            <w:r>
              <w:rPr>
                <w:rFonts w:ascii="Calibri" w:hAnsi="Calibri" w:eastAsia="SimSun" w:cs="Calibri"/>
                <w:color w:val="000000"/>
                <w:sz w:val="22"/>
                <w:szCs w:val="22"/>
                <w:lang w:bidi="ar"/>
              </w:rPr>
              <w:t xml:space="preserve">0.10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aggregation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0.008</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r>
        <w:tblPrEx>
          <w:tblCellMar>
            <w:top w:w="0" w:type="dxa"/>
            <w:left w:w="108" w:type="dxa"/>
            <w:bottom w:w="0" w:type="dxa"/>
            <w:right w:w="108" w:type="dxa"/>
          </w:tblCellMar>
        </w:tblPrEx>
        <w:trPr>
          <w:trHeight w:val="317" w:hRule="exact"/>
        </w:trPr>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MAR.F</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CRO.M</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2019</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0.06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0.20</w:t>
            </w:r>
            <w:r>
              <w:rPr>
                <w:rFonts w:eastAsia="SimSun" w:cs="Calibri"/>
                <w:color w:val="000000"/>
                <w:sz w:val="22"/>
                <w:szCs w:val="22"/>
                <w:lang w:val="en" w:bidi="ar"/>
              </w:rPr>
              <w:t>±</w:t>
            </w:r>
            <w:r>
              <w:rPr>
                <w:rFonts w:ascii="Calibri" w:hAnsi="Calibri" w:eastAsia="SimSun" w:cs="Calibri"/>
                <w:color w:val="000000"/>
                <w:sz w:val="22"/>
                <w:szCs w:val="22"/>
                <w:lang w:bidi="ar"/>
              </w:rPr>
              <w:t xml:space="preserve">0.08 </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0.018</w:t>
            </w:r>
          </w:p>
        </w:tc>
        <w:tc>
          <w:tcPr>
            <w:tcW w:w="0" w:type="auto"/>
            <w:tcBorders>
              <w:top w:val="nil"/>
              <w:left w:val="nil"/>
              <w:bottom w:val="nil"/>
              <w:right w:val="nil"/>
            </w:tcBorders>
            <w:shd w:val="clear" w:color="auto" w:fill="auto"/>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r>
        <w:tblPrEx>
          <w:tblCellMar>
            <w:top w:w="0" w:type="dxa"/>
            <w:left w:w="108" w:type="dxa"/>
            <w:bottom w:w="0" w:type="dxa"/>
            <w:right w:w="108" w:type="dxa"/>
          </w:tblCellMar>
        </w:tblPrEx>
        <w:trPr>
          <w:trHeight w:val="317" w:hRule="exact"/>
        </w:trPr>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MAR.F</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MAR.M</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95%</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2019</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 xml:space="preserve">0.35 </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0.76</w:t>
            </w:r>
            <w:r>
              <w:rPr>
                <w:rFonts w:eastAsia="SimSun" w:cs="Calibri"/>
                <w:color w:val="000000"/>
                <w:sz w:val="22"/>
                <w:szCs w:val="22"/>
                <w:lang w:val="en" w:bidi="ar"/>
              </w:rPr>
              <w:t>±</w:t>
            </w:r>
            <w:r>
              <w:rPr>
                <w:rFonts w:ascii="Calibri" w:hAnsi="Calibri" w:eastAsia="SimSun" w:cs="Calibri"/>
                <w:color w:val="000000"/>
                <w:sz w:val="22"/>
                <w:szCs w:val="22"/>
                <w:lang w:bidi="ar"/>
              </w:rPr>
              <w:t xml:space="preserve">0.04 </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segregation</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&lt;0.001</w:t>
            </w:r>
          </w:p>
        </w:tc>
        <w:tc>
          <w:tcPr>
            <w:tcW w:w="0" w:type="auto"/>
            <w:tcBorders>
              <w:top w:val="nil"/>
              <w:left w:val="nil"/>
              <w:bottom w:val="single" w:color="000000" w:sz="4" w:space="0"/>
              <w:right w:val="nil"/>
            </w:tcBorders>
            <w:shd w:val="clear" w:color="auto" w:fill="E7E6E6"/>
            <w:noWrap/>
            <w:vAlign w:val="center"/>
          </w:tcPr>
          <w:p>
            <w:pPr>
              <w:jc w:val="center"/>
              <w:textAlignment w:val="center"/>
              <w:rPr>
                <w:rFonts w:ascii="Calibri" w:hAnsi="Calibri" w:cs="Calibri"/>
                <w:color w:val="000000"/>
                <w:sz w:val="22"/>
                <w:szCs w:val="22"/>
              </w:rPr>
            </w:pPr>
            <w:r>
              <w:rPr>
                <w:rFonts w:ascii="Calibri" w:hAnsi="Calibri" w:eastAsia="SimSun" w:cs="Calibri"/>
                <w:color w:val="000000"/>
                <w:sz w:val="22"/>
                <w:szCs w:val="22"/>
                <w:lang w:bidi="ar"/>
              </w:rPr>
              <w:t>***</w:t>
            </w:r>
          </w:p>
        </w:tc>
      </w:tr>
    </w:tbl>
    <w:p>
      <w:pPr>
        <w:jc w:val="both"/>
        <w:rPr>
          <w:rFonts w:eastAsiaTheme="majorEastAsia" w:cstheme="majorEastAsia"/>
          <w:sz w:val="21"/>
          <w:szCs w:val="21"/>
          <w:lang w:val="en"/>
        </w:rPr>
        <w:sectPr>
          <w:pgSz w:w="16838" w:h="11906" w:orient="landscape"/>
          <w:pgMar w:top="1800" w:right="1440" w:bottom="1800" w:left="1440" w:header="720" w:footer="720" w:gutter="0"/>
          <w:lnNumType w:countBy="1" w:restart="continuous"/>
          <w:cols w:space="0" w:num="1"/>
          <w:docGrid w:linePitch="360" w:charSpace="0"/>
        </w:sectPr>
      </w:pPr>
    </w:p>
    <w:p>
      <w:pPr>
        <w:rPr>
          <w:sz w:val="21"/>
          <w:szCs w:val="21"/>
          <w:lang w:val="en"/>
        </w:rPr>
      </w:pPr>
      <w:r>
        <w:rPr>
          <w:sz w:val="21"/>
          <w:szCs w:val="21"/>
          <w:lang w:val="en"/>
        </w:rPr>
        <w:drawing>
          <wp:inline distT="0" distB="0" distL="114300" distR="114300">
            <wp:extent cx="5263515" cy="6114415"/>
            <wp:effectExtent l="0" t="0" r="13335" b="635"/>
            <wp:docPr id="2" name="Picture 2" descr="00_Protocol_R_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descr="00_Protocol_R_01"/>
                    <pic:cNvPicPr>
                      <a:picLocks noChangeAspect="true"/>
                    </pic:cNvPicPr>
                  </pic:nvPicPr>
                  <pic:blipFill>
                    <a:blip r:embed="rId7"/>
                    <a:srcRect b="17799"/>
                    <a:stretch>
                      <a:fillRect/>
                    </a:stretch>
                  </pic:blipFill>
                  <pic:spPr>
                    <a:xfrm>
                      <a:off x="0" y="0"/>
                      <a:ext cx="5263515" cy="6114415"/>
                    </a:xfrm>
                    <a:prstGeom prst="rect">
                      <a:avLst/>
                    </a:prstGeom>
                  </pic:spPr>
                </pic:pic>
              </a:graphicData>
            </a:graphic>
          </wp:inline>
        </w:drawing>
      </w:r>
    </w:p>
    <w:p>
      <w:pPr>
        <w:rPr>
          <w:sz w:val="21"/>
          <w:szCs w:val="21"/>
          <w:lang w:val="en"/>
        </w:rPr>
      </w:pPr>
      <w:r>
        <w:rPr>
          <w:b/>
          <w:bCs/>
          <w:sz w:val="21"/>
          <w:szCs w:val="21"/>
          <w:lang w:val="en"/>
        </w:rPr>
        <w:t xml:space="preserve">Figure 1: </w:t>
      </w:r>
      <w:r>
        <w:rPr>
          <w:sz w:val="21"/>
          <w:szCs w:val="21"/>
          <w:lang w:val="en"/>
        </w:rPr>
        <w:t xml:space="preserve">Schematic representation of the analytical protocol. The two main aims were: a. To compare overlap values between observed tracks and pseudo-tracks that assume no intraspecific competition for each site (Marion [Mar] </w:t>
      </w:r>
      <w:r>
        <w:rPr>
          <w:i/>
          <w:iCs/>
          <w:sz w:val="21"/>
          <w:szCs w:val="21"/>
          <w:lang w:val="en"/>
        </w:rPr>
        <w:t>vs.</w:t>
      </w:r>
      <w:r>
        <w:rPr>
          <w:sz w:val="21"/>
          <w:szCs w:val="21"/>
          <w:lang w:val="en"/>
        </w:rPr>
        <w:t xml:space="preserve"> Crozet [Cro]) and sex (Males [M] </w:t>
      </w:r>
      <w:r>
        <w:rPr>
          <w:i/>
          <w:iCs/>
          <w:sz w:val="21"/>
          <w:szCs w:val="21"/>
          <w:lang w:val="en"/>
        </w:rPr>
        <w:t>vs.</w:t>
      </w:r>
      <w:r>
        <w:rPr>
          <w:sz w:val="21"/>
          <w:szCs w:val="21"/>
          <w:lang w:val="en"/>
        </w:rPr>
        <w:t xml:space="preserve"> Females [F]) b. To disentangle effects of environmental and competition covariates to estimate individual densities at-sea for each site and sex.</w:t>
      </w:r>
    </w:p>
    <w:p>
      <w:pPr>
        <w:rPr>
          <w:b/>
          <w:bCs/>
          <w:sz w:val="21"/>
          <w:szCs w:val="21"/>
          <w:lang w:val="en"/>
        </w:rPr>
      </w:pPr>
    </w:p>
    <w:p>
      <w:pPr>
        <w:rPr>
          <w:sz w:val="21"/>
          <w:szCs w:val="21"/>
          <w:lang w:val="en"/>
        </w:rPr>
      </w:pPr>
    </w:p>
    <w:p>
      <w:pPr>
        <w:rPr>
          <w:sz w:val="21"/>
          <w:szCs w:val="21"/>
          <w:lang w:val="en"/>
        </w:rPr>
      </w:pPr>
    </w:p>
    <w:p>
      <w:pPr>
        <w:rPr>
          <w:sz w:val="21"/>
          <w:szCs w:val="21"/>
          <w:lang w:val="en"/>
        </w:rPr>
      </w:pPr>
    </w:p>
    <w:p>
      <w:pPr>
        <w:jc w:val="both"/>
        <w:rPr>
          <w:sz w:val="21"/>
          <w:szCs w:val="21"/>
          <w:lang w:val="en"/>
        </w:rPr>
      </w:pPr>
    </w:p>
    <w:p>
      <w:pPr>
        <w:jc w:val="both"/>
        <w:rPr>
          <w:sz w:val="21"/>
          <w:szCs w:val="21"/>
          <w:lang w:val="en"/>
        </w:rPr>
      </w:pPr>
      <w:r>
        <w:rPr>
          <w:sz w:val="21"/>
          <w:szCs w:val="21"/>
          <w:lang w:val="en"/>
        </w:rPr>
        <w:drawing>
          <wp:inline distT="0" distB="0" distL="114300" distR="114300">
            <wp:extent cx="5391785" cy="4417695"/>
            <wp:effectExtent l="0" t="0" r="18415" b="1905"/>
            <wp:docPr id="4" name="Picture 4" descr="Figure_2_R_ok"/>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descr="Figure_2_R_ok"/>
                    <pic:cNvPicPr>
                      <a:picLocks noChangeAspect="true"/>
                    </pic:cNvPicPr>
                  </pic:nvPicPr>
                  <pic:blipFill>
                    <a:blip r:embed="rId8"/>
                    <a:srcRect l="4264" r="1168"/>
                    <a:stretch>
                      <a:fillRect/>
                    </a:stretch>
                  </pic:blipFill>
                  <pic:spPr>
                    <a:xfrm>
                      <a:off x="0" y="0"/>
                      <a:ext cx="5391785" cy="4417695"/>
                    </a:xfrm>
                    <a:prstGeom prst="rect">
                      <a:avLst/>
                    </a:prstGeom>
                  </pic:spPr>
                </pic:pic>
              </a:graphicData>
            </a:graphic>
          </wp:inline>
        </w:drawing>
      </w:r>
    </w:p>
    <w:p>
      <w:pPr>
        <w:rPr>
          <w:sz w:val="21"/>
          <w:szCs w:val="21"/>
          <w:lang w:val="en"/>
        </w:rPr>
      </w:pPr>
      <w:r>
        <w:rPr>
          <w:b/>
          <w:bCs/>
          <w:sz w:val="21"/>
          <w:szCs w:val="21"/>
          <w:lang w:val="en"/>
        </w:rPr>
        <w:t>Figure 2</w:t>
      </w:r>
      <w:r>
        <w:rPr>
          <w:sz w:val="21"/>
          <w:szCs w:val="21"/>
          <w:lang w:val="en"/>
        </w:rPr>
        <w:t xml:space="preserve">: Foraging distribution of female (purple, N=110) and male (blue, N=82) incubating wandering albatrosses </w:t>
      </w:r>
      <w:r>
        <w:rPr>
          <w:i/>
          <w:iCs/>
          <w:sz w:val="21"/>
          <w:szCs w:val="21"/>
          <w:lang w:val="en"/>
        </w:rPr>
        <w:t>Diomedea exulans</w:t>
      </w:r>
      <w:r>
        <w:rPr>
          <w:sz w:val="21"/>
          <w:szCs w:val="21"/>
          <w:lang w:val="en"/>
        </w:rPr>
        <w:t xml:space="preserve"> from Marion and Crozet. Kerguelen Archipelago is also indicated. Blue background indicates the bathymetry (in meters).</w:t>
      </w: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rFonts w:eastAsiaTheme="majorEastAsia" w:cstheme="majorEastAsia"/>
          <w:sz w:val="21"/>
          <w:szCs w:val="21"/>
          <w:lang w:val="en"/>
        </w:rPr>
      </w:pPr>
    </w:p>
    <w:p>
      <w:pPr>
        <w:rPr>
          <w:rFonts w:eastAsiaTheme="majorEastAsia" w:cstheme="majorEastAsia"/>
          <w:sz w:val="21"/>
          <w:szCs w:val="21"/>
          <w:lang w:val="en"/>
        </w:rPr>
      </w:pPr>
    </w:p>
    <w:p>
      <w:pPr>
        <w:rPr>
          <w:rFonts w:eastAsiaTheme="majorEastAsia" w:cstheme="majorEastAsia"/>
          <w:sz w:val="21"/>
          <w:szCs w:val="21"/>
          <w:lang w:val="en"/>
        </w:rPr>
      </w:pPr>
    </w:p>
    <w:p>
      <w:pPr>
        <w:rPr>
          <w:rFonts w:eastAsiaTheme="majorEastAsia" w:cstheme="majorEastAsia"/>
          <w:sz w:val="21"/>
          <w:szCs w:val="21"/>
          <w:lang w:val="en"/>
        </w:rPr>
      </w:pPr>
    </w:p>
    <w:p>
      <w:pPr>
        <w:jc w:val="center"/>
        <w:rPr>
          <w:rFonts w:eastAsiaTheme="majorEastAsia" w:cstheme="majorEastAsia"/>
          <w:sz w:val="21"/>
          <w:szCs w:val="21"/>
          <w:lang w:val="en"/>
        </w:rPr>
      </w:pPr>
      <w:r>
        <w:rPr>
          <w:rFonts w:eastAsiaTheme="majorEastAsia" w:cstheme="majorEastAsia"/>
          <w:sz w:val="21"/>
          <w:szCs w:val="21"/>
          <w:lang w:val="en"/>
        </w:rPr>
        <w:drawing>
          <wp:inline distT="0" distB="0" distL="114300" distR="114300">
            <wp:extent cx="5569585" cy="4358640"/>
            <wp:effectExtent l="0" t="0" r="12065" b="3810"/>
            <wp:docPr id="11" name="Picture 11" descr="Figure_4_R"/>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Picture 11" descr="Figure_4_R"/>
                    <pic:cNvPicPr>
                      <a:picLocks noChangeAspect="true"/>
                    </pic:cNvPicPr>
                  </pic:nvPicPr>
                  <pic:blipFill>
                    <a:blip r:embed="rId9"/>
                    <a:srcRect l="3753" r="1810"/>
                    <a:stretch>
                      <a:fillRect/>
                    </a:stretch>
                  </pic:blipFill>
                  <pic:spPr>
                    <a:xfrm>
                      <a:off x="0" y="0"/>
                      <a:ext cx="5569585" cy="4358640"/>
                    </a:xfrm>
                    <a:prstGeom prst="rect">
                      <a:avLst/>
                    </a:prstGeom>
                  </pic:spPr>
                </pic:pic>
              </a:graphicData>
            </a:graphic>
          </wp:inline>
        </w:drawing>
      </w:r>
    </w:p>
    <w:p>
      <w:pPr>
        <w:jc w:val="both"/>
        <w:rPr>
          <w:rFonts w:eastAsiaTheme="majorEastAsia" w:cstheme="majorEastAsia"/>
          <w:sz w:val="21"/>
          <w:szCs w:val="21"/>
          <w:lang w:val="en"/>
        </w:rPr>
      </w:pPr>
      <w:r>
        <w:rPr>
          <w:rFonts w:eastAsiaTheme="majorEastAsia" w:cstheme="majorEastAsia"/>
          <w:b/>
          <w:bCs/>
          <w:sz w:val="21"/>
          <w:szCs w:val="21"/>
          <w:lang w:val="en"/>
        </w:rPr>
        <w:t>Figure 3:</w:t>
      </w:r>
      <w:r>
        <w:rPr>
          <w:rFonts w:eastAsiaTheme="majorEastAsia" w:cstheme="majorEastAsia"/>
          <w:sz w:val="21"/>
          <w:szCs w:val="21"/>
          <w:lang w:val="en"/>
        </w:rPr>
        <w:t xml:space="preserve"> Kernel Utilization Distribution (UD) overlap between populations and sexes per year at 95% UD. Triangles indicate the locations of Marion (left) and Crozet (right).</w:t>
      </w:r>
    </w:p>
    <w:p>
      <w:pPr>
        <w:jc w:val="both"/>
        <w:rPr>
          <w:rFonts w:eastAsiaTheme="majorEastAsia" w:cstheme="majorEastAsia"/>
          <w:sz w:val="21"/>
          <w:szCs w:val="21"/>
          <w:lang w:val="en"/>
        </w:rPr>
      </w:pPr>
    </w:p>
    <w:p>
      <w:pPr>
        <w:jc w:val="center"/>
        <w:rPr>
          <w:rFonts w:eastAsiaTheme="majorEastAsia" w:cstheme="majorEastAsia"/>
          <w:sz w:val="21"/>
          <w:szCs w:val="21"/>
          <w:lang w:val="en"/>
        </w:rPr>
      </w:pPr>
    </w:p>
    <w:p>
      <w:pPr>
        <w:jc w:val="center"/>
        <w:rPr>
          <w:rFonts w:eastAsiaTheme="majorEastAsia" w:cstheme="majorEastAsia"/>
          <w:sz w:val="21"/>
          <w:szCs w:val="21"/>
          <w:lang w:val="en"/>
        </w:rPr>
      </w:pPr>
    </w:p>
    <w:p>
      <w:pPr>
        <w:jc w:val="center"/>
        <w:rPr>
          <w:rFonts w:eastAsiaTheme="majorEastAsia" w:cstheme="majorEastAsia"/>
          <w:sz w:val="21"/>
          <w:szCs w:val="21"/>
          <w:lang w:val="en"/>
        </w:rPr>
      </w:pPr>
    </w:p>
    <w:p>
      <w:pPr>
        <w:jc w:val="center"/>
        <w:rPr>
          <w:rFonts w:eastAsiaTheme="majorEastAsia" w:cstheme="majorEastAsia"/>
          <w:sz w:val="21"/>
          <w:szCs w:val="21"/>
          <w:lang w:val="en"/>
        </w:rPr>
      </w:pPr>
    </w:p>
    <w:p>
      <w:pPr>
        <w:jc w:val="center"/>
        <w:rPr>
          <w:rFonts w:eastAsiaTheme="majorEastAsia" w:cstheme="majorEastAsia"/>
          <w:sz w:val="21"/>
          <w:szCs w:val="21"/>
          <w:lang w:val="en"/>
        </w:rPr>
      </w:pPr>
    </w:p>
    <w:p>
      <w:pPr>
        <w:jc w:val="center"/>
        <w:rPr>
          <w:rFonts w:eastAsiaTheme="majorEastAsia" w:cstheme="majorEastAsia"/>
          <w:sz w:val="21"/>
          <w:szCs w:val="21"/>
          <w:lang w:val="en"/>
        </w:rPr>
      </w:pPr>
    </w:p>
    <w:p>
      <w:pPr>
        <w:jc w:val="center"/>
        <w:rPr>
          <w:rFonts w:eastAsiaTheme="majorEastAsia" w:cstheme="majorEastAsia"/>
          <w:sz w:val="21"/>
          <w:szCs w:val="21"/>
          <w:lang w:val="en"/>
        </w:rPr>
      </w:pPr>
    </w:p>
    <w:p>
      <w:pPr>
        <w:jc w:val="center"/>
        <w:rPr>
          <w:rFonts w:eastAsiaTheme="majorEastAsia" w:cstheme="majorEastAsia"/>
          <w:sz w:val="21"/>
          <w:szCs w:val="21"/>
          <w:lang w:val="en"/>
        </w:rPr>
      </w:pPr>
    </w:p>
    <w:p>
      <w:pPr>
        <w:jc w:val="center"/>
        <w:rPr>
          <w:rFonts w:eastAsiaTheme="majorEastAsia" w:cstheme="majorEastAsia"/>
          <w:sz w:val="21"/>
          <w:szCs w:val="21"/>
          <w:lang w:val="en"/>
        </w:rPr>
      </w:pPr>
    </w:p>
    <w:p>
      <w:pPr>
        <w:jc w:val="both"/>
        <w:rPr>
          <w:rFonts w:eastAsiaTheme="majorEastAsia" w:cstheme="majorEastAsia"/>
          <w:sz w:val="21"/>
          <w:szCs w:val="21"/>
          <w:lang w:val="en"/>
        </w:rPr>
      </w:pPr>
    </w:p>
    <w:p>
      <w:pPr>
        <w:rPr>
          <w:sz w:val="21"/>
          <w:szCs w:val="21"/>
          <w:lang w:val="en"/>
        </w:rPr>
      </w:pPr>
    </w:p>
    <w:p>
      <w:pPr>
        <w:rPr>
          <w:sz w:val="21"/>
          <w:szCs w:val="21"/>
          <w:lang w:val="en"/>
        </w:rPr>
      </w:pPr>
    </w:p>
    <w:p>
      <w:pPr>
        <w:rPr>
          <w:sz w:val="21"/>
          <w:szCs w:val="21"/>
          <w:lang w:val="en"/>
        </w:rPr>
      </w:pPr>
    </w:p>
    <w:p>
      <w:pPr>
        <w:jc w:val="center"/>
        <w:rPr>
          <w:sz w:val="21"/>
          <w:szCs w:val="21"/>
          <w:lang w:val="en"/>
        </w:rPr>
      </w:pPr>
      <w:r>
        <w:rPr>
          <w:sz w:val="21"/>
          <w:szCs w:val="21"/>
          <w:lang w:val="en"/>
        </w:rPr>
        <w:drawing>
          <wp:inline distT="0" distB="0" distL="114300" distR="114300">
            <wp:extent cx="5273040" cy="4719320"/>
            <wp:effectExtent l="0" t="0" r="3810" b="5080"/>
            <wp:docPr id="5" name="Picture 5" descr="Figure_7_R_nosst"/>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Picture 5" descr="Figure_7_R_nosst"/>
                    <pic:cNvPicPr>
                      <a:picLocks noChangeAspect="true"/>
                    </pic:cNvPicPr>
                  </pic:nvPicPr>
                  <pic:blipFill>
                    <a:blip r:embed="rId10"/>
                    <a:stretch>
                      <a:fillRect/>
                    </a:stretch>
                  </pic:blipFill>
                  <pic:spPr>
                    <a:xfrm>
                      <a:off x="0" y="0"/>
                      <a:ext cx="5273040" cy="4719320"/>
                    </a:xfrm>
                    <a:prstGeom prst="rect">
                      <a:avLst/>
                    </a:prstGeom>
                  </pic:spPr>
                </pic:pic>
              </a:graphicData>
            </a:graphic>
          </wp:inline>
        </w:drawing>
      </w:r>
    </w:p>
    <w:p>
      <w:pPr>
        <w:rPr>
          <w:rFonts w:eastAsiaTheme="majorEastAsia" w:cstheme="majorEastAsia"/>
          <w:sz w:val="21"/>
          <w:szCs w:val="21"/>
          <w:lang w:val="en"/>
        </w:rPr>
      </w:pPr>
      <w:r>
        <w:rPr>
          <w:rFonts w:eastAsiaTheme="majorEastAsia" w:cstheme="majorEastAsia"/>
          <w:b/>
          <w:bCs/>
          <w:sz w:val="21"/>
          <w:szCs w:val="21"/>
          <w:lang w:val="en"/>
        </w:rPr>
        <w:t>Figure 4:</w:t>
      </w:r>
      <w:r>
        <w:rPr>
          <w:rFonts w:eastAsiaTheme="majorEastAsia" w:cstheme="majorEastAsia"/>
          <w:sz w:val="21"/>
          <w:szCs w:val="21"/>
          <w:lang w:val="en"/>
        </w:rPr>
        <w:t xml:space="preserve"> Preference probabilities (logit scale) showing different response curves as a function of competition covariates (‘preds’, i.e., habitat selection probability predicted by the first series of RSF, see Fig. 1b, with ‘cro’ for Crozet, ‘mar’ for Marion and ‘F’ for females and ‘M’ for Males) retained for the best GAMM per site and sex with 95% confidence intervals indicated by grey shading (competition covariates were non-significant for Crozet females and thus not shown here). Positive relationships can be interpreted as increases in selection of the response in relation to increases in preference for the same area of the other sex or site-sex considered.</w:t>
      </w:r>
    </w:p>
    <w:p>
      <w:pPr>
        <w:rPr>
          <w:rFonts w:eastAsiaTheme="majorEastAsia" w:cstheme="majorEastAsia"/>
          <w:sz w:val="21"/>
          <w:szCs w:val="21"/>
          <w:lang w:val="en"/>
        </w:rPr>
      </w:pPr>
    </w:p>
    <w:p>
      <w:pPr>
        <w:rPr>
          <w:b/>
          <w:bCs/>
          <w:sz w:val="21"/>
          <w:szCs w:val="21"/>
          <w:lang w:val="en"/>
        </w:rPr>
      </w:pPr>
    </w:p>
    <w:p>
      <w:pPr>
        <w:rPr>
          <w:b/>
          <w:bCs/>
          <w:sz w:val="21"/>
          <w:szCs w:val="21"/>
          <w:lang w:val="en"/>
        </w:rPr>
      </w:pPr>
      <w:r>
        <w:rPr>
          <w:b/>
          <w:bCs/>
          <w:sz w:val="21"/>
          <w:szCs w:val="21"/>
          <w:lang w:val="en"/>
        </w:rPr>
        <w:drawing>
          <wp:inline distT="0" distB="0" distL="114300" distR="114300">
            <wp:extent cx="5264785" cy="2953385"/>
            <wp:effectExtent l="0" t="0" r="12065" b="18415"/>
            <wp:docPr id="6" name="Picture 6" descr="Figures_9b_R_no_sst"/>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descr="Figures_9b_R_no_sst"/>
                    <pic:cNvPicPr>
                      <a:picLocks noChangeAspect="true"/>
                    </pic:cNvPicPr>
                  </pic:nvPicPr>
                  <pic:blipFill>
                    <a:blip r:embed="rId11"/>
                    <a:srcRect t="15122" b="16127"/>
                    <a:stretch>
                      <a:fillRect/>
                    </a:stretch>
                  </pic:blipFill>
                  <pic:spPr>
                    <a:xfrm>
                      <a:off x="0" y="0"/>
                      <a:ext cx="5264785" cy="2953385"/>
                    </a:xfrm>
                    <a:prstGeom prst="rect">
                      <a:avLst/>
                    </a:prstGeom>
                  </pic:spPr>
                </pic:pic>
              </a:graphicData>
            </a:graphic>
          </wp:inline>
        </w:drawing>
      </w:r>
    </w:p>
    <w:p>
      <w:pPr>
        <w:rPr>
          <w:b/>
          <w:bCs/>
          <w:sz w:val="21"/>
          <w:szCs w:val="21"/>
          <w:lang w:val="en"/>
        </w:rPr>
      </w:pPr>
      <w:r>
        <w:rPr>
          <w:b/>
          <w:bCs/>
          <w:sz w:val="21"/>
          <w:szCs w:val="21"/>
          <w:lang w:val="en"/>
        </w:rPr>
        <w:t xml:space="preserve">Figure 5: </w:t>
      </w:r>
      <w:r>
        <w:rPr>
          <w:sz w:val="21"/>
          <w:szCs w:val="21"/>
          <w:lang w:val="en"/>
        </w:rPr>
        <w:t>Comparisons between predicted population densities at-sea and the corresponding 95% Kernel Utilization Distribution (red contours) calculated with the observed tracks. Densities values have been averaged per 100 km</w:t>
      </w:r>
      <w:r>
        <w:rPr>
          <w:sz w:val="21"/>
          <w:szCs w:val="21"/>
          <w:vertAlign w:val="superscript"/>
          <w:lang w:val="en"/>
        </w:rPr>
        <w:t xml:space="preserve">2 </w:t>
      </w:r>
      <w:r>
        <w:rPr>
          <w:sz w:val="21"/>
          <w:szCs w:val="21"/>
          <w:lang w:val="en"/>
        </w:rPr>
        <w:t>grid cell. Common areas of higher densities for males, from both sites, are situated in the south-west of the mapped region, below 50</w:t>
      </w:r>
      <w:r>
        <w:rPr>
          <w:rFonts w:cstheme="minorHAnsi"/>
          <w:sz w:val="21"/>
          <w:szCs w:val="21"/>
          <w:lang w:val="en"/>
        </w:rPr>
        <w:t>˚</w:t>
      </w:r>
      <w:r>
        <w:rPr>
          <w:sz w:val="21"/>
          <w:szCs w:val="21"/>
          <w:lang w:val="en"/>
        </w:rPr>
        <w:t>S, and on the Kerguelen plateau (island locations indicated in Fig. 2). Common areas among all sites and sexes are situated south-east of South Africa, over the continental shelf edge.</w:t>
      </w:r>
    </w:p>
    <w:p>
      <w:pPr>
        <w:spacing w:line="480" w:lineRule="auto"/>
        <w:rPr>
          <w:rFonts w:eastAsiaTheme="majorEastAsia" w:cstheme="majorEastAsia"/>
          <w:i/>
          <w:iCs/>
          <w:color w:val="000000"/>
          <w:sz w:val="21"/>
          <w:szCs w:val="21"/>
          <w:lang w:val="en"/>
        </w:rPr>
      </w:pPr>
    </w:p>
    <w:p>
      <w:pPr>
        <w:spacing w:line="480" w:lineRule="auto"/>
        <w:rPr>
          <w:rFonts w:eastAsiaTheme="majorEastAsia" w:cstheme="majorEastAsia"/>
          <w:i/>
          <w:iCs/>
          <w:color w:val="000000"/>
          <w:sz w:val="21"/>
          <w:szCs w:val="21"/>
          <w:lang w:val="en"/>
        </w:rPr>
      </w:pPr>
    </w:p>
    <w:p>
      <w:pPr>
        <w:spacing w:line="480" w:lineRule="auto"/>
        <w:rPr>
          <w:rFonts w:eastAsiaTheme="majorEastAsia" w:cstheme="majorEastAsia"/>
          <w:i/>
          <w:iCs/>
          <w:color w:val="000000"/>
          <w:sz w:val="21"/>
          <w:szCs w:val="21"/>
          <w:lang w:val="en"/>
        </w:rPr>
      </w:pPr>
    </w:p>
    <w:p>
      <w:pPr>
        <w:spacing w:line="480" w:lineRule="auto"/>
        <w:rPr>
          <w:rFonts w:eastAsiaTheme="majorEastAsia" w:cstheme="majorEastAsia"/>
          <w:i/>
          <w:iCs/>
          <w:color w:val="000000"/>
          <w:sz w:val="21"/>
          <w:szCs w:val="21"/>
          <w:lang w:val="en"/>
        </w:rPr>
      </w:pPr>
    </w:p>
    <w:p>
      <w:pPr>
        <w:spacing w:line="480" w:lineRule="auto"/>
        <w:rPr>
          <w:rFonts w:eastAsiaTheme="majorEastAsia" w:cstheme="majorEastAsia"/>
          <w:i/>
          <w:iCs/>
          <w:color w:val="000000"/>
          <w:sz w:val="21"/>
          <w:szCs w:val="21"/>
          <w:lang w:val="en"/>
        </w:rPr>
      </w:pPr>
    </w:p>
    <w:p>
      <w:pPr>
        <w:spacing w:line="480" w:lineRule="auto"/>
        <w:rPr>
          <w:rFonts w:eastAsiaTheme="majorEastAsia" w:cstheme="majorEastAsia"/>
          <w:color w:val="000000"/>
          <w:sz w:val="21"/>
          <w:szCs w:val="21"/>
          <w:lang w:val="en"/>
        </w:rPr>
      </w:pPr>
    </w:p>
    <w:sectPr>
      <w:pgSz w:w="11906" w:h="16838"/>
      <w:pgMar w:top="1440" w:right="1800" w:bottom="1440" w:left="1800" w:header="720" w:footer="720" w:gutter="0"/>
      <w:lnNumType w:countBy="1" w:restart="continuous"/>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lArabiya"/>
    <w:panose1 w:val="05000000000000000000"/>
    <w:charset w:val="00"/>
    <w:family w:val="auto"/>
    <w:pitch w:val="default"/>
    <w:sig w:usb0="00000000" w:usb1="1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Segoe UI">
    <w:altName w:val="FreeSans"/>
    <w:panose1 w:val="020B0502040204020203"/>
    <w:charset w:val="00"/>
    <w:family w:val="swiss"/>
    <w:pitch w:val="default"/>
    <w:sig w:usb0="00000000" w:usb1="00000000" w:usb2="00000009" w:usb3="00000000" w:csb0="000001FF" w:csb1="00000000"/>
  </w:font>
  <w:font w:name="Calibri-Bold">
    <w:altName w:val="URW Bookman [UKWN]"/>
    <w:panose1 w:val="00000000000000000000"/>
    <w:charset w:val="00"/>
    <w:family w:val="swiss"/>
    <w:pitch w:val="default"/>
    <w:sig w:usb0="00000000" w:usb1="00000000" w:usb2="00000000" w:usb3="00000000" w:csb0="00000001" w:csb1="00000000"/>
  </w:font>
  <w:font w:name="sans-serif">
    <w:altName w:val="URW Bookman [UKWN]"/>
    <w:panose1 w:val="00000000000000000000"/>
    <w:charset w:val="00"/>
    <w:family w:val="auto"/>
    <w:pitch w:val="default"/>
    <w:sig w:usb0="00000000" w:usb1="00000000" w:usb2="00000000" w:usb3="00000000" w:csb0="00000000" w:csb1="00000000"/>
  </w:font>
  <w:font w:name="东文宋体">
    <w:altName w:val="Droid Sans Fallback"/>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AlArabiya">
    <w:panose1 w:val="02060603050605020204"/>
    <w:charset w:val="00"/>
    <w:family w:val="auto"/>
    <w:pitch w:val="default"/>
    <w:sig w:usb0="A000200F" w:usb1="C0000000" w:usb2="00000008" w:usb3="00000000" w:csb0="000000D3" w:csb1="00000000"/>
  </w:font>
  <w:font w:name="FreeSans">
    <w:panose1 w:val="020B0504020202020204"/>
    <w:charset w:val="00"/>
    <w:family w:val="auto"/>
    <w:pitch w:val="default"/>
    <w:sig w:usb0="E4839EFF" w:usb1="4600FDFF" w:usb2="000030A0" w:usb3="00000584"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fr-FR" w:eastAsia="fr-FR"/>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LNJWO7QAAAABQEAAA8AAAAAAAAA&#10;AQAgAAAAOAAAAGRycy9kb3ducmV2LnhtbFBLAQIUABQAAAAIAIdO4kAUEFwgAwIAABgEAAAOAAAA&#10;AAAAAAEAIAAAADUBAABkcnMvZTJvRG9jLnhtbFBLBQYAAAAABgAGAFkBAACq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CB2B7"/>
    <w:multiLevelType w:val="singleLevel"/>
    <w:tmpl w:val="FDDCB2B7"/>
    <w:lvl w:ilvl="0" w:tentative="0">
      <w:start w:val="1"/>
      <w:numFmt w:val="decimal"/>
      <w:suff w:val="space"/>
      <w:lvlText w:val="%1."/>
      <w:lvlJc w:val="left"/>
    </w:lvl>
  </w:abstractNum>
  <w:abstractNum w:abstractNumId="1">
    <w:nsid w:val="3FDEA01B"/>
    <w:multiLevelType w:val="singleLevel"/>
    <w:tmpl w:val="3FDEA01B"/>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hyphenationZone w:val="42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BB421F"/>
    <w:rsid w:val="000073D7"/>
    <w:rsid w:val="00013697"/>
    <w:rsid w:val="0002579E"/>
    <w:rsid w:val="0002737F"/>
    <w:rsid w:val="000302D6"/>
    <w:rsid w:val="000368D5"/>
    <w:rsid w:val="00036A8B"/>
    <w:rsid w:val="00042798"/>
    <w:rsid w:val="00043042"/>
    <w:rsid w:val="000476E6"/>
    <w:rsid w:val="00062C9C"/>
    <w:rsid w:val="00062E5C"/>
    <w:rsid w:val="0006549E"/>
    <w:rsid w:val="000759FE"/>
    <w:rsid w:val="000933DA"/>
    <w:rsid w:val="00093650"/>
    <w:rsid w:val="00096793"/>
    <w:rsid w:val="000E2671"/>
    <w:rsid w:val="000E619B"/>
    <w:rsid w:val="000F0C9A"/>
    <w:rsid w:val="000F726F"/>
    <w:rsid w:val="00101762"/>
    <w:rsid w:val="00113C77"/>
    <w:rsid w:val="00113F33"/>
    <w:rsid w:val="0011550F"/>
    <w:rsid w:val="001156B9"/>
    <w:rsid w:val="00116D26"/>
    <w:rsid w:val="00117ED9"/>
    <w:rsid w:val="00123509"/>
    <w:rsid w:val="00125F94"/>
    <w:rsid w:val="001342A9"/>
    <w:rsid w:val="00144024"/>
    <w:rsid w:val="00145264"/>
    <w:rsid w:val="00155635"/>
    <w:rsid w:val="00156E40"/>
    <w:rsid w:val="00167D55"/>
    <w:rsid w:val="00172A34"/>
    <w:rsid w:val="00182125"/>
    <w:rsid w:val="00190279"/>
    <w:rsid w:val="001B5617"/>
    <w:rsid w:val="001D02AE"/>
    <w:rsid w:val="001D3D1A"/>
    <w:rsid w:val="00206DA6"/>
    <w:rsid w:val="002202CB"/>
    <w:rsid w:val="00225347"/>
    <w:rsid w:val="00233D71"/>
    <w:rsid w:val="002418B4"/>
    <w:rsid w:val="00243213"/>
    <w:rsid w:val="002450D6"/>
    <w:rsid w:val="002463E8"/>
    <w:rsid w:val="00252658"/>
    <w:rsid w:val="00252F41"/>
    <w:rsid w:val="0025405D"/>
    <w:rsid w:val="00266764"/>
    <w:rsid w:val="002759EF"/>
    <w:rsid w:val="00276326"/>
    <w:rsid w:val="002820A5"/>
    <w:rsid w:val="00286EE4"/>
    <w:rsid w:val="00295637"/>
    <w:rsid w:val="002A60B6"/>
    <w:rsid w:val="002C2C5B"/>
    <w:rsid w:val="002C6A9D"/>
    <w:rsid w:val="002C7D72"/>
    <w:rsid w:val="002E334A"/>
    <w:rsid w:val="00305D72"/>
    <w:rsid w:val="00323835"/>
    <w:rsid w:val="003338A6"/>
    <w:rsid w:val="00337842"/>
    <w:rsid w:val="00351FA4"/>
    <w:rsid w:val="0036032F"/>
    <w:rsid w:val="00394C1B"/>
    <w:rsid w:val="003A443F"/>
    <w:rsid w:val="003C0A18"/>
    <w:rsid w:val="003D118F"/>
    <w:rsid w:val="003D67AA"/>
    <w:rsid w:val="003D6B84"/>
    <w:rsid w:val="00411581"/>
    <w:rsid w:val="00412B6E"/>
    <w:rsid w:val="00414F1A"/>
    <w:rsid w:val="004434A0"/>
    <w:rsid w:val="0047374E"/>
    <w:rsid w:val="0048448A"/>
    <w:rsid w:val="0049408B"/>
    <w:rsid w:val="004B2E62"/>
    <w:rsid w:val="004B371A"/>
    <w:rsid w:val="004B493A"/>
    <w:rsid w:val="004F2D30"/>
    <w:rsid w:val="004F6218"/>
    <w:rsid w:val="004F7C6A"/>
    <w:rsid w:val="00503365"/>
    <w:rsid w:val="005403C3"/>
    <w:rsid w:val="005525CE"/>
    <w:rsid w:val="00570DF1"/>
    <w:rsid w:val="005802E6"/>
    <w:rsid w:val="00581DE9"/>
    <w:rsid w:val="005A6DF3"/>
    <w:rsid w:val="005C1C40"/>
    <w:rsid w:val="005E4424"/>
    <w:rsid w:val="00600CD3"/>
    <w:rsid w:val="00604234"/>
    <w:rsid w:val="00615D1C"/>
    <w:rsid w:val="006214CC"/>
    <w:rsid w:val="00625158"/>
    <w:rsid w:val="00636BEB"/>
    <w:rsid w:val="0063736B"/>
    <w:rsid w:val="006453DD"/>
    <w:rsid w:val="00650C20"/>
    <w:rsid w:val="00660A9F"/>
    <w:rsid w:val="0066409F"/>
    <w:rsid w:val="00670B41"/>
    <w:rsid w:val="00676A24"/>
    <w:rsid w:val="006811BA"/>
    <w:rsid w:val="0068456E"/>
    <w:rsid w:val="006946E3"/>
    <w:rsid w:val="006D3433"/>
    <w:rsid w:val="006E0B17"/>
    <w:rsid w:val="00713DFD"/>
    <w:rsid w:val="007228A0"/>
    <w:rsid w:val="007247C1"/>
    <w:rsid w:val="00730EDC"/>
    <w:rsid w:val="00735475"/>
    <w:rsid w:val="00736A2D"/>
    <w:rsid w:val="00737A49"/>
    <w:rsid w:val="00744334"/>
    <w:rsid w:val="0075150F"/>
    <w:rsid w:val="00764166"/>
    <w:rsid w:val="0078176A"/>
    <w:rsid w:val="00783A26"/>
    <w:rsid w:val="00783C03"/>
    <w:rsid w:val="007A008D"/>
    <w:rsid w:val="007A33BB"/>
    <w:rsid w:val="007A3A7B"/>
    <w:rsid w:val="007B3B62"/>
    <w:rsid w:val="007C45DD"/>
    <w:rsid w:val="007E5604"/>
    <w:rsid w:val="00802B51"/>
    <w:rsid w:val="00815BA6"/>
    <w:rsid w:val="0081612A"/>
    <w:rsid w:val="0081753C"/>
    <w:rsid w:val="00834B8D"/>
    <w:rsid w:val="008624B9"/>
    <w:rsid w:val="0089080B"/>
    <w:rsid w:val="00897247"/>
    <w:rsid w:val="00897E89"/>
    <w:rsid w:val="008A08E9"/>
    <w:rsid w:val="008A41AB"/>
    <w:rsid w:val="008D2F70"/>
    <w:rsid w:val="008E6EE2"/>
    <w:rsid w:val="00900D03"/>
    <w:rsid w:val="0090508F"/>
    <w:rsid w:val="0091362D"/>
    <w:rsid w:val="00925377"/>
    <w:rsid w:val="0095524D"/>
    <w:rsid w:val="00960ACF"/>
    <w:rsid w:val="00974C77"/>
    <w:rsid w:val="00975E32"/>
    <w:rsid w:val="00975FA1"/>
    <w:rsid w:val="009764EC"/>
    <w:rsid w:val="009848BC"/>
    <w:rsid w:val="00997E17"/>
    <w:rsid w:val="009A143F"/>
    <w:rsid w:val="009A5C0C"/>
    <w:rsid w:val="009A70C7"/>
    <w:rsid w:val="009B51E6"/>
    <w:rsid w:val="009C1C7A"/>
    <w:rsid w:val="009C75F9"/>
    <w:rsid w:val="009D1BAA"/>
    <w:rsid w:val="009D3832"/>
    <w:rsid w:val="009D3E09"/>
    <w:rsid w:val="009D5333"/>
    <w:rsid w:val="009E5B12"/>
    <w:rsid w:val="00A02376"/>
    <w:rsid w:val="00A041F1"/>
    <w:rsid w:val="00A04B16"/>
    <w:rsid w:val="00A10581"/>
    <w:rsid w:val="00A1570E"/>
    <w:rsid w:val="00A44CDB"/>
    <w:rsid w:val="00A73E7B"/>
    <w:rsid w:val="00A809A9"/>
    <w:rsid w:val="00A80B7E"/>
    <w:rsid w:val="00A96CD9"/>
    <w:rsid w:val="00AD6385"/>
    <w:rsid w:val="00AE66FA"/>
    <w:rsid w:val="00AF2D97"/>
    <w:rsid w:val="00AF73BD"/>
    <w:rsid w:val="00B05BF8"/>
    <w:rsid w:val="00B15859"/>
    <w:rsid w:val="00B24D35"/>
    <w:rsid w:val="00B30D44"/>
    <w:rsid w:val="00B32176"/>
    <w:rsid w:val="00B40AE9"/>
    <w:rsid w:val="00B50A54"/>
    <w:rsid w:val="00B70E59"/>
    <w:rsid w:val="00B8081F"/>
    <w:rsid w:val="00B808CB"/>
    <w:rsid w:val="00B841E6"/>
    <w:rsid w:val="00BA6652"/>
    <w:rsid w:val="00BC0FE7"/>
    <w:rsid w:val="00BC6C2B"/>
    <w:rsid w:val="00BC6D83"/>
    <w:rsid w:val="00BD2374"/>
    <w:rsid w:val="00BD2DBD"/>
    <w:rsid w:val="00BE225B"/>
    <w:rsid w:val="00BF7CE0"/>
    <w:rsid w:val="00C07BDE"/>
    <w:rsid w:val="00C160B8"/>
    <w:rsid w:val="00C44FC6"/>
    <w:rsid w:val="00C45282"/>
    <w:rsid w:val="00C76D97"/>
    <w:rsid w:val="00CA01FC"/>
    <w:rsid w:val="00CA256C"/>
    <w:rsid w:val="00CB1CAB"/>
    <w:rsid w:val="00CD1BA8"/>
    <w:rsid w:val="00CD27EE"/>
    <w:rsid w:val="00CE000A"/>
    <w:rsid w:val="00CF56FB"/>
    <w:rsid w:val="00CF70D9"/>
    <w:rsid w:val="00CF7477"/>
    <w:rsid w:val="00D0122C"/>
    <w:rsid w:val="00D051C6"/>
    <w:rsid w:val="00D162AE"/>
    <w:rsid w:val="00D16997"/>
    <w:rsid w:val="00D1763A"/>
    <w:rsid w:val="00D3017C"/>
    <w:rsid w:val="00D35556"/>
    <w:rsid w:val="00D37601"/>
    <w:rsid w:val="00D533C3"/>
    <w:rsid w:val="00D63AB4"/>
    <w:rsid w:val="00D6536E"/>
    <w:rsid w:val="00D67288"/>
    <w:rsid w:val="00D75759"/>
    <w:rsid w:val="00D87847"/>
    <w:rsid w:val="00D87DF3"/>
    <w:rsid w:val="00D9674B"/>
    <w:rsid w:val="00DA5669"/>
    <w:rsid w:val="00DA59CA"/>
    <w:rsid w:val="00DB2FFC"/>
    <w:rsid w:val="00DB6EA2"/>
    <w:rsid w:val="00DC66F2"/>
    <w:rsid w:val="00DE01A7"/>
    <w:rsid w:val="00DE0ABC"/>
    <w:rsid w:val="00DF155F"/>
    <w:rsid w:val="00DF3B95"/>
    <w:rsid w:val="00E1741B"/>
    <w:rsid w:val="00E20BE4"/>
    <w:rsid w:val="00E20FA7"/>
    <w:rsid w:val="00E27BDF"/>
    <w:rsid w:val="00E33328"/>
    <w:rsid w:val="00E354B4"/>
    <w:rsid w:val="00E56696"/>
    <w:rsid w:val="00E80B8F"/>
    <w:rsid w:val="00E82151"/>
    <w:rsid w:val="00E9103D"/>
    <w:rsid w:val="00E94537"/>
    <w:rsid w:val="00EA3915"/>
    <w:rsid w:val="00EB31ED"/>
    <w:rsid w:val="00EC047C"/>
    <w:rsid w:val="00EC6FFB"/>
    <w:rsid w:val="00ED5F15"/>
    <w:rsid w:val="00EE5D56"/>
    <w:rsid w:val="00EF56FB"/>
    <w:rsid w:val="00EF7DEB"/>
    <w:rsid w:val="00F042F4"/>
    <w:rsid w:val="00F04BD8"/>
    <w:rsid w:val="00F05AD0"/>
    <w:rsid w:val="00F11394"/>
    <w:rsid w:val="00F13565"/>
    <w:rsid w:val="00F21E26"/>
    <w:rsid w:val="00F361A1"/>
    <w:rsid w:val="00F371A2"/>
    <w:rsid w:val="00F6633F"/>
    <w:rsid w:val="00F75100"/>
    <w:rsid w:val="00F877D5"/>
    <w:rsid w:val="00FA5E59"/>
    <w:rsid w:val="00FB3254"/>
    <w:rsid w:val="00FC7DF0"/>
    <w:rsid w:val="00FF49EE"/>
    <w:rsid w:val="00FF67C1"/>
    <w:rsid w:val="015AC04F"/>
    <w:rsid w:val="06DEC904"/>
    <w:rsid w:val="07559C52"/>
    <w:rsid w:val="077E1ABF"/>
    <w:rsid w:val="077E295D"/>
    <w:rsid w:val="07FD9FC8"/>
    <w:rsid w:val="097A51B7"/>
    <w:rsid w:val="09B78524"/>
    <w:rsid w:val="09FF3A10"/>
    <w:rsid w:val="0B921D7D"/>
    <w:rsid w:val="0BB6DC69"/>
    <w:rsid w:val="0BEB4DC0"/>
    <w:rsid w:val="0CFF7AC0"/>
    <w:rsid w:val="0D3280B4"/>
    <w:rsid w:val="0D8B6FF6"/>
    <w:rsid w:val="0DE72A68"/>
    <w:rsid w:val="0DFEE122"/>
    <w:rsid w:val="0ED7EDDE"/>
    <w:rsid w:val="0EFA6FD9"/>
    <w:rsid w:val="0F77DFBB"/>
    <w:rsid w:val="0F7CF1FE"/>
    <w:rsid w:val="0FBBA620"/>
    <w:rsid w:val="0FBFF6FA"/>
    <w:rsid w:val="0FDBB62C"/>
    <w:rsid w:val="0FEFAD59"/>
    <w:rsid w:val="0FEFAECB"/>
    <w:rsid w:val="0FF74476"/>
    <w:rsid w:val="0FFEBC0D"/>
    <w:rsid w:val="0FFFD225"/>
    <w:rsid w:val="0FFFDF18"/>
    <w:rsid w:val="116BDF79"/>
    <w:rsid w:val="12FD696C"/>
    <w:rsid w:val="13771643"/>
    <w:rsid w:val="138F287D"/>
    <w:rsid w:val="13BDA5BB"/>
    <w:rsid w:val="13F5B058"/>
    <w:rsid w:val="13FB279B"/>
    <w:rsid w:val="15579DFD"/>
    <w:rsid w:val="157AFF57"/>
    <w:rsid w:val="15FFF46E"/>
    <w:rsid w:val="16ACA995"/>
    <w:rsid w:val="16B77F93"/>
    <w:rsid w:val="16F51D68"/>
    <w:rsid w:val="16F596A6"/>
    <w:rsid w:val="171E12AE"/>
    <w:rsid w:val="177E77AB"/>
    <w:rsid w:val="1793C38F"/>
    <w:rsid w:val="17B68489"/>
    <w:rsid w:val="17BD85CC"/>
    <w:rsid w:val="17DFAB70"/>
    <w:rsid w:val="17DFD0A9"/>
    <w:rsid w:val="17EC9E43"/>
    <w:rsid w:val="17FB97FD"/>
    <w:rsid w:val="18FF52DA"/>
    <w:rsid w:val="197F12E2"/>
    <w:rsid w:val="198F536A"/>
    <w:rsid w:val="19BC70E6"/>
    <w:rsid w:val="19E15C68"/>
    <w:rsid w:val="19F70C35"/>
    <w:rsid w:val="1A7D3A80"/>
    <w:rsid w:val="1B182412"/>
    <w:rsid w:val="1B52EBC7"/>
    <w:rsid w:val="1B77C566"/>
    <w:rsid w:val="1B7BE8E1"/>
    <w:rsid w:val="1B7EDD00"/>
    <w:rsid w:val="1BB59F3D"/>
    <w:rsid w:val="1BBF4757"/>
    <w:rsid w:val="1BD7AC9B"/>
    <w:rsid w:val="1BDE2174"/>
    <w:rsid w:val="1BF671F3"/>
    <w:rsid w:val="1BF7FF7F"/>
    <w:rsid w:val="1BFF1767"/>
    <w:rsid w:val="1C0F0532"/>
    <w:rsid w:val="1CBF2966"/>
    <w:rsid w:val="1CEE985E"/>
    <w:rsid w:val="1CFF278E"/>
    <w:rsid w:val="1DA02C37"/>
    <w:rsid w:val="1DB6EE1F"/>
    <w:rsid w:val="1DBF4255"/>
    <w:rsid w:val="1DBFCF5B"/>
    <w:rsid w:val="1DDB06DE"/>
    <w:rsid w:val="1DDF73A5"/>
    <w:rsid w:val="1DF0FA97"/>
    <w:rsid w:val="1DFE061F"/>
    <w:rsid w:val="1E7D0754"/>
    <w:rsid w:val="1E9FEC37"/>
    <w:rsid w:val="1EEB1B4B"/>
    <w:rsid w:val="1EEB3F99"/>
    <w:rsid w:val="1EF35809"/>
    <w:rsid w:val="1EF7CAA3"/>
    <w:rsid w:val="1EFD22EA"/>
    <w:rsid w:val="1EFF1852"/>
    <w:rsid w:val="1EFFA7C7"/>
    <w:rsid w:val="1F3A6650"/>
    <w:rsid w:val="1F59A2C2"/>
    <w:rsid w:val="1F5B48A3"/>
    <w:rsid w:val="1F6E21B8"/>
    <w:rsid w:val="1F6F02DF"/>
    <w:rsid w:val="1F73979F"/>
    <w:rsid w:val="1F76FDC5"/>
    <w:rsid w:val="1F9B6460"/>
    <w:rsid w:val="1FB5A053"/>
    <w:rsid w:val="1FB993FF"/>
    <w:rsid w:val="1FBD6E7C"/>
    <w:rsid w:val="1FBF5EB3"/>
    <w:rsid w:val="1FC9EE9B"/>
    <w:rsid w:val="1FD560B7"/>
    <w:rsid w:val="1FD76698"/>
    <w:rsid w:val="1FDDB55B"/>
    <w:rsid w:val="1FE7D8DB"/>
    <w:rsid w:val="1FE95DCE"/>
    <w:rsid w:val="1FEF1081"/>
    <w:rsid w:val="1FF34DE9"/>
    <w:rsid w:val="1FF36BBC"/>
    <w:rsid w:val="1FF6C0B9"/>
    <w:rsid w:val="1FF7C0D5"/>
    <w:rsid w:val="1FF93FD8"/>
    <w:rsid w:val="1FFB244E"/>
    <w:rsid w:val="1FFE2C36"/>
    <w:rsid w:val="1FFF310E"/>
    <w:rsid w:val="1FFF4762"/>
    <w:rsid w:val="1FFFDC45"/>
    <w:rsid w:val="20AA93DC"/>
    <w:rsid w:val="23FB5B31"/>
    <w:rsid w:val="24BF0637"/>
    <w:rsid w:val="24FC84AF"/>
    <w:rsid w:val="2574FB52"/>
    <w:rsid w:val="257F049C"/>
    <w:rsid w:val="25C7FB20"/>
    <w:rsid w:val="25D77CEC"/>
    <w:rsid w:val="26EDFC32"/>
    <w:rsid w:val="275D9FF6"/>
    <w:rsid w:val="27790A15"/>
    <w:rsid w:val="278749AF"/>
    <w:rsid w:val="27DD071A"/>
    <w:rsid w:val="27ECE802"/>
    <w:rsid w:val="27F1D30A"/>
    <w:rsid w:val="27F7EF76"/>
    <w:rsid w:val="27FF776D"/>
    <w:rsid w:val="28DFCACF"/>
    <w:rsid w:val="28FD5029"/>
    <w:rsid w:val="29D7DD1E"/>
    <w:rsid w:val="2A618485"/>
    <w:rsid w:val="2A9F321F"/>
    <w:rsid w:val="2ADB2EAD"/>
    <w:rsid w:val="2ADF6DCC"/>
    <w:rsid w:val="2AEF3B64"/>
    <w:rsid w:val="2AFE71B5"/>
    <w:rsid w:val="2B3F61A2"/>
    <w:rsid w:val="2B7FFB2E"/>
    <w:rsid w:val="2BD3E98A"/>
    <w:rsid w:val="2BDBB9F0"/>
    <w:rsid w:val="2BED1EEB"/>
    <w:rsid w:val="2BFD1189"/>
    <w:rsid w:val="2C3DCFC5"/>
    <w:rsid w:val="2C7F4B4D"/>
    <w:rsid w:val="2CD93AE2"/>
    <w:rsid w:val="2CDBA97B"/>
    <w:rsid w:val="2CFF80B8"/>
    <w:rsid w:val="2D5F814F"/>
    <w:rsid w:val="2DAB1DE6"/>
    <w:rsid w:val="2DD95DA7"/>
    <w:rsid w:val="2DEE49EF"/>
    <w:rsid w:val="2DEF2584"/>
    <w:rsid w:val="2E4F0536"/>
    <w:rsid w:val="2EF95748"/>
    <w:rsid w:val="2EFC0867"/>
    <w:rsid w:val="2EFD0908"/>
    <w:rsid w:val="2F1FE372"/>
    <w:rsid w:val="2F3BFC25"/>
    <w:rsid w:val="2F3F7251"/>
    <w:rsid w:val="2F4C8BA2"/>
    <w:rsid w:val="2F5F72C9"/>
    <w:rsid w:val="2F6DB380"/>
    <w:rsid w:val="2F6E3BA2"/>
    <w:rsid w:val="2F7A98D5"/>
    <w:rsid w:val="2F7F95D0"/>
    <w:rsid w:val="2F7FD3E1"/>
    <w:rsid w:val="2F9FC664"/>
    <w:rsid w:val="2FB287E1"/>
    <w:rsid w:val="2FCB6C83"/>
    <w:rsid w:val="2FD90BD8"/>
    <w:rsid w:val="2FD94EBC"/>
    <w:rsid w:val="2FDB09EF"/>
    <w:rsid w:val="2FDF8C85"/>
    <w:rsid w:val="2FEA7BDB"/>
    <w:rsid w:val="2FEF4AA5"/>
    <w:rsid w:val="2FEF5F14"/>
    <w:rsid w:val="2FEF9DC4"/>
    <w:rsid w:val="2FF16137"/>
    <w:rsid w:val="2FF52A23"/>
    <w:rsid w:val="2FF73481"/>
    <w:rsid w:val="2FF757EA"/>
    <w:rsid w:val="2FF95A10"/>
    <w:rsid w:val="2FFA76D2"/>
    <w:rsid w:val="2FFA9368"/>
    <w:rsid w:val="2FFB2A32"/>
    <w:rsid w:val="2FFC8D73"/>
    <w:rsid w:val="2FFF0E83"/>
    <w:rsid w:val="2FFF741E"/>
    <w:rsid w:val="2FFF9C36"/>
    <w:rsid w:val="2FFFA48B"/>
    <w:rsid w:val="30EA1825"/>
    <w:rsid w:val="313E87DA"/>
    <w:rsid w:val="31AE74EC"/>
    <w:rsid w:val="31B970F7"/>
    <w:rsid w:val="3271EA8E"/>
    <w:rsid w:val="32BD89AC"/>
    <w:rsid w:val="32F736C5"/>
    <w:rsid w:val="32FBD78E"/>
    <w:rsid w:val="32FBF860"/>
    <w:rsid w:val="330F877A"/>
    <w:rsid w:val="3314759F"/>
    <w:rsid w:val="33653907"/>
    <w:rsid w:val="336FC733"/>
    <w:rsid w:val="338C5C45"/>
    <w:rsid w:val="3394B917"/>
    <w:rsid w:val="33A7C1A0"/>
    <w:rsid w:val="33DBB8D1"/>
    <w:rsid w:val="33DD35D0"/>
    <w:rsid w:val="33DF09D9"/>
    <w:rsid w:val="33F6EF98"/>
    <w:rsid w:val="3465903C"/>
    <w:rsid w:val="34FFFFF9"/>
    <w:rsid w:val="353720B7"/>
    <w:rsid w:val="3537D388"/>
    <w:rsid w:val="35C9F955"/>
    <w:rsid w:val="35DFC603"/>
    <w:rsid w:val="35E45134"/>
    <w:rsid w:val="35EBC0F3"/>
    <w:rsid w:val="35EF31A2"/>
    <w:rsid w:val="35F65A4B"/>
    <w:rsid w:val="35F7F04F"/>
    <w:rsid w:val="35FB753C"/>
    <w:rsid w:val="35FEF53F"/>
    <w:rsid w:val="35FF86F2"/>
    <w:rsid w:val="366BF47F"/>
    <w:rsid w:val="3675E583"/>
    <w:rsid w:val="368B27EB"/>
    <w:rsid w:val="36E3C220"/>
    <w:rsid w:val="36EF8A09"/>
    <w:rsid w:val="36F7720A"/>
    <w:rsid w:val="36F78170"/>
    <w:rsid w:val="36F7B030"/>
    <w:rsid w:val="36F7D727"/>
    <w:rsid w:val="36F7E715"/>
    <w:rsid w:val="36FB9EA3"/>
    <w:rsid w:val="36FD8AD5"/>
    <w:rsid w:val="36FEA53F"/>
    <w:rsid w:val="36FF9732"/>
    <w:rsid w:val="371FE124"/>
    <w:rsid w:val="373BE279"/>
    <w:rsid w:val="37564493"/>
    <w:rsid w:val="375A43B9"/>
    <w:rsid w:val="376F5809"/>
    <w:rsid w:val="377F4B2B"/>
    <w:rsid w:val="379DEF32"/>
    <w:rsid w:val="37AFE757"/>
    <w:rsid w:val="37BB0DE1"/>
    <w:rsid w:val="37BED81A"/>
    <w:rsid w:val="37C8ACFC"/>
    <w:rsid w:val="37DCE12A"/>
    <w:rsid w:val="37DD813E"/>
    <w:rsid w:val="37DE57AF"/>
    <w:rsid w:val="37DE9694"/>
    <w:rsid w:val="37E759D4"/>
    <w:rsid w:val="37F7ACEF"/>
    <w:rsid w:val="37F7D118"/>
    <w:rsid w:val="37FB0D5C"/>
    <w:rsid w:val="37FBA34C"/>
    <w:rsid w:val="37FC3DC9"/>
    <w:rsid w:val="37FD49B6"/>
    <w:rsid w:val="37FF0067"/>
    <w:rsid w:val="37FF614B"/>
    <w:rsid w:val="37FF9A71"/>
    <w:rsid w:val="37FFE61F"/>
    <w:rsid w:val="38FD47AC"/>
    <w:rsid w:val="393F06FB"/>
    <w:rsid w:val="395F5AF8"/>
    <w:rsid w:val="398F6B13"/>
    <w:rsid w:val="39B7EC8D"/>
    <w:rsid w:val="39CFFADF"/>
    <w:rsid w:val="39D32E67"/>
    <w:rsid w:val="39DFF519"/>
    <w:rsid w:val="39E71B80"/>
    <w:rsid w:val="39F97D30"/>
    <w:rsid w:val="39FBC4E3"/>
    <w:rsid w:val="39FE28CA"/>
    <w:rsid w:val="39FE94F9"/>
    <w:rsid w:val="39FF4F91"/>
    <w:rsid w:val="39FF8221"/>
    <w:rsid w:val="3A2D1E1E"/>
    <w:rsid w:val="3A3FADB6"/>
    <w:rsid w:val="3A7FDF7E"/>
    <w:rsid w:val="3ABA8442"/>
    <w:rsid w:val="3ADDCDED"/>
    <w:rsid w:val="3AFB10F5"/>
    <w:rsid w:val="3B2F2DCB"/>
    <w:rsid w:val="3B5A9402"/>
    <w:rsid w:val="3B5FDDA5"/>
    <w:rsid w:val="3B610F41"/>
    <w:rsid w:val="3B6655AE"/>
    <w:rsid w:val="3B6FDD87"/>
    <w:rsid w:val="3B7F5F3D"/>
    <w:rsid w:val="3B970325"/>
    <w:rsid w:val="3B9F4F31"/>
    <w:rsid w:val="3B9F5525"/>
    <w:rsid w:val="3BA77C7D"/>
    <w:rsid w:val="3BB78B22"/>
    <w:rsid w:val="3BBA4766"/>
    <w:rsid w:val="3BBA869A"/>
    <w:rsid w:val="3BBDFA44"/>
    <w:rsid w:val="3BBF638D"/>
    <w:rsid w:val="3BBF9483"/>
    <w:rsid w:val="3BBFA4F9"/>
    <w:rsid w:val="3BCE8D24"/>
    <w:rsid w:val="3BCF9FB8"/>
    <w:rsid w:val="3BD8509C"/>
    <w:rsid w:val="3BDFA39A"/>
    <w:rsid w:val="3BE7ED82"/>
    <w:rsid w:val="3BE9B2F1"/>
    <w:rsid w:val="3BEB8CB1"/>
    <w:rsid w:val="3BF778F3"/>
    <w:rsid w:val="3BFE9A6D"/>
    <w:rsid w:val="3BFF62BA"/>
    <w:rsid w:val="3BFF96E6"/>
    <w:rsid w:val="3BFFF68E"/>
    <w:rsid w:val="3BFFFD3E"/>
    <w:rsid w:val="3C4C8F9B"/>
    <w:rsid w:val="3CBF18D3"/>
    <w:rsid w:val="3CDB06F0"/>
    <w:rsid w:val="3CE793C2"/>
    <w:rsid w:val="3CEEFD1C"/>
    <w:rsid w:val="3CF750D3"/>
    <w:rsid w:val="3CF79547"/>
    <w:rsid w:val="3CF9C555"/>
    <w:rsid w:val="3CFBF5E5"/>
    <w:rsid w:val="3CFF4E1B"/>
    <w:rsid w:val="3D3F0CBC"/>
    <w:rsid w:val="3D4B1EF8"/>
    <w:rsid w:val="3D57B66B"/>
    <w:rsid w:val="3D675856"/>
    <w:rsid w:val="3D79B605"/>
    <w:rsid w:val="3D7D589D"/>
    <w:rsid w:val="3D7DDDDD"/>
    <w:rsid w:val="3D975478"/>
    <w:rsid w:val="3D9FC908"/>
    <w:rsid w:val="3DB76256"/>
    <w:rsid w:val="3DBD5F0E"/>
    <w:rsid w:val="3DBF4FCE"/>
    <w:rsid w:val="3DCF246B"/>
    <w:rsid w:val="3DDF3DAA"/>
    <w:rsid w:val="3DEB7E95"/>
    <w:rsid w:val="3DEEAFA1"/>
    <w:rsid w:val="3DEF45B1"/>
    <w:rsid w:val="3DEF5049"/>
    <w:rsid w:val="3DF75B46"/>
    <w:rsid w:val="3DF78AED"/>
    <w:rsid w:val="3DFA2C1A"/>
    <w:rsid w:val="3DFB8F0C"/>
    <w:rsid w:val="3DFC43BC"/>
    <w:rsid w:val="3DFE1226"/>
    <w:rsid w:val="3DFE6039"/>
    <w:rsid w:val="3DFF399D"/>
    <w:rsid w:val="3DFFED59"/>
    <w:rsid w:val="3E2FAB71"/>
    <w:rsid w:val="3E3B0B63"/>
    <w:rsid w:val="3E4FCF27"/>
    <w:rsid w:val="3E682CB1"/>
    <w:rsid w:val="3E73FBD9"/>
    <w:rsid w:val="3E7F4E0B"/>
    <w:rsid w:val="3E8AC544"/>
    <w:rsid w:val="3E956DAC"/>
    <w:rsid w:val="3EAEB905"/>
    <w:rsid w:val="3EBF43BB"/>
    <w:rsid w:val="3ECD071F"/>
    <w:rsid w:val="3ECE5FDE"/>
    <w:rsid w:val="3ED77343"/>
    <w:rsid w:val="3EDC92DE"/>
    <w:rsid w:val="3EDF7532"/>
    <w:rsid w:val="3EE39F74"/>
    <w:rsid w:val="3EF3CD02"/>
    <w:rsid w:val="3EF4121E"/>
    <w:rsid w:val="3EF55B71"/>
    <w:rsid w:val="3EF6AEA4"/>
    <w:rsid w:val="3EF79901"/>
    <w:rsid w:val="3EF7E632"/>
    <w:rsid w:val="3EFA26CE"/>
    <w:rsid w:val="3EFB1D4C"/>
    <w:rsid w:val="3EFD1EAE"/>
    <w:rsid w:val="3EFD8468"/>
    <w:rsid w:val="3EFDC122"/>
    <w:rsid w:val="3EFF6C9F"/>
    <w:rsid w:val="3EFF967E"/>
    <w:rsid w:val="3EFF9CA9"/>
    <w:rsid w:val="3EFFC53F"/>
    <w:rsid w:val="3EFFD267"/>
    <w:rsid w:val="3F23A592"/>
    <w:rsid w:val="3F36BF8F"/>
    <w:rsid w:val="3F532228"/>
    <w:rsid w:val="3F539447"/>
    <w:rsid w:val="3F56B4A4"/>
    <w:rsid w:val="3F6342F9"/>
    <w:rsid w:val="3F6F7506"/>
    <w:rsid w:val="3F724B5A"/>
    <w:rsid w:val="3F752FC1"/>
    <w:rsid w:val="3F776450"/>
    <w:rsid w:val="3F7A4909"/>
    <w:rsid w:val="3F7BF45E"/>
    <w:rsid w:val="3F7D5E38"/>
    <w:rsid w:val="3F7E0E49"/>
    <w:rsid w:val="3F7F29B5"/>
    <w:rsid w:val="3F7F7D79"/>
    <w:rsid w:val="3F7F87A7"/>
    <w:rsid w:val="3F7FEEED"/>
    <w:rsid w:val="3F7FF341"/>
    <w:rsid w:val="3F871DF1"/>
    <w:rsid w:val="3F97986D"/>
    <w:rsid w:val="3F9FA7D3"/>
    <w:rsid w:val="3F9FDD58"/>
    <w:rsid w:val="3FA978AE"/>
    <w:rsid w:val="3FAA17EB"/>
    <w:rsid w:val="3FAF81A3"/>
    <w:rsid w:val="3FAFCB14"/>
    <w:rsid w:val="3FB39B9E"/>
    <w:rsid w:val="3FB5CAB0"/>
    <w:rsid w:val="3FB9F9AF"/>
    <w:rsid w:val="3FBA94A8"/>
    <w:rsid w:val="3FBB1295"/>
    <w:rsid w:val="3FBB1BAC"/>
    <w:rsid w:val="3FBE578C"/>
    <w:rsid w:val="3FBE8906"/>
    <w:rsid w:val="3FBF00E3"/>
    <w:rsid w:val="3FBF05C7"/>
    <w:rsid w:val="3FBFD869"/>
    <w:rsid w:val="3FCF72F8"/>
    <w:rsid w:val="3FD8C0FB"/>
    <w:rsid w:val="3FDE5F0B"/>
    <w:rsid w:val="3FDE93FE"/>
    <w:rsid w:val="3FDF557D"/>
    <w:rsid w:val="3FDF729D"/>
    <w:rsid w:val="3FDFA1F4"/>
    <w:rsid w:val="3FE1FF74"/>
    <w:rsid w:val="3FE62AE5"/>
    <w:rsid w:val="3FE767AF"/>
    <w:rsid w:val="3FE7B794"/>
    <w:rsid w:val="3FE7F043"/>
    <w:rsid w:val="3FEE44C3"/>
    <w:rsid w:val="3FEEAACF"/>
    <w:rsid w:val="3FEEF58B"/>
    <w:rsid w:val="3FEF04A6"/>
    <w:rsid w:val="3FEF5920"/>
    <w:rsid w:val="3FF101F6"/>
    <w:rsid w:val="3FF111A5"/>
    <w:rsid w:val="3FF62867"/>
    <w:rsid w:val="3FF73E57"/>
    <w:rsid w:val="3FF744A6"/>
    <w:rsid w:val="3FF7AB75"/>
    <w:rsid w:val="3FF7FF33"/>
    <w:rsid w:val="3FFA8985"/>
    <w:rsid w:val="3FFB3D5A"/>
    <w:rsid w:val="3FFBA766"/>
    <w:rsid w:val="3FFD4881"/>
    <w:rsid w:val="3FFDC19B"/>
    <w:rsid w:val="3FFDC3DD"/>
    <w:rsid w:val="3FFDDADA"/>
    <w:rsid w:val="3FFE1743"/>
    <w:rsid w:val="3FFEE21B"/>
    <w:rsid w:val="3FFEFB4E"/>
    <w:rsid w:val="3FFF1E86"/>
    <w:rsid w:val="3FFF2178"/>
    <w:rsid w:val="3FFF600C"/>
    <w:rsid w:val="3FFF6A7C"/>
    <w:rsid w:val="3FFF89DB"/>
    <w:rsid w:val="3FFFAC0D"/>
    <w:rsid w:val="3FFFC153"/>
    <w:rsid w:val="3FFFCAA0"/>
    <w:rsid w:val="3FFFD570"/>
    <w:rsid w:val="41725DC9"/>
    <w:rsid w:val="41E7EC98"/>
    <w:rsid w:val="41FFDF1F"/>
    <w:rsid w:val="436E53F5"/>
    <w:rsid w:val="43BCC387"/>
    <w:rsid w:val="43F3D700"/>
    <w:rsid w:val="43F524AE"/>
    <w:rsid w:val="43F608D0"/>
    <w:rsid w:val="44A14EDE"/>
    <w:rsid w:val="44BEE835"/>
    <w:rsid w:val="457AC2EF"/>
    <w:rsid w:val="45FE5E55"/>
    <w:rsid w:val="460E4CEE"/>
    <w:rsid w:val="46BD0CFD"/>
    <w:rsid w:val="46CFD95A"/>
    <w:rsid w:val="46EFC83A"/>
    <w:rsid w:val="46F92E1F"/>
    <w:rsid w:val="479E7FF9"/>
    <w:rsid w:val="47DF3B2C"/>
    <w:rsid w:val="47EB7197"/>
    <w:rsid w:val="47EF9B06"/>
    <w:rsid w:val="47FE92B0"/>
    <w:rsid w:val="4857B376"/>
    <w:rsid w:val="48BC6E70"/>
    <w:rsid w:val="49751A8F"/>
    <w:rsid w:val="49CB81ED"/>
    <w:rsid w:val="49FCC5C6"/>
    <w:rsid w:val="4A750CBD"/>
    <w:rsid w:val="4A7DEA76"/>
    <w:rsid w:val="4AF729AB"/>
    <w:rsid w:val="4B4E5744"/>
    <w:rsid w:val="4BAED078"/>
    <w:rsid w:val="4BBF3744"/>
    <w:rsid w:val="4BBFE6DA"/>
    <w:rsid w:val="4BD772DB"/>
    <w:rsid w:val="4BDE850F"/>
    <w:rsid w:val="4BDF7E1B"/>
    <w:rsid w:val="4BEF566F"/>
    <w:rsid w:val="4BFDDF03"/>
    <w:rsid w:val="4BFF584E"/>
    <w:rsid w:val="4CB5250C"/>
    <w:rsid w:val="4CD73B2B"/>
    <w:rsid w:val="4CD7E759"/>
    <w:rsid w:val="4CF7471F"/>
    <w:rsid w:val="4CF9F013"/>
    <w:rsid w:val="4D45950C"/>
    <w:rsid w:val="4D4686A6"/>
    <w:rsid w:val="4D5C7290"/>
    <w:rsid w:val="4D6B694B"/>
    <w:rsid w:val="4DBFB1AB"/>
    <w:rsid w:val="4DDE0308"/>
    <w:rsid w:val="4DEF7138"/>
    <w:rsid w:val="4DEF89BD"/>
    <w:rsid w:val="4DFEAB46"/>
    <w:rsid w:val="4EEFAD61"/>
    <w:rsid w:val="4EFBF3AE"/>
    <w:rsid w:val="4EFE8BB6"/>
    <w:rsid w:val="4F46C031"/>
    <w:rsid w:val="4F5FCB63"/>
    <w:rsid w:val="4F6BC0BC"/>
    <w:rsid w:val="4F6F0D6E"/>
    <w:rsid w:val="4F7E064C"/>
    <w:rsid w:val="4F7EC0EE"/>
    <w:rsid w:val="4F8BC28C"/>
    <w:rsid w:val="4F8F52B9"/>
    <w:rsid w:val="4FAB709A"/>
    <w:rsid w:val="4FBF81B3"/>
    <w:rsid w:val="4FDF3441"/>
    <w:rsid w:val="4FE5A557"/>
    <w:rsid w:val="4FE6E820"/>
    <w:rsid w:val="4FEB4AE0"/>
    <w:rsid w:val="4FEC1519"/>
    <w:rsid w:val="4FED16A0"/>
    <w:rsid w:val="4FEF0725"/>
    <w:rsid w:val="4FF7A407"/>
    <w:rsid w:val="4FF98789"/>
    <w:rsid w:val="4FFBB0E5"/>
    <w:rsid w:val="4FFCB998"/>
    <w:rsid w:val="4FFF034F"/>
    <w:rsid w:val="4FFF3A78"/>
    <w:rsid w:val="4FFF595A"/>
    <w:rsid w:val="4FFF5D75"/>
    <w:rsid w:val="4FFFA6A2"/>
    <w:rsid w:val="515FCB55"/>
    <w:rsid w:val="51FDDE31"/>
    <w:rsid w:val="52733F21"/>
    <w:rsid w:val="52FFB3E0"/>
    <w:rsid w:val="537F9EB1"/>
    <w:rsid w:val="539BD0C5"/>
    <w:rsid w:val="539FC0C1"/>
    <w:rsid w:val="53B7E5FD"/>
    <w:rsid w:val="53F537B3"/>
    <w:rsid w:val="53F63533"/>
    <w:rsid w:val="53F792B3"/>
    <w:rsid w:val="53FF5872"/>
    <w:rsid w:val="5419D203"/>
    <w:rsid w:val="543ED1FC"/>
    <w:rsid w:val="54EF2992"/>
    <w:rsid w:val="54FEEE30"/>
    <w:rsid w:val="552E9C29"/>
    <w:rsid w:val="55576A70"/>
    <w:rsid w:val="555F99E2"/>
    <w:rsid w:val="558BF552"/>
    <w:rsid w:val="55B780CA"/>
    <w:rsid w:val="55DE1B2F"/>
    <w:rsid w:val="55DEAC02"/>
    <w:rsid w:val="55EB67C3"/>
    <w:rsid w:val="55EFB258"/>
    <w:rsid w:val="55FD6E93"/>
    <w:rsid w:val="55FFE464"/>
    <w:rsid w:val="56362C64"/>
    <w:rsid w:val="563F57D5"/>
    <w:rsid w:val="564D3047"/>
    <w:rsid w:val="566F2311"/>
    <w:rsid w:val="568B96D3"/>
    <w:rsid w:val="56AF479C"/>
    <w:rsid w:val="56DD33E8"/>
    <w:rsid w:val="56DFE94C"/>
    <w:rsid w:val="56EE6AB1"/>
    <w:rsid w:val="56FDEEFD"/>
    <w:rsid w:val="571C7B51"/>
    <w:rsid w:val="57467541"/>
    <w:rsid w:val="574F803F"/>
    <w:rsid w:val="575788A6"/>
    <w:rsid w:val="576F7B2A"/>
    <w:rsid w:val="57790AA9"/>
    <w:rsid w:val="577F024F"/>
    <w:rsid w:val="577F7E2F"/>
    <w:rsid w:val="577FAB2E"/>
    <w:rsid w:val="579F79F5"/>
    <w:rsid w:val="57AF33CC"/>
    <w:rsid w:val="57AFC347"/>
    <w:rsid w:val="57BFA4A8"/>
    <w:rsid w:val="57BFD1B6"/>
    <w:rsid w:val="57D35A02"/>
    <w:rsid w:val="57DB409C"/>
    <w:rsid w:val="57DFDE3F"/>
    <w:rsid w:val="57EE3FFC"/>
    <w:rsid w:val="57EFFDD6"/>
    <w:rsid w:val="57F2A816"/>
    <w:rsid w:val="57F53956"/>
    <w:rsid w:val="57F705A2"/>
    <w:rsid w:val="57FA23A5"/>
    <w:rsid w:val="57FB780F"/>
    <w:rsid w:val="57FBB37D"/>
    <w:rsid w:val="57FBDDEE"/>
    <w:rsid w:val="57FD0EA3"/>
    <w:rsid w:val="57FD8A1E"/>
    <w:rsid w:val="57FE509D"/>
    <w:rsid w:val="57FE51AF"/>
    <w:rsid w:val="57FF1C30"/>
    <w:rsid w:val="57FF1E77"/>
    <w:rsid w:val="57FFCB1E"/>
    <w:rsid w:val="582E9EA6"/>
    <w:rsid w:val="58AD9765"/>
    <w:rsid w:val="58FB9923"/>
    <w:rsid w:val="591C1111"/>
    <w:rsid w:val="59B1A201"/>
    <w:rsid w:val="59D5E3DD"/>
    <w:rsid w:val="59D94A20"/>
    <w:rsid w:val="59DF9829"/>
    <w:rsid w:val="59FD596E"/>
    <w:rsid w:val="59FDF64B"/>
    <w:rsid w:val="59FEE021"/>
    <w:rsid w:val="5A7F134A"/>
    <w:rsid w:val="5A7F492C"/>
    <w:rsid w:val="5AB57288"/>
    <w:rsid w:val="5ACAF0BB"/>
    <w:rsid w:val="5AD75990"/>
    <w:rsid w:val="5ADB68C6"/>
    <w:rsid w:val="5AE950C6"/>
    <w:rsid w:val="5AEDCC57"/>
    <w:rsid w:val="5AF51807"/>
    <w:rsid w:val="5AFABC04"/>
    <w:rsid w:val="5AFF4719"/>
    <w:rsid w:val="5B4BD265"/>
    <w:rsid w:val="5B6FDDDC"/>
    <w:rsid w:val="5B7D1C17"/>
    <w:rsid w:val="5B7F5822"/>
    <w:rsid w:val="5B7FA59B"/>
    <w:rsid w:val="5B834A51"/>
    <w:rsid w:val="5BAFF0D7"/>
    <w:rsid w:val="5BBD5BF7"/>
    <w:rsid w:val="5BBF6B35"/>
    <w:rsid w:val="5BC9ECF0"/>
    <w:rsid w:val="5BCD1DCB"/>
    <w:rsid w:val="5BDEAD2F"/>
    <w:rsid w:val="5BEC1884"/>
    <w:rsid w:val="5BF10BC0"/>
    <w:rsid w:val="5BF34697"/>
    <w:rsid w:val="5BFA3748"/>
    <w:rsid w:val="5BFAD108"/>
    <w:rsid w:val="5BFB00DC"/>
    <w:rsid w:val="5BFBD6CE"/>
    <w:rsid w:val="5BFCB7C5"/>
    <w:rsid w:val="5BFD917E"/>
    <w:rsid w:val="5BFEB6BF"/>
    <w:rsid w:val="5BFF1DC3"/>
    <w:rsid w:val="5C2C11C0"/>
    <w:rsid w:val="5C3FFCA5"/>
    <w:rsid w:val="5C5E20B0"/>
    <w:rsid w:val="5C751A67"/>
    <w:rsid w:val="5C75D822"/>
    <w:rsid w:val="5CAC23DE"/>
    <w:rsid w:val="5CB79713"/>
    <w:rsid w:val="5CBC86FF"/>
    <w:rsid w:val="5CC3E515"/>
    <w:rsid w:val="5CDF1F41"/>
    <w:rsid w:val="5CE49A07"/>
    <w:rsid w:val="5CEB2278"/>
    <w:rsid w:val="5CEDB55E"/>
    <w:rsid w:val="5CFF09A0"/>
    <w:rsid w:val="5CFFBE13"/>
    <w:rsid w:val="5D65B871"/>
    <w:rsid w:val="5D6E0AFA"/>
    <w:rsid w:val="5D6F27A2"/>
    <w:rsid w:val="5D6FB8A7"/>
    <w:rsid w:val="5D7B8419"/>
    <w:rsid w:val="5D7FF63A"/>
    <w:rsid w:val="5D8F5DE0"/>
    <w:rsid w:val="5D8FF106"/>
    <w:rsid w:val="5DBF920D"/>
    <w:rsid w:val="5DBFDC62"/>
    <w:rsid w:val="5DCD3685"/>
    <w:rsid w:val="5DD791D7"/>
    <w:rsid w:val="5DDBC7A4"/>
    <w:rsid w:val="5DE4B6EE"/>
    <w:rsid w:val="5DEB05E6"/>
    <w:rsid w:val="5DEC2D9A"/>
    <w:rsid w:val="5DEFDB16"/>
    <w:rsid w:val="5DF5AC7E"/>
    <w:rsid w:val="5DF5D61A"/>
    <w:rsid w:val="5DF67E58"/>
    <w:rsid w:val="5DF79D65"/>
    <w:rsid w:val="5DF8B7D9"/>
    <w:rsid w:val="5DFBFE66"/>
    <w:rsid w:val="5DFD0AA4"/>
    <w:rsid w:val="5DFD35E8"/>
    <w:rsid w:val="5DFD484C"/>
    <w:rsid w:val="5DFF0C23"/>
    <w:rsid w:val="5DFFE723"/>
    <w:rsid w:val="5E36EA08"/>
    <w:rsid w:val="5E5BF7C7"/>
    <w:rsid w:val="5E77E195"/>
    <w:rsid w:val="5E7A538C"/>
    <w:rsid w:val="5E7D1AA0"/>
    <w:rsid w:val="5E7D20B4"/>
    <w:rsid w:val="5E7F21D3"/>
    <w:rsid w:val="5E7F733E"/>
    <w:rsid w:val="5EAE64BA"/>
    <w:rsid w:val="5ED3A17F"/>
    <w:rsid w:val="5EE27ABC"/>
    <w:rsid w:val="5EF3DB27"/>
    <w:rsid w:val="5EF84419"/>
    <w:rsid w:val="5EFAE2BF"/>
    <w:rsid w:val="5EFEFCD2"/>
    <w:rsid w:val="5EFF1BED"/>
    <w:rsid w:val="5EFF345B"/>
    <w:rsid w:val="5F1D9F73"/>
    <w:rsid w:val="5F1FEF89"/>
    <w:rsid w:val="5F367F2A"/>
    <w:rsid w:val="5F3AFA83"/>
    <w:rsid w:val="5F475872"/>
    <w:rsid w:val="5F4AD4AE"/>
    <w:rsid w:val="5F4E37E7"/>
    <w:rsid w:val="5F5F5149"/>
    <w:rsid w:val="5F69D687"/>
    <w:rsid w:val="5F6BA6C0"/>
    <w:rsid w:val="5F6C059A"/>
    <w:rsid w:val="5F6F7122"/>
    <w:rsid w:val="5F77564D"/>
    <w:rsid w:val="5F7A92F9"/>
    <w:rsid w:val="5F7C3B35"/>
    <w:rsid w:val="5F7CD5E0"/>
    <w:rsid w:val="5F7D4164"/>
    <w:rsid w:val="5F7E93FD"/>
    <w:rsid w:val="5F7F7278"/>
    <w:rsid w:val="5F7FFB5B"/>
    <w:rsid w:val="5F8B3A87"/>
    <w:rsid w:val="5F8FB061"/>
    <w:rsid w:val="5F975FB6"/>
    <w:rsid w:val="5F9BB978"/>
    <w:rsid w:val="5F9BE403"/>
    <w:rsid w:val="5F9FB090"/>
    <w:rsid w:val="5FABF4F7"/>
    <w:rsid w:val="5FAD7FD8"/>
    <w:rsid w:val="5FB3A06D"/>
    <w:rsid w:val="5FB51357"/>
    <w:rsid w:val="5FB78BCA"/>
    <w:rsid w:val="5FB7E441"/>
    <w:rsid w:val="5FBA1E89"/>
    <w:rsid w:val="5FBB01CB"/>
    <w:rsid w:val="5FBB3E2E"/>
    <w:rsid w:val="5FBE3B05"/>
    <w:rsid w:val="5FBFA831"/>
    <w:rsid w:val="5FBFC00E"/>
    <w:rsid w:val="5FC643C9"/>
    <w:rsid w:val="5FCC472E"/>
    <w:rsid w:val="5FCD3626"/>
    <w:rsid w:val="5FCE4BD9"/>
    <w:rsid w:val="5FCFB995"/>
    <w:rsid w:val="5FCFF93D"/>
    <w:rsid w:val="5FD2A690"/>
    <w:rsid w:val="5FD3B7CA"/>
    <w:rsid w:val="5FD708D9"/>
    <w:rsid w:val="5FDAB244"/>
    <w:rsid w:val="5FDAFF2E"/>
    <w:rsid w:val="5FDB27CD"/>
    <w:rsid w:val="5FDBD9DC"/>
    <w:rsid w:val="5FDC11BB"/>
    <w:rsid w:val="5FDD750A"/>
    <w:rsid w:val="5FDDB849"/>
    <w:rsid w:val="5FDDBACA"/>
    <w:rsid w:val="5FDEFD89"/>
    <w:rsid w:val="5FDF8840"/>
    <w:rsid w:val="5FDF9CDC"/>
    <w:rsid w:val="5FDFBF2A"/>
    <w:rsid w:val="5FE5D989"/>
    <w:rsid w:val="5FE5DA95"/>
    <w:rsid w:val="5FE72FF7"/>
    <w:rsid w:val="5FE7EAF7"/>
    <w:rsid w:val="5FEAA9A2"/>
    <w:rsid w:val="5FEAB5A1"/>
    <w:rsid w:val="5FEAE833"/>
    <w:rsid w:val="5FECB127"/>
    <w:rsid w:val="5FED2C16"/>
    <w:rsid w:val="5FEE6CB7"/>
    <w:rsid w:val="5FEF3724"/>
    <w:rsid w:val="5FEFF22E"/>
    <w:rsid w:val="5FF344D2"/>
    <w:rsid w:val="5FF34D87"/>
    <w:rsid w:val="5FF50E39"/>
    <w:rsid w:val="5FF69760"/>
    <w:rsid w:val="5FF74D9F"/>
    <w:rsid w:val="5FF7B3B2"/>
    <w:rsid w:val="5FF7FF83"/>
    <w:rsid w:val="5FF9DF79"/>
    <w:rsid w:val="5FFA9DE1"/>
    <w:rsid w:val="5FFAAD24"/>
    <w:rsid w:val="5FFAAD82"/>
    <w:rsid w:val="5FFCDCB0"/>
    <w:rsid w:val="5FFD68EC"/>
    <w:rsid w:val="5FFDD699"/>
    <w:rsid w:val="5FFE6113"/>
    <w:rsid w:val="5FFEFE36"/>
    <w:rsid w:val="5FFF9299"/>
    <w:rsid w:val="5FFFCCD9"/>
    <w:rsid w:val="5FFFD34A"/>
    <w:rsid w:val="61775AA3"/>
    <w:rsid w:val="61DE706E"/>
    <w:rsid w:val="61EF2399"/>
    <w:rsid w:val="61F7BC6D"/>
    <w:rsid w:val="625F3A20"/>
    <w:rsid w:val="625FF2D4"/>
    <w:rsid w:val="62EF1292"/>
    <w:rsid w:val="635F64B9"/>
    <w:rsid w:val="637FCA4B"/>
    <w:rsid w:val="63ADB05C"/>
    <w:rsid w:val="63CFF761"/>
    <w:rsid w:val="63D576B8"/>
    <w:rsid w:val="63DD9B8A"/>
    <w:rsid w:val="63EF7A0C"/>
    <w:rsid w:val="63FD6AE6"/>
    <w:rsid w:val="63FF23AB"/>
    <w:rsid w:val="63FFF02B"/>
    <w:rsid w:val="64D4ACB5"/>
    <w:rsid w:val="64F7686E"/>
    <w:rsid w:val="64FB1595"/>
    <w:rsid w:val="655BDD65"/>
    <w:rsid w:val="656D029B"/>
    <w:rsid w:val="65770B31"/>
    <w:rsid w:val="657ECFB9"/>
    <w:rsid w:val="659B41CE"/>
    <w:rsid w:val="65BF5A6A"/>
    <w:rsid w:val="65EACABA"/>
    <w:rsid w:val="65F74769"/>
    <w:rsid w:val="65FAF5BD"/>
    <w:rsid w:val="65FF1D96"/>
    <w:rsid w:val="65FF334B"/>
    <w:rsid w:val="65FF8F6F"/>
    <w:rsid w:val="663C3CCE"/>
    <w:rsid w:val="663DF23A"/>
    <w:rsid w:val="666F47A5"/>
    <w:rsid w:val="667B89CE"/>
    <w:rsid w:val="667DD7EF"/>
    <w:rsid w:val="669DC7C4"/>
    <w:rsid w:val="66B828A5"/>
    <w:rsid w:val="66FC66C5"/>
    <w:rsid w:val="66FFF4A1"/>
    <w:rsid w:val="6709FDF9"/>
    <w:rsid w:val="676F5489"/>
    <w:rsid w:val="6777E98E"/>
    <w:rsid w:val="679F2D9D"/>
    <w:rsid w:val="67AF13A2"/>
    <w:rsid w:val="67AFC058"/>
    <w:rsid w:val="67B32D87"/>
    <w:rsid w:val="67BFD1A6"/>
    <w:rsid w:val="67BFFE76"/>
    <w:rsid w:val="67C2B203"/>
    <w:rsid w:val="67DF95FF"/>
    <w:rsid w:val="67DFF1DD"/>
    <w:rsid w:val="67EA011A"/>
    <w:rsid w:val="67EDAE94"/>
    <w:rsid w:val="67EDDAC6"/>
    <w:rsid w:val="67EF358D"/>
    <w:rsid w:val="67F3AFAA"/>
    <w:rsid w:val="67F6418D"/>
    <w:rsid w:val="67FD73AD"/>
    <w:rsid w:val="67FEC4D8"/>
    <w:rsid w:val="67FF5D6C"/>
    <w:rsid w:val="67FFB5A2"/>
    <w:rsid w:val="67FFB881"/>
    <w:rsid w:val="68266AAD"/>
    <w:rsid w:val="68CFA92A"/>
    <w:rsid w:val="68DA91EC"/>
    <w:rsid w:val="68DE9248"/>
    <w:rsid w:val="68FB468C"/>
    <w:rsid w:val="68FF57F0"/>
    <w:rsid w:val="69175DD1"/>
    <w:rsid w:val="693DCD1B"/>
    <w:rsid w:val="695C62D8"/>
    <w:rsid w:val="69ABC60C"/>
    <w:rsid w:val="69BF08CE"/>
    <w:rsid w:val="69E7AB27"/>
    <w:rsid w:val="69ECE019"/>
    <w:rsid w:val="69F7E4DF"/>
    <w:rsid w:val="69FAA4FB"/>
    <w:rsid w:val="69FDFBB5"/>
    <w:rsid w:val="69FF11EB"/>
    <w:rsid w:val="69FF59BD"/>
    <w:rsid w:val="69FF9CBE"/>
    <w:rsid w:val="6A7C568A"/>
    <w:rsid w:val="6AB749C1"/>
    <w:rsid w:val="6ABBA4E0"/>
    <w:rsid w:val="6ABC4E86"/>
    <w:rsid w:val="6AD9A77D"/>
    <w:rsid w:val="6ADF9CC6"/>
    <w:rsid w:val="6AFA92ED"/>
    <w:rsid w:val="6AFD1003"/>
    <w:rsid w:val="6AFEF7AD"/>
    <w:rsid w:val="6B132A59"/>
    <w:rsid w:val="6B1ECB4B"/>
    <w:rsid w:val="6B6EFFF8"/>
    <w:rsid w:val="6B7AC2B4"/>
    <w:rsid w:val="6B7F8821"/>
    <w:rsid w:val="6B7FB7D9"/>
    <w:rsid w:val="6B7FDED8"/>
    <w:rsid w:val="6B7FE630"/>
    <w:rsid w:val="6B8B7813"/>
    <w:rsid w:val="6BB75E7A"/>
    <w:rsid w:val="6BBBCB25"/>
    <w:rsid w:val="6BC9BCA4"/>
    <w:rsid w:val="6BCD20AB"/>
    <w:rsid w:val="6BCF1E76"/>
    <w:rsid w:val="6BCF9828"/>
    <w:rsid w:val="6BE76FD4"/>
    <w:rsid w:val="6BEA4A18"/>
    <w:rsid w:val="6BEB5BFD"/>
    <w:rsid w:val="6BF57EEE"/>
    <w:rsid w:val="6BF5D96F"/>
    <w:rsid w:val="6BF6B1B3"/>
    <w:rsid w:val="6BFB9B85"/>
    <w:rsid w:val="6BFBDB14"/>
    <w:rsid w:val="6BFBF8EC"/>
    <w:rsid w:val="6BFE8C24"/>
    <w:rsid w:val="6BFEF85F"/>
    <w:rsid w:val="6BFF57B9"/>
    <w:rsid w:val="6BFFA000"/>
    <w:rsid w:val="6C5F6BFD"/>
    <w:rsid w:val="6C6508BB"/>
    <w:rsid w:val="6C7F57E3"/>
    <w:rsid w:val="6CB9FD19"/>
    <w:rsid w:val="6CCFE184"/>
    <w:rsid w:val="6CFB2D06"/>
    <w:rsid w:val="6CFBDCE1"/>
    <w:rsid w:val="6CFBE5CA"/>
    <w:rsid w:val="6D3F211F"/>
    <w:rsid w:val="6D5F6873"/>
    <w:rsid w:val="6D92026A"/>
    <w:rsid w:val="6DABA783"/>
    <w:rsid w:val="6DBEE4B4"/>
    <w:rsid w:val="6DBF1668"/>
    <w:rsid w:val="6DBF3D70"/>
    <w:rsid w:val="6DBF71CB"/>
    <w:rsid w:val="6DCB7FE9"/>
    <w:rsid w:val="6DCFA213"/>
    <w:rsid w:val="6DD0F2AD"/>
    <w:rsid w:val="6DEB6DFF"/>
    <w:rsid w:val="6DF1914A"/>
    <w:rsid w:val="6DF67BE9"/>
    <w:rsid w:val="6DF6F995"/>
    <w:rsid w:val="6DF7660B"/>
    <w:rsid w:val="6DF823D7"/>
    <w:rsid w:val="6DFB8632"/>
    <w:rsid w:val="6DFC29F6"/>
    <w:rsid w:val="6DFE805B"/>
    <w:rsid w:val="6DFF1BA9"/>
    <w:rsid w:val="6DFF876F"/>
    <w:rsid w:val="6DFFAFD9"/>
    <w:rsid w:val="6DFFE3ED"/>
    <w:rsid w:val="6E3D63BA"/>
    <w:rsid w:val="6E5FE598"/>
    <w:rsid w:val="6E778047"/>
    <w:rsid w:val="6E7EFB85"/>
    <w:rsid w:val="6EAF319F"/>
    <w:rsid w:val="6EB16864"/>
    <w:rsid w:val="6EB3297F"/>
    <w:rsid w:val="6EB73522"/>
    <w:rsid w:val="6EB9D30A"/>
    <w:rsid w:val="6EBF3797"/>
    <w:rsid w:val="6EBF513C"/>
    <w:rsid w:val="6EBF8040"/>
    <w:rsid w:val="6EBFFABD"/>
    <w:rsid w:val="6ECC1A25"/>
    <w:rsid w:val="6ECF926D"/>
    <w:rsid w:val="6ED3994E"/>
    <w:rsid w:val="6EDBD08C"/>
    <w:rsid w:val="6EDE1EEB"/>
    <w:rsid w:val="6EEF4718"/>
    <w:rsid w:val="6EEFB085"/>
    <w:rsid w:val="6EF37B66"/>
    <w:rsid w:val="6EF79C07"/>
    <w:rsid w:val="6EFBA4F2"/>
    <w:rsid w:val="6EFD8E0D"/>
    <w:rsid w:val="6EFE05C8"/>
    <w:rsid w:val="6EFE8F12"/>
    <w:rsid w:val="6EFF24CB"/>
    <w:rsid w:val="6EFF9B47"/>
    <w:rsid w:val="6EFFA9E2"/>
    <w:rsid w:val="6EFFEB02"/>
    <w:rsid w:val="6EFFF3DD"/>
    <w:rsid w:val="6F164B5A"/>
    <w:rsid w:val="6F31D420"/>
    <w:rsid w:val="6F3D9A24"/>
    <w:rsid w:val="6F3F4566"/>
    <w:rsid w:val="6F49A2E7"/>
    <w:rsid w:val="6F4F16CE"/>
    <w:rsid w:val="6F5D3786"/>
    <w:rsid w:val="6F5E0A4D"/>
    <w:rsid w:val="6F5E1DF2"/>
    <w:rsid w:val="6F735901"/>
    <w:rsid w:val="6F77130B"/>
    <w:rsid w:val="6F774E17"/>
    <w:rsid w:val="6F77D0F9"/>
    <w:rsid w:val="6F7BBA1D"/>
    <w:rsid w:val="6F7C5AC5"/>
    <w:rsid w:val="6F7C5EDB"/>
    <w:rsid w:val="6F7CC294"/>
    <w:rsid w:val="6F7D1F44"/>
    <w:rsid w:val="6F7D6408"/>
    <w:rsid w:val="6F7E0A5F"/>
    <w:rsid w:val="6F7E513A"/>
    <w:rsid w:val="6F7F9A94"/>
    <w:rsid w:val="6F7FF740"/>
    <w:rsid w:val="6F7FFB40"/>
    <w:rsid w:val="6F93745F"/>
    <w:rsid w:val="6F972CDC"/>
    <w:rsid w:val="6F973BF9"/>
    <w:rsid w:val="6F9DF2BA"/>
    <w:rsid w:val="6F9F0E73"/>
    <w:rsid w:val="6FA33927"/>
    <w:rsid w:val="6FAC54EE"/>
    <w:rsid w:val="6FAF8674"/>
    <w:rsid w:val="6FAFB6D8"/>
    <w:rsid w:val="6FB71BE8"/>
    <w:rsid w:val="6FB73CBF"/>
    <w:rsid w:val="6FBEAD78"/>
    <w:rsid w:val="6FBF0204"/>
    <w:rsid w:val="6FBF16C9"/>
    <w:rsid w:val="6FBF2EAD"/>
    <w:rsid w:val="6FBF3C90"/>
    <w:rsid w:val="6FBF569C"/>
    <w:rsid w:val="6FBF79EA"/>
    <w:rsid w:val="6FCF5B71"/>
    <w:rsid w:val="6FCFC1CA"/>
    <w:rsid w:val="6FD2DC8B"/>
    <w:rsid w:val="6FDDAAF0"/>
    <w:rsid w:val="6FDE05E0"/>
    <w:rsid w:val="6FDEBCD8"/>
    <w:rsid w:val="6FDF91D8"/>
    <w:rsid w:val="6FE1113E"/>
    <w:rsid w:val="6FE386EF"/>
    <w:rsid w:val="6FE468C8"/>
    <w:rsid w:val="6FEB040A"/>
    <w:rsid w:val="6FEBA4C5"/>
    <w:rsid w:val="6FEF0071"/>
    <w:rsid w:val="6FEF1384"/>
    <w:rsid w:val="6FF312DA"/>
    <w:rsid w:val="6FF55CFD"/>
    <w:rsid w:val="6FF5CC58"/>
    <w:rsid w:val="6FF77E08"/>
    <w:rsid w:val="6FF7E793"/>
    <w:rsid w:val="6FF96EAD"/>
    <w:rsid w:val="6FF9A5E2"/>
    <w:rsid w:val="6FFB1424"/>
    <w:rsid w:val="6FFB65BC"/>
    <w:rsid w:val="6FFB8D86"/>
    <w:rsid w:val="6FFBB68F"/>
    <w:rsid w:val="6FFBC9B7"/>
    <w:rsid w:val="6FFC2096"/>
    <w:rsid w:val="6FFD4CC2"/>
    <w:rsid w:val="6FFD6712"/>
    <w:rsid w:val="6FFE0019"/>
    <w:rsid w:val="6FFE50DC"/>
    <w:rsid w:val="6FFF5E5A"/>
    <w:rsid w:val="6FFF63EE"/>
    <w:rsid w:val="6FFF8A09"/>
    <w:rsid w:val="6FFF8A1A"/>
    <w:rsid w:val="6FFFAF7C"/>
    <w:rsid w:val="6FFFB6ED"/>
    <w:rsid w:val="6FFFEFC1"/>
    <w:rsid w:val="6FFFF12E"/>
    <w:rsid w:val="707F63EF"/>
    <w:rsid w:val="70DB6C49"/>
    <w:rsid w:val="716EAB5D"/>
    <w:rsid w:val="716F73D0"/>
    <w:rsid w:val="717D0417"/>
    <w:rsid w:val="71B39829"/>
    <w:rsid w:val="71CD87D6"/>
    <w:rsid w:val="71DEE333"/>
    <w:rsid w:val="71FE1DDD"/>
    <w:rsid w:val="7257AE4C"/>
    <w:rsid w:val="72AFE3AF"/>
    <w:rsid w:val="72B32FBE"/>
    <w:rsid w:val="72B7A8E9"/>
    <w:rsid w:val="72B878A0"/>
    <w:rsid w:val="72BBBF08"/>
    <w:rsid w:val="72D775AC"/>
    <w:rsid w:val="72EF978F"/>
    <w:rsid w:val="72F5C719"/>
    <w:rsid w:val="72FC410D"/>
    <w:rsid w:val="731DCD9B"/>
    <w:rsid w:val="73398D99"/>
    <w:rsid w:val="735D3626"/>
    <w:rsid w:val="736FA233"/>
    <w:rsid w:val="737F1EFC"/>
    <w:rsid w:val="737FDB26"/>
    <w:rsid w:val="73AF0690"/>
    <w:rsid w:val="73B6376B"/>
    <w:rsid w:val="73BEFEA0"/>
    <w:rsid w:val="73BFF201"/>
    <w:rsid w:val="73C7DF43"/>
    <w:rsid w:val="73CF33A0"/>
    <w:rsid w:val="73D758F4"/>
    <w:rsid w:val="73D75CF1"/>
    <w:rsid w:val="73D775F6"/>
    <w:rsid w:val="73DD18CE"/>
    <w:rsid w:val="73DE1039"/>
    <w:rsid w:val="73EBAE4C"/>
    <w:rsid w:val="73EFEECA"/>
    <w:rsid w:val="73F168E9"/>
    <w:rsid w:val="73F56609"/>
    <w:rsid w:val="73FB367B"/>
    <w:rsid w:val="73FE2965"/>
    <w:rsid w:val="73FEA4F6"/>
    <w:rsid w:val="73FF1A88"/>
    <w:rsid w:val="73FF2853"/>
    <w:rsid w:val="73FF31FD"/>
    <w:rsid w:val="73FFC703"/>
    <w:rsid w:val="73FFEA29"/>
    <w:rsid w:val="73FFF3D4"/>
    <w:rsid w:val="743F88F6"/>
    <w:rsid w:val="747A05A1"/>
    <w:rsid w:val="74BF62FD"/>
    <w:rsid w:val="74CF3880"/>
    <w:rsid w:val="74F7B369"/>
    <w:rsid w:val="74FBEBAC"/>
    <w:rsid w:val="74FFD8E5"/>
    <w:rsid w:val="751D996C"/>
    <w:rsid w:val="751F82CC"/>
    <w:rsid w:val="75512133"/>
    <w:rsid w:val="755FA420"/>
    <w:rsid w:val="7573E4AD"/>
    <w:rsid w:val="75795F9A"/>
    <w:rsid w:val="757E7B0F"/>
    <w:rsid w:val="759DDAA9"/>
    <w:rsid w:val="75B620AF"/>
    <w:rsid w:val="75B6FC3F"/>
    <w:rsid w:val="75BB7CC6"/>
    <w:rsid w:val="75BDD8BE"/>
    <w:rsid w:val="75BF4597"/>
    <w:rsid w:val="75DD153A"/>
    <w:rsid w:val="75DF41C5"/>
    <w:rsid w:val="75DF6507"/>
    <w:rsid w:val="75DFFFE8"/>
    <w:rsid w:val="75EE76A1"/>
    <w:rsid w:val="75EF03DA"/>
    <w:rsid w:val="75EF10FF"/>
    <w:rsid w:val="75F3CC4D"/>
    <w:rsid w:val="75F69106"/>
    <w:rsid w:val="75F77CB6"/>
    <w:rsid w:val="75FB14EE"/>
    <w:rsid w:val="75FB9E28"/>
    <w:rsid w:val="75FC1578"/>
    <w:rsid w:val="75FD06D2"/>
    <w:rsid w:val="75FEC87D"/>
    <w:rsid w:val="75FF1578"/>
    <w:rsid w:val="75FF2528"/>
    <w:rsid w:val="75FF2944"/>
    <w:rsid w:val="75FF6145"/>
    <w:rsid w:val="75FF960A"/>
    <w:rsid w:val="75FFA968"/>
    <w:rsid w:val="75FFAD9F"/>
    <w:rsid w:val="761F09EF"/>
    <w:rsid w:val="7639E2E1"/>
    <w:rsid w:val="763E7A9A"/>
    <w:rsid w:val="765723C3"/>
    <w:rsid w:val="767D0090"/>
    <w:rsid w:val="767D76B1"/>
    <w:rsid w:val="767F260E"/>
    <w:rsid w:val="767F3F0F"/>
    <w:rsid w:val="768E531D"/>
    <w:rsid w:val="76B9197E"/>
    <w:rsid w:val="76BE5AF7"/>
    <w:rsid w:val="76BFFFFD"/>
    <w:rsid w:val="76CC9E3A"/>
    <w:rsid w:val="76CF0C29"/>
    <w:rsid w:val="76CF9626"/>
    <w:rsid w:val="76D994A3"/>
    <w:rsid w:val="76DCC2EB"/>
    <w:rsid w:val="76DFB0D5"/>
    <w:rsid w:val="76EE64E9"/>
    <w:rsid w:val="76EF9C6A"/>
    <w:rsid w:val="76F289AB"/>
    <w:rsid w:val="76F6329B"/>
    <w:rsid w:val="76FBF250"/>
    <w:rsid w:val="76FC14AB"/>
    <w:rsid w:val="76FE6FAE"/>
    <w:rsid w:val="76FF50EA"/>
    <w:rsid w:val="76FF7793"/>
    <w:rsid w:val="771DD833"/>
    <w:rsid w:val="772F3D85"/>
    <w:rsid w:val="773DA9A5"/>
    <w:rsid w:val="7740AEA4"/>
    <w:rsid w:val="774F40A8"/>
    <w:rsid w:val="774F621A"/>
    <w:rsid w:val="774F9783"/>
    <w:rsid w:val="77570CA7"/>
    <w:rsid w:val="77590FE3"/>
    <w:rsid w:val="7762C28A"/>
    <w:rsid w:val="776BD043"/>
    <w:rsid w:val="7772A127"/>
    <w:rsid w:val="777705BB"/>
    <w:rsid w:val="7777A1AD"/>
    <w:rsid w:val="777D6849"/>
    <w:rsid w:val="777FD42D"/>
    <w:rsid w:val="77835E33"/>
    <w:rsid w:val="77876B76"/>
    <w:rsid w:val="77977D0C"/>
    <w:rsid w:val="7797C9C5"/>
    <w:rsid w:val="779F75D5"/>
    <w:rsid w:val="77A77A30"/>
    <w:rsid w:val="77AED72B"/>
    <w:rsid w:val="77AF7540"/>
    <w:rsid w:val="77AF7B57"/>
    <w:rsid w:val="77B7AE48"/>
    <w:rsid w:val="77B7F721"/>
    <w:rsid w:val="77B93A40"/>
    <w:rsid w:val="77BD6FEC"/>
    <w:rsid w:val="77BE1794"/>
    <w:rsid w:val="77BF2771"/>
    <w:rsid w:val="77BF6D92"/>
    <w:rsid w:val="77BFD18D"/>
    <w:rsid w:val="77CAB08F"/>
    <w:rsid w:val="77CF58BF"/>
    <w:rsid w:val="77D4A4E5"/>
    <w:rsid w:val="77D56C96"/>
    <w:rsid w:val="77D6F097"/>
    <w:rsid w:val="77D7D778"/>
    <w:rsid w:val="77DD1CEB"/>
    <w:rsid w:val="77DD6730"/>
    <w:rsid w:val="77DE6580"/>
    <w:rsid w:val="77DF5BBB"/>
    <w:rsid w:val="77EB58E6"/>
    <w:rsid w:val="77EB8E43"/>
    <w:rsid w:val="77ED17DF"/>
    <w:rsid w:val="77ED336B"/>
    <w:rsid w:val="77EE9597"/>
    <w:rsid w:val="77EE98E2"/>
    <w:rsid w:val="77EF2869"/>
    <w:rsid w:val="77EF8F29"/>
    <w:rsid w:val="77EFC66E"/>
    <w:rsid w:val="77F35E7D"/>
    <w:rsid w:val="77F5CAE6"/>
    <w:rsid w:val="77F5F962"/>
    <w:rsid w:val="77F69CBE"/>
    <w:rsid w:val="77F6EB1A"/>
    <w:rsid w:val="77F73787"/>
    <w:rsid w:val="77F785EC"/>
    <w:rsid w:val="77F7AA0A"/>
    <w:rsid w:val="77F7C0C5"/>
    <w:rsid w:val="77F96730"/>
    <w:rsid w:val="77F9AD71"/>
    <w:rsid w:val="77FB2F31"/>
    <w:rsid w:val="77FB62D6"/>
    <w:rsid w:val="77FC9382"/>
    <w:rsid w:val="77FD2329"/>
    <w:rsid w:val="77FD5A93"/>
    <w:rsid w:val="77FD9318"/>
    <w:rsid w:val="77FDB7E1"/>
    <w:rsid w:val="77FE02D0"/>
    <w:rsid w:val="77FE03F2"/>
    <w:rsid w:val="77FEFC00"/>
    <w:rsid w:val="77FF1104"/>
    <w:rsid w:val="77FF293D"/>
    <w:rsid w:val="77FF3E06"/>
    <w:rsid w:val="77FF4D39"/>
    <w:rsid w:val="77FF6A97"/>
    <w:rsid w:val="77FF7E93"/>
    <w:rsid w:val="77FFBF63"/>
    <w:rsid w:val="77FFE371"/>
    <w:rsid w:val="77FFE3D4"/>
    <w:rsid w:val="77FFE6AA"/>
    <w:rsid w:val="781EF899"/>
    <w:rsid w:val="783ACA09"/>
    <w:rsid w:val="785D4848"/>
    <w:rsid w:val="787F94B7"/>
    <w:rsid w:val="78AC2F27"/>
    <w:rsid w:val="78DB14C2"/>
    <w:rsid w:val="78DBDA11"/>
    <w:rsid w:val="78FCD865"/>
    <w:rsid w:val="791F0611"/>
    <w:rsid w:val="793B968E"/>
    <w:rsid w:val="795B645F"/>
    <w:rsid w:val="795E6ECF"/>
    <w:rsid w:val="796F5A15"/>
    <w:rsid w:val="79734E48"/>
    <w:rsid w:val="797D1760"/>
    <w:rsid w:val="797DC6BE"/>
    <w:rsid w:val="797F1D74"/>
    <w:rsid w:val="797F7D38"/>
    <w:rsid w:val="799D63FB"/>
    <w:rsid w:val="79ABDE59"/>
    <w:rsid w:val="79B7E1E4"/>
    <w:rsid w:val="79BC2388"/>
    <w:rsid w:val="79BE544C"/>
    <w:rsid w:val="79BE6E94"/>
    <w:rsid w:val="79BFF58B"/>
    <w:rsid w:val="79D69227"/>
    <w:rsid w:val="79DB6732"/>
    <w:rsid w:val="79E5B5D9"/>
    <w:rsid w:val="79EB4355"/>
    <w:rsid w:val="79EDE291"/>
    <w:rsid w:val="79EE54F8"/>
    <w:rsid w:val="79F4E1B6"/>
    <w:rsid w:val="79F632B8"/>
    <w:rsid w:val="79F6A866"/>
    <w:rsid w:val="79FAE2E1"/>
    <w:rsid w:val="79FB925F"/>
    <w:rsid w:val="79FBD6C6"/>
    <w:rsid w:val="79FD6292"/>
    <w:rsid w:val="79FDE297"/>
    <w:rsid w:val="79FEC497"/>
    <w:rsid w:val="79FF1392"/>
    <w:rsid w:val="79FF9CBF"/>
    <w:rsid w:val="7A1FC9B0"/>
    <w:rsid w:val="7A3C353B"/>
    <w:rsid w:val="7A3D3C13"/>
    <w:rsid w:val="7A3F255E"/>
    <w:rsid w:val="7A4E133B"/>
    <w:rsid w:val="7A540FB7"/>
    <w:rsid w:val="7A5E34B4"/>
    <w:rsid w:val="7A6FC702"/>
    <w:rsid w:val="7A7E6D1A"/>
    <w:rsid w:val="7A7EDCCF"/>
    <w:rsid w:val="7A7FB997"/>
    <w:rsid w:val="7AADD2A6"/>
    <w:rsid w:val="7AB5B22F"/>
    <w:rsid w:val="7ABB903E"/>
    <w:rsid w:val="7ABD774F"/>
    <w:rsid w:val="7ABFB3A3"/>
    <w:rsid w:val="7ADC1604"/>
    <w:rsid w:val="7ADC2F6C"/>
    <w:rsid w:val="7ADFAC65"/>
    <w:rsid w:val="7AE23EB7"/>
    <w:rsid w:val="7AF66D2B"/>
    <w:rsid w:val="7AFDF13E"/>
    <w:rsid w:val="7AFFB8A3"/>
    <w:rsid w:val="7B1E6C7C"/>
    <w:rsid w:val="7B3B0CF7"/>
    <w:rsid w:val="7B3C222D"/>
    <w:rsid w:val="7B3F877B"/>
    <w:rsid w:val="7B4EC009"/>
    <w:rsid w:val="7B4F98E0"/>
    <w:rsid w:val="7B5D8202"/>
    <w:rsid w:val="7B5E5141"/>
    <w:rsid w:val="7B5F7737"/>
    <w:rsid w:val="7B637D4A"/>
    <w:rsid w:val="7B6C43B8"/>
    <w:rsid w:val="7B6EE5D9"/>
    <w:rsid w:val="7B7619AE"/>
    <w:rsid w:val="7B770FE5"/>
    <w:rsid w:val="7B77E8A2"/>
    <w:rsid w:val="7B77F27E"/>
    <w:rsid w:val="7B77FF14"/>
    <w:rsid w:val="7B7B1C34"/>
    <w:rsid w:val="7B7B2E34"/>
    <w:rsid w:val="7B7B30BB"/>
    <w:rsid w:val="7B7BBF03"/>
    <w:rsid w:val="7B7D3EE4"/>
    <w:rsid w:val="7B7E5144"/>
    <w:rsid w:val="7B7ECEA7"/>
    <w:rsid w:val="7B7F9E3D"/>
    <w:rsid w:val="7B7FA018"/>
    <w:rsid w:val="7B7FE0BA"/>
    <w:rsid w:val="7B87F4B6"/>
    <w:rsid w:val="7B8BEBC9"/>
    <w:rsid w:val="7B8FA3AB"/>
    <w:rsid w:val="7B8FBCCF"/>
    <w:rsid w:val="7B9CDF71"/>
    <w:rsid w:val="7BA53E63"/>
    <w:rsid w:val="7BABCB56"/>
    <w:rsid w:val="7BAEAEBF"/>
    <w:rsid w:val="7BAF96DB"/>
    <w:rsid w:val="7BB22BFF"/>
    <w:rsid w:val="7BB23303"/>
    <w:rsid w:val="7BB7FEE6"/>
    <w:rsid w:val="7BBF34D0"/>
    <w:rsid w:val="7BBF7F66"/>
    <w:rsid w:val="7BBF802F"/>
    <w:rsid w:val="7BBF88E4"/>
    <w:rsid w:val="7BBFBA24"/>
    <w:rsid w:val="7BCA94FD"/>
    <w:rsid w:val="7BCDC27F"/>
    <w:rsid w:val="7BDA2696"/>
    <w:rsid w:val="7BDB3E4B"/>
    <w:rsid w:val="7BDBED71"/>
    <w:rsid w:val="7BDE845A"/>
    <w:rsid w:val="7BDFA8A9"/>
    <w:rsid w:val="7BE9D08D"/>
    <w:rsid w:val="7BEA3271"/>
    <w:rsid w:val="7BED3CA3"/>
    <w:rsid w:val="7BED42AE"/>
    <w:rsid w:val="7BEF171B"/>
    <w:rsid w:val="7BEF5CB6"/>
    <w:rsid w:val="7BEFFC4F"/>
    <w:rsid w:val="7BF3761A"/>
    <w:rsid w:val="7BF75DD8"/>
    <w:rsid w:val="7BF7C15C"/>
    <w:rsid w:val="7BF7D6B2"/>
    <w:rsid w:val="7BF7EA59"/>
    <w:rsid w:val="7BF9F217"/>
    <w:rsid w:val="7BFBA6FF"/>
    <w:rsid w:val="7BFBB701"/>
    <w:rsid w:val="7BFD0D86"/>
    <w:rsid w:val="7BFD31E2"/>
    <w:rsid w:val="7BFD3C9C"/>
    <w:rsid w:val="7BFD9F90"/>
    <w:rsid w:val="7BFDC645"/>
    <w:rsid w:val="7BFDD9FB"/>
    <w:rsid w:val="7BFDFD18"/>
    <w:rsid w:val="7BFE41F6"/>
    <w:rsid w:val="7BFE583A"/>
    <w:rsid w:val="7BFE67A4"/>
    <w:rsid w:val="7BFE797F"/>
    <w:rsid w:val="7BFF07CA"/>
    <w:rsid w:val="7BFF150A"/>
    <w:rsid w:val="7BFF23BD"/>
    <w:rsid w:val="7BFF76E9"/>
    <w:rsid w:val="7BFF8471"/>
    <w:rsid w:val="7BFF95CC"/>
    <w:rsid w:val="7BFF9EC4"/>
    <w:rsid w:val="7BFFB64C"/>
    <w:rsid w:val="7BFFE95D"/>
    <w:rsid w:val="7C1E6BE9"/>
    <w:rsid w:val="7C1E700D"/>
    <w:rsid w:val="7C29A2F9"/>
    <w:rsid w:val="7C2D23AD"/>
    <w:rsid w:val="7C350AA7"/>
    <w:rsid w:val="7C3B9C09"/>
    <w:rsid w:val="7C4BFBBC"/>
    <w:rsid w:val="7C63D0B7"/>
    <w:rsid w:val="7C7E9947"/>
    <w:rsid w:val="7C7FB9F7"/>
    <w:rsid w:val="7C93AE55"/>
    <w:rsid w:val="7CB4BED6"/>
    <w:rsid w:val="7CB6981C"/>
    <w:rsid w:val="7CBF00C7"/>
    <w:rsid w:val="7CBF702D"/>
    <w:rsid w:val="7CD2A672"/>
    <w:rsid w:val="7CD7F89A"/>
    <w:rsid w:val="7CDF835B"/>
    <w:rsid w:val="7CDF93F1"/>
    <w:rsid w:val="7CED2BEA"/>
    <w:rsid w:val="7CEEF442"/>
    <w:rsid w:val="7CEF1E3E"/>
    <w:rsid w:val="7CEF7489"/>
    <w:rsid w:val="7CF6AC68"/>
    <w:rsid w:val="7CFBB89A"/>
    <w:rsid w:val="7CFC21DE"/>
    <w:rsid w:val="7CFE4B25"/>
    <w:rsid w:val="7CFE68A0"/>
    <w:rsid w:val="7CFF732E"/>
    <w:rsid w:val="7CFFCAA4"/>
    <w:rsid w:val="7D3B0196"/>
    <w:rsid w:val="7D3D53B9"/>
    <w:rsid w:val="7D3E86EC"/>
    <w:rsid w:val="7D499C54"/>
    <w:rsid w:val="7D556512"/>
    <w:rsid w:val="7D5710BE"/>
    <w:rsid w:val="7D5B0481"/>
    <w:rsid w:val="7D5F5B20"/>
    <w:rsid w:val="7D5F69C4"/>
    <w:rsid w:val="7D5F892C"/>
    <w:rsid w:val="7D678B3A"/>
    <w:rsid w:val="7D6BF4B9"/>
    <w:rsid w:val="7D7221B3"/>
    <w:rsid w:val="7D763AA6"/>
    <w:rsid w:val="7D77F804"/>
    <w:rsid w:val="7D7BB3DB"/>
    <w:rsid w:val="7D7BEEC1"/>
    <w:rsid w:val="7D7E6289"/>
    <w:rsid w:val="7D7E8845"/>
    <w:rsid w:val="7D83943F"/>
    <w:rsid w:val="7D9C3D3A"/>
    <w:rsid w:val="7D9FAB68"/>
    <w:rsid w:val="7DA18F82"/>
    <w:rsid w:val="7DA27B07"/>
    <w:rsid w:val="7DAB2157"/>
    <w:rsid w:val="7DAF29DA"/>
    <w:rsid w:val="7DAF860C"/>
    <w:rsid w:val="7DAFCABE"/>
    <w:rsid w:val="7DB5A2E3"/>
    <w:rsid w:val="7DB7FC85"/>
    <w:rsid w:val="7DB91182"/>
    <w:rsid w:val="7DBA1BBA"/>
    <w:rsid w:val="7DBA9B2B"/>
    <w:rsid w:val="7DBB0FD4"/>
    <w:rsid w:val="7DBB421F"/>
    <w:rsid w:val="7DBB8B65"/>
    <w:rsid w:val="7DBD2639"/>
    <w:rsid w:val="7DBD4571"/>
    <w:rsid w:val="7DBDB9F8"/>
    <w:rsid w:val="7DBDE6C6"/>
    <w:rsid w:val="7DBF20BE"/>
    <w:rsid w:val="7DBF4DE3"/>
    <w:rsid w:val="7DBF4F4C"/>
    <w:rsid w:val="7DBF922C"/>
    <w:rsid w:val="7DBF9B6E"/>
    <w:rsid w:val="7DBFD2A7"/>
    <w:rsid w:val="7DBFD392"/>
    <w:rsid w:val="7DCE3E70"/>
    <w:rsid w:val="7DCF566A"/>
    <w:rsid w:val="7DCF75C4"/>
    <w:rsid w:val="7DD3054F"/>
    <w:rsid w:val="7DDA3C3B"/>
    <w:rsid w:val="7DDDB547"/>
    <w:rsid w:val="7DDF40BF"/>
    <w:rsid w:val="7DDF4B8F"/>
    <w:rsid w:val="7DDF8285"/>
    <w:rsid w:val="7DDFBD7B"/>
    <w:rsid w:val="7DE336D2"/>
    <w:rsid w:val="7DE3B74F"/>
    <w:rsid w:val="7DE7306F"/>
    <w:rsid w:val="7DE78632"/>
    <w:rsid w:val="7DEAAB4D"/>
    <w:rsid w:val="7DEB74F3"/>
    <w:rsid w:val="7DECB0CF"/>
    <w:rsid w:val="7DEF544F"/>
    <w:rsid w:val="7DEF85E5"/>
    <w:rsid w:val="7DF5024E"/>
    <w:rsid w:val="7DF5B7D4"/>
    <w:rsid w:val="7DF664D4"/>
    <w:rsid w:val="7DF7DEB3"/>
    <w:rsid w:val="7DF9C14B"/>
    <w:rsid w:val="7DFB43A3"/>
    <w:rsid w:val="7DFBA1F9"/>
    <w:rsid w:val="7DFBB14C"/>
    <w:rsid w:val="7DFBB89B"/>
    <w:rsid w:val="7DFCFD82"/>
    <w:rsid w:val="7DFD270A"/>
    <w:rsid w:val="7DFD8F0A"/>
    <w:rsid w:val="7DFDF427"/>
    <w:rsid w:val="7DFE143E"/>
    <w:rsid w:val="7DFE90C1"/>
    <w:rsid w:val="7DFEA9D1"/>
    <w:rsid w:val="7DFF148E"/>
    <w:rsid w:val="7DFF31CE"/>
    <w:rsid w:val="7DFF3875"/>
    <w:rsid w:val="7DFF5615"/>
    <w:rsid w:val="7DFF6C30"/>
    <w:rsid w:val="7DFF8519"/>
    <w:rsid w:val="7DFF9370"/>
    <w:rsid w:val="7DFFBBCB"/>
    <w:rsid w:val="7E0603BB"/>
    <w:rsid w:val="7E0F3B65"/>
    <w:rsid w:val="7E1B3382"/>
    <w:rsid w:val="7E2F418A"/>
    <w:rsid w:val="7E3E2749"/>
    <w:rsid w:val="7E3F1F4A"/>
    <w:rsid w:val="7E4F153B"/>
    <w:rsid w:val="7E5B4875"/>
    <w:rsid w:val="7E6F675C"/>
    <w:rsid w:val="7E704523"/>
    <w:rsid w:val="7E742004"/>
    <w:rsid w:val="7E7540D5"/>
    <w:rsid w:val="7E7B82BC"/>
    <w:rsid w:val="7E7BFCA7"/>
    <w:rsid w:val="7E7E023A"/>
    <w:rsid w:val="7E7F3FA5"/>
    <w:rsid w:val="7E7FDCD9"/>
    <w:rsid w:val="7E9B376C"/>
    <w:rsid w:val="7E9E3206"/>
    <w:rsid w:val="7E9EBD97"/>
    <w:rsid w:val="7E9EE467"/>
    <w:rsid w:val="7EA9B875"/>
    <w:rsid w:val="7EAE5034"/>
    <w:rsid w:val="7EAF4AAD"/>
    <w:rsid w:val="7EAFF40F"/>
    <w:rsid w:val="7EB2AB04"/>
    <w:rsid w:val="7EB72053"/>
    <w:rsid w:val="7EB73CDE"/>
    <w:rsid w:val="7EB7E557"/>
    <w:rsid w:val="7EB96E8A"/>
    <w:rsid w:val="7EBD4C28"/>
    <w:rsid w:val="7EBDA5AB"/>
    <w:rsid w:val="7EBF0319"/>
    <w:rsid w:val="7EBF83E9"/>
    <w:rsid w:val="7EBF89CC"/>
    <w:rsid w:val="7EC76A5C"/>
    <w:rsid w:val="7ECB07A3"/>
    <w:rsid w:val="7ECE872F"/>
    <w:rsid w:val="7ED2392E"/>
    <w:rsid w:val="7ED4EC53"/>
    <w:rsid w:val="7EDB8290"/>
    <w:rsid w:val="7EDB9B51"/>
    <w:rsid w:val="7EDDA997"/>
    <w:rsid w:val="7EDE23E2"/>
    <w:rsid w:val="7EDE9FE9"/>
    <w:rsid w:val="7EDF7294"/>
    <w:rsid w:val="7EDF7DF3"/>
    <w:rsid w:val="7EDFCA09"/>
    <w:rsid w:val="7EE75A3F"/>
    <w:rsid w:val="7EEA3B87"/>
    <w:rsid w:val="7EEB4633"/>
    <w:rsid w:val="7EEDFBFE"/>
    <w:rsid w:val="7EEF9E64"/>
    <w:rsid w:val="7EEFA9DE"/>
    <w:rsid w:val="7EEFBD09"/>
    <w:rsid w:val="7EF069A1"/>
    <w:rsid w:val="7EF516FB"/>
    <w:rsid w:val="7EF5EE89"/>
    <w:rsid w:val="7EF79021"/>
    <w:rsid w:val="7EF799ED"/>
    <w:rsid w:val="7EF848EA"/>
    <w:rsid w:val="7EF95E47"/>
    <w:rsid w:val="7EFB47D9"/>
    <w:rsid w:val="7EFB6451"/>
    <w:rsid w:val="7EFBFADD"/>
    <w:rsid w:val="7EFCEE00"/>
    <w:rsid w:val="7EFD23E5"/>
    <w:rsid w:val="7EFD3956"/>
    <w:rsid w:val="7EFD3FB3"/>
    <w:rsid w:val="7EFDD162"/>
    <w:rsid w:val="7EFE18F9"/>
    <w:rsid w:val="7EFE8199"/>
    <w:rsid w:val="7EFEDAA2"/>
    <w:rsid w:val="7EFF597E"/>
    <w:rsid w:val="7EFFAD81"/>
    <w:rsid w:val="7EFFB9A1"/>
    <w:rsid w:val="7EFFD38A"/>
    <w:rsid w:val="7F0F4CEB"/>
    <w:rsid w:val="7F0FEB35"/>
    <w:rsid w:val="7F1B72C3"/>
    <w:rsid w:val="7F1FBB5D"/>
    <w:rsid w:val="7F3319DF"/>
    <w:rsid w:val="7F37649F"/>
    <w:rsid w:val="7F3AC92E"/>
    <w:rsid w:val="7F3B659D"/>
    <w:rsid w:val="7F3BB72D"/>
    <w:rsid w:val="7F3BEE85"/>
    <w:rsid w:val="7F3F6B7A"/>
    <w:rsid w:val="7F3F8FBE"/>
    <w:rsid w:val="7F49FC20"/>
    <w:rsid w:val="7F55B2A8"/>
    <w:rsid w:val="7F58845C"/>
    <w:rsid w:val="7F5B8C16"/>
    <w:rsid w:val="7F5DD194"/>
    <w:rsid w:val="7F5E1CAC"/>
    <w:rsid w:val="7F5F6374"/>
    <w:rsid w:val="7F5F842C"/>
    <w:rsid w:val="7F6337E2"/>
    <w:rsid w:val="7F68F5CC"/>
    <w:rsid w:val="7F6ADD8C"/>
    <w:rsid w:val="7F6BB6AF"/>
    <w:rsid w:val="7F6DC515"/>
    <w:rsid w:val="7F6DF491"/>
    <w:rsid w:val="7F6E612D"/>
    <w:rsid w:val="7F6EAB8C"/>
    <w:rsid w:val="7F6EB9C7"/>
    <w:rsid w:val="7F6F05DF"/>
    <w:rsid w:val="7F6FB8E5"/>
    <w:rsid w:val="7F6FBD60"/>
    <w:rsid w:val="7F6FD204"/>
    <w:rsid w:val="7F72004D"/>
    <w:rsid w:val="7F722274"/>
    <w:rsid w:val="7F72CE3C"/>
    <w:rsid w:val="7F73691C"/>
    <w:rsid w:val="7F73BBCC"/>
    <w:rsid w:val="7F75EE72"/>
    <w:rsid w:val="7F76FF34"/>
    <w:rsid w:val="7F770A4F"/>
    <w:rsid w:val="7F770FF9"/>
    <w:rsid w:val="7F77148E"/>
    <w:rsid w:val="7F771F49"/>
    <w:rsid w:val="7F7734DA"/>
    <w:rsid w:val="7F78E326"/>
    <w:rsid w:val="7F796364"/>
    <w:rsid w:val="7F798E75"/>
    <w:rsid w:val="7F7B018C"/>
    <w:rsid w:val="7F7BAB45"/>
    <w:rsid w:val="7F7C05A6"/>
    <w:rsid w:val="7F7CB1FC"/>
    <w:rsid w:val="7F7D041D"/>
    <w:rsid w:val="7F7DCB70"/>
    <w:rsid w:val="7F7DE81B"/>
    <w:rsid w:val="7F7ED2ED"/>
    <w:rsid w:val="7F7F19F6"/>
    <w:rsid w:val="7F7F3D89"/>
    <w:rsid w:val="7F7F4A0F"/>
    <w:rsid w:val="7F7F638B"/>
    <w:rsid w:val="7F7F7CC5"/>
    <w:rsid w:val="7F7F9100"/>
    <w:rsid w:val="7F7F972C"/>
    <w:rsid w:val="7F7F98BD"/>
    <w:rsid w:val="7F7FBD61"/>
    <w:rsid w:val="7F7FDE1F"/>
    <w:rsid w:val="7F7FE6F6"/>
    <w:rsid w:val="7F8723D1"/>
    <w:rsid w:val="7F8DDB1C"/>
    <w:rsid w:val="7F8E4DDF"/>
    <w:rsid w:val="7F93483E"/>
    <w:rsid w:val="7F999011"/>
    <w:rsid w:val="7F9B4F05"/>
    <w:rsid w:val="7F9E3A89"/>
    <w:rsid w:val="7F9E4F71"/>
    <w:rsid w:val="7F9F4F5C"/>
    <w:rsid w:val="7F9F663A"/>
    <w:rsid w:val="7FA03990"/>
    <w:rsid w:val="7FA58BDA"/>
    <w:rsid w:val="7FA78CA1"/>
    <w:rsid w:val="7FA81CCA"/>
    <w:rsid w:val="7FA93C32"/>
    <w:rsid w:val="7FA9904D"/>
    <w:rsid w:val="7FAB3FF6"/>
    <w:rsid w:val="7FAE9C40"/>
    <w:rsid w:val="7FAF9B35"/>
    <w:rsid w:val="7FAFBE62"/>
    <w:rsid w:val="7FAFCC47"/>
    <w:rsid w:val="7FB317E7"/>
    <w:rsid w:val="7FB52EBB"/>
    <w:rsid w:val="7FB6C0EC"/>
    <w:rsid w:val="7FB70EB9"/>
    <w:rsid w:val="7FB757C8"/>
    <w:rsid w:val="7FB76578"/>
    <w:rsid w:val="7FB76918"/>
    <w:rsid w:val="7FB7FE1B"/>
    <w:rsid w:val="7FB98B09"/>
    <w:rsid w:val="7FB994A7"/>
    <w:rsid w:val="7FB9F69F"/>
    <w:rsid w:val="7FBA75EA"/>
    <w:rsid w:val="7FBBB1F2"/>
    <w:rsid w:val="7FBC20F9"/>
    <w:rsid w:val="7FBCAAB9"/>
    <w:rsid w:val="7FBD478C"/>
    <w:rsid w:val="7FBD9B24"/>
    <w:rsid w:val="7FBE0707"/>
    <w:rsid w:val="7FBE678C"/>
    <w:rsid w:val="7FBF1D67"/>
    <w:rsid w:val="7FBF4F13"/>
    <w:rsid w:val="7FBF6B2F"/>
    <w:rsid w:val="7FBF8362"/>
    <w:rsid w:val="7FBF8AD4"/>
    <w:rsid w:val="7FBF91F5"/>
    <w:rsid w:val="7FBFD70B"/>
    <w:rsid w:val="7FBFE8C7"/>
    <w:rsid w:val="7FC70301"/>
    <w:rsid w:val="7FC8970E"/>
    <w:rsid w:val="7FCBAD67"/>
    <w:rsid w:val="7FCC535F"/>
    <w:rsid w:val="7FCD444F"/>
    <w:rsid w:val="7FCE3565"/>
    <w:rsid w:val="7FCF293D"/>
    <w:rsid w:val="7FCF526D"/>
    <w:rsid w:val="7FCF8D4F"/>
    <w:rsid w:val="7FCF9B71"/>
    <w:rsid w:val="7FCFF1A7"/>
    <w:rsid w:val="7FCFFCF8"/>
    <w:rsid w:val="7FD012DF"/>
    <w:rsid w:val="7FD41670"/>
    <w:rsid w:val="7FD5A26F"/>
    <w:rsid w:val="7FD6E8A9"/>
    <w:rsid w:val="7FD7451A"/>
    <w:rsid w:val="7FD75580"/>
    <w:rsid w:val="7FD7F384"/>
    <w:rsid w:val="7FD964DD"/>
    <w:rsid w:val="7FD99E3B"/>
    <w:rsid w:val="7FDB302F"/>
    <w:rsid w:val="7FDB6C4C"/>
    <w:rsid w:val="7FDBA2A8"/>
    <w:rsid w:val="7FDC37C9"/>
    <w:rsid w:val="7FDD4082"/>
    <w:rsid w:val="7FDD6FB1"/>
    <w:rsid w:val="7FDDCD1E"/>
    <w:rsid w:val="7FDDF5EF"/>
    <w:rsid w:val="7FDE69BE"/>
    <w:rsid w:val="7FDEBBB4"/>
    <w:rsid w:val="7FDF090E"/>
    <w:rsid w:val="7FDF2353"/>
    <w:rsid w:val="7FDF2410"/>
    <w:rsid w:val="7FDF4F4B"/>
    <w:rsid w:val="7FDF518D"/>
    <w:rsid w:val="7FDF7271"/>
    <w:rsid w:val="7FDF7D4A"/>
    <w:rsid w:val="7FDF8A21"/>
    <w:rsid w:val="7FDFDC85"/>
    <w:rsid w:val="7FE072F4"/>
    <w:rsid w:val="7FE380E1"/>
    <w:rsid w:val="7FE3F76B"/>
    <w:rsid w:val="7FE4A5E9"/>
    <w:rsid w:val="7FE7822E"/>
    <w:rsid w:val="7FE7CB70"/>
    <w:rsid w:val="7FEA2C64"/>
    <w:rsid w:val="7FEB21A9"/>
    <w:rsid w:val="7FEB4347"/>
    <w:rsid w:val="7FEB4EFA"/>
    <w:rsid w:val="7FEBA5E3"/>
    <w:rsid w:val="7FEBAFD8"/>
    <w:rsid w:val="7FECF80F"/>
    <w:rsid w:val="7FED3134"/>
    <w:rsid w:val="7FED9D81"/>
    <w:rsid w:val="7FEE2B08"/>
    <w:rsid w:val="7FEEE94D"/>
    <w:rsid w:val="7FEF0FAC"/>
    <w:rsid w:val="7FEF3A74"/>
    <w:rsid w:val="7FEF669F"/>
    <w:rsid w:val="7FEF6C26"/>
    <w:rsid w:val="7FEF810C"/>
    <w:rsid w:val="7FEF9165"/>
    <w:rsid w:val="7FEFDA73"/>
    <w:rsid w:val="7FF2E974"/>
    <w:rsid w:val="7FF31596"/>
    <w:rsid w:val="7FF3D434"/>
    <w:rsid w:val="7FF49E8B"/>
    <w:rsid w:val="7FF57041"/>
    <w:rsid w:val="7FF5A435"/>
    <w:rsid w:val="7FF6266A"/>
    <w:rsid w:val="7FF6E3CC"/>
    <w:rsid w:val="7FF70297"/>
    <w:rsid w:val="7FF7118C"/>
    <w:rsid w:val="7FF75CBA"/>
    <w:rsid w:val="7FF77A04"/>
    <w:rsid w:val="7FF78188"/>
    <w:rsid w:val="7FF7843A"/>
    <w:rsid w:val="7FF78EE7"/>
    <w:rsid w:val="7FF7CA3C"/>
    <w:rsid w:val="7FF7DE8F"/>
    <w:rsid w:val="7FF7EF1C"/>
    <w:rsid w:val="7FF7F0A1"/>
    <w:rsid w:val="7FF80947"/>
    <w:rsid w:val="7FF971A5"/>
    <w:rsid w:val="7FF9CF0E"/>
    <w:rsid w:val="7FFB0FD5"/>
    <w:rsid w:val="7FFB1901"/>
    <w:rsid w:val="7FFBDBE1"/>
    <w:rsid w:val="7FFC49C0"/>
    <w:rsid w:val="7FFCB479"/>
    <w:rsid w:val="7FFD2A2A"/>
    <w:rsid w:val="7FFD7DFE"/>
    <w:rsid w:val="7FFD9C77"/>
    <w:rsid w:val="7FFDA86C"/>
    <w:rsid w:val="7FFDB096"/>
    <w:rsid w:val="7FFDB0F3"/>
    <w:rsid w:val="7FFDC643"/>
    <w:rsid w:val="7FFDD458"/>
    <w:rsid w:val="7FFDDFE4"/>
    <w:rsid w:val="7FFE2757"/>
    <w:rsid w:val="7FFE2DD0"/>
    <w:rsid w:val="7FFE3649"/>
    <w:rsid w:val="7FFE52A1"/>
    <w:rsid w:val="7FFE5E9D"/>
    <w:rsid w:val="7FFE632C"/>
    <w:rsid w:val="7FFE67AC"/>
    <w:rsid w:val="7FFE6892"/>
    <w:rsid w:val="7FFEE6FA"/>
    <w:rsid w:val="7FFF1A26"/>
    <w:rsid w:val="7FFF1CBC"/>
    <w:rsid w:val="7FFF2B50"/>
    <w:rsid w:val="7FFF2B75"/>
    <w:rsid w:val="7FFF2B7B"/>
    <w:rsid w:val="7FFF2E27"/>
    <w:rsid w:val="7FFF3CD8"/>
    <w:rsid w:val="7FFF4819"/>
    <w:rsid w:val="7FFF5867"/>
    <w:rsid w:val="7FFF603C"/>
    <w:rsid w:val="7FFF63AF"/>
    <w:rsid w:val="7FFF7A69"/>
    <w:rsid w:val="7FFF89EE"/>
    <w:rsid w:val="7FFFAFBF"/>
    <w:rsid w:val="7FFFB40E"/>
    <w:rsid w:val="7FFFC283"/>
    <w:rsid w:val="7FFFD29E"/>
    <w:rsid w:val="7FFFD515"/>
    <w:rsid w:val="7FFFDB13"/>
    <w:rsid w:val="7FFFE28D"/>
    <w:rsid w:val="7FFFE297"/>
    <w:rsid w:val="7FFFF677"/>
    <w:rsid w:val="7FFFFD12"/>
    <w:rsid w:val="82BC0B58"/>
    <w:rsid w:val="87DF4BD3"/>
    <w:rsid w:val="8967E053"/>
    <w:rsid w:val="89768DD9"/>
    <w:rsid w:val="8B5B30F7"/>
    <w:rsid w:val="8B5FF1F1"/>
    <w:rsid w:val="8B5FFF8C"/>
    <w:rsid w:val="8C2F118E"/>
    <w:rsid w:val="8CFE0694"/>
    <w:rsid w:val="8D7BCD2C"/>
    <w:rsid w:val="8D850D6D"/>
    <w:rsid w:val="8DEF4454"/>
    <w:rsid w:val="8E3E0182"/>
    <w:rsid w:val="8EDBF5AF"/>
    <w:rsid w:val="8F4F8269"/>
    <w:rsid w:val="8F7B7E58"/>
    <w:rsid w:val="8F7F8F51"/>
    <w:rsid w:val="8FBF4CCC"/>
    <w:rsid w:val="8FDC44C5"/>
    <w:rsid w:val="8FDF11CA"/>
    <w:rsid w:val="91B9E70F"/>
    <w:rsid w:val="91F33B52"/>
    <w:rsid w:val="937F8D3F"/>
    <w:rsid w:val="937FCAC3"/>
    <w:rsid w:val="93BFDD3E"/>
    <w:rsid w:val="95EEB9BA"/>
    <w:rsid w:val="95FD39D7"/>
    <w:rsid w:val="96B32552"/>
    <w:rsid w:val="96B6F79F"/>
    <w:rsid w:val="96DD1C24"/>
    <w:rsid w:val="96FBDC90"/>
    <w:rsid w:val="97369F89"/>
    <w:rsid w:val="976F0F8E"/>
    <w:rsid w:val="977A6C63"/>
    <w:rsid w:val="97B86FFF"/>
    <w:rsid w:val="97B96388"/>
    <w:rsid w:val="97BA9B2C"/>
    <w:rsid w:val="97BE1ADD"/>
    <w:rsid w:val="97C6AE10"/>
    <w:rsid w:val="97EAB6E5"/>
    <w:rsid w:val="97EFD621"/>
    <w:rsid w:val="97FB30BC"/>
    <w:rsid w:val="97FC8DC3"/>
    <w:rsid w:val="97FDAE71"/>
    <w:rsid w:val="97FDE872"/>
    <w:rsid w:val="97FE300B"/>
    <w:rsid w:val="98DF5D8B"/>
    <w:rsid w:val="98F7840C"/>
    <w:rsid w:val="997F2CBB"/>
    <w:rsid w:val="9A7E22EE"/>
    <w:rsid w:val="9ABF7514"/>
    <w:rsid w:val="9B5F122D"/>
    <w:rsid w:val="9B9DC7B9"/>
    <w:rsid w:val="9BBEC6A8"/>
    <w:rsid w:val="9CCEC41A"/>
    <w:rsid w:val="9CD5690D"/>
    <w:rsid w:val="9CE5FE9B"/>
    <w:rsid w:val="9CE7AD71"/>
    <w:rsid w:val="9D1E2775"/>
    <w:rsid w:val="9D67A132"/>
    <w:rsid w:val="9DB7F840"/>
    <w:rsid w:val="9DB8C930"/>
    <w:rsid w:val="9DCE41AE"/>
    <w:rsid w:val="9DDFAF54"/>
    <w:rsid w:val="9DEB7718"/>
    <w:rsid w:val="9DF79FCA"/>
    <w:rsid w:val="9DFF45E5"/>
    <w:rsid w:val="9DFF99A5"/>
    <w:rsid w:val="9ED7C1C8"/>
    <w:rsid w:val="9EE75DE7"/>
    <w:rsid w:val="9EE9B43F"/>
    <w:rsid w:val="9EF7AE41"/>
    <w:rsid w:val="9EFA1894"/>
    <w:rsid w:val="9EFFE39E"/>
    <w:rsid w:val="9F0B9A33"/>
    <w:rsid w:val="9F5E9965"/>
    <w:rsid w:val="9F5FD350"/>
    <w:rsid w:val="9F67A8EF"/>
    <w:rsid w:val="9F6E75FC"/>
    <w:rsid w:val="9F6F4887"/>
    <w:rsid w:val="9F79B8A8"/>
    <w:rsid w:val="9F995A5E"/>
    <w:rsid w:val="9F9BE3CF"/>
    <w:rsid w:val="9FAE623D"/>
    <w:rsid w:val="9FD54389"/>
    <w:rsid w:val="9FD77F62"/>
    <w:rsid w:val="9FD7BADE"/>
    <w:rsid w:val="9FDFE0BC"/>
    <w:rsid w:val="9FEBFE48"/>
    <w:rsid w:val="9FEEF102"/>
    <w:rsid w:val="9FF10AA4"/>
    <w:rsid w:val="9FF338CE"/>
    <w:rsid w:val="9FF730D4"/>
    <w:rsid w:val="9FFD9B70"/>
    <w:rsid w:val="9FFDA15C"/>
    <w:rsid w:val="9FFF849F"/>
    <w:rsid w:val="9FFFB0C1"/>
    <w:rsid w:val="A37F3B88"/>
    <w:rsid w:val="A3D7EACB"/>
    <w:rsid w:val="A478DD63"/>
    <w:rsid w:val="A55CB1BC"/>
    <w:rsid w:val="A5F640DE"/>
    <w:rsid w:val="A5FF5788"/>
    <w:rsid w:val="A6795F85"/>
    <w:rsid w:val="A6BF5C76"/>
    <w:rsid w:val="A6FB5D7E"/>
    <w:rsid w:val="A72AE318"/>
    <w:rsid w:val="A7B4151D"/>
    <w:rsid w:val="A7BAD74D"/>
    <w:rsid w:val="A7BF4D07"/>
    <w:rsid w:val="A7BF7E7A"/>
    <w:rsid w:val="A7DFB608"/>
    <w:rsid w:val="A7EFC449"/>
    <w:rsid w:val="A7F3625B"/>
    <w:rsid w:val="A7F72C19"/>
    <w:rsid w:val="A7FBE4D5"/>
    <w:rsid w:val="A7FF9A8B"/>
    <w:rsid w:val="A8BEA940"/>
    <w:rsid w:val="A8ED2DCF"/>
    <w:rsid w:val="A9B768DA"/>
    <w:rsid w:val="A9CF7E2B"/>
    <w:rsid w:val="A9FB6AE5"/>
    <w:rsid w:val="A9FF2657"/>
    <w:rsid w:val="AA159777"/>
    <w:rsid w:val="AAF66E50"/>
    <w:rsid w:val="AB7E4180"/>
    <w:rsid w:val="AB7F080B"/>
    <w:rsid w:val="ABBDCCC7"/>
    <w:rsid w:val="ABBF349A"/>
    <w:rsid w:val="ABF6591E"/>
    <w:rsid w:val="ABFC403B"/>
    <w:rsid w:val="AC1D29B3"/>
    <w:rsid w:val="AC3F72DF"/>
    <w:rsid w:val="AC3F8994"/>
    <w:rsid w:val="AD6DBBB2"/>
    <w:rsid w:val="ADBDA66B"/>
    <w:rsid w:val="ADD5F26D"/>
    <w:rsid w:val="ADD6F3EE"/>
    <w:rsid w:val="ADDF3119"/>
    <w:rsid w:val="ADFF16BE"/>
    <w:rsid w:val="AE184284"/>
    <w:rsid w:val="AE3E99AA"/>
    <w:rsid w:val="AE6F9CCE"/>
    <w:rsid w:val="AE9DF49A"/>
    <w:rsid w:val="AE9F7CA1"/>
    <w:rsid w:val="AEB74B11"/>
    <w:rsid w:val="AEBF8F65"/>
    <w:rsid w:val="AEDF7954"/>
    <w:rsid w:val="AEDFB87B"/>
    <w:rsid w:val="AEE0BC38"/>
    <w:rsid w:val="AEFC9FB2"/>
    <w:rsid w:val="AF31E8A7"/>
    <w:rsid w:val="AF5F9205"/>
    <w:rsid w:val="AF65EAB6"/>
    <w:rsid w:val="AF6CE010"/>
    <w:rsid w:val="AF73E54E"/>
    <w:rsid w:val="AF758E7D"/>
    <w:rsid w:val="AF79904B"/>
    <w:rsid w:val="AF79A3D3"/>
    <w:rsid w:val="AF7F7B18"/>
    <w:rsid w:val="AFA2B20D"/>
    <w:rsid w:val="AFAF2022"/>
    <w:rsid w:val="AFBB15C6"/>
    <w:rsid w:val="AFBF1968"/>
    <w:rsid w:val="AFBF8150"/>
    <w:rsid w:val="AFCB6E87"/>
    <w:rsid w:val="AFCD6A2C"/>
    <w:rsid w:val="AFDA05EF"/>
    <w:rsid w:val="AFDB02C5"/>
    <w:rsid w:val="AFDDF0EB"/>
    <w:rsid w:val="AFDE5C40"/>
    <w:rsid w:val="AFDF4B59"/>
    <w:rsid w:val="AFDF9F2D"/>
    <w:rsid w:val="AFE5C814"/>
    <w:rsid w:val="AFEB045A"/>
    <w:rsid w:val="AFEB2FDA"/>
    <w:rsid w:val="AFEEF142"/>
    <w:rsid w:val="AFEF66C2"/>
    <w:rsid w:val="AFF60D47"/>
    <w:rsid w:val="AFF7AA1B"/>
    <w:rsid w:val="AFFB169C"/>
    <w:rsid w:val="AFFDC557"/>
    <w:rsid w:val="AFFF1819"/>
    <w:rsid w:val="AFFF1B4C"/>
    <w:rsid w:val="AFFF8EDD"/>
    <w:rsid w:val="B1BA22D4"/>
    <w:rsid w:val="B1E3322F"/>
    <w:rsid w:val="B1EDAE2F"/>
    <w:rsid w:val="B1FF5D71"/>
    <w:rsid w:val="B1FF835B"/>
    <w:rsid w:val="B236238D"/>
    <w:rsid w:val="B2570148"/>
    <w:rsid w:val="B2E902F3"/>
    <w:rsid w:val="B33B8CE9"/>
    <w:rsid w:val="B33F2817"/>
    <w:rsid w:val="B383F391"/>
    <w:rsid w:val="B3978DB3"/>
    <w:rsid w:val="B3B35A68"/>
    <w:rsid w:val="B3B712E2"/>
    <w:rsid w:val="B3CEB2D2"/>
    <w:rsid w:val="B3FA87E9"/>
    <w:rsid w:val="B3FB4498"/>
    <w:rsid w:val="B3FFCDD8"/>
    <w:rsid w:val="B3FFFBE0"/>
    <w:rsid w:val="B47B9A1C"/>
    <w:rsid w:val="B4F7DE31"/>
    <w:rsid w:val="B4FE23B4"/>
    <w:rsid w:val="B4FF50B3"/>
    <w:rsid w:val="B5558CBB"/>
    <w:rsid w:val="B57C6AE7"/>
    <w:rsid w:val="B5AE815A"/>
    <w:rsid w:val="B5B5ED23"/>
    <w:rsid w:val="B5C58144"/>
    <w:rsid w:val="B5EEEB5D"/>
    <w:rsid w:val="B5F71011"/>
    <w:rsid w:val="B5FADF48"/>
    <w:rsid w:val="B656F5DF"/>
    <w:rsid w:val="B6AACEF2"/>
    <w:rsid w:val="B6B55926"/>
    <w:rsid w:val="B6CD12AB"/>
    <w:rsid w:val="B6F71920"/>
    <w:rsid w:val="B6F7ACEB"/>
    <w:rsid w:val="B6FF7414"/>
    <w:rsid w:val="B71DC705"/>
    <w:rsid w:val="B73F405C"/>
    <w:rsid w:val="B75D50B0"/>
    <w:rsid w:val="B76A6A3F"/>
    <w:rsid w:val="B7779027"/>
    <w:rsid w:val="B77B166B"/>
    <w:rsid w:val="B785361A"/>
    <w:rsid w:val="B797016C"/>
    <w:rsid w:val="B79FF70D"/>
    <w:rsid w:val="B7B7E827"/>
    <w:rsid w:val="B7BB620E"/>
    <w:rsid w:val="B7BD8EAF"/>
    <w:rsid w:val="B7BF236F"/>
    <w:rsid w:val="B7BF3F21"/>
    <w:rsid w:val="B7C21A92"/>
    <w:rsid w:val="B7CD4032"/>
    <w:rsid w:val="B7CFCCDA"/>
    <w:rsid w:val="B7D32034"/>
    <w:rsid w:val="B7D74385"/>
    <w:rsid w:val="B7DA2E16"/>
    <w:rsid w:val="B7DD3669"/>
    <w:rsid w:val="B7DE055B"/>
    <w:rsid w:val="B7DED5A6"/>
    <w:rsid w:val="B7DF4316"/>
    <w:rsid w:val="B7DFD477"/>
    <w:rsid w:val="B7ED74C9"/>
    <w:rsid w:val="B7EFBA03"/>
    <w:rsid w:val="B7F76393"/>
    <w:rsid w:val="B7FAD6BE"/>
    <w:rsid w:val="B7FB1BA8"/>
    <w:rsid w:val="B7FBE736"/>
    <w:rsid w:val="B7FDA794"/>
    <w:rsid w:val="B7FEDCC7"/>
    <w:rsid w:val="B7FF4986"/>
    <w:rsid w:val="B7FF70C9"/>
    <w:rsid w:val="B86EB62F"/>
    <w:rsid w:val="B917BB22"/>
    <w:rsid w:val="B92BD6B7"/>
    <w:rsid w:val="B9357281"/>
    <w:rsid w:val="B97F2EA7"/>
    <w:rsid w:val="B97F32A3"/>
    <w:rsid w:val="B97F3F30"/>
    <w:rsid w:val="B9E96C4D"/>
    <w:rsid w:val="B9FF5EAA"/>
    <w:rsid w:val="B9FFD01E"/>
    <w:rsid w:val="B9FFE265"/>
    <w:rsid w:val="B9FFECF2"/>
    <w:rsid w:val="B9FFEF2B"/>
    <w:rsid w:val="BA6FBA0C"/>
    <w:rsid w:val="BAAB5C0B"/>
    <w:rsid w:val="BABDB184"/>
    <w:rsid w:val="BAD55CDF"/>
    <w:rsid w:val="BAD5609B"/>
    <w:rsid w:val="BADFFAFA"/>
    <w:rsid w:val="BAEF6EDD"/>
    <w:rsid w:val="BAF7F2CD"/>
    <w:rsid w:val="BAFB8663"/>
    <w:rsid w:val="BB377AC8"/>
    <w:rsid w:val="BB3BB390"/>
    <w:rsid w:val="BB5A56A9"/>
    <w:rsid w:val="BB5F5633"/>
    <w:rsid w:val="BB6F6DB2"/>
    <w:rsid w:val="BB7494B2"/>
    <w:rsid w:val="BB7D65AB"/>
    <w:rsid w:val="BB7D8306"/>
    <w:rsid w:val="BB7F1620"/>
    <w:rsid w:val="BB7FB8EE"/>
    <w:rsid w:val="BBC4B3FB"/>
    <w:rsid w:val="BBCBE5F1"/>
    <w:rsid w:val="BBD5B210"/>
    <w:rsid w:val="BBDB06EB"/>
    <w:rsid w:val="BBEB89A4"/>
    <w:rsid w:val="BBF92EB1"/>
    <w:rsid w:val="BBFA5232"/>
    <w:rsid w:val="BBFA9B92"/>
    <w:rsid w:val="BBFC2D3E"/>
    <w:rsid w:val="BBFE03F4"/>
    <w:rsid w:val="BBFF5D4F"/>
    <w:rsid w:val="BBFF6709"/>
    <w:rsid w:val="BBFF6FAE"/>
    <w:rsid w:val="BC9F7254"/>
    <w:rsid w:val="BCA55ABF"/>
    <w:rsid w:val="BCDF8DB9"/>
    <w:rsid w:val="BCE1B4C3"/>
    <w:rsid w:val="BCEFE206"/>
    <w:rsid w:val="BCF3F18F"/>
    <w:rsid w:val="BCF92EE1"/>
    <w:rsid w:val="BCFA761B"/>
    <w:rsid w:val="BCFD2B3B"/>
    <w:rsid w:val="BCFF3003"/>
    <w:rsid w:val="BCFF59AF"/>
    <w:rsid w:val="BD1F1E14"/>
    <w:rsid w:val="BD3D627C"/>
    <w:rsid w:val="BD3DBE0F"/>
    <w:rsid w:val="BD4E7136"/>
    <w:rsid w:val="BD67D9C4"/>
    <w:rsid w:val="BD6EF185"/>
    <w:rsid w:val="BD7B1B66"/>
    <w:rsid w:val="BD926571"/>
    <w:rsid w:val="BD9F8E1D"/>
    <w:rsid w:val="BD9F9A7A"/>
    <w:rsid w:val="BDB77162"/>
    <w:rsid w:val="BDBAB9C8"/>
    <w:rsid w:val="BDBB470D"/>
    <w:rsid w:val="BDBD0E13"/>
    <w:rsid w:val="BDCF8C74"/>
    <w:rsid w:val="BDD5A3DF"/>
    <w:rsid w:val="BDDB4A9C"/>
    <w:rsid w:val="BDDB8E1C"/>
    <w:rsid w:val="BDDD69A7"/>
    <w:rsid w:val="BDDE4444"/>
    <w:rsid w:val="BDDF1B2D"/>
    <w:rsid w:val="BDDF5316"/>
    <w:rsid w:val="BDDFA401"/>
    <w:rsid w:val="BDDFC120"/>
    <w:rsid w:val="BDEBA890"/>
    <w:rsid w:val="BDEE6731"/>
    <w:rsid w:val="BDEF0866"/>
    <w:rsid w:val="BDEF1CC5"/>
    <w:rsid w:val="BDEFBC6D"/>
    <w:rsid w:val="BDF72889"/>
    <w:rsid w:val="BDFB4943"/>
    <w:rsid w:val="BDFB8711"/>
    <w:rsid w:val="BDFE726B"/>
    <w:rsid w:val="BDFEC4E4"/>
    <w:rsid w:val="BDFEE8A4"/>
    <w:rsid w:val="BDFF2B27"/>
    <w:rsid w:val="BDFF5FF3"/>
    <w:rsid w:val="BDFFED5E"/>
    <w:rsid w:val="BE2A007F"/>
    <w:rsid w:val="BE6BE009"/>
    <w:rsid w:val="BE7F7E5B"/>
    <w:rsid w:val="BE7F87B6"/>
    <w:rsid w:val="BE7FD396"/>
    <w:rsid w:val="BE978EFF"/>
    <w:rsid w:val="BE9F2B56"/>
    <w:rsid w:val="BEA7489D"/>
    <w:rsid w:val="BEAF48B8"/>
    <w:rsid w:val="BEAFF101"/>
    <w:rsid w:val="BEBA4650"/>
    <w:rsid w:val="BECF8681"/>
    <w:rsid w:val="BED37C92"/>
    <w:rsid w:val="BED72E7A"/>
    <w:rsid w:val="BEDB201A"/>
    <w:rsid w:val="BEDF0344"/>
    <w:rsid w:val="BEE59257"/>
    <w:rsid w:val="BEE7C009"/>
    <w:rsid w:val="BEE867A0"/>
    <w:rsid w:val="BEEBA150"/>
    <w:rsid w:val="BEEBFB15"/>
    <w:rsid w:val="BEEE49FD"/>
    <w:rsid w:val="BEEE5E0E"/>
    <w:rsid w:val="BEEF7FCB"/>
    <w:rsid w:val="BEF65664"/>
    <w:rsid w:val="BEF7C867"/>
    <w:rsid w:val="BEFDE5D5"/>
    <w:rsid w:val="BEFE63C1"/>
    <w:rsid w:val="BEFF2E59"/>
    <w:rsid w:val="BEFFA657"/>
    <w:rsid w:val="BEFFFB63"/>
    <w:rsid w:val="BF17690E"/>
    <w:rsid w:val="BF1FA955"/>
    <w:rsid w:val="BF2A69DB"/>
    <w:rsid w:val="BF3FD6B8"/>
    <w:rsid w:val="BF5EB9D2"/>
    <w:rsid w:val="BF6E2210"/>
    <w:rsid w:val="BF6F557D"/>
    <w:rsid w:val="BF73537F"/>
    <w:rsid w:val="BF758567"/>
    <w:rsid w:val="BF75956E"/>
    <w:rsid w:val="BF774B69"/>
    <w:rsid w:val="BF7B989C"/>
    <w:rsid w:val="BF7C141F"/>
    <w:rsid w:val="BF7D2EA8"/>
    <w:rsid w:val="BF7DB0B1"/>
    <w:rsid w:val="BF7E0F08"/>
    <w:rsid w:val="BF7F1D63"/>
    <w:rsid w:val="BF7F4212"/>
    <w:rsid w:val="BF7F636E"/>
    <w:rsid w:val="BF7FBF74"/>
    <w:rsid w:val="BF96FF7E"/>
    <w:rsid w:val="BF975F88"/>
    <w:rsid w:val="BF975FCC"/>
    <w:rsid w:val="BF97C55A"/>
    <w:rsid w:val="BF9F03F3"/>
    <w:rsid w:val="BF9F15A8"/>
    <w:rsid w:val="BFABDE55"/>
    <w:rsid w:val="BFAD2264"/>
    <w:rsid w:val="BFAD341C"/>
    <w:rsid w:val="BFAF12DB"/>
    <w:rsid w:val="BFB3C080"/>
    <w:rsid w:val="BFB609B1"/>
    <w:rsid w:val="BFB708F2"/>
    <w:rsid w:val="BFB750D9"/>
    <w:rsid w:val="BFB9BAD9"/>
    <w:rsid w:val="BFBDA93A"/>
    <w:rsid w:val="BFBE2524"/>
    <w:rsid w:val="BFBEC306"/>
    <w:rsid w:val="BFBF809B"/>
    <w:rsid w:val="BFBF884C"/>
    <w:rsid w:val="BFBF91F0"/>
    <w:rsid w:val="BFBFBC73"/>
    <w:rsid w:val="BFD38CB1"/>
    <w:rsid w:val="BFD840E3"/>
    <w:rsid w:val="BFDB24ED"/>
    <w:rsid w:val="BFDF6D9D"/>
    <w:rsid w:val="BFDFD757"/>
    <w:rsid w:val="BFDFF373"/>
    <w:rsid w:val="BFE345E4"/>
    <w:rsid w:val="BFE56F4F"/>
    <w:rsid w:val="BFE5D50B"/>
    <w:rsid w:val="BFE81ECA"/>
    <w:rsid w:val="BFEBDF04"/>
    <w:rsid w:val="BFED18E9"/>
    <w:rsid w:val="BFED791D"/>
    <w:rsid w:val="BFEE7933"/>
    <w:rsid w:val="BFEF4C43"/>
    <w:rsid w:val="BFEF7316"/>
    <w:rsid w:val="BFEF79AD"/>
    <w:rsid w:val="BFEF7B50"/>
    <w:rsid w:val="BFEF8989"/>
    <w:rsid w:val="BFF176B1"/>
    <w:rsid w:val="BFF309D3"/>
    <w:rsid w:val="BFF57CD9"/>
    <w:rsid w:val="BFF5DB20"/>
    <w:rsid w:val="BFF6E89B"/>
    <w:rsid w:val="BFF6FFB8"/>
    <w:rsid w:val="BFF7130D"/>
    <w:rsid w:val="BFF72828"/>
    <w:rsid w:val="BFF7417F"/>
    <w:rsid w:val="BFF75EF5"/>
    <w:rsid w:val="BFF7C8ED"/>
    <w:rsid w:val="BFF81320"/>
    <w:rsid w:val="BFF81906"/>
    <w:rsid w:val="BFF9F019"/>
    <w:rsid w:val="BFFBB927"/>
    <w:rsid w:val="BFFBC4FF"/>
    <w:rsid w:val="BFFC2FDD"/>
    <w:rsid w:val="BFFCD80D"/>
    <w:rsid w:val="BFFDB172"/>
    <w:rsid w:val="BFFDEF89"/>
    <w:rsid w:val="BFFE0685"/>
    <w:rsid w:val="BFFEEFEF"/>
    <w:rsid w:val="BFFF13B1"/>
    <w:rsid w:val="BFFF3785"/>
    <w:rsid w:val="BFFF73CB"/>
    <w:rsid w:val="BFFFB302"/>
    <w:rsid w:val="BFFFB457"/>
    <w:rsid w:val="BFFFB5E0"/>
    <w:rsid w:val="BFFFC622"/>
    <w:rsid w:val="BFFFDBE3"/>
    <w:rsid w:val="BFFFE30A"/>
    <w:rsid w:val="BFFFF0EA"/>
    <w:rsid w:val="C17D8046"/>
    <w:rsid w:val="C2DFE8EF"/>
    <w:rsid w:val="C2FBDDC9"/>
    <w:rsid w:val="C33F44A8"/>
    <w:rsid w:val="C4F61460"/>
    <w:rsid w:val="C5DC460E"/>
    <w:rsid w:val="C5F59D71"/>
    <w:rsid w:val="C5F7C12B"/>
    <w:rsid w:val="C5FE52AC"/>
    <w:rsid w:val="C71BB9E9"/>
    <w:rsid w:val="C73F35FB"/>
    <w:rsid w:val="C77D15EB"/>
    <w:rsid w:val="C79EA8B9"/>
    <w:rsid w:val="C7AA8E49"/>
    <w:rsid w:val="C7CA01C3"/>
    <w:rsid w:val="C7D25FDD"/>
    <w:rsid w:val="C7F7EF31"/>
    <w:rsid w:val="C7FD0B4C"/>
    <w:rsid w:val="C7FD9DB8"/>
    <w:rsid w:val="C7FF2926"/>
    <w:rsid w:val="C83F321C"/>
    <w:rsid w:val="C92DAFA0"/>
    <w:rsid w:val="C95CE9FC"/>
    <w:rsid w:val="C97B5E25"/>
    <w:rsid w:val="C99FABFE"/>
    <w:rsid w:val="C9DE6FC4"/>
    <w:rsid w:val="C9DF366C"/>
    <w:rsid w:val="C9EE97F4"/>
    <w:rsid w:val="C9F59444"/>
    <w:rsid w:val="C9FF7F0B"/>
    <w:rsid w:val="CADEACC9"/>
    <w:rsid w:val="CB168BB2"/>
    <w:rsid w:val="CB7CAA5F"/>
    <w:rsid w:val="CB9F36E6"/>
    <w:rsid w:val="CBABE15F"/>
    <w:rsid w:val="CBD787FC"/>
    <w:rsid w:val="CBF35E96"/>
    <w:rsid w:val="CBFF7547"/>
    <w:rsid w:val="CDF70CA0"/>
    <w:rsid w:val="CDF717F0"/>
    <w:rsid w:val="CDF73189"/>
    <w:rsid w:val="CDF7D69E"/>
    <w:rsid w:val="CDFF647A"/>
    <w:rsid w:val="CDFFFAD3"/>
    <w:rsid w:val="CE77522F"/>
    <w:rsid w:val="CE7F849A"/>
    <w:rsid w:val="CEB76E7C"/>
    <w:rsid w:val="CEBB34E2"/>
    <w:rsid w:val="CEBF48FA"/>
    <w:rsid w:val="CECF5B27"/>
    <w:rsid w:val="CED75683"/>
    <w:rsid w:val="CEEB6E8D"/>
    <w:rsid w:val="CEEB82E0"/>
    <w:rsid w:val="CEEC3213"/>
    <w:rsid w:val="CEFB3A41"/>
    <w:rsid w:val="CEFB9AD6"/>
    <w:rsid w:val="CEFDCC36"/>
    <w:rsid w:val="CEFFFD74"/>
    <w:rsid w:val="CF54B4F0"/>
    <w:rsid w:val="CF5EBDFE"/>
    <w:rsid w:val="CF5F389B"/>
    <w:rsid w:val="CF7544C8"/>
    <w:rsid w:val="CF7E80A7"/>
    <w:rsid w:val="CF7F5DCF"/>
    <w:rsid w:val="CFA9E72D"/>
    <w:rsid w:val="CFAD2D13"/>
    <w:rsid w:val="CFB5D4DA"/>
    <w:rsid w:val="CFBB0F5F"/>
    <w:rsid w:val="CFBB4E65"/>
    <w:rsid w:val="CFBEAA0B"/>
    <w:rsid w:val="CFD1BF1E"/>
    <w:rsid w:val="CFDF052A"/>
    <w:rsid w:val="CFEF314D"/>
    <w:rsid w:val="CFEFA210"/>
    <w:rsid w:val="CFFE3621"/>
    <w:rsid w:val="CFFEF2DF"/>
    <w:rsid w:val="CFFFA5B7"/>
    <w:rsid w:val="CFFFC899"/>
    <w:rsid w:val="D07ECED0"/>
    <w:rsid w:val="D094A6D3"/>
    <w:rsid w:val="D0BF3626"/>
    <w:rsid w:val="D0EF7373"/>
    <w:rsid w:val="D1FB5B07"/>
    <w:rsid w:val="D1FF88F0"/>
    <w:rsid w:val="D2F7731F"/>
    <w:rsid w:val="D35F7638"/>
    <w:rsid w:val="D38FBCF0"/>
    <w:rsid w:val="D3AE0F27"/>
    <w:rsid w:val="D3EE8EFC"/>
    <w:rsid w:val="D3F6F3D5"/>
    <w:rsid w:val="D3F92E7C"/>
    <w:rsid w:val="D3FD859B"/>
    <w:rsid w:val="D4152B26"/>
    <w:rsid w:val="D4B67989"/>
    <w:rsid w:val="D4BF688A"/>
    <w:rsid w:val="D4F31D92"/>
    <w:rsid w:val="D4FF2CC7"/>
    <w:rsid w:val="D567B2BC"/>
    <w:rsid w:val="D5749F9D"/>
    <w:rsid w:val="D577C0CD"/>
    <w:rsid w:val="D5AF92A3"/>
    <w:rsid w:val="D5BE8D0B"/>
    <w:rsid w:val="D5BF443F"/>
    <w:rsid w:val="D5FDE108"/>
    <w:rsid w:val="D63F3F08"/>
    <w:rsid w:val="D67F3B1C"/>
    <w:rsid w:val="D6B7C56E"/>
    <w:rsid w:val="D6CB6971"/>
    <w:rsid w:val="D6F35192"/>
    <w:rsid w:val="D6F537F3"/>
    <w:rsid w:val="D6FAA107"/>
    <w:rsid w:val="D6FF5A81"/>
    <w:rsid w:val="D6FF81DA"/>
    <w:rsid w:val="D73FD0EB"/>
    <w:rsid w:val="D74F10A4"/>
    <w:rsid w:val="D76FF34F"/>
    <w:rsid w:val="D789EE3B"/>
    <w:rsid w:val="D78BC6CB"/>
    <w:rsid w:val="D78E49FC"/>
    <w:rsid w:val="D79FE2FE"/>
    <w:rsid w:val="D7B7AF62"/>
    <w:rsid w:val="D7BB8B79"/>
    <w:rsid w:val="D7BD75BF"/>
    <w:rsid w:val="D7CB936C"/>
    <w:rsid w:val="D7D3E045"/>
    <w:rsid w:val="D7DBE10F"/>
    <w:rsid w:val="D7DF1989"/>
    <w:rsid w:val="D7F3D7A7"/>
    <w:rsid w:val="D7F7F7AA"/>
    <w:rsid w:val="D7FB1AEE"/>
    <w:rsid w:val="D7FBD116"/>
    <w:rsid w:val="D8E79B2C"/>
    <w:rsid w:val="D8F8F998"/>
    <w:rsid w:val="D8FF532D"/>
    <w:rsid w:val="D93F2EC6"/>
    <w:rsid w:val="D9D7525E"/>
    <w:rsid w:val="D9EB4C21"/>
    <w:rsid w:val="D9F42EDF"/>
    <w:rsid w:val="D9FB114B"/>
    <w:rsid w:val="D9FD2F15"/>
    <w:rsid w:val="DA5F8F29"/>
    <w:rsid w:val="DA6F52A0"/>
    <w:rsid w:val="DA7FF5ED"/>
    <w:rsid w:val="DA9B49C8"/>
    <w:rsid w:val="DAB53AE6"/>
    <w:rsid w:val="DADD8B31"/>
    <w:rsid w:val="DAE1DF62"/>
    <w:rsid w:val="DAEF626F"/>
    <w:rsid w:val="DAF627B0"/>
    <w:rsid w:val="DAFBDF6A"/>
    <w:rsid w:val="DAFDD8B7"/>
    <w:rsid w:val="DAFE2DBA"/>
    <w:rsid w:val="DAFEDE68"/>
    <w:rsid w:val="DB0D0C70"/>
    <w:rsid w:val="DB25727E"/>
    <w:rsid w:val="DB672330"/>
    <w:rsid w:val="DB6DEE64"/>
    <w:rsid w:val="DB774B5A"/>
    <w:rsid w:val="DB78449B"/>
    <w:rsid w:val="DB7F109E"/>
    <w:rsid w:val="DB8FE8EF"/>
    <w:rsid w:val="DB9E59A0"/>
    <w:rsid w:val="DB9F798C"/>
    <w:rsid w:val="DBAEF6B3"/>
    <w:rsid w:val="DBAF534A"/>
    <w:rsid w:val="DBB5FE76"/>
    <w:rsid w:val="DBB78F83"/>
    <w:rsid w:val="DBBC509E"/>
    <w:rsid w:val="DBBD742C"/>
    <w:rsid w:val="DBC722E0"/>
    <w:rsid w:val="DBCB4422"/>
    <w:rsid w:val="DBCC5F90"/>
    <w:rsid w:val="DBD39A22"/>
    <w:rsid w:val="DBD619CC"/>
    <w:rsid w:val="DBDF1E2A"/>
    <w:rsid w:val="DBDF2D9B"/>
    <w:rsid w:val="DBDF7A85"/>
    <w:rsid w:val="DBE7417C"/>
    <w:rsid w:val="DBE91B83"/>
    <w:rsid w:val="DBF93E77"/>
    <w:rsid w:val="DBFDCC5F"/>
    <w:rsid w:val="DBFDE244"/>
    <w:rsid w:val="DBFE4472"/>
    <w:rsid w:val="DBFF52A8"/>
    <w:rsid w:val="DBFF926A"/>
    <w:rsid w:val="DBFFB750"/>
    <w:rsid w:val="DBFFEA4C"/>
    <w:rsid w:val="DCAEF17F"/>
    <w:rsid w:val="DCBEF3CF"/>
    <w:rsid w:val="DCDFFE46"/>
    <w:rsid w:val="DCEAA286"/>
    <w:rsid w:val="DCFD553E"/>
    <w:rsid w:val="DCFD96F6"/>
    <w:rsid w:val="DCFF9595"/>
    <w:rsid w:val="DD3C921B"/>
    <w:rsid w:val="DD4DB882"/>
    <w:rsid w:val="DD7463D7"/>
    <w:rsid w:val="DD7EFB30"/>
    <w:rsid w:val="DD7FEC6C"/>
    <w:rsid w:val="DD9C0688"/>
    <w:rsid w:val="DD9F717E"/>
    <w:rsid w:val="DDAC905B"/>
    <w:rsid w:val="DDB3B068"/>
    <w:rsid w:val="DDB694F5"/>
    <w:rsid w:val="DDB7573C"/>
    <w:rsid w:val="DDB75A45"/>
    <w:rsid w:val="DDC5CDA4"/>
    <w:rsid w:val="DDCF1986"/>
    <w:rsid w:val="DDCF1C0B"/>
    <w:rsid w:val="DDDF5762"/>
    <w:rsid w:val="DDDF7096"/>
    <w:rsid w:val="DDDFAA13"/>
    <w:rsid w:val="DDE70558"/>
    <w:rsid w:val="DDF584EC"/>
    <w:rsid w:val="DDF72FC6"/>
    <w:rsid w:val="DDF784B5"/>
    <w:rsid w:val="DDFB9310"/>
    <w:rsid w:val="DDFD6E90"/>
    <w:rsid w:val="DDFDB2DB"/>
    <w:rsid w:val="DDFE1EC2"/>
    <w:rsid w:val="DDFF6159"/>
    <w:rsid w:val="DDFF86B4"/>
    <w:rsid w:val="DDFF9F44"/>
    <w:rsid w:val="DDFFA18F"/>
    <w:rsid w:val="DE1738CB"/>
    <w:rsid w:val="DE36319C"/>
    <w:rsid w:val="DE3B1081"/>
    <w:rsid w:val="DE553679"/>
    <w:rsid w:val="DE594AB1"/>
    <w:rsid w:val="DE6D332C"/>
    <w:rsid w:val="DE76970C"/>
    <w:rsid w:val="DEB36BFA"/>
    <w:rsid w:val="DEB5E635"/>
    <w:rsid w:val="DEB92746"/>
    <w:rsid w:val="DEC75BAB"/>
    <w:rsid w:val="DED65484"/>
    <w:rsid w:val="DED71819"/>
    <w:rsid w:val="DEDF7DC0"/>
    <w:rsid w:val="DEDFA01A"/>
    <w:rsid w:val="DEE1EB39"/>
    <w:rsid w:val="DEEDFFAC"/>
    <w:rsid w:val="DEF5B759"/>
    <w:rsid w:val="DEF71950"/>
    <w:rsid w:val="DEFC1DF4"/>
    <w:rsid w:val="DEFC71B4"/>
    <w:rsid w:val="DEFD95FE"/>
    <w:rsid w:val="DEFE8D83"/>
    <w:rsid w:val="DEFEA04C"/>
    <w:rsid w:val="DEFED10D"/>
    <w:rsid w:val="DEFF3797"/>
    <w:rsid w:val="DEFF5E0B"/>
    <w:rsid w:val="DF0F643A"/>
    <w:rsid w:val="DF170B86"/>
    <w:rsid w:val="DF2EB3FB"/>
    <w:rsid w:val="DF3AD80D"/>
    <w:rsid w:val="DF3BCF10"/>
    <w:rsid w:val="DF3F8719"/>
    <w:rsid w:val="DF4F1841"/>
    <w:rsid w:val="DF4FB43B"/>
    <w:rsid w:val="DF5F5DC3"/>
    <w:rsid w:val="DF5FE823"/>
    <w:rsid w:val="DF631D73"/>
    <w:rsid w:val="DF6B4488"/>
    <w:rsid w:val="DF6E3FBA"/>
    <w:rsid w:val="DF764CC0"/>
    <w:rsid w:val="DF77C905"/>
    <w:rsid w:val="DF7BB614"/>
    <w:rsid w:val="DF7BECE3"/>
    <w:rsid w:val="DF7F3481"/>
    <w:rsid w:val="DF7F3BFB"/>
    <w:rsid w:val="DF7F53E8"/>
    <w:rsid w:val="DF7F7280"/>
    <w:rsid w:val="DF7F9579"/>
    <w:rsid w:val="DF7FB163"/>
    <w:rsid w:val="DF7FD2D2"/>
    <w:rsid w:val="DF9712EB"/>
    <w:rsid w:val="DF9A0C9C"/>
    <w:rsid w:val="DF9F59F7"/>
    <w:rsid w:val="DFA60FA0"/>
    <w:rsid w:val="DFAA47AD"/>
    <w:rsid w:val="DFAB00EF"/>
    <w:rsid w:val="DFB51AE3"/>
    <w:rsid w:val="DFB73033"/>
    <w:rsid w:val="DFB7E55E"/>
    <w:rsid w:val="DFBDE6EF"/>
    <w:rsid w:val="DFBF8C91"/>
    <w:rsid w:val="DFBFE83C"/>
    <w:rsid w:val="DFBFFEDE"/>
    <w:rsid w:val="DFC64463"/>
    <w:rsid w:val="DFCA672D"/>
    <w:rsid w:val="DFCF36A7"/>
    <w:rsid w:val="DFD323C8"/>
    <w:rsid w:val="DFD7F009"/>
    <w:rsid w:val="DFDDCCB9"/>
    <w:rsid w:val="DFDDEFD0"/>
    <w:rsid w:val="DFDDFA50"/>
    <w:rsid w:val="DFDE6926"/>
    <w:rsid w:val="DFDEC2DB"/>
    <w:rsid w:val="DFDF0A99"/>
    <w:rsid w:val="DFDF670C"/>
    <w:rsid w:val="DFDFD250"/>
    <w:rsid w:val="DFE5E0D9"/>
    <w:rsid w:val="DFE979FC"/>
    <w:rsid w:val="DFEB304F"/>
    <w:rsid w:val="DFEBB2F6"/>
    <w:rsid w:val="DFF11A52"/>
    <w:rsid w:val="DFF27287"/>
    <w:rsid w:val="DFF30F33"/>
    <w:rsid w:val="DFF4B861"/>
    <w:rsid w:val="DFF4EAF7"/>
    <w:rsid w:val="DFF52743"/>
    <w:rsid w:val="DFF65A77"/>
    <w:rsid w:val="DFF70C4F"/>
    <w:rsid w:val="DFF7A1AE"/>
    <w:rsid w:val="DFF7C2D6"/>
    <w:rsid w:val="DFF7F2B0"/>
    <w:rsid w:val="DFFA9FB5"/>
    <w:rsid w:val="DFFABFD6"/>
    <w:rsid w:val="DFFB3C8E"/>
    <w:rsid w:val="DFFB9544"/>
    <w:rsid w:val="DFFBCBC6"/>
    <w:rsid w:val="DFFCD851"/>
    <w:rsid w:val="DFFD71E0"/>
    <w:rsid w:val="DFFD8807"/>
    <w:rsid w:val="DFFD925F"/>
    <w:rsid w:val="DFFDADF4"/>
    <w:rsid w:val="DFFE9393"/>
    <w:rsid w:val="DFFEB2CF"/>
    <w:rsid w:val="DFFEF72C"/>
    <w:rsid w:val="DFFF61A6"/>
    <w:rsid w:val="DFFFF927"/>
    <w:rsid w:val="DFFFFC7F"/>
    <w:rsid w:val="E0AF1D78"/>
    <w:rsid w:val="E0FF28A7"/>
    <w:rsid w:val="E13FBA8C"/>
    <w:rsid w:val="E16A0D38"/>
    <w:rsid w:val="E17F48CC"/>
    <w:rsid w:val="E1F737A2"/>
    <w:rsid w:val="E27EC264"/>
    <w:rsid w:val="E2BCED85"/>
    <w:rsid w:val="E2BFE2BA"/>
    <w:rsid w:val="E2FF7F00"/>
    <w:rsid w:val="E397B706"/>
    <w:rsid w:val="E397CD9C"/>
    <w:rsid w:val="E3E107F6"/>
    <w:rsid w:val="E3EA65ED"/>
    <w:rsid w:val="E3FC49F1"/>
    <w:rsid w:val="E3FD14D0"/>
    <w:rsid w:val="E3FE9B42"/>
    <w:rsid w:val="E3FFB07C"/>
    <w:rsid w:val="E43E3EDC"/>
    <w:rsid w:val="E45C425E"/>
    <w:rsid w:val="E47FF16B"/>
    <w:rsid w:val="E4FF0856"/>
    <w:rsid w:val="E53F7DB1"/>
    <w:rsid w:val="E55D8E27"/>
    <w:rsid w:val="E5658FC8"/>
    <w:rsid w:val="E57E1AB8"/>
    <w:rsid w:val="E57FDF7C"/>
    <w:rsid w:val="E57FFFEA"/>
    <w:rsid w:val="E5BBCA3E"/>
    <w:rsid w:val="E5CFD851"/>
    <w:rsid w:val="E5FB3773"/>
    <w:rsid w:val="E5FDBAD0"/>
    <w:rsid w:val="E62B8032"/>
    <w:rsid w:val="E65B65EB"/>
    <w:rsid w:val="E67F3C8B"/>
    <w:rsid w:val="E6AF456C"/>
    <w:rsid w:val="E6BE5673"/>
    <w:rsid w:val="E6DDA301"/>
    <w:rsid w:val="E6EF2F3A"/>
    <w:rsid w:val="E6F4A8A8"/>
    <w:rsid w:val="E73E3EA8"/>
    <w:rsid w:val="E73F2791"/>
    <w:rsid w:val="E76D89BF"/>
    <w:rsid w:val="E777E884"/>
    <w:rsid w:val="E77A091C"/>
    <w:rsid w:val="E79FC637"/>
    <w:rsid w:val="E7A1537F"/>
    <w:rsid w:val="E7A3811A"/>
    <w:rsid w:val="E7AB185E"/>
    <w:rsid w:val="E7AD9030"/>
    <w:rsid w:val="E7ADC2C9"/>
    <w:rsid w:val="E7BBEA53"/>
    <w:rsid w:val="E7BC883B"/>
    <w:rsid w:val="E7D78BED"/>
    <w:rsid w:val="E7DB8B8F"/>
    <w:rsid w:val="E7DBBD58"/>
    <w:rsid w:val="E7DEF2E9"/>
    <w:rsid w:val="E7DF7964"/>
    <w:rsid w:val="E7DFA2A0"/>
    <w:rsid w:val="E7ED7C94"/>
    <w:rsid w:val="E7F7E4C8"/>
    <w:rsid w:val="E7FD4D85"/>
    <w:rsid w:val="E7FD57DE"/>
    <w:rsid w:val="E7FD7119"/>
    <w:rsid w:val="E7FF58DC"/>
    <w:rsid w:val="E7FF94D4"/>
    <w:rsid w:val="E7FFA8BE"/>
    <w:rsid w:val="E7FFD1D0"/>
    <w:rsid w:val="E7FFD724"/>
    <w:rsid w:val="E7FFEDD4"/>
    <w:rsid w:val="E83FE0BB"/>
    <w:rsid w:val="E8D91461"/>
    <w:rsid w:val="E8DA51DA"/>
    <w:rsid w:val="E8FD692D"/>
    <w:rsid w:val="E9479BC9"/>
    <w:rsid w:val="E977E319"/>
    <w:rsid w:val="E9B34CC6"/>
    <w:rsid w:val="E9BAA985"/>
    <w:rsid w:val="E9DA09D2"/>
    <w:rsid w:val="E9E9B95A"/>
    <w:rsid w:val="E9FD1757"/>
    <w:rsid w:val="E9FD7CE9"/>
    <w:rsid w:val="E9FE0E5A"/>
    <w:rsid w:val="EA5D72FC"/>
    <w:rsid w:val="EAA95DB4"/>
    <w:rsid w:val="EABDF98B"/>
    <w:rsid w:val="EAEF0E66"/>
    <w:rsid w:val="EAFC87B3"/>
    <w:rsid w:val="EAFFB49A"/>
    <w:rsid w:val="EB5DA3D7"/>
    <w:rsid w:val="EB7C0C86"/>
    <w:rsid w:val="EBA9D027"/>
    <w:rsid w:val="EBAE2AC9"/>
    <w:rsid w:val="EBB6F225"/>
    <w:rsid w:val="EBBD19CB"/>
    <w:rsid w:val="EBBD6F2F"/>
    <w:rsid w:val="EBD4D6B2"/>
    <w:rsid w:val="EBD757AB"/>
    <w:rsid w:val="EBD7F080"/>
    <w:rsid w:val="EBDE1401"/>
    <w:rsid w:val="EBDFB7BE"/>
    <w:rsid w:val="EBE75FD7"/>
    <w:rsid w:val="EBED0160"/>
    <w:rsid w:val="EBED6A0C"/>
    <w:rsid w:val="EBEDDCDE"/>
    <w:rsid w:val="EBEF5607"/>
    <w:rsid w:val="EBF375BE"/>
    <w:rsid w:val="EBF37F72"/>
    <w:rsid w:val="EBFED7C1"/>
    <w:rsid w:val="EBFEF9AE"/>
    <w:rsid w:val="EBFFFA25"/>
    <w:rsid w:val="EC2DB016"/>
    <w:rsid w:val="EC5F0908"/>
    <w:rsid w:val="EC7EF27C"/>
    <w:rsid w:val="EC9F4E52"/>
    <w:rsid w:val="ECAFDE15"/>
    <w:rsid w:val="ECBAE00D"/>
    <w:rsid w:val="ECBC45BE"/>
    <w:rsid w:val="ECDE6CFB"/>
    <w:rsid w:val="ECFDF5DE"/>
    <w:rsid w:val="ECFF31E2"/>
    <w:rsid w:val="ECFF52C7"/>
    <w:rsid w:val="ED1E5257"/>
    <w:rsid w:val="ED36C4C6"/>
    <w:rsid w:val="ED3F7EF7"/>
    <w:rsid w:val="ED6D2719"/>
    <w:rsid w:val="ED771826"/>
    <w:rsid w:val="ED9D5F10"/>
    <w:rsid w:val="EDAE8E18"/>
    <w:rsid w:val="EDB77281"/>
    <w:rsid w:val="EDBDA909"/>
    <w:rsid w:val="EDCD6E40"/>
    <w:rsid w:val="EDD5BA00"/>
    <w:rsid w:val="EDD93CEB"/>
    <w:rsid w:val="EDDE52BB"/>
    <w:rsid w:val="EDDFDBC6"/>
    <w:rsid w:val="EDE78138"/>
    <w:rsid w:val="EDEF6C3D"/>
    <w:rsid w:val="EDF3DE26"/>
    <w:rsid w:val="EDF7B93D"/>
    <w:rsid w:val="EDF7FBA6"/>
    <w:rsid w:val="EDFB3E2C"/>
    <w:rsid w:val="EDFB76FC"/>
    <w:rsid w:val="EDFC9C6F"/>
    <w:rsid w:val="EDFF1E7F"/>
    <w:rsid w:val="EDFF31B7"/>
    <w:rsid w:val="EDFF7D8B"/>
    <w:rsid w:val="EDFFC63C"/>
    <w:rsid w:val="EDFFCDB2"/>
    <w:rsid w:val="EDFFF53F"/>
    <w:rsid w:val="EE4607B3"/>
    <w:rsid w:val="EE6E9513"/>
    <w:rsid w:val="EE6F33B7"/>
    <w:rsid w:val="EE75A79D"/>
    <w:rsid w:val="EE7722C6"/>
    <w:rsid w:val="EE790347"/>
    <w:rsid w:val="EE7B5098"/>
    <w:rsid w:val="EE7DC923"/>
    <w:rsid w:val="EE97653B"/>
    <w:rsid w:val="EEAB8E65"/>
    <w:rsid w:val="EEBF7B54"/>
    <w:rsid w:val="EEDFE517"/>
    <w:rsid w:val="EEE30AAE"/>
    <w:rsid w:val="EEEC4735"/>
    <w:rsid w:val="EEF23AA6"/>
    <w:rsid w:val="EEF35BB5"/>
    <w:rsid w:val="EEF6AD0A"/>
    <w:rsid w:val="EEF714B9"/>
    <w:rsid w:val="EEFB6F66"/>
    <w:rsid w:val="EEFF0499"/>
    <w:rsid w:val="EEFF0CCF"/>
    <w:rsid w:val="EEFF187F"/>
    <w:rsid w:val="EEFF6AE9"/>
    <w:rsid w:val="EEFF707C"/>
    <w:rsid w:val="EEFF73B2"/>
    <w:rsid w:val="EEFFCB9D"/>
    <w:rsid w:val="EEFFDDDE"/>
    <w:rsid w:val="EF369BE0"/>
    <w:rsid w:val="EF36BF83"/>
    <w:rsid w:val="EF3B1660"/>
    <w:rsid w:val="EF3B3E60"/>
    <w:rsid w:val="EF4F545F"/>
    <w:rsid w:val="EF5356AC"/>
    <w:rsid w:val="EF5C6513"/>
    <w:rsid w:val="EF5FCD60"/>
    <w:rsid w:val="EF6A7CC1"/>
    <w:rsid w:val="EF6FA2E0"/>
    <w:rsid w:val="EF77DDDD"/>
    <w:rsid w:val="EF78A7DA"/>
    <w:rsid w:val="EF7BAF7A"/>
    <w:rsid w:val="EF7D098C"/>
    <w:rsid w:val="EF7DAD80"/>
    <w:rsid w:val="EF7E7659"/>
    <w:rsid w:val="EF7EDEA6"/>
    <w:rsid w:val="EF7EF04D"/>
    <w:rsid w:val="EF7FF643"/>
    <w:rsid w:val="EF97251F"/>
    <w:rsid w:val="EF9728CD"/>
    <w:rsid w:val="EF99E9EF"/>
    <w:rsid w:val="EF9DBFF7"/>
    <w:rsid w:val="EFABAF72"/>
    <w:rsid w:val="EFB724A3"/>
    <w:rsid w:val="EFB753CE"/>
    <w:rsid w:val="EFB76BFB"/>
    <w:rsid w:val="EFB78285"/>
    <w:rsid w:val="EFB9630A"/>
    <w:rsid w:val="EFBE3968"/>
    <w:rsid w:val="EFBEF4A8"/>
    <w:rsid w:val="EFBF3661"/>
    <w:rsid w:val="EFBF5067"/>
    <w:rsid w:val="EFBF7483"/>
    <w:rsid w:val="EFBF8BF6"/>
    <w:rsid w:val="EFBFFE5B"/>
    <w:rsid w:val="EFC73949"/>
    <w:rsid w:val="EFCBEEB1"/>
    <w:rsid w:val="EFCEE4FA"/>
    <w:rsid w:val="EFCF3FEE"/>
    <w:rsid w:val="EFD8F5CD"/>
    <w:rsid w:val="EFDAA7CF"/>
    <w:rsid w:val="EFDB4434"/>
    <w:rsid w:val="EFDCC5D8"/>
    <w:rsid w:val="EFDE0CBC"/>
    <w:rsid w:val="EFDE3F90"/>
    <w:rsid w:val="EFDE46DE"/>
    <w:rsid w:val="EFDE8183"/>
    <w:rsid w:val="EFE3FAF6"/>
    <w:rsid w:val="EFE740DB"/>
    <w:rsid w:val="EFE952DD"/>
    <w:rsid w:val="EFE9B4F4"/>
    <w:rsid w:val="EFE9B96C"/>
    <w:rsid w:val="EFEB2A11"/>
    <w:rsid w:val="EFEB6C8E"/>
    <w:rsid w:val="EFECE11B"/>
    <w:rsid w:val="EFEDE247"/>
    <w:rsid w:val="EFEF43FD"/>
    <w:rsid w:val="EFEF71FB"/>
    <w:rsid w:val="EFF185B1"/>
    <w:rsid w:val="EFF5DB44"/>
    <w:rsid w:val="EFF70B25"/>
    <w:rsid w:val="EFF72E6A"/>
    <w:rsid w:val="EFF7430A"/>
    <w:rsid w:val="EFF778E7"/>
    <w:rsid w:val="EFF93B25"/>
    <w:rsid w:val="EFFBE610"/>
    <w:rsid w:val="EFFCDA03"/>
    <w:rsid w:val="EFFDCC43"/>
    <w:rsid w:val="EFFDE765"/>
    <w:rsid w:val="EFFE77B2"/>
    <w:rsid w:val="EFFED963"/>
    <w:rsid w:val="EFFEF455"/>
    <w:rsid w:val="EFFF356D"/>
    <w:rsid w:val="EFFF451A"/>
    <w:rsid w:val="EFFF6AA8"/>
    <w:rsid w:val="EFFF7073"/>
    <w:rsid w:val="EFFFC464"/>
    <w:rsid w:val="EFFFCF85"/>
    <w:rsid w:val="EFFFD7D2"/>
    <w:rsid w:val="EFFFD9D1"/>
    <w:rsid w:val="EFFFDFE7"/>
    <w:rsid w:val="EFFFF5FB"/>
    <w:rsid w:val="F06FF8F8"/>
    <w:rsid w:val="F0B6BCBE"/>
    <w:rsid w:val="F14D7FA1"/>
    <w:rsid w:val="F16B6208"/>
    <w:rsid w:val="F17A5F6C"/>
    <w:rsid w:val="F17F714D"/>
    <w:rsid w:val="F19F7130"/>
    <w:rsid w:val="F1BF70F3"/>
    <w:rsid w:val="F1CEFAA1"/>
    <w:rsid w:val="F1E45574"/>
    <w:rsid w:val="F1ED9ABF"/>
    <w:rsid w:val="F1EF5ACA"/>
    <w:rsid w:val="F1FDFB63"/>
    <w:rsid w:val="F1FFD702"/>
    <w:rsid w:val="F21BF843"/>
    <w:rsid w:val="F23907AC"/>
    <w:rsid w:val="F275A0D4"/>
    <w:rsid w:val="F27E9FCF"/>
    <w:rsid w:val="F28C749D"/>
    <w:rsid w:val="F2AF93C4"/>
    <w:rsid w:val="F2C38EC2"/>
    <w:rsid w:val="F2EC3274"/>
    <w:rsid w:val="F2FA8DE0"/>
    <w:rsid w:val="F32D917E"/>
    <w:rsid w:val="F33DF8B8"/>
    <w:rsid w:val="F3578C15"/>
    <w:rsid w:val="F357B558"/>
    <w:rsid w:val="F35F8EC1"/>
    <w:rsid w:val="F35FEF01"/>
    <w:rsid w:val="F3734918"/>
    <w:rsid w:val="F3758DCF"/>
    <w:rsid w:val="F376D744"/>
    <w:rsid w:val="F37F1BB9"/>
    <w:rsid w:val="F37F3E61"/>
    <w:rsid w:val="F38765D3"/>
    <w:rsid w:val="F39D013B"/>
    <w:rsid w:val="F39F4642"/>
    <w:rsid w:val="F3BD876A"/>
    <w:rsid w:val="F3BE0C79"/>
    <w:rsid w:val="F3BF0A63"/>
    <w:rsid w:val="F3DB2BBA"/>
    <w:rsid w:val="F3DBF6B6"/>
    <w:rsid w:val="F3EDC237"/>
    <w:rsid w:val="F3EF681C"/>
    <w:rsid w:val="F3F337AE"/>
    <w:rsid w:val="F3F512F0"/>
    <w:rsid w:val="F3FD77CD"/>
    <w:rsid w:val="F3FE1997"/>
    <w:rsid w:val="F3FE5F8C"/>
    <w:rsid w:val="F3FEA1D4"/>
    <w:rsid w:val="F3FFA0B3"/>
    <w:rsid w:val="F3FFC76B"/>
    <w:rsid w:val="F46F725B"/>
    <w:rsid w:val="F4D32247"/>
    <w:rsid w:val="F4DF84FD"/>
    <w:rsid w:val="F4E07B15"/>
    <w:rsid w:val="F4FE35DD"/>
    <w:rsid w:val="F5058119"/>
    <w:rsid w:val="F51F38F3"/>
    <w:rsid w:val="F54A865D"/>
    <w:rsid w:val="F55C4C3B"/>
    <w:rsid w:val="F55E4680"/>
    <w:rsid w:val="F55F42AD"/>
    <w:rsid w:val="F5612709"/>
    <w:rsid w:val="F5781B28"/>
    <w:rsid w:val="F59BA61C"/>
    <w:rsid w:val="F59EA439"/>
    <w:rsid w:val="F5BD919D"/>
    <w:rsid w:val="F5D371E9"/>
    <w:rsid w:val="F5DF07FA"/>
    <w:rsid w:val="F5DF3108"/>
    <w:rsid w:val="F5E1E1E7"/>
    <w:rsid w:val="F5EFBF5F"/>
    <w:rsid w:val="F5F57D71"/>
    <w:rsid w:val="F5F660BB"/>
    <w:rsid w:val="F5F6DFEF"/>
    <w:rsid w:val="F5F95CE8"/>
    <w:rsid w:val="F5FB49E0"/>
    <w:rsid w:val="F5FCEB6B"/>
    <w:rsid w:val="F5FDAF33"/>
    <w:rsid w:val="F5FF10F2"/>
    <w:rsid w:val="F5FF1A81"/>
    <w:rsid w:val="F63B4CB2"/>
    <w:rsid w:val="F64FE73C"/>
    <w:rsid w:val="F6590B3C"/>
    <w:rsid w:val="F65F7D64"/>
    <w:rsid w:val="F66D725D"/>
    <w:rsid w:val="F6781DF7"/>
    <w:rsid w:val="F67BB69B"/>
    <w:rsid w:val="F67CA7A6"/>
    <w:rsid w:val="F67DFEAF"/>
    <w:rsid w:val="F69B923B"/>
    <w:rsid w:val="F69E346D"/>
    <w:rsid w:val="F6AE8E4A"/>
    <w:rsid w:val="F6B77FF2"/>
    <w:rsid w:val="F6BEAD41"/>
    <w:rsid w:val="F6BEC511"/>
    <w:rsid w:val="F6BFE8E0"/>
    <w:rsid w:val="F6C651A1"/>
    <w:rsid w:val="F6DDCAA0"/>
    <w:rsid w:val="F6DFBC06"/>
    <w:rsid w:val="F6DFD77A"/>
    <w:rsid w:val="F6EFE6D5"/>
    <w:rsid w:val="F6FC0BFD"/>
    <w:rsid w:val="F6FC3BB3"/>
    <w:rsid w:val="F6FC4092"/>
    <w:rsid w:val="F6FDB8B1"/>
    <w:rsid w:val="F6FFCA5E"/>
    <w:rsid w:val="F71FF593"/>
    <w:rsid w:val="F73323A7"/>
    <w:rsid w:val="F73ED3A8"/>
    <w:rsid w:val="F74760B5"/>
    <w:rsid w:val="F74EE0C7"/>
    <w:rsid w:val="F74FA631"/>
    <w:rsid w:val="F7666161"/>
    <w:rsid w:val="F76CB0CE"/>
    <w:rsid w:val="F76FA58F"/>
    <w:rsid w:val="F77255A5"/>
    <w:rsid w:val="F77657F8"/>
    <w:rsid w:val="F777E754"/>
    <w:rsid w:val="F778BE06"/>
    <w:rsid w:val="F77AA86E"/>
    <w:rsid w:val="F77B16B4"/>
    <w:rsid w:val="F77B75FC"/>
    <w:rsid w:val="F77B8C9A"/>
    <w:rsid w:val="F77D55FC"/>
    <w:rsid w:val="F77DFAE1"/>
    <w:rsid w:val="F77F2F5B"/>
    <w:rsid w:val="F77F3554"/>
    <w:rsid w:val="F77FAC49"/>
    <w:rsid w:val="F78C53B2"/>
    <w:rsid w:val="F793143B"/>
    <w:rsid w:val="F79F2B2D"/>
    <w:rsid w:val="F79FDFD5"/>
    <w:rsid w:val="F7A792DC"/>
    <w:rsid w:val="F7AA33CF"/>
    <w:rsid w:val="F7AD9A95"/>
    <w:rsid w:val="F7B7FFC8"/>
    <w:rsid w:val="F7BB0925"/>
    <w:rsid w:val="F7BD0FB7"/>
    <w:rsid w:val="F7BF67F0"/>
    <w:rsid w:val="F7BF90B2"/>
    <w:rsid w:val="F7BF9B52"/>
    <w:rsid w:val="F7BFC08E"/>
    <w:rsid w:val="F7C9C75C"/>
    <w:rsid w:val="F7C9FDC9"/>
    <w:rsid w:val="F7CCDC7C"/>
    <w:rsid w:val="F7CF4303"/>
    <w:rsid w:val="F7CF90BD"/>
    <w:rsid w:val="F7D646C0"/>
    <w:rsid w:val="F7DB21C2"/>
    <w:rsid w:val="F7DB3ADB"/>
    <w:rsid w:val="F7DB731A"/>
    <w:rsid w:val="F7DBC19B"/>
    <w:rsid w:val="F7DD83B9"/>
    <w:rsid w:val="F7DE37FF"/>
    <w:rsid w:val="F7DE5C4C"/>
    <w:rsid w:val="F7DE8543"/>
    <w:rsid w:val="F7DF5538"/>
    <w:rsid w:val="F7DFCC16"/>
    <w:rsid w:val="F7DFD9B7"/>
    <w:rsid w:val="F7E706A4"/>
    <w:rsid w:val="F7E7B965"/>
    <w:rsid w:val="F7E7F90E"/>
    <w:rsid w:val="F7ED8215"/>
    <w:rsid w:val="F7ED8479"/>
    <w:rsid w:val="F7ED9AE2"/>
    <w:rsid w:val="F7EE1833"/>
    <w:rsid w:val="F7EEE0EB"/>
    <w:rsid w:val="F7EF0BBD"/>
    <w:rsid w:val="F7EFF0D9"/>
    <w:rsid w:val="F7F398EB"/>
    <w:rsid w:val="F7F553A0"/>
    <w:rsid w:val="F7F68298"/>
    <w:rsid w:val="F7F74068"/>
    <w:rsid w:val="F7F799FF"/>
    <w:rsid w:val="F7F89807"/>
    <w:rsid w:val="F7F8A8D7"/>
    <w:rsid w:val="F7F9EA8B"/>
    <w:rsid w:val="F7FAF5DB"/>
    <w:rsid w:val="F7FB0446"/>
    <w:rsid w:val="F7FB08B0"/>
    <w:rsid w:val="F7FB6BBC"/>
    <w:rsid w:val="F7FD2A76"/>
    <w:rsid w:val="F7FE082D"/>
    <w:rsid w:val="F7FE725C"/>
    <w:rsid w:val="F7FF06AF"/>
    <w:rsid w:val="F7FF1224"/>
    <w:rsid w:val="F7FF3596"/>
    <w:rsid w:val="F7FF801E"/>
    <w:rsid w:val="F7FF9349"/>
    <w:rsid w:val="F7FFA481"/>
    <w:rsid w:val="F7FFAF96"/>
    <w:rsid w:val="F7FFDC4D"/>
    <w:rsid w:val="F8168C3C"/>
    <w:rsid w:val="F86FDF49"/>
    <w:rsid w:val="F875F8FA"/>
    <w:rsid w:val="F87FA3AD"/>
    <w:rsid w:val="F87FE1AB"/>
    <w:rsid w:val="F8DA5CA7"/>
    <w:rsid w:val="F8DDBA6E"/>
    <w:rsid w:val="F8F21BC8"/>
    <w:rsid w:val="F933112C"/>
    <w:rsid w:val="F93E2385"/>
    <w:rsid w:val="F93EF4F6"/>
    <w:rsid w:val="F96B3AAF"/>
    <w:rsid w:val="F97A5176"/>
    <w:rsid w:val="F97CFEAA"/>
    <w:rsid w:val="F97DC572"/>
    <w:rsid w:val="F9BECBB0"/>
    <w:rsid w:val="F9D3070E"/>
    <w:rsid w:val="F9D79A11"/>
    <w:rsid w:val="F9DE632B"/>
    <w:rsid w:val="F9DF48EB"/>
    <w:rsid w:val="F9E3CD29"/>
    <w:rsid w:val="F9E9E1B5"/>
    <w:rsid w:val="F9EF2C45"/>
    <w:rsid w:val="F9EFF887"/>
    <w:rsid w:val="F9F0916A"/>
    <w:rsid w:val="F9F36130"/>
    <w:rsid w:val="F9F688CC"/>
    <w:rsid w:val="F9F697DA"/>
    <w:rsid w:val="F9FBC869"/>
    <w:rsid w:val="F9FE65B5"/>
    <w:rsid w:val="F9FF7E77"/>
    <w:rsid w:val="F9FFA46D"/>
    <w:rsid w:val="F9FFC92F"/>
    <w:rsid w:val="F9FFD181"/>
    <w:rsid w:val="F9FFD21D"/>
    <w:rsid w:val="F9FFDF5C"/>
    <w:rsid w:val="F9FFF59E"/>
    <w:rsid w:val="FA1FFABD"/>
    <w:rsid w:val="FA3B4805"/>
    <w:rsid w:val="FA57EE18"/>
    <w:rsid w:val="FA5F0612"/>
    <w:rsid w:val="FA762FEF"/>
    <w:rsid w:val="FA7CA7D4"/>
    <w:rsid w:val="FA7F5865"/>
    <w:rsid w:val="FA9B36DB"/>
    <w:rsid w:val="FA9F31D6"/>
    <w:rsid w:val="FAACEF09"/>
    <w:rsid w:val="FABF22F2"/>
    <w:rsid w:val="FABF9BD2"/>
    <w:rsid w:val="FABFB248"/>
    <w:rsid w:val="FAD34E58"/>
    <w:rsid w:val="FAD76D19"/>
    <w:rsid w:val="FADE1A6F"/>
    <w:rsid w:val="FADF67C0"/>
    <w:rsid w:val="FADF8AA8"/>
    <w:rsid w:val="FAE9BA89"/>
    <w:rsid w:val="FAEDE684"/>
    <w:rsid w:val="FAEFC9B1"/>
    <w:rsid w:val="FAEFE0CE"/>
    <w:rsid w:val="FAF578FA"/>
    <w:rsid w:val="FAF74322"/>
    <w:rsid w:val="FAF77E69"/>
    <w:rsid w:val="FAFF3FD5"/>
    <w:rsid w:val="FAFF7548"/>
    <w:rsid w:val="FB27934A"/>
    <w:rsid w:val="FB2F2BB0"/>
    <w:rsid w:val="FB30F81E"/>
    <w:rsid w:val="FB37776A"/>
    <w:rsid w:val="FB37D6FC"/>
    <w:rsid w:val="FB37E297"/>
    <w:rsid w:val="FB3B32CE"/>
    <w:rsid w:val="FB408604"/>
    <w:rsid w:val="FB54F217"/>
    <w:rsid w:val="FB5B4669"/>
    <w:rsid w:val="FB5E13A3"/>
    <w:rsid w:val="FB5F1BE2"/>
    <w:rsid w:val="FB5F907C"/>
    <w:rsid w:val="FB67B368"/>
    <w:rsid w:val="FB6B6CCF"/>
    <w:rsid w:val="FB6BCEAD"/>
    <w:rsid w:val="FB6BDAB7"/>
    <w:rsid w:val="FB6DC61C"/>
    <w:rsid w:val="FB6E6B06"/>
    <w:rsid w:val="FB73A6CD"/>
    <w:rsid w:val="FB7B2AE1"/>
    <w:rsid w:val="FB7BF373"/>
    <w:rsid w:val="FB7D64EC"/>
    <w:rsid w:val="FB7E39AF"/>
    <w:rsid w:val="FB7F532A"/>
    <w:rsid w:val="FB7F5E4E"/>
    <w:rsid w:val="FB7F729A"/>
    <w:rsid w:val="FB7FB3EB"/>
    <w:rsid w:val="FB9D7EA1"/>
    <w:rsid w:val="FB9F07BD"/>
    <w:rsid w:val="FBA7DF3A"/>
    <w:rsid w:val="FBABBF3A"/>
    <w:rsid w:val="FBAF5234"/>
    <w:rsid w:val="FBB69C88"/>
    <w:rsid w:val="FBB6E605"/>
    <w:rsid w:val="FBBA74DE"/>
    <w:rsid w:val="FBBBB37D"/>
    <w:rsid w:val="FBBBC0D4"/>
    <w:rsid w:val="FBBDA93F"/>
    <w:rsid w:val="FBBEF78D"/>
    <w:rsid w:val="FBBF7649"/>
    <w:rsid w:val="FBBF8C36"/>
    <w:rsid w:val="FBBFC8BE"/>
    <w:rsid w:val="FBBFC905"/>
    <w:rsid w:val="FBC8DCDD"/>
    <w:rsid w:val="FBCBAE5F"/>
    <w:rsid w:val="FBCF8602"/>
    <w:rsid w:val="FBDB0EF7"/>
    <w:rsid w:val="FBDE8467"/>
    <w:rsid w:val="FBDF0A76"/>
    <w:rsid w:val="FBDF0D68"/>
    <w:rsid w:val="FBDFF7BD"/>
    <w:rsid w:val="FBE1553F"/>
    <w:rsid w:val="FBE3F761"/>
    <w:rsid w:val="FBE77579"/>
    <w:rsid w:val="FBE851DD"/>
    <w:rsid w:val="FBE94D50"/>
    <w:rsid w:val="FBEA31E0"/>
    <w:rsid w:val="FBEBA4DA"/>
    <w:rsid w:val="FBEBF21C"/>
    <w:rsid w:val="FBED3AD9"/>
    <w:rsid w:val="FBEDC2C2"/>
    <w:rsid w:val="FBEE11F8"/>
    <w:rsid w:val="FBEF6A84"/>
    <w:rsid w:val="FBEFCFA5"/>
    <w:rsid w:val="FBF3EEB5"/>
    <w:rsid w:val="FBF4248F"/>
    <w:rsid w:val="FBF465FD"/>
    <w:rsid w:val="FBF59143"/>
    <w:rsid w:val="FBF5B5CB"/>
    <w:rsid w:val="FBF8919D"/>
    <w:rsid w:val="FBF92175"/>
    <w:rsid w:val="FBF954AF"/>
    <w:rsid w:val="FBF9FB81"/>
    <w:rsid w:val="FBFA8D6E"/>
    <w:rsid w:val="FBFBE71D"/>
    <w:rsid w:val="FBFD6750"/>
    <w:rsid w:val="FBFE4CC3"/>
    <w:rsid w:val="FBFEC57F"/>
    <w:rsid w:val="FBFF2C1D"/>
    <w:rsid w:val="FBFF2CFE"/>
    <w:rsid w:val="FBFF60B9"/>
    <w:rsid w:val="FBFF7324"/>
    <w:rsid w:val="FBFF82CB"/>
    <w:rsid w:val="FBFF89A9"/>
    <w:rsid w:val="FBFFC2CC"/>
    <w:rsid w:val="FBFFCBA5"/>
    <w:rsid w:val="FC3B5395"/>
    <w:rsid w:val="FC59F07E"/>
    <w:rsid w:val="FC6CEB8A"/>
    <w:rsid w:val="FC77E1BA"/>
    <w:rsid w:val="FC7A8FA2"/>
    <w:rsid w:val="FC9E81F6"/>
    <w:rsid w:val="FCB99832"/>
    <w:rsid w:val="FCBE3FDE"/>
    <w:rsid w:val="FCCF20D3"/>
    <w:rsid w:val="FCCF9695"/>
    <w:rsid w:val="FCD715CB"/>
    <w:rsid w:val="FCDD8FF7"/>
    <w:rsid w:val="FCE6B164"/>
    <w:rsid w:val="FCEBC8F1"/>
    <w:rsid w:val="FCF2EFF6"/>
    <w:rsid w:val="FCF343E9"/>
    <w:rsid w:val="FCF3D01E"/>
    <w:rsid w:val="FCF6F0C7"/>
    <w:rsid w:val="FCF875F6"/>
    <w:rsid w:val="FCF9F139"/>
    <w:rsid w:val="FCFB2CA8"/>
    <w:rsid w:val="FCFC3E20"/>
    <w:rsid w:val="FCFD1C9A"/>
    <w:rsid w:val="FCFD5691"/>
    <w:rsid w:val="FCFFA6E8"/>
    <w:rsid w:val="FD0F8886"/>
    <w:rsid w:val="FD373C68"/>
    <w:rsid w:val="FD3771DD"/>
    <w:rsid w:val="FD3D3D72"/>
    <w:rsid w:val="FD3E6934"/>
    <w:rsid w:val="FD3F79BF"/>
    <w:rsid w:val="FD3FE56E"/>
    <w:rsid w:val="FD573A23"/>
    <w:rsid w:val="FD580334"/>
    <w:rsid w:val="FD5B7A25"/>
    <w:rsid w:val="FD5E3984"/>
    <w:rsid w:val="FD6650B9"/>
    <w:rsid w:val="FD6B11C1"/>
    <w:rsid w:val="FD6EB9FB"/>
    <w:rsid w:val="FD770949"/>
    <w:rsid w:val="FD7998B8"/>
    <w:rsid w:val="FD7BB6BD"/>
    <w:rsid w:val="FD7E8018"/>
    <w:rsid w:val="FD7E8B7E"/>
    <w:rsid w:val="FD7F7402"/>
    <w:rsid w:val="FD7FD657"/>
    <w:rsid w:val="FD9710D5"/>
    <w:rsid w:val="FD97BB4E"/>
    <w:rsid w:val="FD996DF2"/>
    <w:rsid w:val="FD9E4862"/>
    <w:rsid w:val="FD9EE8D7"/>
    <w:rsid w:val="FD9F31D0"/>
    <w:rsid w:val="FD9F85BB"/>
    <w:rsid w:val="FD9FFE48"/>
    <w:rsid w:val="FDA75369"/>
    <w:rsid w:val="FDA7C979"/>
    <w:rsid w:val="FDAFAE3D"/>
    <w:rsid w:val="FDB55677"/>
    <w:rsid w:val="FDB703FC"/>
    <w:rsid w:val="FDB729D3"/>
    <w:rsid w:val="FDB9F470"/>
    <w:rsid w:val="FDBA8117"/>
    <w:rsid w:val="FDBBB19A"/>
    <w:rsid w:val="FDBBC30C"/>
    <w:rsid w:val="FDBBC438"/>
    <w:rsid w:val="FDBD2183"/>
    <w:rsid w:val="FDBEB07A"/>
    <w:rsid w:val="FDBF9DE8"/>
    <w:rsid w:val="FDC5E381"/>
    <w:rsid w:val="FDCB99C6"/>
    <w:rsid w:val="FDCE9374"/>
    <w:rsid w:val="FDCF7474"/>
    <w:rsid w:val="FDD3695D"/>
    <w:rsid w:val="FDDB316C"/>
    <w:rsid w:val="FDDD395F"/>
    <w:rsid w:val="FDDD4E88"/>
    <w:rsid w:val="FDDDD04E"/>
    <w:rsid w:val="FDDE5E8F"/>
    <w:rsid w:val="FDDF38FA"/>
    <w:rsid w:val="FDDF85C1"/>
    <w:rsid w:val="FDE98F3E"/>
    <w:rsid w:val="FDEDB50C"/>
    <w:rsid w:val="FDEF1063"/>
    <w:rsid w:val="FDEF475E"/>
    <w:rsid w:val="FDEF7172"/>
    <w:rsid w:val="FDEF7E21"/>
    <w:rsid w:val="FDEFB05A"/>
    <w:rsid w:val="FDEFF950"/>
    <w:rsid w:val="FDF1D596"/>
    <w:rsid w:val="FDF61929"/>
    <w:rsid w:val="FDF63266"/>
    <w:rsid w:val="FDF686BA"/>
    <w:rsid w:val="FDF7088C"/>
    <w:rsid w:val="FDF7629B"/>
    <w:rsid w:val="FDF76966"/>
    <w:rsid w:val="FDF7ACDD"/>
    <w:rsid w:val="FDF7CE65"/>
    <w:rsid w:val="FDF7D4B2"/>
    <w:rsid w:val="FDF964A7"/>
    <w:rsid w:val="FDF9D32A"/>
    <w:rsid w:val="FDFAA4CE"/>
    <w:rsid w:val="FDFAEA5C"/>
    <w:rsid w:val="FDFB53E4"/>
    <w:rsid w:val="FDFC0C98"/>
    <w:rsid w:val="FDFC2394"/>
    <w:rsid w:val="FDFD170B"/>
    <w:rsid w:val="FDFD1DE9"/>
    <w:rsid w:val="FDFD8033"/>
    <w:rsid w:val="FDFE8B53"/>
    <w:rsid w:val="FDFEA9A4"/>
    <w:rsid w:val="FDFF15FF"/>
    <w:rsid w:val="FDFF3BFB"/>
    <w:rsid w:val="FDFF49CC"/>
    <w:rsid w:val="FDFF5EF7"/>
    <w:rsid w:val="FDFF7959"/>
    <w:rsid w:val="FDFF88C1"/>
    <w:rsid w:val="FDFFACE3"/>
    <w:rsid w:val="FDFFFC9A"/>
    <w:rsid w:val="FE2F624C"/>
    <w:rsid w:val="FE3E7351"/>
    <w:rsid w:val="FE3F7BF7"/>
    <w:rsid w:val="FE493473"/>
    <w:rsid w:val="FE567AB4"/>
    <w:rsid w:val="FE576C7D"/>
    <w:rsid w:val="FE5E4FE2"/>
    <w:rsid w:val="FE5E71D3"/>
    <w:rsid w:val="FE5F924B"/>
    <w:rsid w:val="FE5FB0F4"/>
    <w:rsid w:val="FE6F0C44"/>
    <w:rsid w:val="FE6F5F42"/>
    <w:rsid w:val="FE764BF4"/>
    <w:rsid w:val="FE77D407"/>
    <w:rsid w:val="FE7A3EF4"/>
    <w:rsid w:val="FE7ADC61"/>
    <w:rsid w:val="FE7E38ED"/>
    <w:rsid w:val="FE7E5207"/>
    <w:rsid w:val="FE7E5662"/>
    <w:rsid w:val="FE7E99EF"/>
    <w:rsid w:val="FE7FA0AC"/>
    <w:rsid w:val="FE87B732"/>
    <w:rsid w:val="FE97AC40"/>
    <w:rsid w:val="FE9F0DFA"/>
    <w:rsid w:val="FE9F204B"/>
    <w:rsid w:val="FEA9CDFB"/>
    <w:rsid w:val="FEABACA3"/>
    <w:rsid w:val="FEAEFDC2"/>
    <w:rsid w:val="FEAF6565"/>
    <w:rsid w:val="FEB027A4"/>
    <w:rsid w:val="FEB3117A"/>
    <w:rsid w:val="FEB99566"/>
    <w:rsid w:val="FEB9CD06"/>
    <w:rsid w:val="FEBB0BDB"/>
    <w:rsid w:val="FEBB55C0"/>
    <w:rsid w:val="FEBB9B61"/>
    <w:rsid w:val="FEBD3AFE"/>
    <w:rsid w:val="FEBF5050"/>
    <w:rsid w:val="FEBF9665"/>
    <w:rsid w:val="FEBFC8DF"/>
    <w:rsid w:val="FEBFF3B5"/>
    <w:rsid w:val="FEC3FCF6"/>
    <w:rsid w:val="FEC79BC8"/>
    <w:rsid w:val="FECDC05E"/>
    <w:rsid w:val="FECF8486"/>
    <w:rsid w:val="FED7EF1E"/>
    <w:rsid w:val="FEDAFD82"/>
    <w:rsid w:val="FEDC871E"/>
    <w:rsid w:val="FEDD4B5F"/>
    <w:rsid w:val="FEDEBB78"/>
    <w:rsid w:val="FEDF1253"/>
    <w:rsid w:val="FEDF6DD3"/>
    <w:rsid w:val="FEDFA0C0"/>
    <w:rsid w:val="FEDFD9B4"/>
    <w:rsid w:val="FEDFFA62"/>
    <w:rsid w:val="FEE05AFA"/>
    <w:rsid w:val="FEE3906E"/>
    <w:rsid w:val="FEE920A3"/>
    <w:rsid w:val="FEE96E6A"/>
    <w:rsid w:val="FEEBEF6B"/>
    <w:rsid w:val="FEEF1FB1"/>
    <w:rsid w:val="FEEFA100"/>
    <w:rsid w:val="FEF34704"/>
    <w:rsid w:val="FEF50B7A"/>
    <w:rsid w:val="FEF52EBA"/>
    <w:rsid w:val="FEF553AC"/>
    <w:rsid w:val="FEF578F0"/>
    <w:rsid w:val="FEF5E018"/>
    <w:rsid w:val="FEF6BC7E"/>
    <w:rsid w:val="FEF7CFA3"/>
    <w:rsid w:val="FEF8B431"/>
    <w:rsid w:val="FEFA3623"/>
    <w:rsid w:val="FEFA71B2"/>
    <w:rsid w:val="FEFA8718"/>
    <w:rsid w:val="FEFB07FB"/>
    <w:rsid w:val="FEFB0DF7"/>
    <w:rsid w:val="FEFB1C6B"/>
    <w:rsid w:val="FEFB9696"/>
    <w:rsid w:val="FEFBA7CB"/>
    <w:rsid w:val="FEFCA7AF"/>
    <w:rsid w:val="FEFD174C"/>
    <w:rsid w:val="FEFD2BD6"/>
    <w:rsid w:val="FEFD83BB"/>
    <w:rsid w:val="FEFD95B7"/>
    <w:rsid w:val="FEFDE6A9"/>
    <w:rsid w:val="FEFDFE64"/>
    <w:rsid w:val="FEFE246A"/>
    <w:rsid w:val="FEFE2CFB"/>
    <w:rsid w:val="FEFE4828"/>
    <w:rsid w:val="FEFE67F0"/>
    <w:rsid w:val="FEFEAB5D"/>
    <w:rsid w:val="FEFF0191"/>
    <w:rsid w:val="FEFF0960"/>
    <w:rsid w:val="FEFF0DDC"/>
    <w:rsid w:val="FEFF441B"/>
    <w:rsid w:val="FEFF6628"/>
    <w:rsid w:val="FEFF7815"/>
    <w:rsid w:val="FEFF8AC7"/>
    <w:rsid w:val="FEFFA940"/>
    <w:rsid w:val="FEFFB14B"/>
    <w:rsid w:val="FEFFB8A4"/>
    <w:rsid w:val="FF079F02"/>
    <w:rsid w:val="FF1D6A71"/>
    <w:rsid w:val="FF1F59A6"/>
    <w:rsid w:val="FF2FE6AE"/>
    <w:rsid w:val="FF2FFBA9"/>
    <w:rsid w:val="FF31B527"/>
    <w:rsid w:val="FF35E04D"/>
    <w:rsid w:val="FF3B450B"/>
    <w:rsid w:val="FF3B468E"/>
    <w:rsid w:val="FF3BBCE3"/>
    <w:rsid w:val="FF3D2C4E"/>
    <w:rsid w:val="FF3F323D"/>
    <w:rsid w:val="FF3F4871"/>
    <w:rsid w:val="FF3F6101"/>
    <w:rsid w:val="FF3F7A54"/>
    <w:rsid w:val="FF3FE339"/>
    <w:rsid w:val="FF4DC207"/>
    <w:rsid w:val="FF577C01"/>
    <w:rsid w:val="FF5AB00D"/>
    <w:rsid w:val="FF5D6E94"/>
    <w:rsid w:val="FF5EAEE9"/>
    <w:rsid w:val="FF5F7851"/>
    <w:rsid w:val="FF5F7B99"/>
    <w:rsid w:val="FF5FDA58"/>
    <w:rsid w:val="FF5FDE0C"/>
    <w:rsid w:val="FF63B379"/>
    <w:rsid w:val="FF67AE99"/>
    <w:rsid w:val="FF6888C1"/>
    <w:rsid w:val="FF6A8576"/>
    <w:rsid w:val="FF6DBFCF"/>
    <w:rsid w:val="FF6E4B10"/>
    <w:rsid w:val="FF6EA6AF"/>
    <w:rsid w:val="FF6F4E97"/>
    <w:rsid w:val="FF76072E"/>
    <w:rsid w:val="FF77C8DE"/>
    <w:rsid w:val="FF77E8A2"/>
    <w:rsid w:val="FF77ECD4"/>
    <w:rsid w:val="FF781D70"/>
    <w:rsid w:val="FF7B0491"/>
    <w:rsid w:val="FF7B8915"/>
    <w:rsid w:val="FF7BCC75"/>
    <w:rsid w:val="FF7D0540"/>
    <w:rsid w:val="FF7D71F6"/>
    <w:rsid w:val="FF7DE843"/>
    <w:rsid w:val="FF7E1AE2"/>
    <w:rsid w:val="FF7E1D73"/>
    <w:rsid w:val="FF7EB17F"/>
    <w:rsid w:val="FF7F15B0"/>
    <w:rsid w:val="FF7F3D93"/>
    <w:rsid w:val="FF7F421B"/>
    <w:rsid w:val="FF7F4484"/>
    <w:rsid w:val="FF7F47E1"/>
    <w:rsid w:val="FF7F6888"/>
    <w:rsid w:val="FF7F8078"/>
    <w:rsid w:val="FF7F9135"/>
    <w:rsid w:val="FF7F95A5"/>
    <w:rsid w:val="FF7FBABE"/>
    <w:rsid w:val="FF7FE069"/>
    <w:rsid w:val="FF7FFD83"/>
    <w:rsid w:val="FF87F40A"/>
    <w:rsid w:val="FF8DC58B"/>
    <w:rsid w:val="FF938130"/>
    <w:rsid w:val="FF96C092"/>
    <w:rsid w:val="FF97050D"/>
    <w:rsid w:val="FF972611"/>
    <w:rsid w:val="FF973B80"/>
    <w:rsid w:val="FF97453C"/>
    <w:rsid w:val="FF976B8C"/>
    <w:rsid w:val="FF977FB4"/>
    <w:rsid w:val="FF995B2F"/>
    <w:rsid w:val="FF9B2204"/>
    <w:rsid w:val="FF9C91F8"/>
    <w:rsid w:val="FF9F2529"/>
    <w:rsid w:val="FF9F6C59"/>
    <w:rsid w:val="FF9F98BC"/>
    <w:rsid w:val="FF9FD95F"/>
    <w:rsid w:val="FFA7DB71"/>
    <w:rsid w:val="FFA91313"/>
    <w:rsid w:val="FFAF17E1"/>
    <w:rsid w:val="FFAF3AA7"/>
    <w:rsid w:val="FFAF74C6"/>
    <w:rsid w:val="FFAF7B56"/>
    <w:rsid w:val="FFAF8E07"/>
    <w:rsid w:val="FFAFF168"/>
    <w:rsid w:val="FFB30A8A"/>
    <w:rsid w:val="FFB565D3"/>
    <w:rsid w:val="FFB740E2"/>
    <w:rsid w:val="FFB8AAFA"/>
    <w:rsid w:val="FFB96AF0"/>
    <w:rsid w:val="FFBA5C47"/>
    <w:rsid w:val="FFBB338A"/>
    <w:rsid w:val="FFBB7824"/>
    <w:rsid w:val="FFBB7BAE"/>
    <w:rsid w:val="FFBBD0C8"/>
    <w:rsid w:val="FFBBE7E1"/>
    <w:rsid w:val="FFBBEF21"/>
    <w:rsid w:val="FFBD6F8A"/>
    <w:rsid w:val="FFBDE785"/>
    <w:rsid w:val="FFBE1909"/>
    <w:rsid w:val="FFBE382D"/>
    <w:rsid w:val="FFBEBDA0"/>
    <w:rsid w:val="FFBEDA1D"/>
    <w:rsid w:val="FFBF180E"/>
    <w:rsid w:val="FFBF5ACF"/>
    <w:rsid w:val="FFBF6209"/>
    <w:rsid w:val="FFBF7510"/>
    <w:rsid w:val="FFBFB853"/>
    <w:rsid w:val="FFBFBE87"/>
    <w:rsid w:val="FFBFD3F3"/>
    <w:rsid w:val="FFBFEA0C"/>
    <w:rsid w:val="FFBFF46B"/>
    <w:rsid w:val="FFBFF99E"/>
    <w:rsid w:val="FFC7A697"/>
    <w:rsid w:val="FFCB94B9"/>
    <w:rsid w:val="FFCD3093"/>
    <w:rsid w:val="FFCF4D9D"/>
    <w:rsid w:val="FFCF70A6"/>
    <w:rsid w:val="FFD1D8FD"/>
    <w:rsid w:val="FFD26B5F"/>
    <w:rsid w:val="FFD7152A"/>
    <w:rsid w:val="FFD752A9"/>
    <w:rsid w:val="FFD8A301"/>
    <w:rsid w:val="FFDB1166"/>
    <w:rsid w:val="FFDB2E92"/>
    <w:rsid w:val="FFDB530F"/>
    <w:rsid w:val="FFDB5F2C"/>
    <w:rsid w:val="FFDB85CA"/>
    <w:rsid w:val="FFDBA398"/>
    <w:rsid w:val="FFDC8B21"/>
    <w:rsid w:val="FFDCDCED"/>
    <w:rsid w:val="FFDE3A63"/>
    <w:rsid w:val="FFDE9240"/>
    <w:rsid w:val="FFDEA528"/>
    <w:rsid w:val="FFDF0E01"/>
    <w:rsid w:val="FFDF0EA5"/>
    <w:rsid w:val="FFDF3668"/>
    <w:rsid w:val="FFDF4D4E"/>
    <w:rsid w:val="FFDF6BB1"/>
    <w:rsid w:val="FFDFAB56"/>
    <w:rsid w:val="FFDFAFEB"/>
    <w:rsid w:val="FFDFB0C4"/>
    <w:rsid w:val="FFDFCD85"/>
    <w:rsid w:val="FFDFE171"/>
    <w:rsid w:val="FFDFF4C8"/>
    <w:rsid w:val="FFE6622B"/>
    <w:rsid w:val="FFE76959"/>
    <w:rsid w:val="FFEB361E"/>
    <w:rsid w:val="FFEBF1AC"/>
    <w:rsid w:val="FFEC4A87"/>
    <w:rsid w:val="FFECB954"/>
    <w:rsid w:val="FFED7E3C"/>
    <w:rsid w:val="FFEDFD80"/>
    <w:rsid w:val="FFEE6500"/>
    <w:rsid w:val="FFEE8F19"/>
    <w:rsid w:val="FFEF1D39"/>
    <w:rsid w:val="FFEF2EF6"/>
    <w:rsid w:val="FFEF54BA"/>
    <w:rsid w:val="FFEF79E9"/>
    <w:rsid w:val="FFEF87A1"/>
    <w:rsid w:val="FFEF87C0"/>
    <w:rsid w:val="FFEFAEE0"/>
    <w:rsid w:val="FFEFCAC1"/>
    <w:rsid w:val="FFEFF9F2"/>
    <w:rsid w:val="FFF17DF5"/>
    <w:rsid w:val="FFF1D49E"/>
    <w:rsid w:val="FFF1D6FB"/>
    <w:rsid w:val="FFF22DB4"/>
    <w:rsid w:val="FFF37BC2"/>
    <w:rsid w:val="FFF41595"/>
    <w:rsid w:val="FFF4A759"/>
    <w:rsid w:val="FFF4F386"/>
    <w:rsid w:val="FFF5DF51"/>
    <w:rsid w:val="FFF6077B"/>
    <w:rsid w:val="FFF610E1"/>
    <w:rsid w:val="FFF63453"/>
    <w:rsid w:val="FFF6A04F"/>
    <w:rsid w:val="FFF6A2E8"/>
    <w:rsid w:val="FFF6C9A9"/>
    <w:rsid w:val="FFF6F72E"/>
    <w:rsid w:val="FFF728C7"/>
    <w:rsid w:val="FFF7342D"/>
    <w:rsid w:val="FFF744C5"/>
    <w:rsid w:val="FFF77ABA"/>
    <w:rsid w:val="FFF79710"/>
    <w:rsid w:val="FFF79A73"/>
    <w:rsid w:val="FFF79F9E"/>
    <w:rsid w:val="FFF7CE44"/>
    <w:rsid w:val="FFF86BDF"/>
    <w:rsid w:val="FFF950D9"/>
    <w:rsid w:val="FFF97739"/>
    <w:rsid w:val="FFF9B9CE"/>
    <w:rsid w:val="FFFAA029"/>
    <w:rsid w:val="FFFB225E"/>
    <w:rsid w:val="FFFB69B7"/>
    <w:rsid w:val="FFFB8F92"/>
    <w:rsid w:val="FFFB903C"/>
    <w:rsid w:val="FFFBD476"/>
    <w:rsid w:val="FFFBDC3C"/>
    <w:rsid w:val="FFFBDF7A"/>
    <w:rsid w:val="FFFBE764"/>
    <w:rsid w:val="FFFC0499"/>
    <w:rsid w:val="FFFC5AD4"/>
    <w:rsid w:val="FFFCAB44"/>
    <w:rsid w:val="FFFCCDC2"/>
    <w:rsid w:val="FFFCEAFF"/>
    <w:rsid w:val="FFFD31C2"/>
    <w:rsid w:val="FFFD39AA"/>
    <w:rsid w:val="FFFD3AC9"/>
    <w:rsid w:val="FFFD4D94"/>
    <w:rsid w:val="FFFD66B4"/>
    <w:rsid w:val="FFFD7D78"/>
    <w:rsid w:val="FFFD83D4"/>
    <w:rsid w:val="FFFDA5FD"/>
    <w:rsid w:val="FFFDB906"/>
    <w:rsid w:val="FFFDF7BB"/>
    <w:rsid w:val="FFFE1CC7"/>
    <w:rsid w:val="FFFE2891"/>
    <w:rsid w:val="FFFE2D30"/>
    <w:rsid w:val="FFFE31B7"/>
    <w:rsid w:val="FFFE56F9"/>
    <w:rsid w:val="FFFE7F90"/>
    <w:rsid w:val="FFFEAE13"/>
    <w:rsid w:val="FFFED8BE"/>
    <w:rsid w:val="FFFF05AF"/>
    <w:rsid w:val="FFFF0884"/>
    <w:rsid w:val="FFFF1494"/>
    <w:rsid w:val="FFFF1652"/>
    <w:rsid w:val="FFFF1C12"/>
    <w:rsid w:val="FFFF1E65"/>
    <w:rsid w:val="FFFF2339"/>
    <w:rsid w:val="FFFF52D5"/>
    <w:rsid w:val="FFFF569D"/>
    <w:rsid w:val="FFFF6550"/>
    <w:rsid w:val="FFFF79E6"/>
    <w:rsid w:val="FFFF9746"/>
    <w:rsid w:val="FFFFB819"/>
    <w:rsid w:val="FFFFB9B6"/>
    <w:rsid w:val="FFFFC097"/>
    <w:rsid w:val="FFFFC3C9"/>
    <w:rsid w:val="FFFFC7C8"/>
    <w:rsid w:val="FFFFC9A0"/>
    <w:rsid w:val="FFFFDEF7"/>
    <w:rsid w:val="FFFFF6A9"/>
    <w:rsid w:val="FFFFF9F0"/>
    <w:rsid w:val="FFFFF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unhideWhenUsed/>
    <w:qFormat/>
    <w:uiPriority w:val="9"/>
    <w:pPr>
      <w:keepNext/>
      <w:keepLines/>
      <w:spacing w:before="360" w:after="120"/>
      <w:outlineLvl w:val="1"/>
    </w:pPr>
    <w:rPr>
      <w:sz w:val="32"/>
      <w:szCs w:val="3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9"/>
    <w:qFormat/>
    <w:uiPriority w:val="0"/>
    <w:pPr>
      <w:spacing w:after="0" w:line="240" w:lineRule="auto"/>
    </w:pPr>
    <w:rPr>
      <w:rFonts w:ascii="Segoe UI" w:hAnsi="Segoe UI" w:cs="Segoe UI"/>
      <w:sz w:val="18"/>
      <w:szCs w:val="18"/>
    </w:rPr>
  </w:style>
  <w:style w:type="character" w:styleId="7">
    <w:name w:val="annotation reference"/>
    <w:basedOn w:val="4"/>
    <w:qFormat/>
    <w:uiPriority w:val="0"/>
    <w:rPr>
      <w:sz w:val="16"/>
      <w:szCs w:val="16"/>
    </w:rPr>
  </w:style>
  <w:style w:type="paragraph" w:styleId="8">
    <w:name w:val="annotation text"/>
    <w:basedOn w:val="1"/>
    <w:link w:val="17"/>
    <w:unhideWhenUsed/>
    <w:qFormat/>
    <w:uiPriority w:val="99"/>
    <w:pPr>
      <w:spacing w:line="240" w:lineRule="auto"/>
    </w:pPr>
  </w:style>
  <w:style w:type="paragraph" w:styleId="9">
    <w:name w:val="annotation subject"/>
    <w:basedOn w:val="8"/>
    <w:next w:val="8"/>
    <w:link w:val="18"/>
    <w:qFormat/>
    <w:uiPriority w:val="0"/>
    <w:rPr>
      <w:b/>
      <w:bCs/>
    </w:rPr>
  </w:style>
  <w:style w:type="character" w:styleId="10">
    <w:name w:val="Emphasis"/>
    <w:basedOn w:val="4"/>
    <w:qFormat/>
    <w:uiPriority w:val="0"/>
    <w:rPr>
      <w:i/>
      <w:iCs/>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0"/>
    <w:pPr>
      <w:tabs>
        <w:tab w:val="center" w:pos="4153"/>
        <w:tab w:val="right" w:pos="8306"/>
      </w:tabs>
      <w:snapToGrid w:val="0"/>
    </w:pPr>
    <w:rPr>
      <w:sz w:val="18"/>
      <w:szCs w:val="18"/>
    </w:rPr>
  </w:style>
  <w:style w:type="character" w:styleId="13">
    <w:name w:val="HTML Definition"/>
    <w:basedOn w:val="4"/>
    <w:semiHidden/>
    <w:unhideWhenUsed/>
    <w:qFormat/>
    <w:uiPriority w:val="0"/>
    <w:rPr>
      <w:i/>
      <w:iCs/>
    </w:rPr>
  </w:style>
  <w:style w:type="character" w:styleId="14">
    <w:name w:val="Hyperlink"/>
    <w:basedOn w:val="4"/>
    <w:qFormat/>
    <w:uiPriority w:val="0"/>
    <w:rPr>
      <w:color w:val="0000FF"/>
      <w:u w:val="single"/>
    </w:rPr>
  </w:style>
  <w:style w:type="character" w:styleId="15">
    <w:name w:val="line number"/>
    <w:basedOn w:val="4"/>
    <w:qFormat/>
    <w:uiPriority w:val="0"/>
  </w:style>
  <w:style w:type="paragraph" w:styleId="16">
    <w:name w:val="Normal (Web)"/>
    <w:semiHidden/>
    <w:unhideWhenUsed/>
    <w:qFormat/>
    <w:uiPriority w:val="0"/>
    <w:pPr>
      <w:spacing w:beforeAutospacing="1" w:after="0" w:afterAutospacing="1" w:line="259" w:lineRule="auto"/>
    </w:pPr>
    <w:rPr>
      <w:rFonts w:ascii="Times New Roman" w:hAnsi="Times New Roman" w:eastAsia="SimSun" w:cs="Times New Roman"/>
      <w:sz w:val="24"/>
      <w:szCs w:val="24"/>
      <w:lang w:val="en-US" w:eastAsia="zh-CN" w:bidi="ar-SA"/>
    </w:rPr>
  </w:style>
  <w:style w:type="character" w:customStyle="1" w:styleId="17">
    <w:name w:val="Comment Text Char"/>
    <w:basedOn w:val="4"/>
    <w:link w:val="8"/>
    <w:qFormat/>
    <w:uiPriority w:val="99"/>
    <w:rPr>
      <w:rFonts w:asciiTheme="minorHAnsi" w:hAnsiTheme="minorHAnsi" w:eastAsiaTheme="minorEastAsia" w:cstheme="minorBidi"/>
      <w:lang w:val="en-US" w:eastAsia="zh-CN"/>
    </w:rPr>
  </w:style>
  <w:style w:type="character" w:customStyle="1" w:styleId="18">
    <w:name w:val="Comment Subject Char"/>
    <w:basedOn w:val="17"/>
    <w:link w:val="9"/>
    <w:qFormat/>
    <w:uiPriority w:val="0"/>
    <w:rPr>
      <w:rFonts w:asciiTheme="minorHAnsi" w:hAnsiTheme="minorHAnsi" w:eastAsiaTheme="minorEastAsia" w:cstheme="minorBidi"/>
      <w:b/>
      <w:bCs/>
      <w:lang w:val="en-US" w:eastAsia="zh-CN"/>
    </w:rPr>
  </w:style>
  <w:style w:type="character" w:customStyle="1" w:styleId="19">
    <w:name w:val="Balloon Text Char"/>
    <w:basedOn w:val="4"/>
    <w:link w:val="6"/>
    <w:qFormat/>
    <w:uiPriority w:val="0"/>
    <w:rPr>
      <w:rFonts w:ascii="Segoe UI" w:hAnsi="Segoe UI" w:cs="Segoe UI" w:eastAsiaTheme="minorEastAsia"/>
      <w:sz w:val="18"/>
      <w:szCs w:val="18"/>
      <w:lang w:val="en-US" w:eastAsia="zh-CN"/>
    </w:rPr>
  </w:style>
  <w:style w:type="paragraph" w:styleId="20">
    <w:name w:val="List Paragraph"/>
    <w:basedOn w:val="1"/>
    <w:qFormat/>
    <w:uiPriority w:val="99"/>
    <w:pPr>
      <w:ind w:left="720"/>
      <w:contextualSpacing/>
    </w:pPr>
  </w:style>
  <w:style w:type="character" w:customStyle="1" w:styleId="21">
    <w:name w:val="Unresolved Mention1"/>
    <w:basedOn w:val="4"/>
    <w:semiHidden/>
    <w:unhideWhenUsed/>
    <w:qFormat/>
    <w:uiPriority w:val="99"/>
    <w:rPr>
      <w:color w:val="808080"/>
      <w:shd w:val="clear" w:color="auto" w:fill="E6E6E6"/>
    </w:rPr>
  </w:style>
  <w:style w:type="character" w:customStyle="1" w:styleId="22">
    <w:name w:val="il"/>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cebc</Company>
  <Pages>41</Pages>
  <Words>13450</Words>
  <Characters>76669</Characters>
  <Lines>638</Lines>
  <Paragraphs>179</Paragraphs>
  <TotalTime>22</TotalTime>
  <ScaleCrop>false</ScaleCrop>
  <LinksUpToDate>false</LinksUpToDate>
  <CharactersWithSpaces>89940</CharactersWithSpaces>
  <Application>WPS Office_11.1.0.9604_F1E327BC-269C-435d-A152-05C5408002CA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2021-04-18T01:49:00Z</dcterms:created>
  <dc:creator>florg</dc:creator>
  <cp:lastModifiedBy>florg</cp:lastModifiedBy>
  <dcterms:modified xsi:type="dcterms:W3CDTF">2021-06-04T10:43:52Z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1033-11.1.0.9604</vt:lpwstr>
  </property>
  <property fmtid="{D5CDD505-2E9C-101B-9397-08002B2CF9AE}" pid="3" name="ContentTypeId">
    <vt:lpwstr>0x01010027638F539624A5458529C4F3337E872B</vt:lpwstr>
  </property>
</Properties>
</file>