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C0567" w14:textId="2023A22D" w:rsidR="00AB3F4A" w:rsidRPr="00105C49" w:rsidRDefault="00AB3F4A" w:rsidP="006C2244">
      <w:pPr>
        <w:spacing w:line="480" w:lineRule="auto"/>
        <w:rPr>
          <w:rFonts w:ascii="Arial" w:hAnsi="Arial" w:cs="Arial"/>
          <w:bCs/>
        </w:rPr>
      </w:pPr>
      <w:r w:rsidRPr="00105C49">
        <w:rPr>
          <w:rFonts w:ascii="Arial" w:hAnsi="Arial" w:cs="Arial"/>
          <w:bCs/>
        </w:rPr>
        <w:t xml:space="preserve">Further delineation of phenotypic spectrum of </w:t>
      </w:r>
      <w:r w:rsidRPr="00105C49">
        <w:rPr>
          <w:rFonts w:ascii="Arial" w:hAnsi="Arial" w:cs="Arial"/>
          <w:bCs/>
          <w:i/>
        </w:rPr>
        <w:t>SCN2A</w:t>
      </w:r>
      <w:r w:rsidRPr="00105C49">
        <w:rPr>
          <w:rFonts w:ascii="Arial" w:hAnsi="Arial" w:cs="Arial"/>
          <w:bCs/>
        </w:rPr>
        <w:t>-related disorder.</w:t>
      </w:r>
    </w:p>
    <w:p w14:paraId="5F080C3E" w14:textId="77777777" w:rsidR="00AB3F4A" w:rsidRPr="00105C49" w:rsidRDefault="00AB3F4A" w:rsidP="006C2244">
      <w:pPr>
        <w:spacing w:line="480" w:lineRule="auto"/>
        <w:rPr>
          <w:rFonts w:ascii="Arial" w:hAnsi="Arial" w:cs="Arial"/>
        </w:rPr>
      </w:pPr>
    </w:p>
    <w:p w14:paraId="5B6132BD" w14:textId="444C4BAB" w:rsidR="00AB3F4A" w:rsidRPr="00105C49" w:rsidRDefault="00BC697D" w:rsidP="006C2244">
      <w:pPr>
        <w:spacing w:line="480" w:lineRule="auto"/>
        <w:rPr>
          <w:rFonts w:ascii="Arial" w:hAnsi="Arial" w:cs="Arial"/>
          <w:bCs/>
        </w:rPr>
      </w:pPr>
      <w:r w:rsidRPr="00105C49">
        <w:rPr>
          <w:rFonts w:ascii="Arial" w:hAnsi="Arial" w:cs="Arial"/>
          <w:b/>
          <w:lang w:val="en-US"/>
        </w:rPr>
        <w:t>Running Title</w:t>
      </w:r>
      <w:r w:rsidRPr="00105C49">
        <w:rPr>
          <w:rFonts w:ascii="Arial" w:hAnsi="Arial" w:cs="Arial"/>
          <w:lang w:val="en-US"/>
        </w:rPr>
        <w:t xml:space="preserve">: </w:t>
      </w:r>
      <w:r w:rsidR="00AB3F4A" w:rsidRPr="00105C49">
        <w:rPr>
          <w:rFonts w:ascii="Arial" w:hAnsi="Arial" w:cs="Arial"/>
          <w:bCs/>
          <w:i/>
        </w:rPr>
        <w:t>SCN2A</w:t>
      </w:r>
      <w:r w:rsidR="00AB3F4A" w:rsidRPr="00105C49">
        <w:rPr>
          <w:rFonts w:ascii="Arial" w:hAnsi="Arial" w:cs="Arial"/>
          <w:bCs/>
        </w:rPr>
        <w:t>-related disorder</w:t>
      </w:r>
    </w:p>
    <w:p w14:paraId="347E254C" w14:textId="1FED2F60" w:rsidR="00414B62" w:rsidRPr="00F2529A" w:rsidRDefault="00414B62" w:rsidP="00414B62">
      <w:pPr>
        <w:pStyle w:val="Normal1"/>
        <w:spacing w:line="480" w:lineRule="auto"/>
        <w:rPr>
          <w:color w:val="auto"/>
          <w:sz w:val="24"/>
          <w:szCs w:val="24"/>
          <w:vertAlign w:val="superscript"/>
          <w:lang w:val="en-US"/>
        </w:rPr>
      </w:pPr>
      <w:r w:rsidRPr="00F2529A">
        <w:rPr>
          <w:color w:val="auto"/>
          <w:sz w:val="24"/>
          <w:szCs w:val="24"/>
          <w:lang w:val="en-US"/>
        </w:rPr>
        <w:t>Richardson R</w:t>
      </w:r>
      <w:r w:rsidRPr="00F2529A">
        <w:rPr>
          <w:color w:val="auto"/>
          <w:sz w:val="24"/>
          <w:szCs w:val="24"/>
          <w:vertAlign w:val="superscript"/>
          <w:lang w:val="en-US"/>
        </w:rPr>
        <w:t>1</w:t>
      </w:r>
      <w:r w:rsidRPr="00F2529A">
        <w:rPr>
          <w:color w:val="auto"/>
          <w:sz w:val="24"/>
          <w:szCs w:val="24"/>
          <w:lang w:val="en-US"/>
        </w:rPr>
        <w:t>,</w:t>
      </w:r>
      <w:r w:rsidRPr="00F2529A">
        <w:rPr>
          <w:color w:val="auto"/>
          <w:sz w:val="24"/>
          <w:szCs w:val="24"/>
          <w:vertAlign w:val="superscript"/>
          <w:lang w:val="en-US"/>
        </w:rPr>
        <w:t xml:space="preserve"> </w:t>
      </w:r>
      <w:r w:rsidRPr="00F2529A">
        <w:rPr>
          <w:rFonts w:eastAsia="Times New Roman"/>
          <w:color w:val="auto"/>
          <w:sz w:val="24"/>
          <w:szCs w:val="24"/>
          <w:lang w:val="en-GB" w:eastAsia="en-GB"/>
        </w:rPr>
        <w:t xml:space="preserve"> </w:t>
      </w:r>
      <w:proofErr w:type="spellStart"/>
      <w:r w:rsidRPr="00F2529A">
        <w:rPr>
          <w:rFonts w:eastAsia="Times New Roman"/>
          <w:color w:val="auto"/>
          <w:sz w:val="24"/>
          <w:szCs w:val="24"/>
          <w:lang w:val="en-GB" w:eastAsia="en-GB"/>
        </w:rPr>
        <w:t>Baralle</w:t>
      </w:r>
      <w:proofErr w:type="spellEnd"/>
      <w:r w:rsidRPr="00F2529A">
        <w:rPr>
          <w:rFonts w:eastAsia="Times New Roman"/>
          <w:color w:val="auto"/>
          <w:sz w:val="24"/>
          <w:szCs w:val="24"/>
          <w:lang w:val="en-GB" w:eastAsia="en-GB"/>
        </w:rPr>
        <w:t xml:space="preserve"> D</w:t>
      </w:r>
      <w:r w:rsidRPr="00F2529A">
        <w:rPr>
          <w:rFonts w:eastAsia="Times New Roman"/>
          <w:color w:val="auto"/>
          <w:sz w:val="24"/>
          <w:szCs w:val="24"/>
          <w:vertAlign w:val="superscript"/>
          <w:lang w:val="en-GB" w:eastAsia="en-GB"/>
        </w:rPr>
        <w:t>2,3</w:t>
      </w:r>
      <w:r w:rsidRPr="00F2529A">
        <w:rPr>
          <w:rFonts w:eastAsia="Times New Roman"/>
          <w:color w:val="auto"/>
          <w:sz w:val="24"/>
          <w:szCs w:val="24"/>
          <w:lang w:val="en-GB" w:eastAsia="en-GB"/>
        </w:rPr>
        <w:t>, Bennett C</w:t>
      </w:r>
      <w:r w:rsidRPr="00F2529A">
        <w:rPr>
          <w:rFonts w:eastAsia="Times New Roman"/>
          <w:color w:val="auto"/>
          <w:sz w:val="24"/>
          <w:szCs w:val="24"/>
          <w:vertAlign w:val="superscript"/>
          <w:lang w:val="en-GB" w:eastAsia="en-GB"/>
        </w:rPr>
        <w:t>4</w:t>
      </w:r>
      <w:r w:rsidRPr="00F2529A">
        <w:rPr>
          <w:rFonts w:eastAsia="Times New Roman"/>
          <w:color w:val="auto"/>
          <w:sz w:val="24"/>
          <w:szCs w:val="24"/>
          <w:lang w:val="en-GB" w:eastAsia="en-GB"/>
        </w:rPr>
        <w:t>, Briggs T</w:t>
      </w:r>
      <w:r w:rsidRPr="00F2529A">
        <w:rPr>
          <w:rFonts w:eastAsia="Times New Roman"/>
          <w:color w:val="auto"/>
          <w:sz w:val="24"/>
          <w:szCs w:val="24"/>
          <w:vertAlign w:val="superscript"/>
          <w:lang w:val="en-GB" w:eastAsia="en-GB"/>
        </w:rPr>
        <w:t>5,6</w:t>
      </w:r>
      <w:r w:rsidRPr="00F2529A">
        <w:rPr>
          <w:rFonts w:eastAsia="Times New Roman"/>
          <w:color w:val="auto"/>
          <w:sz w:val="24"/>
          <w:szCs w:val="24"/>
          <w:lang w:val="en-GB" w:eastAsia="en-GB"/>
        </w:rPr>
        <w:t xml:space="preserve">, </w:t>
      </w:r>
      <w:proofErr w:type="spellStart"/>
      <w:r w:rsidRPr="00F2529A">
        <w:rPr>
          <w:rFonts w:eastAsia="Times New Roman"/>
          <w:color w:val="auto"/>
          <w:sz w:val="24"/>
          <w:szCs w:val="24"/>
          <w:lang w:val="en-GB" w:eastAsia="en-GB"/>
        </w:rPr>
        <w:t>Bijlsma</w:t>
      </w:r>
      <w:proofErr w:type="spellEnd"/>
      <w:r w:rsidRPr="00F2529A">
        <w:rPr>
          <w:rFonts w:eastAsia="Times New Roman"/>
          <w:color w:val="auto"/>
          <w:sz w:val="24"/>
          <w:szCs w:val="24"/>
          <w:lang w:val="en-GB" w:eastAsia="en-GB"/>
        </w:rPr>
        <w:t xml:space="preserve"> EK</w:t>
      </w:r>
      <w:r w:rsidRPr="00F2529A">
        <w:rPr>
          <w:rFonts w:eastAsia="Times New Roman"/>
          <w:color w:val="auto"/>
          <w:sz w:val="24"/>
          <w:szCs w:val="24"/>
          <w:vertAlign w:val="superscript"/>
          <w:lang w:val="en-GB" w:eastAsia="en-GB"/>
        </w:rPr>
        <w:t>7</w:t>
      </w:r>
      <w:r w:rsidRPr="00F2529A">
        <w:rPr>
          <w:rFonts w:eastAsia="Times New Roman"/>
          <w:color w:val="auto"/>
          <w:sz w:val="24"/>
          <w:szCs w:val="24"/>
          <w:lang w:val="en-GB" w:eastAsia="en-GB"/>
        </w:rPr>
        <w:t>, Clayton Smith J</w:t>
      </w:r>
      <w:r w:rsidRPr="00F2529A">
        <w:rPr>
          <w:rFonts w:eastAsia="Times New Roman"/>
          <w:color w:val="auto"/>
          <w:sz w:val="24"/>
          <w:szCs w:val="24"/>
          <w:vertAlign w:val="superscript"/>
          <w:lang w:val="en-GB" w:eastAsia="en-GB"/>
        </w:rPr>
        <w:t>5,6</w:t>
      </w:r>
      <w:r w:rsidRPr="00F2529A">
        <w:rPr>
          <w:rFonts w:eastAsia="Times New Roman"/>
          <w:color w:val="auto"/>
          <w:sz w:val="24"/>
          <w:szCs w:val="24"/>
          <w:lang w:val="en-GB" w:eastAsia="en-GB"/>
        </w:rPr>
        <w:t xml:space="preserve">, </w:t>
      </w:r>
      <w:proofErr w:type="spellStart"/>
      <w:r w:rsidRPr="00F2529A">
        <w:rPr>
          <w:rFonts w:eastAsia="Times New Roman"/>
          <w:color w:val="auto"/>
          <w:sz w:val="24"/>
          <w:szCs w:val="24"/>
          <w:lang w:val="en-GB" w:eastAsia="en-GB"/>
        </w:rPr>
        <w:t>Constantinou</w:t>
      </w:r>
      <w:proofErr w:type="spellEnd"/>
      <w:r w:rsidRPr="00F2529A">
        <w:rPr>
          <w:rFonts w:eastAsia="Times New Roman"/>
          <w:color w:val="auto"/>
          <w:sz w:val="24"/>
          <w:szCs w:val="24"/>
          <w:lang w:val="en-GB" w:eastAsia="en-GB"/>
        </w:rPr>
        <w:t xml:space="preserve"> P</w:t>
      </w:r>
      <w:r w:rsidRPr="00F2529A">
        <w:rPr>
          <w:rFonts w:eastAsia="Times New Roman"/>
          <w:color w:val="auto"/>
          <w:sz w:val="24"/>
          <w:szCs w:val="24"/>
          <w:vertAlign w:val="superscript"/>
          <w:lang w:val="en-GB" w:eastAsia="en-GB"/>
        </w:rPr>
        <w:t>8</w:t>
      </w:r>
      <w:r w:rsidRPr="00F2529A">
        <w:rPr>
          <w:rFonts w:eastAsia="Times New Roman"/>
          <w:color w:val="auto"/>
          <w:sz w:val="24"/>
          <w:szCs w:val="24"/>
          <w:lang w:val="en-GB" w:eastAsia="en-GB"/>
        </w:rPr>
        <w:t xml:space="preserve">, </w:t>
      </w:r>
      <w:proofErr w:type="spellStart"/>
      <w:r w:rsidRPr="00F2529A">
        <w:rPr>
          <w:rFonts w:eastAsia="Times New Roman"/>
          <w:color w:val="auto"/>
          <w:sz w:val="24"/>
          <w:szCs w:val="24"/>
          <w:lang w:val="en-GB" w:eastAsia="en-GB"/>
        </w:rPr>
        <w:t>Foulds</w:t>
      </w:r>
      <w:proofErr w:type="spellEnd"/>
      <w:r w:rsidRPr="00F2529A">
        <w:rPr>
          <w:rFonts w:eastAsia="Times New Roman"/>
          <w:color w:val="auto"/>
          <w:sz w:val="24"/>
          <w:szCs w:val="24"/>
          <w:lang w:val="en-GB" w:eastAsia="en-GB"/>
        </w:rPr>
        <w:t xml:space="preserve"> N</w:t>
      </w:r>
      <w:r w:rsidRPr="00F2529A">
        <w:rPr>
          <w:rFonts w:eastAsia="Times New Roman"/>
          <w:color w:val="auto"/>
          <w:sz w:val="24"/>
          <w:szCs w:val="24"/>
          <w:vertAlign w:val="superscript"/>
          <w:lang w:val="en-GB" w:eastAsia="en-GB"/>
        </w:rPr>
        <w:t>2</w:t>
      </w:r>
      <w:r w:rsidRPr="00F2529A">
        <w:rPr>
          <w:rFonts w:eastAsia="Times New Roman"/>
          <w:color w:val="auto"/>
          <w:sz w:val="24"/>
          <w:szCs w:val="24"/>
          <w:lang w:val="en-GB" w:eastAsia="en-GB"/>
        </w:rPr>
        <w:t>,  Jarvis J</w:t>
      </w:r>
      <w:r w:rsidRPr="00F2529A">
        <w:rPr>
          <w:rFonts w:eastAsia="Times New Roman"/>
          <w:color w:val="auto"/>
          <w:sz w:val="24"/>
          <w:szCs w:val="24"/>
          <w:vertAlign w:val="superscript"/>
          <w:lang w:val="en-GB" w:eastAsia="en-GB"/>
        </w:rPr>
        <w:t>9</w:t>
      </w:r>
      <w:r w:rsidRPr="00F2529A">
        <w:rPr>
          <w:rFonts w:eastAsia="Times New Roman"/>
          <w:color w:val="auto"/>
          <w:sz w:val="24"/>
          <w:szCs w:val="24"/>
          <w:lang w:val="en-GB" w:eastAsia="en-GB"/>
        </w:rPr>
        <w:t>, Jewell R</w:t>
      </w:r>
      <w:r w:rsidRPr="00F2529A">
        <w:rPr>
          <w:rFonts w:eastAsia="Times New Roman"/>
          <w:color w:val="auto"/>
          <w:sz w:val="24"/>
          <w:szCs w:val="24"/>
          <w:vertAlign w:val="superscript"/>
          <w:lang w:val="en-GB" w:eastAsia="en-GB"/>
        </w:rPr>
        <w:t>4</w:t>
      </w:r>
      <w:r w:rsidRPr="00F2529A">
        <w:rPr>
          <w:rFonts w:eastAsia="Times New Roman"/>
          <w:color w:val="auto"/>
          <w:sz w:val="24"/>
          <w:szCs w:val="24"/>
          <w:lang w:val="en-GB" w:eastAsia="en-GB"/>
        </w:rPr>
        <w:t>, Johnson DS</w:t>
      </w:r>
      <w:r w:rsidRPr="00F2529A">
        <w:rPr>
          <w:rFonts w:eastAsia="Times New Roman"/>
          <w:color w:val="auto"/>
          <w:sz w:val="24"/>
          <w:szCs w:val="24"/>
          <w:vertAlign w:val="superscript"/>
          <w:lang w:val="en-GB" w:eastAsia="en-GB"/>
        </w:rPr>
        <w:t>10</w:t>
      </w:r>
      <w:r w:rsidRPr="00F2529A">
        <w:rPr>
          <w:rFonts w:eastAsia="Times New Roman"/>
          <w:color w:val="auto"/>
          <w:sz w:val="24"/>
          <w:szCs w:val="24"/>
          <w:lang w:val="en-GB" w:eastAsia="en-GB"/>
        </w:rPr>
        <w:t xml:space="preserve">, </w:t>
      </w:r>
      <w:proofErr w:type="spellStart"/>
      <w:r w:rsidRPr="00F2529A">
        <w:rPr>
          <w:rFonts w:eastAsia="Times New Roman"/>
          <w:color w:val="auto"/>
          <w:sz w:val="24"/>
          <w:szCs w:val="24"/>
          <w:lang w:val="en-GB" w:eastAsia="en-GB"/>
        </w:rPr>
        <w:t>McEntagart</w:t>
      </w:r>
      <w:proofErr w:type="spellEnd"/>
      <w:r w:rsidRPr="00F2529A">
        <w:rPr>
          <w:rFonts w:eastAsia="Times New Roman"/>
          <w:color w:val="auto"/>
          <w:sz w:val="24"/>
          <w:szCs w:val="24"/>
          <w:lang w:val="en-GB" w:eastAsia="en-GB"/>
        </w:rPr>
        <w:t xml:space="preserve"> M</w:t>
      </w:r>
      <w:r w:rsidRPr="00F2529A">
        <w:rPr>
          <w:rFonts w:eastAsia="Times New Roman"/>
          <w:color w:val="auto"/>
          <w:sz w:val="24"/>
          <w:szCs w:val="24"/>
          <w:vertAlign w:val="superscript"/>
          <w:lang w:val="en-GB" w:eastAsia="en-GB"/>
        </w:rPr>
        <w:t>11</w:t>
      </w:r>
      <w:r w:rsidRPr="00F2529A">
        <w:rPr>
          <w:rFonts w:eastAsia="Times New Roman"/>
          <w:color w:val="auto"/>
          <w:sz w:val="24"/>
          <w:szCs w:val="24"/>
          <w:lang w:val="en-GB" w:eastAsia="en-GB"/>
        </w:rPr>
        <w:t>, Parker MJ</w:t>
      </w:r>
      <w:r w:rsidRPr="00F2529A">
        <w:rPr>
          <w:rFonts w:eastAsia="Times New Roman"/>
          <w:color w:val="auto"/>
          <w:sz w:val="24"/>
          <w:szCs w:val="24"/>
          <w:vertAlign w:val="superscript"/>
          <w:lang w:val="en-GB" w:eastAsia="en-GB"/>
        </w:rPr>
        <w:t>10</w:t>
      </w:r>
      <w:r w:rsidRPr="00F2529A">
        <w:rPr>
          <w:rFonts w:eastAsia="Times New Roman"/>
          <w:color w:val="auto"/>
          <w:sz w:val="24"/>
          <w:szCs w:val="24"/>
          <w:lang w:val="en-GB" w:eastAsia="en-GB"/>
        </w:rPr>
        <w:t>, Radley JA</w:t>
      </w:r>
      <w:r w:rsidRPr="00F2529A">
        <w:rPr>
          <w:rFonts w:eastAsia="Times New Roman"/>
          <w:color w:val="auto"/>
          <w:sz w:val="24"/>
          <w:szCs w:val="24"/>
          <w:vertAlign w:val="superscript"/>
          <w:lang w:val="en-GB" w:eastAsia="en-GB"/>
        </w:rPr>
        <w:t>12</w:t>
      </w:r>
      <w:r w:rsidRPr="00F2529A">
        <w:rPr>
          <w:rFonts w:eastAsia="Times New Roman"/>
          <w:color w:val="auto"/>
          <w:sz w:val="24"/>
          <w:szCs w:val="24"/>
          <w:lang w:val="en-GB" w:eastAsia="en-GB"/>
        </w:rPr>
        <w:t>, Robertson L</w:t>
      </w:r>
      <w:r w:rsidRPr="00F2529A">
        <w:rPr>
          <w:rFonts w:eastAsia="Times New Roman"/>
          <w:color w:val="auto"/>
          <w:sz w:val="24"/>
          <w:szCs w:val="24"/>
          <w:vertAlign w:val="superscript"/>
          <w:lang w:val="en-GB" w:eastAsia="en-GB"/>
        </w:rPr>
        <w:t>13</w:t>
      </w:r>
      <w:r w:rsidRPr="00F2529A">
        <w:rPr>
          <w:rFonts w:eastAsia="Times New Roman"/>
          <w:color w:val="auto"/>
          <w:sz w:val="24"/>
          <w:szCs w:val="24"/>
          <w:lang w:val="en-GB" w:eastAsia="en-GB"/>
        </w:rPr>
        <w:t xml:space="preserve">, </w:t>
      </w:r>
      <w:r w:rsidRPr="00F2529A">
        <w:rPr>
          <w:sz w:val="24"/>
          <w:szCs w:val="24"/>
        </w:rPr>
        <w:t>Ruivenkamp CAL</w:t>
      </w:r>
      <w:r w:rsidRPr="00F2529A">
        <w:rPr>
          <w:sz w:val="24"/>
          <w:szCs w:val="24"/>
          <w:vertAlign w:val="superscript"/>
        </w:rPr>
        <w:t>6</w:t>
      </w:r>
      <w:r w:rsidRPr="00F2529A">
        <w:rPr>
          <w:sz w:val="24"/>
          <w:szCs w:val="24"/>
        </w:rPr>
        <w:t xml:space="preserve">, </w:t>
      </w:r>
      <w:r w:rsidRPr="00F2529A">
        <w:rPr>
          <w:rFonts w:eastAsia="Times New Roman"/>
          <w:color w:val="auto"/>
          <w:sz w:val="24"/>
          <w:szCs w:val="24"/>
          <w:lang w:val="en-GB" w:eastAsia="en-GB"/>
        </w:rPr>
        <w:t>Rutten J</w:t>
      </w:r>
      <w:r w:rsidRPr="00F2529A">
        <w:rPr>
          <w:rFonts w:eastAsia="Times New Roman"/>
          <w:color w:val="auto"/>
          <w:sz w:val="24"/>
          <w:szCs w:val="24"/>
          <w:vertAlign w:val="superscript"/>
          <w:lang w:val="en-GB" w:eastAsia="en-GB"/>
        </w:rPr>
        <w:t>6</w:t>
      </w:r>
      <w:r w:rsidRPr="00F2529A">
        <w:rPr>
          <w:color w:val="auto"/>
          <w:sz w:val="24"/>
          <w:szCs w:val="24"/>
          <w:lang w:val="en-US"/>
        </w:rPr>
        <w:t>, Tellez J</w:t>
      </w:r>
      <w:r w:rsidRPr="00F2529A">
        <w:rPr>
          <w:color w:val="auto"/>
          <w:sz w:val="24"/>
          <w:szCs w:val="24"/>
          <w:vertAlign w:val="superscript"/>
          <w:lang w:val="en-US"/>
        </w:rPr>
        <w:t>1</w:t>
      </w:r>
      <w:r w:rsidRPr="00F2529A">
        <w:rPr>
          <w:rFonts w:eastAsia="Times New Roman"/>
          <w:color w:val="auto"/>
          <w:sz w:val="24"/>
          <w:szCs w:val="24"/>
          <w:lang w:val="en-GB" w:eastAsia="en-GB"/>
        </w:rPr>
        <w:t xml:space="preserve">, </w:t>
      </w:r>
      <w:proofErr w:type="spellStart"/>
      <w:r w:rsidRPr="00F2529A">
        <w:rPr>
          <w:rFonts w:eastAsia="Times New Roman"/>
          <w:color w:val="auto"/>
          <w:sz w:val="24"/>
          <w:szCs w:val="24"/>
          <w:lang w:val="en-GB" w:eastAsia="en-GB"/>
        </w:rPr>
        <w:t>Turnpenny</w:t>
      </w:r>
      <w:proofErr w:type="spellEnd"/>
      <w:r w:rsidRPr="00F2529A">
        <w:rPr>
          <w:rFonts w:eastAsia="Times New Roman"/>
          <w:color w:val="auto"/>
          <w:sz w:val="24"/>
          <w:szCs w:val="24"/>
          <w:lang w:val="en-GB" w:eastAsia="en-GB"/>
        </w:rPr>
        <w:t xml:space="preserve"> P</w:t>
      </w:r>
      <w:r w:rsidRPr="00F2529A">
        <w:rPr>
          <w:rFonts w:eastAsia="Times New Roman"/>
          <w:color w:val="auto"/>
          <w:sz w:val="24"/>
          <w:szCs w:val="24"/>
          <w:vertAlign w:val="superscript"/>
          <w:lang w:val="en-GB" w:eastAsia="en-GB"/>
        </w:rPr>
        <w:t>14</w:t>
      </w:r>
      <w:r w:rsidRPr="00F2529A">
        <w:rPr>
          <w:color w:val="auto"/>
          <w:sz w:val="24"/>
          <w:szCs w:val="24"/>
          <w:lang w:val="en-US"/>
        </w:rPr>
        <w:t>, Wilson V</w:t>
      </w:r>
      <w:r w:rsidRPr="00F2529A">
        <w:rPr>
          <w:color w:val="auto"/>
          <w:sz w:val="24"/>
          <w:szCs w:val="24"/>
          <w:vertAlign w:val="superscript"/>
          <w:lang w:val="en-US"/>
        </w:rPr>
        <w:t xml:space="preserve">1 </w:t>
      </w:r>
      <w:r w:rsidRPr="00F2529A">
        <w:rPr>
          <w:color w:val="auto"/>
          <w:sz w:val="24"/>
          <w:szCs w:val="24"/>
          <w:lang w:val="en-US"/>
        </w:rPr>
        <w:t>, Wright M</w:t>
      </w:r>
      <w:r w:rsidRPr="00F2529A">
        <w:rPr>
          <w:color w:val="auto"/>
          <w:sz w:val="24"/>
          <w:szCs w:val="24"/>
          <w:vertAlign w:val="superscript"/>
          <w:lang w:val="en-US"/>
        </w:rPr>
        <w:t>1</w:t>
      </w:r>
      <w:r w:rsidRPr="00F2529A">
        <w:rPr>
          <w:color w:val="auto"/>
          <w:sz w:val="24"/>
          <w:szCs w:val="24"/>
          <w:lang w:val="en-US"/>
        </w:rPr>
        <w:t>, Balasubramanian M</w:t>
      </w:r>
      <w:r w:rsidRPr="00F2529A">
        <w:rPr>
          <w:color w:val="auto"/>
          <w:sz w:val="24"/>
          <w:szCs w:val="24"/>
          <w:vertAlign w:val="superscript"/>
          <w:lang w:val="en-US"/>
        </w:rPr>
        <w:t>10, 15</w:t>
      </w:r>
    </w:p>
    <w:p w14:paraId="6669A9BA" w14:textId="77777777" w:rsidR="00414B62" w:rsidRDefault="00414B62" w:rsidP="00414B62">
      <w:pPr>
        <w:pStyle w:val="Normal1"/>
        <w:spacing w:line="360" w:lineRule="auto"/>
        <w:rPr>
          <w:sz w:val="24"/>
          <w:szCs w:val="24"/>
          <w:lang w:val="en-GB"/>
        </w:rPr>
      </w:pPr>
    </w:p>
    <w:p w14:paraId="7EA12B98" w14:textId="38EB1C40" w:rsidR="00414B62" w:rsidRPr="00F2529A" w:rsidRDefault="00414B62" w:rsidP="00414B62">
      <w:pPr>
        <w:pStyle w:val="Normal1"/>
        <w:spacing w:line="360" w:lineRule="auto"/>
        <w:rPr>
          <w:sz w:val="24"/>
          <w:szCs w:val="24"/>
          <w:lang w:val="en-GB"/>
        </w:rPr>
      </w:pPr>
      <w:r w:rsidRPr="00F2529A">
        <w:rPr>
          <w:sz w:val="24"/>
          <w:szCs w:val="24"/>
          <w:lang w:val="en-GB"/>
        </w:rPr>
        <w:t>1. Northern Genetics Service, Newcastle upon Tyne Hospitals NHS</w:t>
      </w:r>
      <w:r w:rsidR="00FB0994">
        <w:rPr>
          <w:sz w:val="24"/>
          <w:szCs w:val="24"/>
          <w:lang w:val="en-GB"/>
        </w:rPr>
        <w:t xml:space="preserve"> </w:t>
      </w:r>
      <w:r w:rsidRPr="00F2529A">
        <w:rPr>
          <w:sz w:val="24"/>
          <w:szCs w:val="24"/>
          <w:lang w:val="en-GB"/>
        </w:rPr>
        <w:t>Trust, Newcastle, UK</w:t>
      </w:r>
    </w:p>
    <w:p w14:paraId="08125D0F" w14:textId="77777777" w:rsidR="00414B62" w:rsidRPr="00F2529A" w:rsidRDefault="00414B62" w:rsidP="00414B62">
      <w:pPr>
        <w:pStyle w:val="Normal1"/>
        <w:spacing w:line="360" w:lineRule="auto"/>
        <w:rPr>
          <w:sz w:val="24"/>
          <w:szCs w:val="24"/>
        </w:rPr>
      </w:pPr>
      <w:proofErr w:type="gramStart"/>
      <w:r w:rsidRPr="00F2529A">
        <w:rPr>
          <w:sz w:val="24"/>
          <w:szCs w:val="24"/>
          <w:lang w:val="en-GB"/>
        </w:rPr>
        <w:t>2</w:t>
      </w:r>
      <w:proofErr w:type="gramEnd"/>
      <w:r w:rsidRPr="00F2529A">
        <w:rPr>
          <w:sz w:val="24"/>
          <w:szCs w:val="24"/>
          <w:lang w:val="en-GB"/>
        </w:rPr>
        <w:t xml:space="preserve"> University Hospital of Southampton NHS Foundation Trust, Southampton, UK</w:t>
      </w:r>
    </w:p>
    <w:p w14:paraId="4388BF39" w14:textId="77777777" w:rsidR="00414B62" w:rsidRPr="00F2529A" w:rsidRDefault="00414B62" w:rsidP="00414B62">
      <w:pPr>
        <w:pStyle w:val="Normal1"/>
        <w:spacing w:line="360" w:lineRule="auto"/>
        <w:rPr>
          <w:sz w:val="24"/>
          <w:szCs w:val="24"/>
          <w:lang w:val="en-GB"/>
        </w:rPr>
      </w:pPr>
      <w:r w:rsidRPr="00F2529A">
        <w:rPr>
          <w:sz w:val="24"/>
          <w:szCs w:val="24"/>
        </w:rPr>
        <w:t>3 University of Southampton Faculty of Medicine, Southamton, UK</w:t>
      </w:r>
    </w:p>
    <w:p w14:paraId="701CBF14" w14:textId="77777777" w:rsidR="00414B62" w:rsidRPr="00F2529A" w:rsidRDefault="00414B62" w:rsidP="00414B62">
      <w:pPr>
        <w:pStyle w:val="PlainText"/>
        <w:spacing w:line="360" w:lineRule="auto"/>
        <w:rPr>
          <w:rFonts w:ascii="Arial" w:hAnsi="Arial" w:cs="Arial"/>
          <w:sz w:val="24"/>
          <w:szCs w:val="24"/>
        </w:rPr>
      </w:pPr>
      <w:r w:rsidRPr="00F2529A">
        <w:rPr>
          <w:rFonts w:ascii="Arial" w:hAnsi="Arial" w:cs="Arial"/>
          <w:sz w:val="24"/>
          <w:szCs w:val="24"/>
        </w:rPr>
        <w:t xml:space="preserve">4. Yorkshire Regional Genetics Service, </w:t>
      </w:r>
      <w:proofErr w:type="gramStart"/>
      <w:r w:rsidRPr="00F2529A">
        <w:rPr>
          <w:rFonts w:ascii="Arial" w:hAnsi="Arial" w:cs="Arial"/>
          <w:sz w:val="24"/>
          <w:szCs w:val="24"/>
        </w:rPr>
        <w:t>The</w:t>
      </w:r>
      <w:proofErr w:type="gramEnd"/>
      <w:r w:rsidRPr="00F2529A">
        <w:rPr>
          <w:rFonts w:ascii="Arial" w:hAnsi="Arial" w:cs="Arial"/>
          <w:sz w:val="24"/>
          <w:szCs w:val="24"/>
        </w:rPr>
        <w:t xml:space="preserve"> Leeds Teaching Hospitals NHS Trust, Leeds, UK </w:t>
      </w:r>
    </w:p>
    <w:p w14:paraId="19DB4626" w14:textId="77777777" w:rsidR="00414B62" w:rsidRPr="00F2529A" w:rsidRDefault="00414B62" w:rsidP="00414B62">
      <w:pPr>
        <w:pStyle w:val="PlainText"/>
        <w:spacing w:line="360" w:lineRule="auto"/>
        <w:rPr>
          <w:rFonts w:ascii="Arial" w:hAnsi="Arial" w:cs="Arial"/>
          <w:sz w:val="24"/>
          <w:szCs w:val="24"/>
        </w:rPr>
      </w:pPr>
      <w:r w:rsidRPr="00F2529A">
        <w:rPr>
          <w:rFonts w:ascii="Arial" w:hAnsi="Arial" w:cs="Arial"/>
          <w:sz w:val="24"/>
          <w:szCs w:val="24"/>
        </w:rPr>
        <w:t>5.NW Genomic Laboratory Hub, Manchester Centre for Genomic Medicine, St Mary’s Hospital, Manchester University NHS Foundation Trust, Manchester, UK</w:t>
      </w:r>
    </w:p>
    <w:p w14:paraId="0C1ED83B" w14:textId="77777777" w:rsidR="00414B62" w:rsidRPr="00F2529A" w:rsidRDefault="00414B62" w:rsidP="00414B62">
      <w:pPr>
        <w:pStyle w:val="PlainText"/>
        <w:spacing w:line="360" w:lineRule="auto"/>
        <w:rPr>
          <w:rFonts w:ascii="Arial" w:hAnsi="Arial" w:cs="Arial"/>
          <w:vertAlign w:val="superscript"/>
          <w:lang w:val="en-US"/>
        </w:rPr>
      </w:pPr>
      <w:r w:rsidRPr="00F2529A">
        <w:rPr>
          <w:rFonts w:ascii="Arial" w:hAnsi="Arial" w:cs="Arial"/>
          <w:sz w:val="24"/>
          <w:szCs w:val="24"/>
        </w:rPr>
        <w:t>6. Division of Evolution and Genomic Sciences, School of Biological Sciences, University of Manchester, UK</w:t>
      </w:r>
    </w:p>
    <w:p w14:paraId="1659FA4C" w14:textId="77777777" w:rsidR="00414B62" w:rsidRPr="00F2529A" w:rsidRDefault="00414B62" w:rsidP="00414B62">
      <w:pPr>
        <w:pStyle w:val="Normal1"/>
        <w:spacing w:line="360" w:lineRule="auto"/>
        <w:rPr>
          <w:color w:val="222222"/>
          <w:sz w:val="24"/>
          <w:szCs w:val="24"/>
        </w:rPr>
      </w:pPr>
      <w:r w:rsidRPr="00F2529A">
        <w:rPr>
          <w:sz w:val="24"/>
          <w:szCs w:val="24"/>
          <w:lang w:val="en-GB"/>
        </w:rPr>
        <w:t xml:space="preserve">7. </w:t>
      </w:r>
      <w:r w:rsidRPr="00F2529A">
        <w:rPr>
          <w:color w:val="auto"/>
          <w:sz w:val="24"/>
          <w:szCs w:val="24"/>
          <w:lang w:val="en-GB"/>
        </w:rPr>
        <w:t>Department of Clinical Genetics, Leiden University Medical Centre, Leiden, Netherlands</w:t>
      </w:r>
    </w:p>
    <w:p w14:paraId="14E3E531" w14:textId="77777777" w:rsidR="00414B62" w:rsidRPr="00F2529A" w:rsidRDefault="00414B62" w:rsidP="00414B62">
      <w:pPr>
        <w:pStyle w:val="Normal1"/>
        <w:spacing w:line="360" w:lineRule="auto"/>
        <w:rPr>
          <w:sz w:val="24"/>
          <w:szCs w:val="24"/>
          <w:lang w:val="en-GB"/>
        </w:rPr>
      </w:pPr>
      <w:r w:rsidRPr="00F2529A">
        <w:rPr>
          <w:sz w:val="24"/>
          <w:szCs w:val="24"/>
          <w:lang w:val="en-GB"/>
        </w:rPr>
        <w:t xml:space="preserve">8. </w:t>
      </w:r>
      <w:r w:rsidRPr="00F2529A">
        <w:rPr>
          <w:color w:val="212121"/>
          <w:sz w:val="24"/>
          <w:szCs w:val="24"/>
          <w:shd w:val="clear" w:color="auto" w:fill="FFFFFF"/>
        </w:rPr>
        <w:t>Queen Elizabeth University Hospital, Glasgow, UK.</w:t>
      </w:r>
    </w:p>
    <w:p w14:paraId="05DC4965" w14:textId="77777777" w:rsidR="00414B62" w:rsidRPr="00F2529A" w:rsidRDefault="00414B62" w:rsidP="00414B62">
      <w:pPr>
        <w:pStyle w:val="Normal1"/>
        <w:spacing w:line="360" w:lineRule="auto"/>
        <w:rPr>
          <w:sz w:val="24"/>
          <w:szCs w:val="24"/>
          <w:lang w:val="en-GB"/>
        </w:rPr>
      </w:pPr>
      <w:r w:rsidRPr="00F2529A">
        <w:rPr>
          <w:sz w:val="24"/>
          <w:szCs w:val="24"/>
          <w:lang w:val="en-GB"/>
        </w:rPr>
        <w:t xml:space="preserve">9. </w:t>
      </w:r>
      <w:r w:rsidRPr="00F2529A">
        <w:rPr>
          <w:color w:val="212121"/>
          <w:sz w:val="24"/>
          <w:szCs w:val="24"/>
          <w:shd w:val="clear" w:color="auto" w:fill="FFFFFF"/>
        </w:rPr>
        <w:t>Clinical Genetics Unit, Birmingham Women's NHS Foundation Trust, Birmingham, UK</w:t>
      </w:r>
    </w:p>
    <w:p w14:paraId="6EF84AD5" w14:textId="77777777" w:rsidR="00414B62" w:rsidRPr="00F2529A" w:rsidRDefault="00414B62" w:rsidP="00414B62">
      <w:pPr>
        <w:pStyle w:val="Normal1"/>
        <w:spacing w:line="360" w:lineRule="auto"/>
        <w:rPr>
          <w:sz w:val="24"/>
          <w:szCs w:val="24"/>
          <w:lang w:val="en-GB"/>
        </w:rPr>
      </w:pPr>
      <w:proofErr w:type="gramStart"/>
      <w:r w:rsidRPr="00F2529A">
        <w:rPr>
          <w:sz w:val="24"/>
          <w:szCs w:val="24"/>
          <w:lang w:val="en-US"/>
        </w:rPr>
        <w:t>10</w:t>
      </w:r>
      <w:proofErr w:type="gramEnd"/>
      <w:r w:rsidRPr="00F2529A">
        <w:rPr>
          <w:sz w:val="24"/>
          <w:szCs w:val="24"/>
          <w:lang w:val="en-GB"/>
        </w:rPr>
        <w:t xml:space="preserve"> Sheffield Clinical Genetics Service, Sheffield Children’s NHS Foundation Trust, Sheffield, UK</w:t>
      </w:r>
    </w:p>
    <w:p w14:paraId="465BAE7C" w14:textId="77777777" w:rsidR="00414B62" w:rsidRPr="00F2529A" w:rsidRDefault="00414B62" w:rsidP="00414B62">
      <w:pPr>
        <w:pStyle w:val="Normal1"/>
        <w:spacing w:line="360" w:lineRule="auto"/>
        <w:rPr>
          <w:sz w:val="24"/>
          <w:szCs w:val="24"/>
          <w:lang w:val="en-GB"/>
        </w:rPr>
      </w:pPr>
      <w:r w:rsidRPr="00F2529A">
        <w:rPr>
          <w:sz w:val="24"/>
          <w:szCs w:val="24"/>
          <w:lang w:val="en-GB"/>
        </w:rPr>
        <w:t xml:space="preserve">11 </w:t>
      </w:r>
      <w:r w:rsidRPr="00F2529A">
        <w:rPr>
          <w:color w:val="212121"/>
          <w:sz w:val="24"/>
          <w:szCs w:val="24"/>
          <w:shd w:val="clear" w:color="auto" w:fill="FFFFFF"/>
        </w:rPr>
        <w:t>South West Thames Regional Genetics Centre, St. George's Healthcare NHS Trust, St. George's, University of London, London, UK.</w:t>
      </w:r>
      <w:r w:rsidRPr="00F2529A" w:rsidDel="00014F82">
        <w:rPr>
          <w:sz w:val="24"/>
          <w:szCs w:val="24"/>
          <w:lang w:val="en-GB"/>
        </w:rPr>
        <w:t xml:space="preserve"> </w:t>
      </w:r>
    </w:p>
    <w:p w14:paraId="4641B479" w14:textId="77777777" w:rsidR="00414B62" w:rsidRPr="00F2529A" w:rsidRDefault="00414B62" w:rsidP="00414B62">
      <w:pPr>
        <w:pStyle w:val="Normal1"/>
        <w:spacing w:line="360" w:lineRule="auto"/>
        <w:rPr>
          <w:color w:val="201F1E"/>
          <w:sz w:val="24"/>
          <w:szCs w:val="24"/>
          <w:shd w:val="clear" w:color="auto" w:fill="FFFFFF"/>
        </w:rPr>
      </w:pPr>
      <w:r w:rsidRPr="00F2529A">
        <w:rPr>
          <w:sz w:val="24"/>
          <w:szCs w:val="24"/>
          <w:lang w:val="en-GB"/>
        </w:rPr>
        <w:t xml:space="preserve">12 </w:t>
      </w:r>
      <w:r w:rsidRPr="00F2529A">
        <w:rPr>
          <w:color w:val="201F1E"/>
          <w:sz w:val="24"/>
          <w:szCs w:val="24"/>
          <w:shd w:val="clear" w:color="auto" w:fill="FFFFFF"/>
        </w:rPr>
        <w:t>London North West Regional Genetics Service, St. Mark’s and Northwick Park hospitals, Harrow, Middlesex, U.K.</w:t>
      </w:r>
    </w:p>
    <w:p w14:paraId="61B54F3C" w14:textId="77777777" w:rsidR="00414B62" w:rsidRPr="00F2529A" w:rsidRDefault="00414B62" w:rsidP="00414B62">
      <w:pPr>
        <w:pStyle w:val="Normal1"/>
        <w:spacing w:line="360" w:lineRule="auto"/>
        <w:rPr>
          <w:sz w:val="24"/>
          <w:szCs w:val="24"/>
          <w:lang w:val="en-GB"/>
        </w:rPr>
      </w:pPr>
      <w:r w:rsidRPr="00F2529A">
        <w:rPr>
          <w:color w:val="201F1E"/>
          <w:sz w:val="24"/>
          <w:szCs w:val="24"/>
          <w:shd w:val="clear" w:color="auto" w:fill="FFFFFF"/>
        </w:rPr>
        <w:t>13 North of Scotland Genetics Service, Aberdeen</w:t>
      </w:r>
    </w:p>
    <w:p w14:paraId="03ADA35E" w14:textId="77777777" w:rsidR="00414B62" w:rsidRPr="00F2529A" w:rsidRDefault="00414B62" w:rsidP="00414B62">
      <w:pPr>
        <w:pStyle w:val="Normal1"/>
        <w:spacing w:line="360" w:lineRule="auto"/>
        <w:rPr>
          <w:sz w:val="24"/>
          <w:szCs w:val="24"/>
          <w:lang w:val="en-GB"/>
        </w:rPr>
      </w:pPr>
      <w:proofErr w:type="gramStart"/>
      <w:r w:rsidRPr="00F2529A">
        <w:rPr>
          <w:sz w:val="24"/>
          <w:szCs w:val="24"/>
          <w:lang w:val="en-GB"/>
        </w:rPr>
        <w:lastRenderedPageBreak/>
        <w:t>14</w:t>
      </w:r>
      <w:proofErr w:type="gramEnd"/>
      <w:r w:rsidRPr="00F2529A">
        <w:rPr>
          <w:sz w:val="24"/>
          <w:szCs w:val="24"/>
          <w:lang w:val="en-GB"/>
        </w:rPr>
        <w:t xml:space="preserve"> </w:t>
      </w:r>
      <w:r w:rsidRPr="00F2529A">
        <w:rPr>
          <w:color w:val="212121"/>
          <w:sz w:val="24"/>
          <w:szCs w:val="24"/>
          <w:shd w:val="clear" w:color="auto" w:fill="FFFFFF"/>
        </w:rPr>
        <w:t>Clinical Genetics Department, Royal Devon and Exeter NHS Foundation Trust, Exeter, UK.</w:t>
      </w:r>
    </w:p>
    <w:p w14:paraId="3760F636" w14:textId="77777777" w:rsidR="00414B62" w:rsidRDefault="00414B62" w:rsidP="00414B62">
      <w:pPr>
        <w:pStyle w:val="Normal1"/>
        <w:spacing w:line="360" w:lineRule="auto"/>
        <w:rPr>
          <w:sz w:val="24"/>
          <w:szCs w:val="24"/>
          <w:lang w:val="en-GB"/>
        </w:rPr>
      </w:pPr>
      <w:proofErr w:type="gramStart"/>
      <w:r w:rsidRPr="00F2529A">
        <w:rPr>
          <w:sz w:val="24"/>
          <w:szCs w:val="24"/>
          <w:lang w:val="en-GB"/>
        </w:rPr>
        <w:t>15</w:t>
      </w:r>
      <w:proofErr w:type="gramEnd"/>
      <w:r w:rsidRPr="00F2529A">
        <w:rPr>
          <w:sz w:val="24"/>
          <w:szCs w:val="24"/>
          <w:lang w:val="en-GB"/>
        </w:rPr>
        <w:t xml:space="preserve"> Academic Unit of Child Health, Department of Oncology &amp; Metabolism, University of Sheffield</w:t>
      </w:r>
    </w:p>
    <w:p w14:paraId="4675CB22" w14:textId="10AA0111" w:rsidR="00BF12B8" w:rsidRPr="00105C49" w:rsidRDefault="00BF12B8" w:rsidP="006C2244">
      <w:pPr>
        <w:pStyle w:val="Normal1"/>
        <w:spacing w:line="480" w:lineRule="auto"/>
        <w:rPr>
          <w:sz w:val="24"/>
          <w:szCs w:val="24"/>
          <w:lang w:val="en-GB"/>
        </w:rPr>
      </w:pPr>
    </w:p>
    <w:p w14:paraId="639C4C3B" w14:textId="77777777" w:rsidR="007E2FE1" w:rsidRPr="00105C49" w:rsidRDefault="007E2FE1" w:rsidP="006C2244">
      <w:pPr>
        <w:pStyle w:val="Normal1"/>
        <w:spacing w:line="480" w:lineRule="auto"/>
        <w:rPr>
          <w:b/>
          <w:sz w:val="24"/>
          <w:szCs w:val="24"/>
          <w:lang w:val="en-US"/>
        </w:rPr>
      </w:pPr>
      <w:r w:rsidRPr="00105C49">
        <w:rPr>
          <w:b/>
          <w:sz w:val="24"/>
          <w:szCs w:val="24"/>
          <w:lang w:val="en-US"/>
        </w:rPr>
        <w:t xml:space="preserve">Acknowledgements </w:t>
      </w:r>
    </w:p>
    <w:p w14:paraId="124DCFCA" w14:textId="0D038070" w:rsidR="007E2FE1" w:rsidRPr="00105C49" w:rsidRDefault="007E2FE1" w:rsidP="006C2244">
      <w:pPr>
        <w:pStyle w:val="Normal1"/>
        <w:spacing w:line="480" w:lineRule="auto"/>
        <w:rPr>
          <w:sz w:val="24"/>
          <w:szCs w:val="24"/>
        </w:rPr>
      </w:pPr>
      <w:r w:rsidRPr="00105C49">
        <w:rPr>
          <w:sz w:val="24"/>
          <w:szCs w:val="24"/>
          <w:highlight w:val="white"/>
          <w:lang w:val="en-GB"/>
        </w:rPr>
        <w:t xml:space="preserve">We are grateful to the patients and their families for their cooperation.  </w:t>
      </w:r>
      <w:r w:rsidRPr="00105C49">
        <w:rPr>
          <w:sz w:val="24"/>
          <w:szCs w:val="24"/>
          <w:highlight w:val="white"/>
          <w:lang w:val="en-US"/>
        </w:rPr>
        <w:t xml:space="preserve">This study makes use of data generated by the DECIPHER Consortium. A full list of </w:t>
      </w:r>
      <w:proofErr w:type="spellStart"/>
      <w:r w:rsidRPr="00105C49">
        <w:rPr>
          <w:sz w:val="24"/>
          <w:szCs w:val="24"/>
          <w:highlight w:val="white"/>
          <w:lang w:val="en-US"/>
        </w:rPr>
        <w:t>centres</w:t>
      </w:r>
      <w:proofErr w:type="spellEnd"/>
      <w:r w:rsidRPr="00105C49">
        <w:rPr>
          <w:sz w:val="24"/>
          <w:szCs w:val="24"/>
          <w:highlight w:val="white"/>
          <w:lang w:val="en-US"/>
        </w:rPr>
        <w:t xml:space="preserve"> who contributed to the generation of the data is available from </w:t>
      </w:r>
      <w:hyperlink r:id="rId6">
        <w:r w:rsidRPr="00105C49">
          <w:rPr>
            <w:color w:val="337AB7"/>
            <w:sz w:val="24"/>
            <w:szCs w:val="24"/>
            <w:highlight w:val="white"/>
            <w:lang w:val="en-US"/>
          </w:rPr>
          <w:t>https://decipher.sanger.ac.uk/</w:t>
        </w:r>
      </w:hyperlink>
      <w:r w:rsidRPr="00105C49">
        <w:rPr>
          <w:sz w:val="24"/>
          <w:szCs w:val="24"/>
          <w:highlight w:val="white"/>
          <w:lang w:val="en-US"/>
        </w:rPr>
        <w:t xml:space="preserve"> and via email from </w:t>
      </w:r>
      <w:r w:rsidRPr="00105C49">
        <w:rPr>
          <w:color w:val="337AB7"/>
          <w:sz w:val="24"/>
          <w:szCs w:val="24"/>
          <w:highlight w:val="white"/>
          <w:lang w:val="en-US"/>
        </w:rPr>
        <w:t>decipher@sanger.ac.uk</w:t>
      </w:r>
      <w:r w:rsidRPr="00105C49">
        <w:rPr>
          <w:sz w:val="24"/>
          <w:szCs w:val="24"/>
          <w:highlight w:val="white"/>
          <w:lang w:val="en-US"/>
        </w:rPr>
        <w:t xml:space="preserve">. </w:t>
      </w:r>
      <w:proofErr w:type="gramStart"/>
      <w:r w:rsidRPr="00105C49">
        <w:rPr>
          <w:sz w:val="24"/>
          <w:szCs w:val="24"/>
          <w:highlight w:val="white"/>
          <w:lang w:val="en-US"/>
        </w:rPr>
        <w:t xml:space="preserve">Funding for the DDD project was provided by the </w:t>
      </w:r>
      <w:proofErr w:type="spellStart"/>
      <w:r w:rsidRPr="00105C49">
        <w:rPr>
          <w:sz w:val="24"/>
          <w:szCs w:val="24"/>
          <w:highlight w:val="white"/>
          <w:lang w:val="en-US"/>
        </w:rPr>
        <w:t>Wellcome</w:t>
      </w:r>
      <w:proofErr w:type="spellEnd"/>
      <w:r w:rsidRPr="00105C49">
        <w:rPr>
          <w:sz w:val="24"/>
          <w:szCs w:val="24"/>
          <w:highlight w:val="white"/>
          <w:lang w:val="en-US"/>
        </w:rPr>
        <w:t xml:space="preserve"> Trust</w:t>
      </w:r>
      <w:proofErr w:type="gramEnd"/>
      <w:r w:rsidRPr="00105C49">
        <w:rPr>
          <w:sz w:val="24"/>
          <w:szCs w:val="24"/>
          <w:highlight w:val="white"/>
          <w:lang w:val="en-US"/>
        </w:rPr>
        <w:t>.</w:t>
      </w:r>
    </w:p>
    <w:p w14:paraId="4E292304" w14:textId="6D2DC7BB" w:rsidR="007E2FE1" w:rsidRPr="00105C49" w:rsidRDefault="007E2FE1" w:rsidP="006C2244">
      <w:pPr>
        <w:spacing w:line="480" w:lineRule="auto"/>
        <w:rPr>
          <w:rFonts w:ascii="Arial" w:hAnsi="Arial" w:cs="Arial"/>
          <w:shd w:val="clear" w:color="auto" w:fill="FFFFFF"/>
        </w:rPr>
      </w:pPr>
      <w:proofErr w:type="gramStart"/>
      <w:r w:rsidRPr="00105C49">
        <w:rPr>
          <w:rFonts w:ascii="Arial" w:hAnsi="Arial" w:cs="Arial"/>
        </w:rPr>
        <w:t xml:space="preserve">Co-author DB is supported </w:t>
      </w:r>
      <w:r w:rsidRPr="00105C49">
        <w:rPr>
          <w:rFonts w:ascii="Arial" w:hAnsi="Arial" w:cs="Arial"/>
          <w:shd w:val="clear" w:color="auto" w:fill="FFFFFF"/>
        </w:rPr>
        <w:t>by NIHR Research Professorship RP-2016-07-011</w:t>
      </w:r>
      <w:proofErr w:type="gramEnd"/>
    </w:p>
    <w:p w14:paraId="068D0A9E" w14:textId="77777777" w:rsidR="00F929BA" w:rsidRDefault="00F929BA" w:rsidP="006C2244">
      <w:pPr>
        <w:pStyle w:val="Normal1"/>
        <w:spacing w:line="480" w:lineRule="auto"/>
        <w:rPr>
          <w:b/>
          <w:sz w:val="24"/>
          <w:szCs w:val="24"/>
          <w:highlight w:val="white"/>
          <w:lang w:val="en-GB"/>
        </w:rPr>
      </w:pPr>
    </w:p>
    <w:p w14:paraId="6798FC32" w14:textId="77777777" w:rsidR="007E2FE1" w:rsidRPr="00105C49" w:rsidRDefault="007E2FE1" w:rsidP="006C2244">
      <w:pPr>
        <w:pStyle w:val="Normal1"/>
        <w:spacing w:line="480" w:lineRule="auto"/>
        <w:rPr>
          <w:b/>
          <w:sz w:val="24"/>
          <w:szCs w:val="24"/>
          <w:highlight w:val="white"/>
          <w:lang w:val="en-GB"/>
        </w:rPr>
      </w:pPr>
      <w:r w:rsidRPr="00105C49">
        <w:rPr>
          <w:b/>
          <w:sz w:val="24"/>
          <w:szCs w:val="24"/>
          <w:highlight w:val="white"/>
          <w:lang w:val="en-GB"/>
        </w:rPr>
        <w:t>Conflicts of interest</w:t>
      </w:r>
    </w:p>
    <w:p w14:paraId="73100B30" w14:textId="77777777" w:rsidR="007E2FE1" w:rsidRPr="00105C49" w:rsidRDefault="007E2FE1" w:rsidP="006C2244">
      <w:pPr>
        <w:pStyle w:val="Normal1"/>
        <w:spacing w:line="480" w:lineRule="auto"/>
        <w:rPr>
          <w:b/>
          <w:sz w:val="24"/>
          <w:szCs w:val="24"/>
          <w:highlight w:val="white"/>
          <w:lang w:val="en-GB"/>
        </w:rPr>
      </w:pPr>
      <w:r w:rsidRPr="00105C49">
        <w:rPr>
          <w:sz w:val="24"/>
          <w:szCs w:val="24"/>
          <w:highlight w:val="white"/>
          <w:lang w:val="en-GB"/>
        </w:rPr>
        <w:t>None to declare for all authors</w:t>
      </w:r>
    </w:p>
    <w:p w14:paraId="543CA38D" w14:textId="77777777" w:rsidR="007E2FE1" w:rsidRPr="00105C49" w:rsidRDefault="007E2FE1" w:rsidP="00C1058E">
      <w:pPr>
        <w:pStyle w:val="Normal1"/>
        <w:spacing w:line="480" w:lineRule="auto"/>
        <w:rPr>
          <w:b/>
          <w:sz w:val="24"/>
          <w:szCs w:val="24"/>
          <w:highlight w:val="white"/>
          <w:lang w:val="en-GB"/>
        </w:rPr>
      </w:pPr>
    </w:p>
    <w:p w14:paraId="0C270F92" w14:textId="4A3791F2" w:rsidR="007E2FE1" w:rsidRPr="00105C49" w:rsidRDefault="007E2FE1" w:rsidP="006C2244">
      <w:pPr>
        <w:pStyle w:val="Normal1"/>
        <w:spacing w:line="480" w:lineRule="auto"/>
        <w:rPr>
          <w:b/>
          <w:sz w:val="24"/>
          <w:szCs w:val="24"/>
          <w:highlight w:val="white"/>
          <w:lang w:val="en-GB"/>
        </w:rPr>
      </w:pPr>
      <w:r w:rsidRPr="00105C49">
        <w:rPr>
          <w:b/>
          <w:sz w:val="24"/>
          <w:szCs w:val="24"/>
          <w:highlight w:val="white"/>
          <w:lang w:val="en-GB"/>
        </w:rPr>
        <w:t>Data Availability</w:t>
      </w:r>
    </w:p>
    <w:p w14:paraId="747F54FA" w14:textId="77777777" w:rsidR="003B4EFC" w:rsidRPr="00F2529A" w:rsidRDefault="003B4EFC" w:rsidP="003B4EFC">
      <w:pPr>
        <w:pStyle w:val="Normal1"/>
        <w:spacing w:line="480" w:lineRule="auto"/>
        <w:rPr>
          <w:sz w:val="24"/>
          <w:szCs w:val="24"/>
          <w:highlight w:val="white"/>
          <w:lang w:val="en-GB"/>
        </w:rPr>
      </w:pPr>
      <w:r w:rsidRPr="00F2529A">
        <w:rPr>
          <w:sz w:val="24"/>
          <w:szCs w:val="24"/>
          <w:highlight w:val="white"/>
          <w:lang w:val="en-GB"/>
        </w:rPr>
        <w:t>The data that support the findings of this study are available in the supplementary material of this article.</w:t>
      </w:r>
    </w:p>
    <w:p w14:paraId="105446A6" w14:textId="77777777" w:rsidR="007E2FE1" w:rsidRPr="00105C49" w:rsidRDefault="007E2FE1" w:rsidP="006C2244">
      <w:pPr>
        <w:pStyle w:val="Normal1"/>
        <w:spacing w:line="480" w:lineRule="auto"/>
        <w:rPr>
          <w:b/>
          <w:sz w:val="24"/>
          <w:szCs w:val="24"/>
          <w:highlight w:val="white"/>
          <w:lang w:val="en-GB"/>
        </w:rPr>
      </w:pPr>
    </w:p>
    <w:p w14:paraId="355B318A" w14:textId="77777777" w:rsidR="007E2FE1" w:rsidRPr="00105C49" w:rsidRDefault="007E2FE1" w:rsidP="006C2244">
      <w:pPr>
        <w:pStyle w:val="Normal1"/>
        <w:spacing w:line="480" w:lineRule="auto"/>
        <w:rPr>
          <w:b/>
          <w:sz w:val="24"/>
          <w:szCs w:val="24"/>
          <w:highlight w:val="white"/>
          <w:lang w:val="en-GB"/>
        </w:rPr>
      </w:pPr>
      <w:r w:rsidRPr="00105C49">
        <w:rPr>
          <w:b/>
          <w:sz w:val="24"/>
          <w:szCs w:val="24"/>
          <w:highlight w:val="white"/>
          <w:lang w:val="en-GB"/>
        </w:rPr>
        <w:t>DDD statement</w:t>
      </w:r>
    </w:p>
    <w:p w14:paraId="06884265" w14:textId="77777777" w:rsidR="007E2FE1" w:rsidRPr="00105C49" w:rsidRDefault="007E2FE1" w:rsidP="006C2244">
      <w:pPr>
        <w:pStyle w:val="Normal1"/>
        <w:spacing w:line="480" w:lineRule="auto"/>
        <w:rPr>
          <w:sz w:val="24"/>
          <w:szCs w:val="24"/>
          <w:highlight w:val="white"/>
          <w:lang w:val="en-GB"/>
        </w:rPr>
      </w:pPr>
      <w:r w:rsidRPr="00105C49">
        <w:rPr>
          <w:sz w:val="24"/>
          <w:szCs w:val="24"/>
          <w:highlight w:val="white"/>
          <w:lang w:val="en-GB"/>
        </w:rPr>
        <w:t xml:space="preserve">The DDD study presents independent research commissioned by the Health Innovation Challenge Fund [grant number HICF-1009-003], a parallel funding partnership between </w:t>
      </w:r>
      <w:proofErr w:type="spellStart"/>
      <w:r w:rsidRPr="00105C49">
        <w:rPr>
          <w:sz w:val="24"/>
          <w:szCs w:val="24"/>
          <w:highlight w:val="white"/>
          <w:lang w:val="en-GB"/>
        </w:rPr>
        <w:t>Wellcome</w:t>
      </w:r>
      <w:proofErr w:type="spellEnd"/>
      <w:r w:rsidRPr="00105C49">
        <w:rPr>
          <w:sz w:val="24"/>
          <w:szCs w:val="24"/>
          <w:highlight w:val="white"/>
          <w:lang w:val="en-GB"/>
        </w:rPr>
        <w:t xml:space="preserve"> and the Department of Health, and the </w:t>
      </w:r>
      <w:proofErr w:type="spellStart"/>
      <w:r w:rsidRPr="00105C49">
        <w:rPr>
          <w:sz w:val="24"/>
          <w:szCs w:val="24"/>
          <w:highlight w:val="white"/>
          <w:lang w:val="en-GB"/>
        </w:rPr>
        <w:t>Wellcome</w:t>
      </w:r>
      <w:proofErr w:type="spellEnd"/>
      <w:r w:rsidRPr="00105C49">
        <w:rPr>
          <w:sz w:val="24"/>
          <w:szCs w:val="24"/>
          <w:highlight w:val="white"/>
          <w:lang w:val="en-GB"/>
        </w:rPr>
        <w:t xml:space="preserve"> Sanger Institute [grant number WT098051]. The views expressed in this publication are those of the author(s) and not necessarily those of </w:t>
      </w:r>
      <w:proofErr w:type="spellStart"/>
      <w:r w:rsidRPr="00105C49">
        <w:rPr>
          <w:sz w:val="24"/>
          <w:szCs w:val="24"/>
          <w:highlight w:val="white"/>
          <w:lang w:val="en-GB"/>
        </w:rPr>
        <w:t>Wellcome</w:t>
      </w:r>
      <w:proofErr w:type="spellEnd"/>
      <w:r w:rsidRPr="00105C49">
        <w:rPr>
          <w:sz w:val="24"/>
          <w:szCs w:val="24"/>
          <w:highlight w:val="white"/>
          <w:lang w:val="en-GB"/>
        </w:rPr>
        <w:t xml:space="preserve"> or the Department </w:t>
      </w:r>
      <w:r w:rsidRPr="00105C49">
        <w:rPr>
          <w:sz w:val="24"/>
          <w:szCs w:val="24"/>
          <w:highlight w:val="white"/>
          <w:lang w:val="en-GB"/>
        </w:rPr>
        <w:lastRenderedPageBreak/>
        <w:t xml:space="preserve">of Health. The study has UK Research Ethics Committee approval (10/H0305/83, granted by the Cambridge South REC, and GEN/284/12 granted by the Republic of Ireland REC). The research team acknowledges the support of the National Institute for Health Research, through the Comprehensive Clinical Research Network. This study makes use of DECIPHER (http://decipher.sanger.ac.uk), which is funded by the </w:t>
      </w:r>
      <w:proofErr w:type="spellStart"/>
      <w:r w:rsidRPr="00105C49">
        <w:rPr>
          <w:sz w:val="24"/>
          <w:szCs w:val="24"/>
          <w:highlight w:val="white"/>
          <w:lang w:val="en-GB"/>
        </w:rPr>
        <w:t>Wellcome</w:t>
      </w:r>
      <w:proofErr w:type="spellEnd"/>
      <w:r w:rsidRPr="00105C49">
        <w:rPr>
          <w:sz w:val="24"/>
          <w:szCs w:val="24"/>
          <w:highlight w:val="white"/>
          <w:lang w:val="en-GB"/>
        </w:rPr>
        <w:t>.</w:t>
      </w:r>
    </w:p>
    <w:p w14:paraId="14F7058A" w14:textId="77777777" w:rsidR="007E2FE1" w:rsidRPr="00105C49" w:rsidRDefault="007E2FE1" w:rsidP="006C2244">
      <w:pPr>
        <w:pStyle w:val="Normal1"/>
        <w:spacing w:line="480" w:lineRule="auto"/>
        <w:rPr>
          <w:sz w:val="24"/>
          <w:szCs w:val="24"/>
          <w:lang w:val="en-GB"/>
        </w:rPr>
      </w:pPr>
    </w:p>
    <w:p w14:paraId="12B75147" w14:textId="3DFFBF41" w:rsidR="00992356" w:rsidRPr="00105C49" w:rsidRDefault="006B751D" w:rsidP="006C2244">
      <w:pPr>
        <w:pStyle w:val="Normal1"/>
        <w:spacing w:line="480" w:lineRule="auto"/>
        <w:rPr>
          <w:b/>
          <w:sz w:val="24"/>
          <w:szCs w:val="24"/>
          <w:lang w:val="en-US"/>
        </w:rPr>
      </w:pPr>
      <w:r w:rsidRPr="00105C49">
        <w:rPr>
          <w:b/>
          <w:sz w:val="24"/>
          <w:szCs w:val="24"/>
          <w:lang w:val="en-US"/>
        </w:rPr>
        <w:t>Abstract</w:t>
      </w:r>
    </w:p>
    <w:p w14:paraId="583CEAA9" w14:textId="6D26315E" w:rsidR="0085295D" w:rsidRPr="00105C49" w:rsidRDefault="0085295D" w:rsidP="006C2244">
      <w:pPr>
        <w:pStyle w:val="Normal1"/>
        <w:spacing w:line="480" w:lineRule="auto"/>
        <w:rPr>
          <w:b/>
          <w:color w:val="auto"/>
          <w:sz w:val="24"/>
          <w:szCs w:val="24"/>
          <w:lang w:val="en-US"/>
        </w:rPr>
      </w:pPr>
      <w:r w:rsidRPr="00105C49">
        <w:rPr>
          <w:i/>
          <w:color w:val="auto"/>
          <w:sz w:val="24"/>
          <w:szCs w:val="24"/>
          <w:lang w:val="en-US"/>
        </w:rPr>
        <w:t>SCN2A</w:t>
      </w:r>
      <w:r w:rsidRPr="00105C49">
        <w:rPr>
          <w:color w:val="auto"/>
          <w:sz w:val="24"/>
          <w:szCs w:val="24"/>
          <w:lang w:val="en-US"/>
        </w:rPr>
        <w:t xml:space="preserve">- related disorders include intellectual disability, autism spectrum disorder, seizures, episodic ataxia and schizophrenia. In this study, the phenotype-genotype association in </w:t>
      </w:r>
      <w:r w:rsidRPr="00105C49">
        <w:rPr>
          <w:i/>
          <w:color w:val="auto"/>
          <w:sz w:val="24"/>
          <w:szCs w:val="24"/>
          <w:lang w:val="en-US"/>
        </w:rPr>
        <w:t>SCN2A</w:t>
      </w:r>
      <w:r w:rsidRPr="00105C49">
        <w:rPr>
          <w:color w:val="auto"/>
          <w:sz w:val="24"/>
          <w:szCs w:val="24"/>
          <w:lang w:val="en-US"/>
        </w:rPr>
        <w:t xml:space="preserve">-related disorders </w:t>
      </w:r>
      <w:proofErr w:type="gramStart"/>
      <w:r w:rsidRPr="00105C49">
        <w:rPr>
          <w:color w:val="auto"/>
          <w:sz w:val="24"/>
          <w:szCs w:val="24"/>
          <w:lang w:val="en-US"/>
        </w:rPr>
        <w:t xml:space="preserve">was </w:t>
      </w:r>
      <w:r w:rsidR="00865770" w:rsidRPr="00105C49">
        <w:rPr>
          <w:color w:val="auto"/>
          <w:sz w:val="24"/>
          <w:szCs w:val="24"/>
          <w:lang w:val="en-US"/>
        </w:rPr>
        <w:t xml:space="preserve">further </w:t>
      </w:r>
      <w:r w:rsidR="007F0A8D" w:rsidRPr="00105C49">
        <w:rPr>
          <w:color w:val="auto"/>
          <w:sz w:val="24"/>
          <w:szCs w:val="24"/>
          <w:lang w:val="en-US"/>
        </w:rPr>
        <w:t>delineated</w:t>
      </w:r>
      <w:proofErr w:type="gramEnd"/>
      <w:r w:rsidR="00865770" w:rsidRPr="00105C49">
        <w:rPr>
          <w:color w:val="auto"/>
          <w:sz w:val="24"/>
          <w:szCs w:val="24"/>
          <w:lang w:val="en-US"/>
        </w:rPr>
        <w:t xml:space="preserve"> </w:t>
      </w:r>
      <w:r w:rsidRPr="00105C49">
        <w:rPr>
          <w:color w:val="auto"/>
          <w:sz w:val="24"/>
          <w:szCs w:val="24"/>
          <w:lang w:val="en-US"/>
        </w:rPr>
        <w:t>by collecting detailed clinical and molecular characteristics.</w:t>
      </w:r>
      <w:r w:rsidR="007F0A8D" w:rsidRPr="00105C49">
        <w:rPr>
          <w:color w:val="auto"/>
          <w:sz w:val="24"/>
          <w:szCs w:val="24"/>
          <w:lang w:val="en-US"/>
        </w:rPr>
        <w:t xml:space="preserve"> Using previously proposed genotype-phenotype hypotheses based on </w:t>
      </w:r>
      <w:r w:rsidR="00C1058E" w:rsidRPr="00105C49">
        <w:rPr>
          <w:color w:val="auto"/>
          <w:sz w:val="24"/>
          <w:szCs w:val="24"/>
          <w:lang w:val="en-US"/>
        </w:rPr>
        <w:t xml:space="preserve">variant </w:t>
      </w:r>
      <w:r w:rsidR="007F0A8D" w:rsidRPr="00105C49">
        <w:rPr>
          <w:color w:val="auto"/>
          <w:sz w:val="24"/>
          <w:szCs w:val="24"/>
          <w:lang w:val="en-US"/>
        </w:rPr>
        <w:t xml:space="preserve">function and position, the potential of phenotype prediction from the variants found </w:t>
      </w:r>
      <w:proofErr w:type="gramStart"/>
      <w:r w:rsidR="007F0A8D" w:rsidRPr="00105C49">
        <w:rPr>
          <w:color w:val="auto"/>
          <w:sz w:val="24"/>
          <w:szCs w:val="24"/>
          <w:lang w:val="en-US"/>
        </w:rPr>
        <w:t>was examined</w:t>
      </w:r>
      <w:proofErr w:type="gramEnd"/>
      <w:r w:rsidR="007F0A8D" w:rsidRPr="00105C49">
        <w:rPr>
          <w:color w:val="auto"/>
          <w:sz w:val="24"/>
          <w:szCs w:val="24"/>
          <w:lang w:val="en-US"/>
        </w:rPr>
        <w:t>.</w:t>
      </w:r>
    </w:p>
    <w:p w14:paraId="78C4E7A3" w14:textId="5223BD3F" w:rsidR="0085295D" w:rsidRPr="00105C49" w:rsidRDefault="0085295D" w:rsidP="006C2244">
      <w:pPr>
        <w:pStyle w:val="Normal1"/>
        <w:spacing w:line="480" w:lineRule="auto"/>
        <w:rPr>
          <w:color w:val="auto"/>
          <w:sz w:val="24"/>
          <w:szCs w:val="24"/>
          <w:lang w:val="en-US"/>
        </w:rPr>
      </w:pPr>
      <w:r w:rsidRPr="00105C49">
        <w:rPr>
          <w:color w:val="auto"/>
          <w:sz w:val="24"/>
          <w:szCs w:val="24"/>
          <w:lang w:val="en-US"/>
        </w:rPr>
        <w:t xml:space="preserve">Patients </w:t>
      </w:r>
      <w:proofErr w:type="gramStart"/>
      <w:r w:rsidRPr="00105C49">
        <w:rPr>
          <w:color w:val="auto"/>
          <w:sz w:val="24"/>
          <w:szCs w:val="24"/>
          <w:lang w:val="en-US"/>
        </w:rPr>
        <w:t>were identified</w:t>
      </w:r>
      <w:proofErr w:type="gramEnd"/>
      <w:r w:rsidRPr="00105C49">
        <w:rPr>
          <w:color w:val="auto"/>
          <w:sz w:val="24"/>
          <w:szCs w:val="24"/>
          <w:lang w:val="en-US"/>
        </w:rPr>
        <w:t xml:space="preserve"> through the Deciphering Developmental Disorders study and gene matching strategies. Phenotypic information and variant interpretation evidence w</w:t>
      </w:r>
      <w:r w:rsidR="00865770" w:rsidRPr="00105C49">
        <w:rPr>
          <w:color w:val="auto"/>
          <w:sz w:val="24"/>
          <w:szCs w:val="24"/>
          <w:lang w:val="en-US"/>
        </w:rPr>
        <w:t>as</w:t>
      </w:r>
      <w:r w:rsidRPr="00105C49">
        <w:rPr>
          <w:color w:val="auto"/>
          <w:sz w:val="24"/>
          <w:szCs w:val="24"/>
          <w:lang w:val="en-US"/>
        </w:rPr>
        <w:t xml:space="preserve"> collated. </w:t>
      </w:r>
      <w:proofErr w:type="gramStart"/>
      <w:r w:rsidRPr="00105C49">
        <w:rPr>
          <w:color w:val="auto"/>
          <w:sz w:val="24"/>
          <w:szCs w:val="24"/>
          <w:lang w:val="en-US"/>
        </w:rPr>
        <w:t>17</w:t>
      </w:r>
      <w:proofErr w:type="gramEnd"/>
      <w:r w:rsidRPr="00105C49">
        <w:rPr>
          <w:color w:val="auto"/>
          <w:sz w:val="24"/>
          <w:szCs w:val="24"/>
          <w:lang w:val="en-US"/>
        </w:rPr>
        <w:t xml:space="preserve"> previously unreported patients and 5 patients who had been previously reported (but with minimal phenotypic and segregation data) were included (10 males, 12 females; median age 10.5 years). All patients had developmental delay and the majority had intellectual disability. Seizures were </w:t>
      </w:r>
      <w:r w:rsidR="00430B66" w:rsidRPr="00105C49">
        <w:rPr>
          <w:color w:val="auto"/>
          <w:sz w:val="24"/>
          <w:szCs w:val="24"/>
          <w:lang w:val="en-US"/>
        </w:rPr>
        <w:t>reported</w:t>
      </w:r>
      <w:r w:rsidRPr="00105C49">
        <w:rPr>
          <w:color w:val="auto"/>
          <w:sz w:val="24"/>
          <w:szCs w:val="24"/>
          <w:lang w:val="en-US"/>
        </w:rPr>
        <w:t xml:space="preserve"> </w:t>
      </w:r>
      <w:r w:rsidRPr="007516B6">
        <w:rPr>
          <w:color w:val="auto"/>
          <w:sz w:val="24"/>
          <w:szCs w:val="24"/>
          <w:lang w:val="en-US"/>
        </w:rPr>
        <w:t>in 1</w:t>
      </w:r>
      <w:r w:rsidR="007516B6" w:rsidRPr="00FB0994">
        <w:rPr>
          <w:color w:val="auto"/>
          <w:sz w:val="24"/>
          <w:szCs w:val="24"/>
          <w:lang w:val="en-US"/>
        </w:rPr>
        <w:t>5</w:t>
      </w:r>
      <w:r w:rsidRPr="00727A7B">
        <w:rPr>
          <w:color w:val="auto"/>
          <w:sz w:val="24"/>
          <w:szCs w:val="24"/>
          <w:lang w:val="en-US"/>
        </w:rPr>
        <w:t>/22 (6</w:t>
      </w:r>
      <w:r w:rsidR="007516B6" w:rsidRPr="00FB0994">
        <w:rPr>
          <w:color w:val="auto"/>
          <w:sz w:val="24"/>
          <w:szCs w:val="24"/>
          <w:lang w:val="en-US"/>
        </w:rPr>
        <w:t>8.</w:t>
      </w:r>
      <w:r w:rsidR="00727A7B" w:rsidRPr="00727A7B">
        <w:rPr>
          <w:color w:val="auto"/>
          <w:sz w:val="24"/>
          <w:szCs w:val="24"/>
          <w:lang w:val="en-US"/>
        </w:rPr>
        <w:t>2</w:t>
      </w:r>
      <w:r w:rsidRPr="00727A7B">
        <w:rPr>
          <w:color w:val="auto"/>
          <w:sz w:val="24"/>
          <w:szCs w:val="24"/>
          <w:lang w:val="en-US"/>
        </w:rPr>
        <w:t>%),</w:t>
      </w:r>
      <w:r w:rsidRPr="00105C49">
        <w:rPr>
          <w:color w:val="auto"/>
          <w:sz w:val="24"/>
          <w:szCs w:val="24"/>
          <w:lang w:val="en-US"/>
        </w:rPr>
        <w:t xml:space="preserve"> 4/22 (18.2%) had autism spectrum disorder and no patients were reported with episodic ataxia. The majority of variants were </w:t>
      </w:r>
      <w:r w:rsidRPr="00105C49">
        <w:rPr>
          <w:i/>
          <w:color w:val="auto"/>
          <w:sz w:val="24"/>
          <w:szCs w:val="24"/>
          <w:lang w:val="en-US"/>
        </w:rPr>
        <w:t>de novo</w:t>
      </w:r>
      <w:r w:rsidRPr="00105C49">
        <w:rPr>
          <w:color w:val="auto"/>
          <w:sz w:val="24"/>
          <w:szCs w:val="24"/>
          <w:lang w:val="en-US"/>
        </w:rPr>
        <w:t xml:space="preserve">. One family had presumed gonadal mosaicism. The correlation of </w:t>
      </w:r>
      <w:r w:rsidR="00430B66" w:rsidRPr="00105C49">
        <w:rPr>
          <w:color w:val="auto"/>
          <w:sz w:val="24"/>
          <w:szCs w:val="24"/>
          <w:lang w:val="en-US"/>
        </w:rPr>
        <w:t>use of</w:t>
      </w:r>
      <w:r w:rsidRPr="00105C49">
        <w:rPr>
          <w:color w:val="auto"/>
          <w:sz w:val="24"/>
          <w:szCs w:val="24"/>
          <w:lang w:val="en-US"/>
        </w:rPr>
        <w:t xml:space="preserve"> sodium channel-blocking antiepileptic drugs with phenotype or genotype was variable. </w:t>
      </w:r>
    </w:p>
    <w:p w14:paraId="347BB570" w14:textId="4D4A8212" w:rsidR="007F0A8D" w:rsidRPr="00105C49" w:rsidRDefault="007F0A8D" w:rsidP="006C2244">
      <w:pPr>
        <w:pStyle w:val="Normal1"/>
        <w:spacing w:line="480" w:lineRule="auto"/>
        <w:rPr>
          <w:color w:val="auto"/>
          <w:sz w:val="24"/>
          <w:szCs w:val="24"/>
          <w:lang w:val="en-US"/>
        </w:rPr>
      </w:pPr>
      <w:r w:rsidRPr="00105C49">
        <w:rPr>
          <w:sz w:val="24"/>
          <w:szCs w:val="24"/>
        </w:rPr>
        <w:lastRenderedPageBreak/>
        <w:t xml:space="preserve">These data </w:t>
      </w:r>
      <w:r w:rsidR="00430B66" w:rsidRPr="00105C49">
        <w:rPr>
          <w:sz w:val="24"/>
          <w:szCs w:val="24"/>
        </w:rPr>
        <w:t xml:space="preserve">suggest </w:t>
      </w:r>
      <w:r w:rsidRPr="00105C49">
        <w:rPr>
          <w:sz w:val="24"/>
          <w:szCs w:val="24"/>
        </w:rPr>
        <w:t xml:space="preserve">that variant type and position alone </w:t>
      </w:r>
      <w:r w:rsidR="00590F27" w:rsidRPr="00105C49">
        <w:rPr>
          <w:sz w:val="24"/>
          <w:szCs w:val="24"/>
        </w:rPr>
        <w:t>can provide some predictive info</w:t>
      </w:r>
      <w:r w:rsidR="00B25304" w:rsidRPr="00105C49">
        <w:rPr>
          <w:sz w:val="24"/>
          <w:szCs w:val="24"/>
        </w:rPr>
        <w:t>rm</w:t>
      </w:r>
      <w:r w:rsidR="00590F27" w:rsidRPr="00105C49">
        <w:rPr>
          <w:sz w:val="24"/>
          <w:szCs w:val="24"/>
        </w:rPr>
        <w:t xml:space="preserve">ation about the phenotype in </w:t>
      </w:r>
      <w:r w:rsidR="00B25304" w:rsidRPr="00105C49">
        <w:rPr>
          <w:sz w:val="24"/>
          <w:szCs w:val="24"/>
        </w:rPr>
        <w:t xml:space="preserve">a proportion of  </w:t>
      </w:r>
      <w:r w:rsidR="00590F27" w:rsidRPr="00105C49">
        <w:rPr>
          <w:sz w:val="24"/>
          <w:szCs w:val="24"/>
        </w:rPr>
        <w:t xml:space="preserve">cases, but </w:t>
      </w:r>
      <w:r w:rsidR="00B25304" w:rsidRPr="00105C49">
        <w:rPr>
          <w:sz w:val="24"/>
          <w:szCs w:val="24"/>
        </w:rPr>
        <w:t>more precise</w:t>
      </w:r>
      <w:r w:rsidR="00105C49" w:rsidRPr="00105C49">
        <w:rPr>
          <w:sz w:val="24"/>
          <w:szCs w:val="24"/>
        </w:rPr>
        <w:t xml:space="preserve"> </w:t>
      </w:r>
      <w:r w:rsidR="00107E28">
        <w:rPr>
          <w:sz w:val="24"/>
          <w:szCs w:val="24"/>
        </w:rPr>
        <w:t>assessment</w:t>
      </w:r>
      <w:r w:rsidR="00107E28" w:rsidRPr="00105C49">
        <w:rPr>
          <w:sz w:val="24"/>
          <w:szCs w:val="24"/>
        </w:rPr>
        <w:t xml:space="preserve"> </w:t>
      </w:r>
      <w:r w:rsidR="00B25304" w:rsidRPr="00105C49">
        <w:rPr>
          <w:sz w:val="24"/>
          <w:szCs w:val="24"/>
        </w:rPr>
        <w:t>of variant function is needed for meaningful phenotype prediction.</w:t>
      </w:r>
    </w:p>
    <w:p w14:paraId="13C53E48" w14:textId="77777777" w:rsidR="00105C49" w:rsidRDefault="00105C49" w:rsidP="006C2244">
      <w:pPr>
        <w:pStyle w:val="Normal1"/>
        <w:spacing w:line="480" w:lineRule="auto"/>
        <w:rPr>
          <w:b/>
          <w:color w:val="auto"/>
          <w:sz w:val="24"/>
          <w:szCs w:val="24"/>
          <w:lang w:val="en-US"/>
        </w:rPr>
      </w:pPr>
    </w:p>
    <w:p w14:paraId="10099FA5" w14:textId="77777777" w:rsidR="007A77B2" w:rsidRDefault="007A77B2" w:rsidP="006C2244">
      <w:pPr>
        <w:pStyle w:val="Normal1"/>
        <w:spacing w:line="480" w:lineRule="auto"/>
        <w:rPr>
          <w:b/>
          <w:color w:val="auto"/>
          <w:sz w:val="24"/>
          <w:szCs w:val="24"/>
          <w:lang w:val="en-US"/>
        </w:rPr>
      </w:pPr>
    </w:p>
    <w:p w14:paraId="5C3E2EEB" w14:textId="77777777" w:rsidR="007A77B2" w:rsidRDefault="007A77B2" w:rsidP="006C2244">
      <w:pPr>
        <w:pStyle w:val="Normal1"/>
        <w:spacing w:line="480" w:lineRule="auto"/>
        <w:rPr>
          <w:b/>
          <w:color w:val="auto"/>
          <w:sz w:val="24"/>
          <w:szCs w:val="24"/>
          <w:lang w:val="en-US"/>
        </w:rPr>
      </w:pPr>
    </w:p>
    <w:p w14:paraId="39F45BE4" w14:textId="04C1B2DC" w:rsidR="009F72D3" w:rsidRPr="00105C49" w:rsidRDefault="0075076E" w:rsidP="006C2244">
      <w:pPr>
        <w:pStyle w:val="Normal1"/>
        <w:spacing w:line="480" w:lineRule="auto"/>
        <w:rPr>
          <w:b/>
          <w:color w:val="auto"/>
          <w:sz w:val="24"/>
          <w:szCs w:val="24"/>
          <w:lang w:val="en-US"/>
        </w:rPr>
      </w:pPr>
      <w:r w:rsidRPr="00105C49">
        <w:rPr>
          <w:b/>
          <w:color w:val="auto"/>
          <w:sz w:val="24"/>
          <w:szCs w:val="24"/>
          <w:lang w:val="en-US"/>
        </w:rPr>
        <w:t>Keywords</w:t>
      </w:r>
    </w:p>
    <w:p w14:paraId="121BBE98" w14:textId="49183250" w:rsidR="00B40265" w:rsidRPr="00105C49" w:rsidRDefault="009F72D3" w:rsidP="006C2244">
      <w:pPr>
        <w:pStyle w:val="Normal1"/>
        <w:spacing w:line="480" w:lineRule="auto"/>
        <w:rPr>
          <w:sz w:val="24"/>
          <w:szCs w:val="24"/>
          <w:lang w:val="en-US"/>
        </w:rPr>
      </w:pPr>
      <w:r w:rsidRPr="00105C49">
        <w:rPr>
          <w:color w:val="auto"/>
          <w:sz w:val="24"/>
          <w:szCs w:val="24"/>
          <w:lang w:val="en-US"/>
        </w:rPr>
        <w:t xml:space="preserve">Intellectual </w:t>
      </w:r>
      <w:r w:rsidR="0075076E" w:rsidRPr="00105C49">
        <w:rPr>
          <w:color w:val="auto"/>
          <w:sz w:val="24"/>
          <w:szCs w:val="24"/>
          <w:lang w:val="en-US"/>
        </w:rPr>
        <w:t>disability</w:t>
      </w:r>
      <w:r w:rsidRPr="00105C49">
        <w:rPr>
          <w:color w:val="auto"/>
          <w:sz w:val="24"/>
          <w:szCs w:val="24"/>
          <w:lang w:val="en-US"/>
        </w:rPr>
        <w:t xml:space="preserve">; </w:t>
      </w:r>
      <w:r w:rsidRPr="00105C49">
        <w:rPr>
          <w:i/>
          <w:color w:val="auto"/>
          <w:sz w:val="24"/>
          <w:szCs w:val="24"/>
          <w:lang w:val="en-US"/>
        </w:rPr>
        <w:t>SCN2A</w:t>
      </w:r>
      <w:r w:rsidRPr="00105C49">
        <w:rPr>
          <w:color w:val="auto"/>
          <w:sz w:val="24"/>
          <w:szCs w:val="24"/>
          <w:lang w:val="en-US"/>
        </w:rPr>
        <w:t>; autism spectrum disorder, Developmental delay, episodic ataxia</w:t>
      </w:r>
    </w:p>
    <w:p w14:paraId="725A08D9" w14:textId="77777777" w:rsidR="00CE33FB" w:rsidRPr="00105C49" w:rsidRDefault="00CE33FB" w:rsidP="00C1058E">
      <w:pPr>
        <w:pStyle w:val="Normal1"/>
        <w:spacing w:line="480" w:lineRule="auto"/>
        <w:rPr>
          <w:b/>
          <w:sz w:val="24"/>
          <w:szCs w:val="24"/>
          <w:lang w:val="en-US"/>
        </w:rPr>
      </w:pPr>
    </w:p>
    <w:p w14:paraId="10F318B1" w14:textId="77777777" w:rsidR="00105C49" w:rsidRDefault="00105C49" w:rsidP="00C1058E">
      <w:pPr>
        <w:pStyle w:val="Normal1"/>
        <w:spacing w:line="480" w:lineRule="auto"/>
        <w:rPr>
          <w:b/>
          <w:sz w:val="24"/>
          <w:szCs w:val="24"/>
          <w:lang w:val="en-US"/>
        </w:rPr>
      </w:pPr>
    </w:p>
    <w:p w14:paraId="5906EB2E" w14:textId="77777777" w:rsidR="00105C49" w:rsidRDefault="00105C49" w:rsidP="00C1058E">
      <w:pPr>
        <w:pStyle w:val="Normal1"/>
        <w:spacing w:line="480" w:lineRule="auto"/>
        <w:rPr>
          <w:b/>
          <w:sz w:val="24"/>
          <w:szCs w:val="24"/>
          <w:lang w:val="en-US"/>
        </w:rPr>
      </w:pPr>
    </w:p>
    <w:p w14:paraId="6CAD544B" w14:textId="4BCF22D6" w:rsidR="00C35571" w:rsidRPr="00105C49" w:rsidRDefault="006B751D" w:rsidP="00C1058E">
      <w:pPr>
        <w:pStyle w:val="Normal1"/>
        <w:spacing w:line="480" w:lineRule="auto"/>
        <w:rPr>
          <w:b/>
          <w:sz w:val="24"/>
          <w:szCs w:val="24"/>
          <w:lang w:val="en-US"/>
        </w:rPr>
      </w:pPr>
      <w:r w:rsidRPr="00105C49">
        <w:rPr>
          <w:b/>
          <w:sz w:val="24"/>
          <w:szCs w:val="24"/>
          <w:lang w:val="en-US"/>
        </w:rPr>
        <w:t>Introduction</w:t>
      </w:r>
    </w:p>
    <w:p w14:paraId="71CBBCC9" w14:textId="3962702F" w:rsidR="00A3341E" w:rsidRPr="00105C49" w:rsidRDefault="00476C66" w:rsidP="00C1058E">
      <w:pPr>
        <w:spacing w:line="480" w:lineRule="auto"/>
        <w:rPr>
          <w:rFonts w:ascii="Arial" w:hAnsi="Arial" w:cs="Arial"/>
        </w:rPr>
      </w:pPr>
      <w:r w:rsidRPr="00105C49">
        <w:rPr>
          <w:rFonts w:ascii="Arial" w:hAnsi="Arial" w:cs="Arial"/>
        </w:rPr>
        <w:t>S</w:t>
      </w:r>
      <w:r w:rsidR="00A3341E" w:rsidRPr="00105C49">
        <w:rPr>
          <w:rFonts w:ascii="Arial" w:hAnsi="Arial" w:cs="Arial"/>
        </w:rPr>
        <w:t>odium voltage-gated channel α subunit 2 is a member of the sodium channel alpha subunit gene family and encodes sodium channel Na</w:t>
      </w:r>
      <w:r w:rsidR="00A3341E" w:rsidRPr="00105C49">
        <w:rPr>
          <w:rFonts w:ascii="Arial" w:hAnsi="Arial" w:cs="Arial"/>
          <w:vertAlign w:val="subscript"/>
        </w:rPr>
        <w:t>v</w:t>
      </w:r>
      <w:r w:rsidR="00A3341E" w:rsidRPr="00105C49">
        <w:rPr>
          <w:rFonts w:ascii="Arial" w:hAnsi="Arial" w:cs="Arial"/>
        </w:rPr>
        <w:t>1.2 (</w:t>
      </w:r>
      <w:r w:rsidR="00A3341E" w:rsidRPr="00105C49">
        <w:rPr>
          <w:rFonts w:ascii="Arial" w:hAnsi="Arial" w:cs="Arial"/>
          <w:i/>
        </w:rPr>
        <w:t>SCN2A</w:t>
      </w:r>
      <w:r w:rsidR="00A3341E" w:rsidRPr="00105C49">
        <w:rPr>
          <w:rFonts w:ascii="Arial" w:hAnsi="Arial" w:cs="Arial"/>
        </w:rPr>
        <w:t xml:space="preserve"> OMIM </w:t>
      </w:r>
      <w:r w:rsidR="00A3341E" w:rsidRPr="00105C49">
        <w:rPr>
          <w:rStyle w:val="Strong"/>
          <w:rFonts w:ascii="Arial" w:hAnsi="Arial" w:cs="Arial"/>
          <w:b w:val="0"/>
          <w:bCs w:val="0"/>
          <w:shd w:val="clear" w:color="auto" w:fill="FFFFFF"/>
        </w:rPr>
        <w:t>*</w:t>
      </w:r>
      <w:r w:rsidR="00A3341E" w:rsidRPr="00105C49">
        <w:rPr>
          <w:rFonts w:ascii="Arial" w:hAnsi="Arial" w:cs="Arial"/>
          <w:shd w:val="clear" w:color="auto" w:fill="FFFFFF"/>
        </w:rPr>
        <w:t>182390</w:t>
      </w:r>
      <w:r w:rsidR="00452B5F" w:rsidRPr="00105C49">
        <w:rPr>
          <w:rFonts w:ascii="Arial" w:hAnsi="Arial" w:cs="Arial"/>
          <w:shd w:val="clear" w:color="auto" w:fill="FFFFFF"/>
        </w:rPr>
        <w:t>)</w:t>
      </w:r>
      <w:r w:rsidR="00E636FB" w:rsidRPr="00105C49">
        <w:rPr>
          <w:rFonts w:ascii="Arial" w:hAnsi="Arial" w:cs="Arial"/>
          <w:shd w:val="clear" w:color="auto" w:fill="FFFFFF"/>
        </w:rPr>
        <w:t>.</w:t>
      </w:r>
    </w:p>
    <w:p w14:paraId="326BDAD0" w14:textId="10768B8D" w:rsidR="00A3341E" w:rsidRPr="00105C49" w:rsidRDefault="00A3341E" w:rsidP="006C2244">
      <w:pPr>
        <w:spacing w:line="480" w:lineRule="auto"/>
        <w:rPr>
          <w:rFonts w:ascii="Arial" w:hAnsi="Arial" w:cs="Arial"/>
          <w:shd w:val="clear" w:color="auto" w:fill="FFFFFF"/>
        </w:rPr>
      </w:pPr>
      <w:r w:rsidRPr="00105C49">
        <w:rPr>
          <w:rFonts w:ascii="Arial" w:hAnsi="Arial" w:cs="Arial"/>
          <w:shd w:val="clear" w:color="auto" w:fill="FFFFFF"/>
        </w:rPr>
        <w:t>Voltage-gated sodium channel Na</w:t>
      </w:r>
      <w:r w:rsidRPr="00105C49">
        <w:rPr>
          <w:rFonts w:ascii="Arial" w:hAnsi="Arial" w:cs="Arial"/>
          <w:shd w:val="clear" w:color="auto" w:fill="FFFFFF"/>
          <w:vertAlign w:val="subscript"/>
        </w:rPr>
        <w:t>v</w:t>
      </w:r>
      <w:r w:rsidRPr="00105C49">
        <w:rPr>
          <w:rFonts w:ascii="Arial" w:hAnsi="Arial" w:cs="Arial"/>
          <w:shd w:val="clear" w:color="auto" w:fill="FFFFFF"/>
        </w:rPr>
        <w:t xml:space="preserve">1.2 is one of the four major sodium channels in the brain and consists of four domains, with each domain comprising of </w:t>
      </w:r>
      <w:proofErr w:type="gramStart"/>
      <w:r w:rsidRPr="00105C49">
        <w:rPr>
          <w:rFonts w:ascii="Arial" w:hAnsi="Arial" w:cs="Arial"/>
          <w:shd w:val="clear" w:color="auto" w:fill="FFFFFF"/>
        </w:rPr>
        <w:t>6</w:t>
      </w:r>
      <w:proofErr w:type="gramEnd"/>
      <w:r w:rsidRPr="00105C49">
        <w:rPr>
          <w:rFonts w:ascii="Arial" w:hAnsi="Arial" w:cs="Arial"/>
          <w:shd w:val="clear" w:color="auto" w:fill="FFFFFF"/>
        </w:rPr>
        <w:t xml:space="preserve"> transmembrane segments (see figure 1). The S3 segment acts as the voltage sensor and the S5 and S6 segments form the ion selectivity pore </w:t>
      </w:r>
      <w:r w:rsidR="00A072E5">
        <w:rPr>
          <w:rFonts w:ascii="Arial" w:hAnsi="Arial" w:cs="Arial"/>
          <w:shd w:val="clear" w:color="auto" w:fill="FFFFFF"/>
        </w:rPr>
        <w:t>(</w:t>
      </w:r>
      <w:proofErr w:type="spellStart"/>
      <w:r w:rsidR="00A072E5">
        <w:rPr>
          <w:rFonts w:ascii="Arial" w:hAnsi="Arial" w:cs="Arial"/>
          <w:shd w:val="clear" w:color="auto" w:fill="FFFFFF"/>
        </w:rPr>
        <w:t>Hedrich</w:t>
      </w:r>
      <w:proofErr w:type="spellEnd"/>
      <w:r w:rsidR="00A072E5">
        <w:rPr>
          <w:rFonts w:ascii="Arial" w:hAnsi="Arial" w:cs="Arial"/>
          <w:shd w:val="clear" w:color="auto" w:fill="FFFFFF"/>
        </w:rPr>
        <w:t xml:space="preserve"> 2019)</w:t>
      </w:r>
      <w:r w:rsidR="00E636FB" w:rsidRPr="00105C49">
        <w:rPr>
          <w:rFonts w:ascii="Arial" w:hAnsi="Arial" w:cs="Arial"/>
          <w:shd w:val="clear" w:color="auto" w:fill="FFFFFF"/>
        </w:rPr>
        <w:t>.</w:t>
      </w:r>
    </w:p>
    <w:p w14:paraId="39EA6F70" w14:textId="2ED456D9" w:rsidR="00A3341E" w:rsidRPr="00105C49" w:rsidRDefault="00A3341E" w:rsidP="006C2244">
      <w:pPr>
        <w:spacing w:line="480" w:lineRule="auto"/>
        <w:rPr>
          <w:rFonts w:ascii="Arial" w:hAnsi="Arial" w:cs="Arial"/>
          <w:shd w:val="clear" w:color="auto" w:fill="FFFFFF"/>
        </w:rPr>
      </w:pPr>
      <w:r w:rsidRPr="00105C49">
        <w:rPr>
          <w:rFonts w:ascii="Arial" w:hAnsi="Arial" w:cs="Arial"/>
          <w:lang w:val="en-IE"/>
        </w:rPr>
        <w:t xml:space="preserve">Pathogenic variants in </w:t>
      </w:r>
      <w:r w:rsidRPr="00105C49">
        <w:rPr>
          <w:rFonts w:ascii="Arial" w:hAnsi="Arial" w:cs="Arial"/>
          <w:i/>
          <w:lang w:val="en-IE"/>
        </w:rPr>
        <w:t>SCN2A</w:t>
      </w:r>
      <w:r w:rsidRPr="00105C49">
        <w:rPr>
          <w:rFonts w:ascii="Arial" w:hAnsi="Arial" w:cs="Arial"/>
          <w:lang w:val="en-IE"/>
        </w:rPr>
        <w:t xml:space="preserve"> are associated with different neurological and neurodevelopmental phenotypes including </w:t>
      </w:r>
      <w:r w:rsidR="00DA3408" w:rsidRPr="00105C49">
        <w:rPr>
          <w:rFonts w:ascii="Arial" w:hAnsi="Arial" w:cs="Arial"/>
        </w:rPr>
        <w:t>developmental and ep</w:t>
      </w:r>
      <w:r w:rsidR="00682BEB" w:rsidRPr="00105C49">
        <w:rPr>
          <w:rFonts w:ascii="Arial" w:hAnsi="Arial" w:cs="Arial"/>
        </w:rPr>
        <w:t>ilep</w:t>
      </w:r>
      <w:r w:rsidR="00DA3408" w:rsidRPr="00105C49">
        <w:rPr>
          <w:rFonts w:ascii="Arial" w:hAnsi="Arial" w:cs="Arial"/>
        </w:rPr>
        <w:t xml:space="preserve">tic </w:t>
      </w:r>
      <w:r w:rsidR="00682BEB" w:rsidRPr="00105C49">
        <w:rPr>
          <w:rFonts w:ascii="Arial" w:hAnsi="Arial" w:cs="Arial"/>
        </w:rPr>
        <w:t xml:space="preserve">encephalopathies </w:t>
      </w:r>
      <w:r w:rsidR="00DA3408" w:rsidRPr="00105C49">
        <w:rPr>
          <w:rFonts w:ascii="Arial" w:hAnsi="Arial" w:cs="Arial"/>
        </w:rPr>
        <w:t xml:space="preserve">(DEE), </w:t>
      </w:r>
      <w:r w:rsidRPr="00105C49">
        <w:rPr>
          <w:rFonts w:ascii="Arial" w:hAnsi="Arial" w:cs="Arial"/>
        </w:rPr>
        <w:t xml:space="preserve">self-limiting neonatal-infantile epilepsy (SLNIE), episodic ataxia (EA), </w:t>
      </w:r>
      <w:r w:rsidR="00F347E8" w:rsidRPr="00105C49">
        <w:rPr>
          <w:rFonts w:ascii="Arial" w:hAnsi="Arial" w:cs="Arial"/>
        </w:rPr>
        <w:t>developmental delay (</w:t>
      </w:r>
      <w:r w:rsidRPr="00105C49">
        <w:rPr>
          <w:rFonts w:ascii="Arial" w:hAnsi="Arial" w:cs="Arial"/>
        </w:rPr>
        <w:t>DD</w:t>
      </w:r>
      <w:r w:rsidR="00F347E8" w:rsidRPr="00105C49">
        <w:rPr>
          <w:rFonts w:ascii="Arial" w:hAnsi="Arial" w:cs="Arial"/>
        </w:rPr>
        <w:t>)</w:t>
      </w:r>
      <w:r w:rsidRPr="00105C49">
        <w:rPr>
          <w:rFonts w:ascii="Arial" w:hAnsi="Arial" w:cs="Arial"/>
        </w:rPr>
        <w:t xml:space="preserve">, </w:t>
      </w:r>
      <w:r w:rsidR="00F347E8" w:rsidRPr="00105C49">
        <w:rPr>
          <w:rFonts w:ascii="Arial" w:hAnsi="Arial" w:cs="Arial"/>
        </w:rPr>
        <w:t>intel</w:t>
      </w:r>
      <w:r w:rsidR="00865770" w:rsidRPr="00105C49">
        <w:rPr>
          <w:rFonts w:ascii="Arial" w:hAnsi="Arial" w:cs="Arial"/>
        </w:rPr>
        <w:t>l</w:t>
      </w:r>
      <w:r w:rsidR="00F347E8" w:rsidRPr="00105C49">
        <w:rPr>
          <w:rFonts w:ascii="Arial" w:hAnsi="Arial" w:cs="Arial"/>
        </w:rPr>
        <w:t>ectual disability (</w:t>
      </w:r>
      <w:r w:rsidRPr="00105C49">
        <w:rPr>
          <w:rFonts w:ascii="Arial" w:hAnsi="Arial" w:cs="Arial"/>
        </w:rPr>
        <w:t>ID</w:t>
      </w:r>
      <w:r w:rsidR="00F347E8" w:rsidRPr="00105C49">
        <w:rPr>
          <w:rFonts w:ascii="Arial" w:hAnsi="Arial" w:cs="Arial"/>
        </w:rPr>
        <w:t>)</w:t>
      </w:r>
      <w:r w:rsidRPr="00105C49">
        <w:rPr>
          <w:rFonts w:ascii="Arial" w:hAnsi="Arial" w:cs="Arial"/>
        </w:rPr>
        <w:t xml:space="preserve">, </w:t>
      </w:r>
      <w:r w:rsidR="00F347E8" w:rsidRPr="00105C49">
        <w:rPr>
          <w:rFonts w:ascii="Arial" w:hAnsi="Arial" w:cs="Arial"/>
        </w:rPr>
        <w:t>autism spectrum diso</w:t>
      </w:r>
      <w:r w:rsidR="003D4CFA" w:rsidRPr="00105C49">
        <w:rPr>
          <w:rFonts w:ascii="Arial" w:hAnsi="Arial" w:cs="Arial"/>
        </w:rPr>
        <w:t>r</w:t>
      </w:r>
      <w:r w:rsidR="00F347E8" w:rsidRPr="00105C49">
        <w:rPr>
          <w:rFonts w:ascii="Arial" w:hAnsi="Arial" w:cs="Arial"/>
        </w:rPr>
        <w:t>der (</w:t>
      </w:r>
      <w:r w:rsidRPr="00105C49">
        <w:rPr>
          <w:rFonts w:ascii="Arial" w:hAnsi="Arial" w:cs="Arial"/>
        </w:rPr>
        <w:t>ASD</w:t>
      </w:r>
      <w:r w:rsidR="00F347E8" w:rsidRPr="00105C49">
        <w:rPr>
          <w:rFonts w:ascii="Arial" w:hAnsi="Arial" w:cs="Arial"/>
        </w:rPr>
        <w:t>)</w:t>
      </w:r>
      <w:r w:rsidRPr="00105C49">
        <w:rPr>
          <w:rFonts w:ascii="Arial" w:hAnsi="Arial" w:cs="Arial"/>
        </w:rPr>
        <w:t xml:space="preserve">, and schizophrenia </w:t>
      </w:r>
      <w:r w:rsidR="00A072E5">
        <w:rPr>
          <w:rFonts w:ascii="Arial" w:hAnsi="Arial" w:cs="Arial"/>
        </w:rPr>
        <w:t>(</w:t>
      </w:r>
      <w:r w:rsidR="00A072E5" w:rsidRPr="00105C49">
        <w:rPr>
          <w:rFonts w:ascii="Arial" w:hAnsi="Arial" w:cs="Arial"/>
        </w:rPr>
        <w:t>Reynolds</w:t>
      </w:r>
      <w:r w:rsidR="00A072E5" w:rsidRPr="00105C49" w:rsidDel="00A072E5">
        <w:rPr>
          <w:rFonts w:ascii="Arial" w:hAnsi="Arial" w:cs="Arial"/>
          <w:vertAlign w:val="superscript"/>
        </w:rPr>
        <w:t xml:space="preserve"> </w:t>
      </w:r>
      <w:r w:rsidR="00A072E5">
        <w:rPr>
          <w:rFonts w:ascii="Arial" w:hAnsi="Arial" w:cs="Arial"/>
          <w:vertAlign w:val="superscript"/>
        </w:rPr>
        <w:t xml:space="preserve"> </w:t>
      </w:r>
      <w:r w:rsidR="00A072E5" w:rsidRPr="00621CBF">
        <w:rPr>
          <w:rFonts w:ascii="Arial" w:hAnsi="Arial" w:cs="Arial"/>
        </w:rPr>
        <w:t>2020</w:t>
      </w:r>
      <w:r w:rsidR="00A072E5" w:rsidRPr="0050365B">
        <w:rPr>
          <w:rFonts w:ascii="Arial" w:hAnsi="Arial" w:cs="Arial"/>
        </w:rPr>
        <w:t>)</w:t>
      </w:r>
      <w:r w:rsidR="00E636FB" w:rsidRPr="00105C49">
        <w:rPr>
          <w:rFonts w:ascii="Arial" w:hAnsi="Arial" w:cs="Arial"/>
        </w:rPr>
        <w:t>.</w:t>
      </w:r>
      <w:r w:rsidR="00027701">
        <w:rPr>
          <w:rFonts w:ascii="Arial" w:hAnsi="Arial" w:cs="Arial"/>
        </w:rPr>
        <w:t xml:space="preserve"> </w:t>
      </w:r>
      <w:r w:rsidRPr="00105C49">
        <w:rPr>
          <w:rFonts w:ascii="Arial" w:hAnsi="Arial" w:cs="Arial"/>
          <w:shd w:val="clear" w:color="auto" w:fill="FFFFFF"/>
        </w:rPr>
        <w:t xml:space="preserve">While many </w:t>
      </w:r>
      <w:r w:rsidRPr="00105C49">
        <w:rPr>
          <w:rFonts w:ascii="Arial" w:hAnsi="Arial" w:cs="Arial"/>
          <w:i/>
          <w:shd w:val="clear" w:color="auto" w:fill="FFFFFF"/>
        </w:rPr>
        <w:t>SCN2A</w:t>
      </w:r>
      <w:r w:rsidRPr="00105C49">
        <w:rPr>
          <w:rFonts w:ascii="Arial" w:hAnsi="Arial" w:cs="Arial"/>
          <w:shd w:val="clear" w:color="auto" w:fill="FFFFFF"/>
        </w:rPr>
        <w:t xml:space="preserve"> variants </w:t>
      </w:r>
      <w:proofErr w:type="gramStart"/>
      <w:r w:rsidRPr="00105C49">
        <w:rPr>
          <w:rFonts w:ascii="Arial" w:hAnsi="Arial" w:cs="Arial"/>
          <w:shd w:val="clear" w:color="auto" w:fill="FFFFFF"/>
        </w:rPr>
        <w:lastRenderedPageBreak/>
        <w:t>have been identified</w:t>
      </w:r>
      <w:proofErr w:type="gramEnd"/>
      <w:r w:rsidRPr="00105C49">
        <w:rPr>
          <w:rFonts w:ascii="Arial" w:hAnsi="Arial" w:cs="Arial"/>
          <w:shd w:val="clear" w:color="auto" w:fill="FFFFFF"/>
        </w:rPr>
        <w:t xml:space="preserve"> associated with </w:t>
      </w:r>
      <w:r w:rsidR="00682BEB" w:rsidRPr="00105C49">
        <w:rPr>
          <w:rFonts w:ascii="Arial" w:hAnsi="Arial" w:cs="Arial"/>
          <w:shd w:val="clear" w:color="auto" w:fill="FFFFFF"/>
        </w:rPr>
        <w:t xml:space="preserve">these </w:t>
      </w:r>
      <w:r w:rsidRPr="00105C49">
        <w:rPr>
          <w:rFonts w:ascii="Arial" w:hAnsi="Arial" w:cs="Arial"/>
          <w:shd w:val="clear" w:color="auto" w:fill="FFFFFF"/>
        </w:rPr>
        <w:t>phenotype</w:t>
      </w:r>
      <w:r w:rsidR="00682BEB" w:rsidRPr="00105C49">
        <w:rPr>
          <w:rFonts w:ascii="Arial" w:hAnsi="Arial" w:cs="Arial"/>
          <w:shd w:val="clear" w:color="auto" w:fill="FFFFFF"/>
        </w:rPr>
        <w:t>s</w:t>
      </w:r>
      <w:r w:rsidRPr="00105C49">
        <w:rPr>
          <w:rFonts w:ascii="Arial" w:hAnsi="Arial" w:cs="Arial"/>
          <w:shd w:val="clear" w:color="auto" w:fill="FFFFFF"/>
        </w:rPr>
        <w:t>, only a relatively small number of these have been functionally characteri</w:t>
      </w:r>
      <w:r w:rsidR="00E104F4">
        <w:rPr>
          <w:rFonts w:ascii="Arial" w:hAnsi="Arial" w:cs="Arial"/>
          <w:shd w:val="clear" w:color="auto" w:fill="FFFFFF"/>
        </w:rPr>
        <w:t>s</w:t>
      </w:r>
      <w:r w:rsidRPr="00105C49">
        <w:rPr>
          <w:rFonts w:ascii="Arial" w:hAnsi="Arial" w:cs="Arial"/>
          <w:shd w:val="clear" w:color="auto" w:fill="FFFFFF"/>
        </w:rPr>
        <w:t xml:space="preserve">ed. </w:t>
      </w:r>
    </w:p>
    <w:p w14:paraId="36E42583" w14:textId="16D802CB" w:rsidR="00A3341E" w:rsidRPr="0050365B" w:rsidRDefault="0050365B" w:rsidP="0050365B">
      <w:pPr>
        <w:spacing w:line="480" w:lineRule="auto"/>
      </w:pPr>
      <w:r>
        <w:rPr>
          <w:rFonts w:ascii="Arial" w:hAnsi="Arial" w:cs="Arial"/>
          <w:color w:val="1C1D1E"/>
          <w:shd w:val="clear" w:color="auto" w:fill="FFFFFF"/>
        </w:rPr>
        <w:t>DEE is an umbrella term describing diseases characterised by both delay</w:t>
      </w:r>
      <w:r>
        <w:rPr>
          <w:rFonts w:ascii="Arial" w:hAnsi="Arial" w:cs="Arial"/>
          <w:color w:val="1C1D1E"/>
          <w:shd w:val="clear" w:color="auto" w:fill="FFFFFF"/>
        </w:rPr>
        <w:t>ed neurodevelopment and epilepsy</w:t>
      </w:r>
      <w:r>
        <w:rPr>
          <w:rFonts w:ascii="Arial" w:hAnsi="Arial" w:cs="Arial"/>
          <w:color w:val="1C1D1E"/>
          <w:shd w:val="clear" w:color="auto" w:fill="FFFFFF"/>
        </w:rPr>
        <w:t>. SL</w:t>
      </w:r>
      <w:r>
        <w:rPr>
          <w:rFonts w:ascii="Arial" w:hAnsi="Arial" w:cs="Arial"/>
          <w:color w:val="1C1D1E"/>
          <w:shd w:val="clear" w:color="auto" w:fill="FFFFFF"/>
        </w:rPr>
        <w:t xml:space="preserve">NIE is </w:t>
      </w:r>
      <w:r>
        <w:rPr>
          <w:rFonts w:ascii="Arial" w:hAnsi="Arial" w:cs="Arial"/>
          <w:color w:val="1C1D1E"/>
          <w:shd w:val="clear" w:color="auto" w:fill="FFFFFF"/>
        </w:rPr>
        <w:t>characterised by early onset seizures that usually resolve in early childhood with normal cognitive development and a family history suggestive of autosomal dominant inheritance</w:t>
      </w:r>
      <w:r>
        <w:rPr>
          <w:rFonts w:ascii="Arial" w:hAnsi="Arial" w:cs="Arial"/>
          <w:color w:val="1C1D1E"/>
          <w:shd w:val="clear" w:color="auto" w:fill="FFFFFF"/>
        </w:rPr>
        <w:t xml:space="preserve"> (</w:t>
      </w:r>
      <w:proofErr w:type="spellStart"/>
      <w:r>
        <w:rPr>
          <w:rFonts w:ascii="Arial" w:hAnsi="Arial" w:cs="Arial"/>
          <w:color w:val="1C1D1E"/>
          <w:shd w:val="clear" w:color="auto" w:fill="FFFFFF"/>
        </w:rPr>
        <w:t>Scheffer</w:t>
      </w:r>
      <w:proofErr w:type="spellEnd"/>
      <w:r>
        <w:rPr>
          <w:rFonts w:ascii="Arial" w:hAnsi="Arial" w:cs="Arial"/>
          <w:color w:val="1C1D1E"/>
          <w:shd w:val="clear" w:color="auto" w:fill="FFFFFF"/>
        </w:rPr>
        <w:t xml:space="preserve"> 2017).</w:t>
      </w:r>
      <w:r>
        <w:t xml:space="preserve">  </w:t>
      </w:r>
      <w:proofErr w:type="spellStart"/>
      <w:r w:rsidR="00A3341E" w:rsidRPr="00105C49">
        <w:rPr>
          <w:rFonts w:ascii="Arial" w:hAnsi="Arial" w:cs="Arial"/>
        </w:rPr>
        <w:t>Lauxman</w:t>
      </w:r>
      <w:proofErr w:type="spellEnd"/>
      <w:r w:rsidR="00A3341E" w:rsidRPr="00105C49">
        <w:rPr>
          <w:rFonts w:ascii="Arial" w:hAnsi="Arial" w:cs="Arial"/>
        </w:rPr>
        <w:t xml:space="preserve"> </w:t>
      </w:r>
      <w:r w:rsidR="00A3341E" w:rsidRPr="00105C49">
        <w:rPr>
          <w:rFonts w:ascii="Arial" w:hAnsi="Arial" w:cs="Arial"/>
          <w:i/>
        </w:rPr>
        <w:t>et al</w:t>
      </w:r>
      <w:r w:rsidR="00F347E8" w:rsidRPr="00105C49">
        <w:rPr>
          <w:rFonts w:ascii="Arial" w:hAnsi="Arial" w:cs="Arial"/>
          <w:i/>
        </w:rPr>
        <w:t>.</w:t>
      </w:r>
      <w:r w:rsidR="00A3341E" w:rsidRPr="00105C49">
        <w:rPr>
          <w:rFonts w:ascii="Arial" w:hAnsi="Arial" w:cs="Arial"/>
        </w:rPr>
        <w:t xml:space="preserve"> characteri</w:t>
      </w:r>
      <w:r w:rsidR="00E104F4">
        <w:rPr>
          <w:rFonts w:ascii="Arial" w:hAnsi="Arial" w:cs="Arial"/>
        </w:rPr>
        <w:t>s</w:t>
      </w:r>
      <w:r w:rsidR="00A3341E" w:rsidRPr="00105C49">
        <w:rPr>
          <w:rFonts w:ascii="Arial" w:hAnsi="Arial" w:cs="Arial"/>
        </w:rPr>
        <w:t xml:space="preserve">ed variants in patients with both SLNIE and DEE using whole cell patch-clamp recordings demonstrating evidence of </w:t>
      </w:r>
      <w:r w:rsidR="007C73F3" w:rsidRPr="00105C49">
        <w:rPr>
          <w:rFonts w:ascii="Arial" w:hAnsi="Arial" w:cs="Arial"/>
        </w:rPr>
        <w:t xml:space="preserve">gain of </w:t>
      </w:r>
      <w:r w:rsidR="00CE33FB" w:rsidRPr="00105C49">
        <w:rPr>
          <w:rFonts w:ascii="Arial" w:hAnsi="Arial" w:cs="Arial"/>
        </w:rPr>
        <w:t>function</w:t>
      </w:r>
      <w:r w:rsidR="007C73F3" w:rsidRPr="00105C49">
        <w:rPr>
          <w:rFonts w:ascii="Arial" w:hAnsi="Arial" w:cs="Arial"/>
        </w:rPr>
        <w:t xml:space="preserve"> (</w:t>
      </w:r>
      <w:proofErr w:type="spellStart"/>
      <w:r w:rsidR="00A3341E" w:rsidRPr="00105C49">
        <w:rPr>
          <w:rFonts w:ascii="Arial" w:hAnsi="Arial" w:cs="Arial"/>
        </w:rPr>
        <w:t>G</w:t>
      </w:r>
      <w:r w:rsidR="00F347E8" w:rsidRPr="00105C49">
        <w:rPr>
          <w:rFonts w:ascii="Arial" w:hAnsi="Arial" w:cs="Arial"/>
        </w:rPr>
        <w:t>o</w:t>
      </w:r>
      <w:r w:rsidR="00A3341E" w:rsidRPr="00105C49">
        <w:rPr>
          <w:rFonts w:ascii="Arial" w:hAnsi="Arial" w:cs="Arial"/>
        </w:rPr>
        <w:t>F</w:t>
      </w:r>
      <w:proofErr w:type="spellEnd"/>
      <w:r w:rsidR="007C73F3" w:rsidRPr="00105C49">
        <w:rPr>
          <w:rFonts w:ascii="Arial" w:hAnsi="Arial" w:cs="Arial"/>
        </w:rPr>
        <w:t>)</w:t>
      </w:r>
      <w:r w:rsidR="00A3341E" w:rsidRPr="00105C49">
        <w:rPr>
          <w:rFonts w:ascii="Arial" w:hAnsi="Arial" w:cs="Arial"/>
        </w:rPr>
        <w:t xml:space="preserve"> effects from these variants </w:t>
      </w:r>
      <w:r w:rsidR="00A072E5">
        <w:rPr>
          <w:rFonts w:ascii="Arial" w:hAnsi="Arial" w:cs="Arial"/>
        </w:rPr>
        <w:t>(</w:t>
      </w:r>
      <w:proofErr w:type="spellStart"/>
      <w:r w:rsidR="00A072E5" w:rsidRPr="00105C49">
        <w:rPr>
          <w:rStyle w:val="author"/>
          <w:rFonts w:ascii="Arial" w:hAnsi="Arial" w:cs="Arial"/>
          <w:shd w:val="clear" w:color="auto" w:fill="FFFFFF"/>
        </w:rPr>
        <w:t>Lauxmann</w:t>
      </w:r>
      <w:proofErr w:type="spellEnd"/>
      <w:r w:rsidR="00A072E5" w:rsidRPr="00105C49" w:rsidDel="00A072E5">
        <w:rPr>
          <w:rFonts w:ascii="Arial" w:hAnsi="Arial" w:cs="Arial"/>
          <w:vertAlign w:val="superscript"/>
        </w:rPr>
        <w:t xml:space="preserve"> </w:t>
      </w:r>
      <w:r w:rsidR="00A072E5" w:rsidRPr="008D6F38">
        <w:rPr>
          <w:rFonts w:ascii="Arial" w:hAnsi="Arial" w:cs="Arial"/>
        </w:rPr>
        <w:t>2018)</w:t>
      </w:r>
      <w:r w:rsidR="00E636FB" w:rsidRPr="00105C49">
        <w:rPr>
          <w:rFonts w:ascii="Arial" w:hAnsi="Arial" w:cs="Arial"/>
        </w:rPr>
        <w:t>.</w:t>
      </w:r>
      <w:r w:rsidR="00027701">
        <w:rPr>
          <w:rFonts w:ascii="Arial" w:hAnsi="Arial" w:cs="Arial"/>
        </w:rPr>
        <w:t xml:space="preserve"> </w:t>
      </w:r>
      <w:r w:rsidR="00A3341E" w:rsidRPr="00105C49">
        <w:rPr>
          <w:rFonts w:ascii="Arial" w:hAnsi="Arial" w:cs="Arial"/>
        </w:rPr>
        <w:t xml:space="preserve">Ben-Shalom </w:t>
      </w:r>
      <w:r w:rsidR="00A3341E" w:rsidRPr="00105C49">
        <w:rPr>
          <w:rFonts w:ascii="Arial" w:hAnsi="Arial" w:cs="Arial"/>
          <w:i/>
        </w:rPr>
        <w:t>et al</w:t>
      </w:r>
      <w:r w:rsidR="00A3341E" w:rsidRPr="00105C49">
        <w:rPr>
          <w:rFonts w:ascii="Arial" w:hAnsi="Arial" w:cs="Arial"/>
        </w:rPr>
        <w:t xml:space="preserve"> </w:t>
      </w:r>
      <w:r w:rsidR="00DA2E01" w:rsidRPr="00105C49">
        <w:rPr>
          <w:rFonts w:ascii="Arial" w:hAnsi="Arial" w:cs="Arial"/>
        </w:rPr>
        <w:t xml:space="preserve">demonstrated </w:t>
      </w:r>
      <w:r w:rsidR="00A3341E" w:rsidRPr="00105C49">
        <w:rPr>
          <w:rFonts w:ascii="Arial" w:hAnsi="Arial" w:cs="Arial"/>
        </w:rPr>
        <w:t xml:space="preserve">that the majority of ASD-related </w:t>
      </w:r>
      <w:r w:rsidR="00A3341E" w:rsidRPr="00105C49">
        <w:rPr>
          <w:rFonts w:ascii="Arial" w:hAnsi="Arial" w:cs="Arial"/>
          <w:i/>
          <w:iCs/>
        </w:rPr>
        <w:t>SCN2A</w:t>
      </w:r>
      <w:r w:rsidR="00A3341E" w:rsidRPr="00105C49">
        <w:rPr>
          <w:rFonts w:ascii="Arial" w:hAnsi="Arial" w:cs="Arial"/>
        </w:rPr>
        <w:t xml:space="preserve"> variants resulted in a complete loss of Na</w:t>
      </w:r>
      <w:r w:rsidR="00A3341E" w:rsidRPr="00105C49">
        <w:rPr>
          <w:rFonts w:ascii="Arial" w:hAnsi="Arial" w:cs="Arial"/>
          <w:vertAlign w:val="subscript"/>
        </w:rPr>
        <w:t>v</w:t>
      </w:r>
      <w:r w:rsidR="00A3341E" w:rsidRPr="00105C49">
        <w:rPr>
          <w:rFonts w:ascii="Arial" w:hAnsi="Arial" w:cs="Arial"/>
        </w:rPr>
        <w:t xml:space="preserve">1.2 </w:t>
      </w:r>
      <w:r w:rsidR="00C6447B" w:rsidRPr="00A072E5">
        <w:rPr>
          <w:rFonts w:ascii="Arial" w:hAnsi="Arial" w:cs="Arial"/>
        </w:rPr>
        <w:t>function</w:t>
      </w:r>
      <w:r w:rsidR="00A072E5" w:rsidRPr="008D6F38">
        <w:rPr>
          <w:rFonts w:ascii="Arial" w:hAnsi="Arial" w:cs="Arial"/>
        </w:rPr>
        <w:t xml:space="preserve"> (</w:t>
      </w:r>
      <w:r w:rsidR="00A072E5" w:rsidRPr="00A072E5">
        <w:rPr>
          <w:rFonts w:ascii="Arial" w:hAnsi="Arial" w:cs="Arial"/>
          <w:bCs/>
        </w:rPr>
        <w:t>Ben-Shalom</w:t>
      </w:r>
      <w:r w:rsidR="00A072E5" w:rsidRPr="008D6F38" w:rsidDel="00A072E5">
        <w:rPr>
          <w:rFonts w:ascii="Arial" w:hAnsi="Arial" w:cs="Arial"/>
        </w:rPr>
        <w:t xml:space="preserve"> </w:t>
      </w:r>
      <w:r w:rsidR="00A072E5" w:rsidRPr="008D6F38">
        <w:rPr>
          <w:rFonts w:ascii="Arial" w:hAnsi="Arial" w:cs="Arial"/>
        </w:rPr>
        <w:t>2017)</w:t>
      </w:r>
      <w:r w:rsidR="00A3341E" w:rsidRPr="00A072E5">
        <w:rPr>
          <w:rFonts w:ascii="Arial" w:hAnsi="Arial" w:cs="Arial"/>
        </w:rPr>
        <w:t>.</w:t>
      </w:r>
      <w:r w:rsidR="00A3341E" w:rsidRPr="00105C49" w:rsidDel="0040617B">
        <w:rPr>
          <w:rFonts w:ascii="Arial" w:hAnsi="Arial" w:cs="Arial"/>
        </w:rPr>
        <w:t xml:space="preserve"> </w:t>
      </w:r>
      <w:r w:rsidR="00A3341E" w:rsidRPr="00105C49">
        <w:rPr>
          <w:rFonts w:ascii="Arial" w:hAnsi="Arial" w:cs="Arial"/>
        </w:rPr>
        <w:t xml:space="preserve"> Therefore, it would be expected that all protein-truncating variants (PTVs) (with assumed </w:t>
      </w:r>
      <w:r w:rsidR="00F347E8" w:rsidRPr="00105C49">
        <w:rPr>
          <w:rFonts w:ascii="Arial" w:hAnsi="Arial" w:cs="Arial"/>
        </w:rPr>
        <w:t>loss of fun</w:t>
      </w:r>
      <w:r w:rsidR="00865770" w:rsidRPr="00105C49">
        <w:rPr>
          <w:rFonts w:ascii="Arial" w:hAnsi="Arial" w:cs="Arial"/>
        </w:rPr>
        <w:t>c</w:t>
      </w:r>
      <w:r w:rsidR="00F347E8" w:rsidRPr="00105C49">
        <w:rPr>
          <w:rFonts w:ascii="Arial" w:hAnsi="Arial" w:cs="Arial"/>
        </w:rPr>
        <w:t>tion (</w:t>
      </w:r>
      <w:proofErr w:type="spellStart"/>
      <w:r w:rsidR="00A3341E" w:rsidRPr="00105C49">
        <w:rPr>
          <w:rFonts w:ascii="Arial" w:hAnsi="Arial" w:cs="Arial"/>
        </w:rPr>
        <w:t>L</w:t>
      </w:r>
      <w:r w:rsidR="00F347E8" w:rsidRPr="00105C49">
        <w:rPr>
          <w:rFonts w:ascii="Arial" w:hAnsi="Arial" w:cs="Arial"/>
        </w:rPr>
        <w:t>o</w:t>
      </w:r>
      <w:r w:rsidR="00A3341E" w:rsidRPr="00105C49">
        <w:rPr>
          <w:rFonts w:ascii="Arial" w:hAnsi="Arial" w:cs="Arial"/>
        </w:rPr>
        <w:t>F</w:t>
      </w:r>
      <w:proofErr w:type="spellEnd"/>
      <w:r w:rsidR="00F347E8" w:rsidRPr="00105C49">
        <w:rPr>
          <w:rFonts w:ascii="Arial" w:hAnsi="Arial" w:cs="Arial"/>
        </w:rPr>
        <w:t>)</w:t>
      </w:r>
      <w:r w:rsidR="00A3341E" w:rsidRPr="00105C49">
        <w:rPr>
          <w:rFonts w:ascii="Arial" w:hAnsi="Arial" w:cs="Arial"/>
        </w:rPr>
        <w:t xml:space="preserve"> effect) would result in an ASD and/or ID phenotype and if seizures </w:t>
      </w:r>
      <w:proofErr w:type="gramStart"/>
      <w:r w:rsidR="00A3341E" w:rsidRPr="00105C49">
        <w:rPr>
          <w:rFonts w:ascii="Arial" w:hAnsi="Arial" w:cs="Arial"/>
        </w:rPr>
        <w:t>are</w:t>
      </w:r>
      <w:proofErr w:type="gramEnd"/>
      <w:r w:rsidR="00A3341E" w:rsidRPr="00105C49">
        <w:rPr>
          <w:rFonts w:ascii="Arial" w:hAnsi="Arial" w:cs="Arial"/>
        </w:rPr>
        <w:t xml:space="preserve"> present, it would be expected that they are later onset (after infancy). </w:t>
      </w:r>
      <w:r w:rsidR="00452B5F" w:rsidRPr="00105C49">
        <w:rPr>
          <w:rFonts w:ascii="Arial" w:hAnsi="Arial" w:cs="Arial"/>
        </w:rPr>
        <w:t xml:space="preserve">This </w:t>
      </w:r>
      <w:r w:rsidR="00A3341E" w:rsidRPr="00105C49">
        <w:rPr>
          <w:rFonts w:ascii="Arial" w:hAnsi="Arial" w:cs="Arial"/>
        </w:rPr>
        <w:t xml:space="preserve">genotype-phenotype paradigm has been corroborated by further studies </w:t>
      </w:r>
      <w:r w:rsidR="00A072E5">
        <w:rPr>
          <w:rFonts w:ascii="Arial" w:hAnsi="Arial" w:cs="Arial"/>
        </w:rPr>
        <w:t>(</w:t>
      </w:r>
      <w:proofErr w:type="spellStart"/>
      <w:r w:rsidR="00A072E5" w:rsidRPr="00A072E5">
        <w:rPr>
          <w:rFonts w:ascii="Arial" w:hAnsi="Arial" w:cs="Arial"/>
        </w:rPr>
        <w:t>Begemann</w:t>
      </w:r>
      <w:proofErr w:type="spellEnd"/>
      <w:r w:rsidR="00A072E5" w:rsidRPr="008D6F38" w:rsidDel="00A072E5">
        <w:rPr>
          <w:rFonts w:ascii="Arial" w:hAnsi="Arial" w:cs="Arial"/>
        </w:rPr>
        <w:t xml:space="preserve"> </w:t>
      </w:r>
      <w:r w:rsidR="00A072E5" w:rsidRPr="008D6F38">
        <w:rPr>
          <w:rFonts w:ascii="Arial" w:hAnsi="Arial" w:cs="Arial"/>
        </w:rPr>
        <w:t>2019)</w:t>
      </w:r>
      <w:r w:rsidR="00F63E63">
        <w:rPr>
          <w:rFonts w:ascii="Arial" w:hAnsi="Arial" w:cs="Arial"/>
        </w:rPr>
        <w:t xml:space="preserve"> </w:t>
      </w:r>
      <w:r w:rsidR="00A3341E" w:rsidRPr="00105C49">
        <w:rPr>
          <w:rFonts w:ascii="Arial" w:hAnsi="Arial" w:cs="Arial"/>
        </w:rPr>
        <w:t xml:space="preserve">although not unsurprisingly, occasional exceptions to this paradigm have been </w:t>
      </w:r>
      <w:r w:rsidR="00A3341E" w:rsidRPr="00A072E5">
        <w:rPr>
          <w:rFonts w:ascii="Arial" w:hAnsi="Arial" w:cs="Arial"/>
        </w:rPr>
        <w:t xml:space="preserve">reported </w:t>
      </w:r>
      <w:r w:rsidR="00A072E5" w:rsidRPr="00A072E5">
        <w:rPr>
          <w:rFonts w:ascii="Arial" w:hAnsi="Arial" w:cs="Arial"/>
        </w:rPr>
        <w:t>(Sundaram</w:t>
      </w:r>
      <w:r w:rsidR="00A072E5" w:rsidRPr="008D6F38" w:rsidDel="00A072E5">
        <w:rPr>
          <w:rFonts w:ascii="Arial" w:hAnsi="Arial" w:cs="Arial"/>
        </w:rPr>
        <w:t xml:space="preserve"> </w:t>
      </w:r>
      <w:r w:rsidR="00A072E5" w:rsidRPr="008D6F38">
        <w:rPr>
          <w:rFonts w:ascii="Arial" w:hAnsi="Arial" w:cs="Arial"/>
        </w:rPr>
        <w:t xml:space="preserve">2013, </w:t>
      </w:r>
      <w:r w:rsidR="00A072E5" w:rsidRPr="00A072E5">
        <w:rPr>
          <w:rFonts w:ascii="Arial" w:eastAsia="Arial" w:hAnsi="Arial" w:cs="Arial"/>
          <w:lang w:eastAsia="nl-NL"/>
        </w:rPr>
        <w:t>Leach</w:t>
      </w:r>
      <w:r w:rsidR="00A072E5" w:rsidRPr="008D6F38" w:rsidDel="00A072E5">
        <w:rPr>
          <w:rFonts w:ascii="Arial" w:hAnsi="Arial" w:cs="Arial"/>
        </w:rPr>
        <w:t xml:space="preserve"> </w:t>
      </w:r>
      <w:r w:rsidR="00A072E5" w:rsidRPr="008D6F38">
        <w:rPr>
          <w:rFonts w:ascii="Arial" w:hAnsi="Arial" w:cs="Arial"/>
        </w:rPr>
        <w:t xml:space="preserve">2016, </w:t>
      </w:r>
      <w:proofErr w:type="spellStart"/>
      <w:proofErr w:type="gramStart"/>
      <w:r w:rsidR="00A072E5" w:rsidRPr="00A072E5">
        <w:rPr>
          <w:rFonts w:ascii="Arial" w:hAnsi="Arial" w:cs="Arial"/>
        </w:rPr>
        <w:t>Suddaby</w:t>
      </w:r>
      <w:proofErr w:type="spellEnd"/>
      <w:proofErr w:type="gramEnd"/>
      <w:r w:rsidR="00A072E5" w:rsidRPr="008D6F38" w:rsidDel="00A072E5">
        <w:rPr>
          <w:rFonts w:ascii="Arial" w:hAnsi="Arial" w:cs="Arial"/>
        </w:rPr>
        <w:t xml:space="preserve"> </w:t>
      </w:r>
      <w:r w:rsidR="00A072E5" w:rsidRPr="008D6F38">
        <w:rPr>
          <w:rFonts w:ascii="Arial" w:hAnsi="Arial" w:cs="Arial"/>
        </w:rPr>
        <w:t>2019).</w:t>
      </w:r>
    </w:p>
    <w:p w14:paraId="3EC91ACD" w14:textId="5617781B" w:rsidR="00A3341E" w:rsidRPr="00105C49" w:rsidRDefault="00A3341E" w:rsidP="006C2244">
      <w:pPr>
        <w:spacing w:line="480" w:lineRule="auto"/>
        <w:rPr>
          <w:rFonts w:ascii="Arial" w:hAnsi="Arial" w:cs="Arial"/>
        </w:rPr>
      </w:pPr>
      <w:r w:rsidRPr="00105C49">
        <w:rPr>
          <w:rFonts w:ascii="Arial" w:hAnsi="Arial" w:cs="Arial"/>
        </w:rPr>
        <w:t>In early onset seizures (&lt;3 months)</w:t>
      </w:r>
      <w:r w:rsidR="00DA2E01" w:rsidRPr="00105C49">
        <w:rPr>
          <w:rFonts w:ascii="Arial" w:hAnsi="Arial" w:cs="Arial"/>
        </w:rPr>
        <w:t xml:space="preserve"> associated with </w:t>
      </w:r>
      <w:r w:rsidR="00DA2E01" w:rsidRPr="00105C49">
        <w:rPr>
          <w:rFonts w:ascii="Arial" w:hAnsi="Arial" w:cs="Arial"/>
          <w:i/>
        </w:rPr>
        <w:t>SCN2A</w:t>
      </w:r>
      <w:r w:rsidRPr="00105C49">
        <w:rPr>
          <w:rFonts w:ascii="Arial" w:hAnsi="Arial" w:cs="Arial"/>
        </w:rPr>
        <w:t>, non-se</w:t>
      </w:r>
      <w:r w:rsidR="00FA4E54">
        <w:rPr>
          <w:rFonts w:ascii="Arial" w:hAnsi="Arial" w:cs="Arial"/>
        </w:rPr>
        <w:t>lective sodium channel blockers</w:t>
      </w:r>
      <w:r w:rsidR="00027701">
        <w:rPr>
          <w:rFonts w:ascii="Arial" w:hAnsi="Arial" w:cs="Arial"/>
        </w:rPr>
        <w:t xml:space="preserve"> </w:t>
      </w:r>
      <w:r w:rsidRPr="00105C49">
        <w:rPr>
          <w:rFonts w:ascii="Arial" w:hAnsi="Arial" w:cs="Arial"/>
        </w:rPr>
        <w:t xml:space="preserve">are generally thought to be most effective, which is in-keeping with the suggestion that most of these variants result in </w:t>
      </w:r>
      <w:proofErr w:type="spellStart"/>
      <w:r w:rsidRPr="00105C49">
        <w:rPr>
          <w:rFonts w:ascii="Arial" w:hAnsi="Arial" w:cs="Arial"/>
        </w:rPr>
        <w:t>G</w:t>
      </w:r>
      <w:r w:rsidR="00F347E8" w:rsidRPr="00105C49">
        <w:rPr>
          <w:rFonts w:ascii="Arial" w:hAnsi="Arial" w:cs="Arial"/>
        </w:rPr>
        <w:t>o</w:t>
      </w:r>
      <w:r w:rsidRPr="00105C49">
        <w:rPr>
          <w:rFonts w:ascii="Arial" w:hAnsi="Arial" w:cs="Arial"/>
        </w:rPr>
        <w:t>F</w:t>
      </w:r>
      <w:proofErr w:type="spellEnd"/>
      <w:r w:rsidR="00A072E5">
        <w:rPr>
          <w:rFonts w:ascii="Arial" w:hAnsi="Arial" w:cs="Arial"/>
        </w:rPr>
        <w:t xml:space="preserve"> (</w:t>
      </w:r>
      <w:hyperlink r:id="rId7" w:history="1">
        <w:r w:rsidR="00A072E5" w:rsidRPr="00105C49">
          <w:rPr>
            <w:rFonts w:ascii="Arial" w:hAnsi="Arial" w:cs="Arial"/>
            <w:bdr w:val="none" w:sz="0" w:space="0" w:color="auto" w:frame="1"/>
            <w:shd w:val="clear" w:color="auto" w:fill="FFFFFF"/>
          </w:rPr>
          <w:t>Wolff</w:t>
        </w:r>
      </w:hyperlink>
      <w:r w:rsidR="00A072E5">
        <w:rPr>
          <w:rFonts w:ascii="Arial" w:hAnsi="Arial" w:cs="Arial"/>
          <w:bdr w:val="none" w:sz="0" w:space="0" w:color="auto" w:frame="1"/>
          <w:shd w:val="clear" w:color="auto" w:fill="FFFFFF"/>
        </w:rPr>
        <w:t xml:space="preserve"> 201</w:t>
      </w:r>
      <w:r w:rsidR="00F63E63">
        <w:rPr>
          <w:rFonts w:ascii="Arial" w:hAnsi="Arial" w:cs="Arial"/>
          <w:bdr w:val="none" w:sz="0" w:space="0" w:color="auto" w:frame="1"/>
          <w:shd w:val="clear" w:color="auto" w:fill="FFFFFF"/>
        </w:rPr>
        <w:t>7</w:t>
      </w:r>
      <w:r w:rsidR="00A072E5">
        <w:rPr>
          <w:rFonts w:ascii="Arial" w:hAnsi="Arial" w:cs="Arial"/>
          <w:bdr w:val="none" w:sz="0" w:space="0" w:color="auto" w:frame="1"/>
          <w:shd w:val="clear" w:color="auto" w:fill="FFFFFF"/>
        </w:rPr>
        <w:t>, Sanders 2018).</w:t>
      </w:r>
      <w:r w:rsidR="00F63E63">
        <w:rPr>
          <w:rFonts w:ascii="Arial" w:hAnsi="Arial" w:cs="Arial"/>
          <w:bdr w:val="none" w:sz="0" w:space="0" w:color="auto" w:frame="1"/>
          <w:shd w:val="clear" w:color="auto" w:fill="FFFFFF"/>
        </w:rPr>
        <w:t xml:space="preserve"> </w:t>
      </w:r>
      <w:r w:rsidRPr="00105C49">
        <w:rPr>
          <w:rFonts w:ascii="Arial" w:hAnsi="Arial" w:cs="Arial"/>
        </w:rPr>
        <w:t xml:space="preserve">This is not universal, and other patients display no response to </w:t>
      </w:r>
      <w:r w:rsidR="00FA4E54">
        <w:rPr>
          <w:rFonts w:ascii="Arial" w:hAnsi="Arial" w:cs="Arial"/>
        </w:rPr>
        <w:t>sodium channel blockers</w:t>
      </w:r>
      <w:r w:rsidRPr="00A072E5">
        <w:rPr>
          <w:rFonts w:ascii="Arial" w:hAnsi="Arial" w:cs="Arial"/>
        </w:rPr>
        <w:t xml:space="preserve"> </w:t>
      </w:r>
      <w:r w:rsidR="00A072E5" w:rsidRPr="008D6F38">
        <w:rPr>
          <w:rFonts w:ascii="Arial" w:hAnsi="Arial" w:cs="Arial"/>
        </w:rPr>
        <w:t>(</w:t>
      </w:r>
      <w:r w:rsidR="00A072E5" w:rsidRPr="00A072E5">
        <w:rPr>
          <w:rFonts w:ascii="Arial" w:hAnsi="Arial" w:cs="Arial"/>
        </w:rPr>
        <w:t>Liang</w:t>
      </w:r>
      <w:r w:rsidR="00A072E5" w:rsidRPr="008D6F38" w:rsidDel="00A072E5">
        <w:rPr>
          <w:rFonts w:ascii="Arial" w:hAnsi="Arial" w:cs="Arial"/>
        </w:rPr>
        <w:t xml:space="preserve"> </w:t>
      </w:r>
      <w:r w:rsidR="00A072E5" w:rsidRPr="008D6F38">
        <w:rPr>
          <w:rFonts w:ascii="Arial" w:hAnsi="Arial" w:cs="Arial"/>
        </w:rPr>
        <w:t>2017)</w:t>
      </w:r>
      <w:r w:rsidR="005A0DAE" w:rsidRPr="00105C49">
        <w:rPr>
          <w:rFonts w:ascii="Arial" w:hAnsi="Arial" w:cs="Arial"/>
        </w:rPr>
        <w:t>.</w:t>
      </w:r>
      <w:r w:rsidRPr="00105C49">
        <w:rPr>
          <w:rFonts w:ascii="Arial" w:hAnsi="Arial" w:cs="Arial"/>
        </w:rPr>
        <w:t xml:space="preserve"> This is in contrast to the ASD and/or ID phenotype presentations, when seizures have developed later in childhood, where non-sodium channel blocker</w:t>
      </w:r>
      <w:r w:rsidR="00027701">
        <w:rPr>
          <w:rFonts w:ascii="Arial" w:hAnsi="Arial" w:cs="Arial"/>
        </w:rPr>
        <w:t xml:space="preserve">s </w:t>
      </w:r>
      <w:r w:rsidRPr="00105C49">
        <w:rPr>
          <w:rFonts w:ascii="Arial" w:hAnsi="Arial" w:cs="Arial"/>
        </w:rPr>
        <w:t>are thought to be more effective</w:t>
      </w:r>
      <w:r w:rsidR="00A072E5">
        <w:rPr>
          <w:rFonts w:ascii="Arial" w:hAnsi="Arial" w:cs="Arial"/>
          <w:vertAlign w:val="superscript"/>
        </w:rPr>
        <w:t xml:space="preserve"> </w:t>
      </w:r>
      <w:r w:rsidR="00A072E5">
        <w:rPr>
          <w:rFonts w:ascii="Arial" w:hAnsi="Arial" w:cs="Arial"/>
        </w:rPr>
        <w:t>(Sanders 2018)</w:t>
      </w:r>
      <w:r w:rsidRPr="00105C49">
        <w:rPr>
          <w:rFonts w:ascii="Arial" w:hAnsi="Arial" w:cs="Arial"/>
        </w:rPr>
        <w:t xml:space="preserve">. </w:t>
      </w:r>
    </w:p>
    <w:p w14:paraId="4415F09B" w14:textId="589ACD21" w:rsidR="00A3341E" w:rsidRPr="00105C49" w:rsidRDefault="0075076E" w:rsidP="006C2244">
      <w:pPr>
        <w:spacing w:line="480" w:lineRule="auto"/>
        <w:rPr>
          <w:rFonts w:ascii="Arial" w:hAnsi="Arial" w:cs="Arial"/>
        </w:rPr>
      </w:pPr>
      <w:r w:rsidRPr="00105C49">
        <w:rPr>
          <w:rFonts w:ascii="Arial" w:hAnsi="Arial" w:cs="Arial"/>
        </w:rPr>
        <w:lastRenderedPageBreak/>
        <w:t xml:space="preserve">This study identified 22 patients with </w:t>
      </w:r>
      <w:r w:rsidRPr="00105C49">
        <w:rPr>
          <w:rFonts w:ascii="Arial" w:hAnsi="Arial" w:cs="Arial"/>
          <w:i/>
        </w:rPr>
        <w:t>SCN2A</w:t>
      </w:r>
      <w:r w:rsidRPr="00105C49">
        <w:rPr>
          <w:rFonts w:ascii="Arial" w:hAnsi="Arial" w:cs="Arial"/>
        </w:rPr>
        <w:t xml:space="preserve"> variants through the DDD study </w:t>
      </w:r>
      <w:r w:rsidR="004A4299" w:rsidRPr="00105C49">
        <w:rPr>
          <w:rFonts w:ascii="Arial" w:hAnsi="Arial" w:cs="Arial"/>
        </w:rPr>
        <w:t>and gene matching strategies</w:t>
      </w:r>
      <w:r w:rsidR="007A77B2">
        <w:rPr>
          <w:rFonts w:ascii="Arial" w:hAnsi="Arial" w:cs="Arial"/>
        </w:rPr>
        <w:t>,</w:t>
      </w:r>
      <w:r w:rsidR="004A4299" w:rsidRPr="00105C49">
        <w:rPr>
          <w:rFonts w:ascii="Arial" w:hAnsi="Arial" w:cs="Arial"/>
        </w:rPr>
        <w:t xml:space="preserve"> </w:t>
      </w:r>
      <w:r w:rsidRPr="00105C49">
        <w:rPr>
          <w:rFonts w:ascii="Arial" w:hAnsi="Arial" w:cs="Arial"/>
        </w:rPr>
        <w:t xml:space="preserve">who </w:t>
      </w:r>
      <w:proofErr w:type="gramStart"/>
      <w:r w:rsidRPr="00105C49">
        <w:rPr>
          <w:rFonts w:ascii="Arial" w:hAnsi="Arial" w:cs="Arial"/>
        </w:rPr>
        <w:t>had not been previously reported</w:t>
      </w:r>
      <w:proofErr w:type="gramEnd"/>
      <w:r w:rsidRPr="00105C49">
        <w:rPr>
          <w:rFonts w:ascii="Arial" w:hAnsi="Arial" w:cs="Arial"/>
        </w:rPr>
        <w:t xml:space="preserve">, or had only been reported </w:t>
      </w:r>
      <w:r w:rsidR="00682BEB" w:rsidRPr="00105C49">
        <w:rPr>
          <w:rFonts w:ascii="Arial" w:hAnsi="Arial" w:cs="Arial"/>
        </w:rPr>
        <w:t xml:space="preserve">as part of large exome datasets </w:t>
      </w:r>
      <w:r w:rsidRPr="00105C49">
        <w:rPr>
          <w:rFonts w:ascii="Arial" w:hAnsi="Arial" w:cs="Arial"/>
        </w:rPr>
        <w:t>with minimal phenot</w:t>
      </w:r>
      <w:r w:rsidR="00682BEB" w:rsidRPr="00105C49">
        <w:rPr>
          <w:rFonts w:ascii="Arial" w:hAnsi="Arial" w:cs="Arial"/>
        </w:rPr>
        <w:t>ypic information included</w:t>
      </w:r>
      <w:r w:rsidRPr="00105C49">
        <w:rPr>
          <w:rFonts w:ascii="Arial" w:hAnsi="Arial" w:cs="Arial"/>
        </w:rPr>
        <w:t>. Detailed phenotypic data and epil</w:t>
      </w:r>
      <w:r w:rsidR="004A4299" w:rsidRPr="00105C49">
        <w:rPr>
          <w:rFonts w:ascii="Arial" w:hAnsi="Arial" w:cs="Arial"/>
        </w:rPr>
        <w:t>e</w:t>
      </w:r>
      <w:r w:rsidRPr="00105C49">
        <w:rPr>
          <w:rFonts w:ascii="Arial" w:hAnsi="Arial" w:cs="Arial"/>
        </w:rPr>
        <w:t>psy trea</w:t>
      </w:r>
      <w:r w:rsidR="004A4299" w:rsidRPr="00105C49">
        <w:rPr>
          <w:rFonts w:ascii="Arial" w:hAnsi="Arial" w:cs="Arial"/>
        </w:rPr>
        <w:t>tment</w:t>
      </w:r>
      <w:r w:rsidRPr="00105C49">
        <w:rPr>
          <w:rFonts w:ascii="Arial" w:hAnsi="Arial" w:cs="Arial"/>
        </w:rPr>
        <w:t xml:space="preserve"> </w:t>
      </w:r>
      <w:r w:rsidR="004A4299" w:rsidRPr="00105C49">
        <w:rPr>
          <w:rFonts w:ascii="Arial" w:hAnsi="Arial" w:cs="Arial"/>
        </w:rPr>
        <w:t xml:space="preserve">data </w:t>
      </w:r>
      <w:proofErr w:type="gramStart"/>
      <w:r w:rsidRPr="00105C49">
        <w:rPr>
          <w:rFonts w:ascii="Arial" w:hAnsi="Arial" w:cs="Arial"/>
        </w:rPr>
        <w:t>w</w:t>
      </w:r>
      <w:r w:rsidR="00E93E3F" w:rsidRPr="00105C49">
        <w:rPr>
          <w:rFonts w:ascii="Arial" w:hAnsi="Arial" w:cs="Arial"/>
        </w:rPr>
        <w:t>ere</w:t>
      </w:r>
      <w:r w:rsidRPr="00105C49">
        <w:rPr>
          <w:rFonts w:ascii="Arial" w:hAnsi="Arial" w:cs="Arial"/>
        </w:rPr>
        <w:t xml:space="preserve"> collected</w:t>
      </w:r>
      <w:proofErr w:type="gramEnd"/>
      <w:r w:rsidRPr="00105C49">
        <w:rPr>
          <w:rFonts w:ascii="Arial" w:hAnsi="Arial" w:cs="Arial"/>
        </w:rPr>
        <w:t xml:space="preserve"> along with evidence for pathogen</w:t>
      </w:r>
      <w:r w:rsidR="004A4299" w:rsidRPr="00105C49">
        <w:rPr>
          <w:rFonts w:ascii="Arial" w:hAnsi="Arial" w:cs="Arial"/>
        </w:rPr>
        <w:t>i</w:t>
      </w:r>
      <w:r w:rsidRPr="00105C49">
        <w:rPr>
          <w:rFonts w:ascii="Arial" w:hAnsi="Arial" w:cs="Arial"/>
        </w:rPr>
        <w:t xml:space="preserve">city for the variants. </w:t>
      </w:r>
    </w:p>
    <w:p w14:paraId="40B90B83" w14:textId="77777777" w:rsidR="00A3341E" w:rsidRPr="00105C49" w:rsidRDefault="00A3341E" w:rsidP="006C2244">
      <w:pPr>
        <w:spacing w:line="480" w:lineRule="auto"/>
        <w:rPr>
          <w:rFonts w:ascii="Arial" w:hAnsi="Arial" w:cs="Arial"/>
        </w:rPr>
      </w:pPr>
    </w:p>
    <w:p w14:paraId="15FB7124" w14:textId="58B7660E" w:rsidR="00A3341E" w:rsidRPr="00105C49" w:rsidRDefault="00452B5F" w:rsidP="006C2244">
      <w:pPr>
        <w:spacing w:line="480" w:lineRule="auto"/>
        <w:rPr>
          <w:rFonts w:ascii="Arial" w:hAnsi="Arial" w:cs="Arial"/>
        </w:rPr>
      </w:pPr>
      <w:r w:rsidRPr="00105C49">
        <w:rPr>
          <w:rFonts w:ascii="Arial" w:hAnsi="Arial" w:cs="Arial"/>
          <w:b/>
        </w:rPr>
        <w:t xml:space="preserve">2. </w:t>
      </w:r>
      <w:r w:rsidR="00E64DF0" w:rsidRPr="00105C49">
        <w:rPr>
          <w:rFonts w:ascii="Arial" w:hAnsi="Arial" w:cs="Arial"/>
          <w:b/>
        </w:rPr>
        <w:t xml:space="preserve">Materials and </w:t>
      </w:r>
      <w:r w:rsidR="007D0591" w:rsidRPr="00105C49">
        <w:rPr>
          <w:rFonts w:ascii="Arial" w:hAnsi="Arial" w:cs="Arial"/>
          <w:b/>
        </w:rPr>
        <w:t>Methods</w:t>
      </w:r>
    </w:p>
    <w:p w14:paraId="336FB69B" w14:textId="0DD87026" w:rsidR="00A3341E" w:rsidRPr="00105C49" w:rsidRDefault="00A3341E" w:rsidP="006C2244">
      <w:pPr>
        <w:spacing w:line="480" w:lineRule="auto"/>
        <w:rPr>
          <w:rFonts w:ascii="Arial" w:hAnsi="Arial" w:cs="Arial"/>
        </w:rPr>
      </w:pPr>
      <w:r w:rsidRPr="00105C49">
        <w:rPr>
          <w:rFonts w:ascii="Arial" w:hAnsi="Arial" w:cs="Arial"/>
        </w:rPr>
        <w:t xml:space="preserve">The Deciphering Developmental </w:t>
      </w:r>
      <w:r w:rsidRPr="00E96FF6">
        <w:rPr>
          <w:rFonts w:ascii="Arial" w:hAnsi="Arial" w:cs="Arial"/>
        </w:rPr>
        <w:t>Disorders study (DDD study) is a UK based research study that recruited patients with</w:t>
      </w:r>
      <w:r w:rsidR="00027701" w:rsidRPr="00E96FF6">
        <w:rPr>
          <w:rFonts w:ascii="Arial" w:hAnsi="Arial" w:cs="Arial"/>
        </w:rPr>
        <w:t xml:space="preserve"> </w:t>
      </w:r>
      <w:r w:rsidR="007B632E" w:rsidRPr="00E96FF6">
        <w:rPr>
          <w:rFonts w:ascii="Arial" w:hAnsi="Arial" w:cs="Arial"/>
          <w:color w:val="000000"/>
          <w:shd w:val="clear" w:color="auto" w:fill="FFFFFF"/>
        </w:rPr>
        <w:t>severe undiagnosed neurodevelopmental disorder and/or congenital anomalies, abnormal growth parameters, dysmorphic features, and unusual behavioural phenotypes</w:t>
      </w:r>
      <w:r w:rsidRPr="00E96FF6">
        <w:rPr>
          <w:rFonts w:ascii="Arial" w:hAnsi="Arial" w:cs="Arial"/>
        </w:rPr>
        <w:t xml:space="preserve"> from 24 regional Clinical Genetics centres from around the UK and Republic</w:t>
      </w:r>
      <w:r w:rsidRPr="00105C49">
        <w:rPr>
          <w:rFonts w:ascii="Arial" w:hAnsi="Arial" w:cs="Arial"/>
        </w:rPr>
        <w:t xml:space="preserve"> of Ireland between 2011 to 2015</w:t>
      </w:r>
      <w:r w:rsidR="00F63E63">
        <w:rPr>
          <w:rFonts w:ascii="Arial" w:hAnsi="Arial" w:cs="Arial"/>
        </w:rPr>
        <w:t xml:space="preserve"> </w:t>
      </w:r>
      <w:r w:rsidR="003D5F8C">
        <w:rPr>
          <w:rFonts w:ascii="Arial" w:hAnsi="Arial" w:cs="Arial"/>
        </w:rPr>
        <w:t>(DDD Study 2014, 2017, Wright 2014).</w:t>
      </w:r>
      <w:r w:rsidR="00E64DF0" w:rsidRPr="00105C49">
        <w:rPr>
          <w:rFonts w:ascii="Arial" w:hAnsi="Arial" w:cs="Arial"/>
        </w:rPr>
        <w:t xml:space="preserve"> This study used </w:t>
      </w:r>
      <w:r w:rsidR="00BE7913" w:rsidRPr="00105C49">
        <w:rPr>
          <w:rFonts w:ascii="Arial" w:hAnsi="Arial" w:cs="Arial"/>
        </w:rPr>
        <w:t xml:space="preserve">a </w:t>
      </w:r>
      <w:r w:rsidR="00BE7913" w:rsidRPr="00105C49">
        <w:rPr>
          <w:rFonts w:ascii="Arial" w:hAnsi="Arial" w:cs="Arial"/>
          <w:color w:val="222222"/>
          <w:shd w:val="clear" w:color="auto" w:fill="FFFFFF"/>
        </w:rPr>
        <w:t xml:space="preserve">combination of exome sequencing and array-based detection of chromosomal rearrangements to identify the underlying causes in these previously </w:t>
      </w:r>
      <w:r w:rsidR="006C2244" w:rsidRPr="00105C49">
        <w:rPr>
          <w:rFonts w:ascii="Arial" w:hAnsi="Arial" w:cs="Arial"/>
          <w:color w:val="222222"/>
          <w:shd w:val="clear" w:color="auto" w:fill="FFFFFF"/>
        </w:rPr>
        <w:t>undiagnosed</w:t>
      </w:r>
      <w:r w:rsidR="00BE7913" w:rsidRPr="00105C49">
        <w:rPr>
          <w:rFonts w:ascii="Arial" w:hAnsi="Arial" w:cs="Arial"/>
          <w:color w:val="222222"/>
          <w:shd w:val="clear" w:color="auto" w:fill="FFFFFF"/>
        </w:rPr>
        <w:t xml:space="preserve"> </w:t>
      </w:r>
      <w:r w:rsidR="006C2244" w:rsidRPr="00105C49">
        <w:rPr>
          <w:rFonts w:ascii="Arial" w:hAnsi="Arial" w:cs="Arial"/>
          <w:color w:val="222222"/>
          <w:shd w:val="clear" w:color="auto" w:fill="FFFFFF"/>
        </w:rPr>
        <w:t>individuals</w:t>
      </w:r>
      <w:r w:rsidR="00BE7913" w:rsidRPr="00105C49">
        <w:rPr>
          <w:rFonts w:ascii="Arial" w:hAnsi="Arial" w:cs="Arial"/>
          <w:color w:val="222222"/>
          <w:shd w:val="clear" w:color="auto" w:fill="FFFFFF"/>
        </w:rPr>
        <w:t>.</w:t>
      </w:r>
      <w:r w:rsidR="00027701">
        <w:rPr>
          <w:rFonts w:ascii="Arial" w:hAnsi="Arial" w:cs="Arial"/>
          <w:color w:val="222222"/>
          <w:shd w:val="clear" w:color="auto" w:fill="FFFFFF"/>
        </w:rPr>
        <w:t xml:space="preserve"> To date, over 4500 children have received a diagnosis from the DDD study (DDD study). </w:t>
      </w:r>
    </w:p>
    <w:p w14:paraId="3C44DB0C" w14:textId="435313B5" w:rsidR="007B632E" w:rsidRPr="003D5F8C" w:rsidRDefault="0075076E" w:rsidP="008D6F38">
      <w:pPr>
        <w:pStyle w:val="PlainText"/>
        <w:spacing w:line="480" w:lineRule="auto"/>
        <w:rPr>
          <w:rFonts w:ascii="Arial" w:hAnsi="Arial" w:cs="Arial"/>
          <w:sz w:val="24"/>
          <w:szCs w:val="24"/>
        </w:rPr>
      </w:pPr>
      <w:r w:rsidRPr="008D6F38">
        <w:rPr>
          <w:rFonts w:ascii="Arial" w:hAnsi="Arial" w:cs="Arial"/>
          <w:sz w:val="24"/>
          <w:szCs w:val="24"/>
        </w:rPr>
        <w:t xml:space="preserve">A complementary analysis project </w:t>
      </w:r>
      <w:proofErr w:type="gramStart"/>
      <w:r w:rsidRPr="008D6F38">
        <w:rPr>
          <w:rFonts w:ascii="Arial" w:hAnsi="Arial" w:cs="Arial"/>
          <w:sz w:val="24"/>
          <w:szCs w:val="24"/>
        </w:rPr>
        <w:t xml:space="preserve">was applied for and granted by the DDD study, </w:t>
      </w:r>
      <w:r w:rsidRPr="008D6F38">
        <w:rPr>
          <w:rFonts w:ascii="Arial" w:hAnsi="Arial" w:cs="Arial"/>
          <w:sz w:val="24"/>
          <w:szCs w:val="24"/>
          <w:lang w:val="en-US"/>
        </w:rPr>
        <w:t>allowing access to</w:t>
      </w:r>
      <w:r w:rsidRPr="008D6F38">
        <w:rPr>
          <w:rFonts w:ascii="Arial" w:hAnsi="Arial" w:cs="Arial"/>
          <w:sz w:val="24"/>
          <w:szCs w:val="24"/>
        </w:rPr>
        <w:t xml:space="preserve"> anonymi</w:t>
      </w:r>
      <w:r w:rsidR="00E104F4" w:rsidRPr="008D6F38">
        <w:rPr>
          <w:rFonts w:ascii="Arial" w:hAnsi="Arial" w:cs="Arial"/>
          <w:sz w:val="24"/>
          <w:szCs w:val="24"/>
        </w:rPr>
        <w:t>s</w:t>
      </w:r>
      <w:r w:rsidRPr="008D6F38">
        <w:rPr>
          <w:rFonts w:ascii="Arial" w:hAnsi="Arial" w:cs="Arial"/>
          <w:sz w:val="24"/>
          <w:szCs w:val="24"/>
        </w:rPr>
        <w:t>ed</w:t>
      </w:r>
      <w:r w:rsidRPr="008D6F38">
        <w:rPr>
          <w:rFonts w:ascii="Arial" w:hAnsi="Arial" w:cs="Arial"/>
          <w:sz w:val="24"/>
          <w:szCs w:val="24"/>
          <w:lang w:val="en-US"/>
        </w:rPr>
        <w:t xml:space="preserve"> details of patients with </w:t>
      </w:r>
      <w:r w:rsidRPr="008D6F38">
        <w:rPr>
          <w:rFonts w:ascii="Arial" w:hAnsi="Arial" w:cs="Arial"/>
          <w:i/>
          <w:sz w:val="24"/>
          <w:szCs w:val="24"/>
          <w:lang w:val="en-US"/>
        </w:rPr>
        <w:t xml:space="preserve">SCN2A </w:t>
      </w:r>
      <w:r w:rsidRPr="008D6F38">
        <w:rPr>
          <w:rFonts w:ascii="Arial" w:hAnsi="Arial" w:cs="Arial"/>
          <w:sz w:val="24"/>
          <w:szCs w:val="24"/>
          <w:lang w:val="en-US"/>
        </w:rPr>
        <w:t>variants identified through this study</w:t>
      </w:r>
      <w:proofErr w:type="gramEnd"/>
      <w:r w:rsidRPr="008D6F38">
        <w:rPr>
          <w:rFonts w:ascii="Arial" w:hAnsi="Arial" w:cs="Arial"/>
          <w:sz w:val="24"/>
          <w:szCs w:val="24"/>
        </w:rPr>
        <w:t>.</w:t>
      </w:r>
      <w:r w:rsidR="003D5F8C">
        <w:rPr>
          <w:rFonts w:ascii="Arial" w:hAnsi="Arial" w:cs="Arial"/>
          <w:sz w:val="24"/>
          <w:szCs w:val="24"/>
        </w:rPr>
        <w:t xml:space="preserve">  </w:t>
      </w:r>
      <w:r w:rsidRPr="003D5F8C">
        <w:rPr>
          <w:rFonts w:ascii="Arial" w:hAnsi="Arial" w:cs="Arial"/>
          <w:sz w:val="24"/>
          <w:szCs w:val="24"/>
        </w:rPr>
        <w:t xml:space="preserve">From </w:t>
      </w:r>
      <w:r w:rsidR="00246A20" w:rsidRPr="003D5F8C">
        <w:rPr>
          <w:rFonts w:ascii="Arial" w:hAnsi="Arial" w:cs="Arial"/>
          <w:sz w:val="24"/>
          <w:szCs w:val="24"/>
        </w:rPr>
        <w:t xml:space="preserve">the DDD study, </w:t>
      </w:r>
      <w:r w:rsidR="00027701" w:rsidRPr="003D5F8C">
        <w:rPr>
          <w:rFonts w:ascii="Arial" w:hAnsi="Arial" w:cs="Arial"/>
          <w:sz w:val="24"/>
          <w:szCs w:val="24"/>
        </w:rPr>
        <w:t xml:space="preserve">28 </w:t>
      </w:r>
      <w:r w:rsidR="00246A20" w:rsidRPr="003D5F8C">
        <w:rPr>
          <w:rFonts w:ascii="Arial" w:hAnsi="Arial" w:cs="Arial"/>
          <w:sz w:val="24"/>
          <w:szCs w:val="24"/>
        </w:rPr>
        <w:t xml:space="preserve">patients </w:t>
      </w:r>
      <w:proofErr w:type="gramStart"/>
      <w:r w:rsidR="00246A20" w:rsidRPr="003D5F8C">
        <w:rPr>
          <w:rFonts w:ascii="Arial" w:hAnsi="Arial" w:cs="Arial"/>
          <w:sz w:val="24"/>
          <w:szCs w:val="24"/>
        </w:rPr>
        <w:t xml:space="preserve">were </w:t>
      </w:r>
      <w:r w:rsidR="00AC7188" w:rsidRPr="003D5F8C">
        <w:rPr>
          <w:rFonts w:ascii="Arial" w:hAnsi="Arial" w:cs="Arial"/>
          <w:sz w:val="24"/>
          <w:szCs w:val="24"/>
        </w:rPr>
        <w:t>identified</w:t>
      </w:r>
      <w:proofErr w:type="gramEnd"/>
      <w:r w:rsidR="00AC7188" w:rsidRPr="003D5F8C">
        <w:rPr>
          <w:rFonts w:ascii="Arial" w:hAnsi="Arial" w:cs="Arial"/>
          <w:sz w:val="24"/>
          <w:szCs w:val="24"/>
        </w:rPr>
        <w:t xml:space="preserve"> </w:t>
      </w:r>
      <w:r w:rsidR="00246A20" w:rsidRPr="003D5F8C">
        <w:rPr>
          <w:rFonts w:ascii="Arial" w:hAnsi="Arial" w:cs="Arial"/>
          <w:sz w:val="24"/>
          <w:szCs w:val="24"/>
        </w:rPr>
        <w:t xml:space="preserve">with </w:t>
      </w:r>
      <w:r w:rsidR="00027701" w:rsidRPr="003D5F8C">
        <w:rPr>
          <w:rFonts w:ascii="Arial" w:hAnsi="Arial" w:cs="Arial"/>
          <w:sz w:val="24"/>
          <w:szCs w:val="24"/>
        </w:rPr>
        <w:t xml:space="preserve">pathogenic or likely pathogenic </w:t>
      </w:r>
      <w:r w:rsidR="00246A20" w:rsidRPr="003D5F8C">
        <w:rPr>
          <w:rFonts w:ascii="Arial" w:hAnsi="Arial" w:cs="Arial"/>
          <w:i/>
          <w:sz w:val="24"/>
          <w:szCs w:val="24"/>
        </w:rPr>
        <w:t>SCN2A</w:t>
      </w:r>
      <w:r w:rsidR="00246A20" w:rsidRPr="003D5F8C">
        <w:rPr>
          <w:rFonts w:ascii="Arial" w:hAnsi="Arial" w:cs="Arial"/>
          <w:sz w:val="24"/>
          <w:szCs w:val="24"/>
        </w:rPr>
        <w:t xml:space="preserve"> variants</w:t>
      </w:r>
      <w:r w:rsidR="00027701" w:rsidRPr="003D5F8C">
        <w:rPr>
          <w:rFonts w:ascii="Arial" w:hAnsi="Arial" w:cs="Arial"/>
          <w:sz w:val="24"/>
          <w:szCs w:val="24"/>
        </w:rPr>
        <w:t xml:space="preserve">. Responsible clinicians </w:t>
      </w:r>
      <w:proofErr w:type="gramStart"/>
      <w:r w:rsidR="00027701" w:rsidRPr="003D5F8C">
        <w:rPr>
          <w:rFonts w:ascii="Arial" w:hAnsi="Arial" w:cs="Arial"/>
          <w:sz w:val="24"/>
          <w:szCs w:val="24"/>
        </w:rPr>
        <w:t>were contacted</w:t>
      </w:r>
      <w:proofErr w:type="gramEnd"/>
      <w:r w:rsidR="00027701" w:rsidRPr="003D5F8C">
        <w:rPr>
          <w:rFonts w:ascii="Arial" w:hAnsi="Arial" w:cs="Arial"/>
          <w:sz w:val="24"/>
          <w:szCs w:val="24"/>
        </w:rPr>
        <w:t xml:space="preserve"> to offer recruitment to the individuals and 19 patients (or their parents/guardians) gave consent for publication</w:t>
      </w:r>
      <w:r w:rsidRPr="003D5F8C">
        <w:rPr>
          <w:rFonts w:ascii="Arial" w:hAnsi="Arial" w:cs="Arial"/>
          <w:sz w:val="24"/>
          <w:szCs w:val="24"/>
        </w:rPr>
        <w:t xml:space="preserve">. </w:t>
      </w:r>
      <w:r w:rsidR="00246A20" w:rsidRPr="003D5F8C">
        <w:rPr>
          <w:rFonts w:ascii="Arial" w:hAnsi="Arial" w:cs="Arial"/>
          <w:sz w:val="24"/>
          <w:szCs w:val="24"/>
        </w:rPr>
        <w:t xml:space="preserve"> </w:t>
      </w:r>
      <w:r w:rsidRPr="003D5F8C">
        <w:rPr>
          <w:rFonts w:ascii="Arial" w:hAnsi="Arial" w:cs="Arial"/>
          <w:sz w:val="24"/>
          <w:szCs w:val="24"/>
        </w:rPr>
        <w:t>A</w:t>
      </w:r>
      <w:r w:rsidR="00246A20" w:rsidRPr="003D5F8C">
        <w:rPr>
          <w:rFonts w:ascii="Arial" w:hAnsi="Arial" w:cs="Arial"/>
          <w:sz w:val="24"/>
          <w:szCs w:val="24"/>
        </w:rPr>
        <w:t xml:space="preserve">n additional </w:t>
      </w:r>
      <w:proofErr w:type="gramStart"/>
      <w:r w:rsidR="00246A20" w:rsidRPr="003D5F8C">
        <w:rPr>
          <w:rFonts w:ascii="Arial" w:hAnsi="Arial" w:cs="Arial"/>
          <w:sz w:val="24"/>
          <w:szCs w:val="24"/>
        </w:rPr>
        <w:t>3</w:t>
      </w:r>
      <w:proofErr w:type="gramEnd"/>
      <w:r w:rsidR="00246A20" w:rsidRPr="003D5F8C">
        <w:rPr>
          <w:rFonts w:ascii="Arial" w:hAnsi="Arial" w:cs="Arial"/>
          <w:sz w:val="24"/>
          <w:szCs w:val="24"/>
        </w:rPr>
        <w:t xml:space="preserve"> cases </w:t>
      </w:r>
      <w:r w:rsidRPr="003D5F8C">
        <w:rPr>
          <w:rFonts w:ascii="Arial" w:hAnsi="Arial" w:cs="Arial"/>
          <w:sz w:val="24"/>
          <w:szCs w:val="24"/>
        </w:rPr>
        <w:t xml:space="preserve">were </w:t>
      </w:r>
      <w:r w:rsidR="00246A20" w:rsidRPr="003D5F8C">
        <w:rPr>
          <w:rFonts w:ascii="Arial" w:hAnsi="Arial" w:cs="Arial"/>
          <w:sz w:val="24"/>
          <w:szCs w:val="24"/>
        </w:rPr>
        <w:t>identified via gene matching strategies</w:t>
      </w:r>
      <w:r w:rsidRPr="003D5F8C">
        <w:rPr>
          <w:rFonts w:ascii="Arial" w:hAnsi="Arial" w:cs="Arial"/>
          <w:sz w:val="24"/>
          <w:szCs w:val="24"/>
        </w:rPr>
        <w:t xml:space="preserve"> via </w:t>
      </w:r>
      <w:r w:rsidR="0064027D" w:rsidRPr="003D5F8C">
        <w:rPr>
          <w:rFonts w:ascii="Arial" w:hAnsi="Arial" w:cs="Arial"/>
          <w:sz w:val="24"/>
          <w:szCs w:val="24"/>
        </w:rPr>
        <w:t xml:space="preserve">the </w:t>
      </w:r>
      <w:r w:rsidRPr="003D5F8C">
        <w:rPr>
          <w:rFonts w:ascii="Arial" w:hAnsi="Arial" w:cs="Arial"/>
          <w:sz w:val="24"/>
          <w:szCs w:val="24"/>
        </w:rPr>
        <w:t>DECIPHER</w:t>
      </w:r>
      <w:r w:rsidR="0064027D" w:rsidRPr="003D5F8C">
        <w:rPr>
          <w:rFonts w:ascii="Arial" w:hAnsi="Arial" w:cs="Arial"/>
          <w:sz w:val="24"/>
          <w:szCs w:val="24"/>
        </w:rPr>
        <w:t xml:space="preserve"> </w:t>
      </w:r>
      <w:r w:rsidRPr="003D5F8C">
        <w:rPr>
          <w:rFonts w:ascii="Arial" w:hAnsi="Arial" w:cs="Arial"/>
          <w:sz w:val="24"/>
          <w:szCs w:val="24"/>
        </w:rPr>
        <w:t>database</w:t>
      </w:r>
      <w:r w:rsidR="003D5F8C">
        <w:rPr>
          <w:rFonts w:ascii="Arial" w:hAnsi="Arial" w:cs="Arial"/>
          <w:sz w:val="24"/>
          <w:szCs w:val="24"/>
          <w:vertAlign w:val="superscript"/>
          <w:lang w:val="en-US"/>
        </w:rPr>
        <w:t xml:space="preserve"> </w:t>
      </w:r>
      <w:r w:rsidR="003D5F8C">
        <w:rPr>
          <w:rFonts w:ascii="Arial" w:hAnsi="Arial" w:cs="Arial"/>
          <w:sz w:val="24"/>
          <w:szCs w:val="24"/>
        </w:rPr>
        <w:t>(DECIPHER, Firth 2009)</w:t>
      </w:r>
      <w:r w:rsidRPr="003D5F8C">
        <w:rPr>
          <w:rFonts w:ascii="Arial" w:hAnsi="Arial" w:cs="Arial"/>
          <w:sz w:val="24"/>
          <w:szCs w:val="24"/>
        </w:rPr>
        <w:t xml:space="preserve">.  These additional patients had either a clinical exome or an ID gene panel. </w:t>
      </w:r>
      <w:r w:rsidR="007B632E" w:rsidRPr="003D5F8C">
        <w:rPr>
          <w:rFonts w:ascii="Arial" w:hAnsi="Arial" w:cs="Arial"/>
          <w:sz w:val="24"/>
          <w:szCs w:val="24"/>
        </w:rPr>
        <w:t xml:space="preserve">The ID panel was based on </w:t>
      </w:r>
      <w:r w:rsidR="007B632E" w:rsidRPr="003D5F8C">
        <w:rPr>
          <w:rFonts w:ascii="Arial" w:hAnsi="Arial" w:cs="Arial"/>
          <w:sz w:val="24"/>
          <w:szCs w:val="24"/>
        </w:rPr>
        <w:lastRenderedPageBreak/>
        <w:t xml:space="preserve">the DDD panel </w:t>
      </w:r>
      <w:r w:rsidR="003D5F8C">
        <w:rPr>
          <w:rFonts w:ascii="Arial" w:hAnsi="Arial" w:cs="Arial"/>
          <w:sz w:val="24"/>
          <w:szCs w:val="24"/>
        </w:rPr>
        <w:t>(</w:t>
      </w:r>
      <w:hyperlink r:id="rId8" w:history="1">
        <w:r w:rsidR="007B632E" w:rsidRPr="008D6F38">
          <w:rPr>
            <w:rStyle w:val="Hyperlink"/>
            <w:rFonts w:ascii="Arial" w:hAnsi="Arial" w:cs="Arial"/>
            <w:sz w:val="24"/>
            <w:szCs w:val="24"/>
          </w:rPr>
          <w:t>https://www.lumc.nl/sub/4080/att/1768916</w:t>
        </w:r>
      </w:hyperlink>
      <w:r w:rsidR="007B632E" w:rsidRPr="003D5F8C">
        <w:rPr>
          <w:rFonts w:ascii="Arial" w:hAnsi="Arial" w:cs="Arial"/>
          <w:sz w:val="24"/>
          <w:szCs w:val="24"/>
        </w:rPr>
        <w:t xml:space="preserve"> version 1, 18-02-2018, 1875 genes.</w:t>
      </w:r>
      <w:r w:rsidR="003D5F8C">
        <w:rPr>
          <w:rFonts w:ascii="Arial" w:hAnsi="Arial" w:cs="Arial"/>
          <w:sz w:val="24"/>
          <w:szCs w:val="24"/>
        </w:rPr>
        <w:t>).</w:t>
      </w:r>
    </w:p>
    <w:p w14:paraId="37C4AD66" w14:textId="0686FBBC" w:rsidR="00C77FDA" w:rsidRPr="00105C49" w:rsidRDefault="00287116" w:rsidP="006C2244">
      <w:pPr>
        <w:spacing w:line="480" w:lineRule="auto"/>
        <w:rPr>
          <w:rFonts w:ascii="Arial" w:hAnsi="Arial" w:cs="Arial"/>
        </w:rPr>
      </w:pPr>
      <w:r w:rsidRPr="00105C49">
        <w:rPr>
          <w:rFonts w:ascii="Arial" w:hAnsi="Arial" w:cs="Arial"/>
        </w:rPr>
        <w:t xml:space="preserve">Phenotype and </w:t>
      </w:r>
      <w:r w:rsidR="007072F6" w:rsidRPr="00105C49">
        <w:rPr>
          <w:rFonts w:ascii="Arial" w:hAnsi="Arial" w:cs="Arial"/>
        </w:rPr>
        <w:t>g</w:t>
      </w:r>
      <w:r w:rsidRPr="00105C49">
        <w:rPr>
          <w:rFonts w:ascii="Arial" w:hAnsi="Arial" w:cs="Arial"/>
        </w:rPr>
        <w:t xml:space="preserve">enotype information was gathered from the DECIPHER </w:t>
      </w:r>
      <w:r w:rsidR="00007130" w:rsidRPr="00105C49">
        <w:rPr>
          <w:rFonts w:ascii="Arial" w:hAnsi="Arial" w:cs="Arial"/>
        </w:rPr>
        <w:t>and additional information fro</w:t>
      </w:r>
      <w:r w:rsidRPr="00105C49">
        <w:rPr>
          <w:rFonts w:ascii="Arial" w:hAnsi="Arial" w:cs="Arial"/>
        </w:rPr>
        <w:t>m the responsible clinician</w:t>
      </w:r>
      <w:r w:rsidR="00C77FDA" w:rsidRPr="00105C49">
        <w:rPr>
          <w:rFonts w:ascii="Arial" w:hAnsi="Arial" w:cs="Arial"/>
        </w:rPr>
        <w:t>’s routine clinical assessments and exami</w:t>
      </w:r>
      <w:r w:rsidR="00E93E3F" w:rsidRPr="00105C49">
        <w:rPr>
          <w:rFonts w:ascii="Arial" w:hAnsi="Arial" w:cs="Arial"/>
        </w:rPr>
        <w:t>na</w:t>
      </w:r>
      <w:r w:rsidR="00C77FDA" w:rsidRPr="00105C49">
        <w:rPr>
          <w:rFonts w:ascii="Arial" w:hAnsi="Arial" w:cs="Arial"/>
        </w:rPr>
        <w:t>tion of medical records</w:t>
      </w:r>
      <w:r w:rsidRPr="00105C49">
        <w:rPr>
          <w:rFonts w:ascii="Arial" w:hAnsi="Arial" w:cs="Arial"/>
        </w:rPr>
        <w:t xml:space="preserve">. </w:t>
      </w:r>
      <w:r w:rsidR="00157103">
        <w:rPr>
          <w:rFonts w:ascii="Arial" w:hAnsi="Arial" w:cs="Arial"/>
        </w:rPr>
        <w:t xml:space="preserve">Phenotypes were defined as per </w:t>
      </w:r>
      <w:r w:rsidR="003D5F8C">
        <w:rPr>
          <w:rFonts w:ascii="Arial" w:hAnsi="Arial" w:cs="Arial"/>
        </w:rPr>
        <w:t>Human Phenotype Ontology</w:t>
      </w:r>
      <w:r w:rsidR="00157103">
        <w:rPr>
          <w:rFonts w:ascii="Arial" w:hAnsi="Arial" w:cs="Arial"/>
        </w:rPr>
        <w:t xml:space="preserve"> terms </w:t>
      </w:r>
      <w:r w:rsidR="003D5F8C" w:rsidRPr="00621CBF">
        <w:rPr>
          <w:rFonts w:ascii="Arial" w:hAnsi="Arial" w:cs="Arial"/>
        </w:rPr>
        <w:t>(</w:t>
      </w:r>
      <w:proofErr w:type="spellStart"/>
      <w:r w:rsidR="00621CBF" w:rsidRPr="00621CBF">
        <w:rPr>
          <w:rFonts w:ascii="Arial" w:hAnsi="Arial" w:cs="Arial"/>
          <w:color w:val="212121"/>
          <w:shd w:val="clear" w:color="auto" w:fill="FFFFFF"/>
        </w:rPr>
        <w:t>Köhler</w:t>
      </w:r>
      <w:proofErr w:type="spellEnd"/>
      <w:r w:rsidR="00621CBF" w:rsidRPr="00621CBF">
        <w:rPr>
          <w:rFonts w:ascii="Arial" w:hAnsi="Arial" w:cs="Arial"/>
          <w:color w:val="212121"/>
          <w:shd w:val="clear" w:color="auto" w:fill="FFFFFF"/>
        </w:rPr>
        <w:t xml:space="preserve"> 2021</w:t>
      </w:r>
      <w:r w:rsidR="003D5F8C" w:rsidRPr="00621CBF">
        <w:rPr>
          <w:rFonts w:ascii="Arial" w:hAnsi="Arial" w:cs="Arial"/>
        </w:rPr>
        <w:t xml:space="preserve">) </w:t>
      </w:r>
      <w:r w:rsidR="00157103" w:rsidRPr="00621CBF">
        <w:rPr>
          <w:rFonts w:ascii="Arial" w:hAnsi="Arial" w:cs="Arial"/>
        </w:rPr>
        <w:t>and</w:t>
      </w:r>
      <w:r w:rsidR="00157103">
        <w:rPr>
          <w:rFonts w:ascii="Arial" w:hAnsi="Arial" w:cs="Arial"/>
        </w:rPr>
        <w:t xml:space="preserve"> I</w:t>
      </w:r>
      <w:r w:rsidR="00B05D4B">
        <w:rPr>
          <w:rFonts w:ascii="Arial" w:hAnsi="Arial" w:cs="Arial"/>
        </w:rPr>
        <w:t xml:space="preserve">nternational League against </w:t>
      </w:r>
      <w:r w:rsidR="003B0BE7">
        <w:rPr>
          <w:rFonts w:ascii="Arial" w:hAnsi="Arial" w:cs="Arial"/>
        </w:rPr>
        <w:t>Epilepsy</w:t>
      </w:r>
      <w:r w:rsidR="00157103">
        <w:rPr>
          <w:rFonts w:ascii="Arial" w:hAnsi="Arial" w:cs="Arial"/>
        </w:rPr>
        <w:t xml:space="preserve"> definitions (</w:t>
      </w:r>
      <w:proofErr w:type="spellStart"/>
      <w:r w:rsidR="00B05D4B">
        <w:rPr>
          <w:rFonts w:ascii="Arial" w:hAnsi="Arial" w:cs="Arial"/>
        </w:rPr>
        <w:t>Scheffer</w:t>
      </w:r>
      <w:proofErr w:type="spellEnd"/>
      <w:r w:rsidR="00B05D4B">
        <w:rPr>
          <w:rFonts w:ascii="Arial" w:hAnsi="Arial" w:cs="Arial"/>
        </w:rPr>
        <w:t xml:space="preserve"> 2017</w:t>
      </w:r>
      <w:r w:rsidR="00157103">
        <w:rPr>
          <w:rFonts w:ascii="Arial" w:hAnsi="Arial" w:cs="Arial"/>
        </w:rPr>
        <w:t>)</w:t>
      </w:r>
      <w:r w:rsidR="00B05D4B">
        <w:rPr>
          <w:rFonts w:ascii="Arial" w:hAnsi="Arial" w:cs="Arial"/>
        </w:rPr>
        <w:t>.</w:t>
      </w:r>
      <w:r w:rsidR="00157103">
        <w:rPr>
          <w:rFonts w:ascii="Arial" w:hAnsi="Arial" w:cs="Arial"/>
        </w:rPr>
        <w:t xml:space="preserve"> </w:t>
      </w:r>
      <w:r w:rsidR="00BE7913" w:rsidRPr="00105C49">
        <w:rPr>
          <w:rFonts w:ascii="Arial" w:hAnsi="Arial" w:cs="Arial"/>
        </w:rPr>
        <w:t>Clinical info</w:t>
      </w:r>
      <w:r w:rsidR="00865770" w:rsidRPr="00105C49">
        <w:rPr>
          <w:rFonts w:ascii="Arial" w:hAnsi="Arial" w:cs="Arial"/>
        </w:rPr>
        <w:t>rm</w:t>
      </w:r>
      <w:r w:rsidR="00BE7913" w:rsidRPr="00105C49">
        <w:rPr>
          <w:rFonts w:ascii="Arial" w:hAnsi="Arial" w:cs="Arial"/>
        </w:rPr>
        <w:t xml:space="preserve">ation </w:t>
      </w:r>
      <w:proofErr w:type="gramStart"/>
      <w:r w:rsidR="00BE7913" w:rsidRPr="00105C49">
        <w:rPr>
          <w:rFonts w:ascii="Arial" w:hAnsi="Arial" w:cs="Arial"/>
        </w:rPr>
        <w:t>included</w:t>
      </w:r>
      <w:r w:rsidR="00865770" w:rsidRPr="00105C49">
        <w:rPr>
          <w:rFonts w:ascii="Arial" w:hAnsi="Arial" w:cs="Arial"/>
        </w:rPr>
        <w:t>:</w:t>
      </w:r>
      <w:proofErr w:type="gramEnd"/>
      <w:r w:rsidR="00865770" w:rsidRPr="00105C49">
        <w:rPr>
          <w:rFonts w:ascii="Arial" w:hAnsi="Arial" w:cs="Arial"/>
        </w:rPr>
        <w:t xml:space="preserve"> </w:t>
      </w:r>
      <w:r w:rsidR="00BE7913" w:rsidRPr="00105C49">
        <w:rPr>
          <w:rFonts w:ascii="Arial" w:hAnsi="Arial" w:cs="Arial"/>
        </w:rPr>
        <w:t xml:space="preserve">medical history, </w:t>
      </w:r>
      <w:proofErr w:type="spellStart"/>
      <w:r w:rsidR="00BE7913" w:rsidRPr="00105C49">
        <w:rPr>
          <w:rFonts w:ascii="Arial" w:hAnsi="Arial" w:cs="Arial"/>
        </w:rPr>
        <w:t>dysmorphology</w:t>
      </w:r>
      <w:proofErr w:type="spellEnd"/>
      <w:r w:rsidR="00BE7913" w:rsidRPr="00105C49">
        <w:rPr>
          <w:rFonts w:ascii="Arial" w:hAnsi="Arial" w:cs="Arial"/>
        </w:rPr>
        <w:t>, growth parameters, developmental progress, learning, seizure onset, type</w:t>
      </w:r>
      <w:r w:rsidR="007A77B2">
        <w:rPr>
          <w:rFonts w:ascii="Arial" w:hAnsi="Arial" w:cs="Arial"/>
        </w:rPr>
        <w:t xml:space="preserve"> and</w:t>
      </w:r>
      <w:r w:rsidR="00BE7913" w:rsidRPr="00105C49">
        <w:rPr>
          <w:rFonts w:ascii="Arial" w:hAnsi="Arial" w:cs="Arial"/>
        </w:rPr>
        <w:t xml:space="preserve"> </w:t>
      </w:r>
      <w:r w:rsidR="00D41627" w:rsidRPr="00105C49">
        <w:rPr>
          <w:rFonts w:ascii="Arial" w:hAnsi="Arial" w:cs="Arial"/>
        </w:rPr>
        <w:t>progression</w:t>
      </w:r>
      <w:r w:rsidR="00027701">
        <w:rPr>
          <w:rFonts w:ascii="Arial" w:hAnsi="Arial" w:cs="Arial"/>
        </w:rPr>
        <w:t xml:space="preserve"> and</w:t>
      </w:r>
      <w:r w:rsidR="00B05D4B">
        <w:rPr>
          <w:rFonts w:ascii="Arial" w:hAnsi="Arial" w:cs="Arial"/>
        </w:rPr>
        <w:t xml:space="preserve"> </w:t>
      </w:r>
      <w:r w:rsidR="00027701">
        <w:rPr>
          <w:rFonts w:ascii="Arial" w:hAnsi="Arial" w:cs="Arial"/>
        </w:rPr>
        <w:t>current or most-recent</w:t>
      </w:r>
      <w:r w:rsidR="00BE7913" w:rsidRPr="00105C49">
        <w:rPr>
          <w:rFonts w:ascii="Arial" w:hAnsi="Arial" w:cs="Arial"/>
        </w:rPr>
        <w:t xml:space="preserve"> anti-epileptic drugs (AEDs)</w:t>
      </w:r>
      <w:r w:rsidR="00027701">
        <w:rPr>
          <w:rFonts w:ascii="Arial" w:hAnsi="Arial" w:cs="Arial"/>
        </w:rPr>
        <w:t xml:space="preserve"> prescribed</w:t>
      </w:r>
      <w:r w:rsidR="00BE7913" w:rsidRPr="00105C49">
        <w:rPr>
          <w:rFonts w:ascii="Arial" w:hAnsi="Arial" w:cs="Arial"/>
        </w:rPr>
        <w:t xml:space="preserve">. </w:t>
      </w:r>
      <w:r w:rsidR="007E2FE1" w:rsidRPr="00105C49">
        <w:rPr>
          <w:rFonts w:ascii="Arial" w:hAnsi="Arial" w:cs="Arial"/>
        </w:rPr>
        <w:t xml:space="preserve"> Where MRI brain imagin</w:t>
      </w:r>
      <w:r w:rsidR="00865770" w:rsidRPr="00105C49">
        <w:rPr>
          <w:rFonts w:ascii="Arial" w:hAnsi="Arial" w:cs="Arial"/>
        </w:rPr>
        <w:t>g</w:t>
      </w:r>
      <w:r w:rsidR="007E2FE1" w:rsidRPr="00105C49">
        <w:rPr>
          <w:rFonts w:ascii="Arial" w:hAnsi="Arial" w:cs="Arial"/>
        </w:rPr>
        <w:t xml:space="preserve"> </w:t>
      </w:r>
      <w:proofErr w:type="gramStart"/>
      <w:r w:rsidR="007E2FE1" w:rsidRPr="00105C49">
        <w:rPr>
          <w:rFonts w:ascii="Arial" w:hAnsi="Arial" w:cs="Arial"/>
        </w:rPr>
        <w:t>had been carried out,</w:t>
      </w:r>
      <w:proofErr w:type="gramEnd"/>
      <w:r w:rsidR="007E2FE1" w:rsidRPr="00105C49">
        <w:rPr>
          <w:rFonts w:ascii="Arial" w:hAnsi="Arial" w:cs="Arial"/>
        </w:rPr>
        <w:t xml:space="preserve"> the reported findings were also collected.</w:t>
      </w:r>
    </w:p>
    <w:p w14:paraId="18BD8348" w14:textId="723B1D56" w:rsidR="00287116" w:rsidRPr="00105C49" w:rsidRDefault="00287116" w:rsidP="006C2244">
      <w:pPr>
        <w:spacing w:line="480" w:lineRule="auto"/>
        <w:rPr>
          <w:rFonts w:ascii="Arial" w:hAnsi="Arial" w:cs="Arial"/>
        </w:rPr>
      </w:pPr>
      <w:r w:rsidRPr="00105C49">
        <w:rPr>
          <w:rFonts w:ascii="Arial" w:hAnsi="Arial" w:cs="Arial"/>
        </w:rPr>
        <w:t>Pathogenicity evidence was collected from the DECIPHER database</w:t>
      </w:r>
      <w:r w:rsidR="00007130" w:rsidRPr="00105C49">
        <w:rPr>
          <w:rFonts w:ascii="Arial" w:hAnsi="Arial" w:cs="Arial"/>
        </w:rPr>
        <w:t xml:space="preserve"> and </w:t>
      </w:r>
      <w:r w:rsidR="00D41627" w:rsidRPr="00105C49">
        <w:rPr>
          <w:rFonts w:ascii="Arial" w:hAnsi="Arial" w:cs="Arial"/>
        </w:rPr>
        <w:t>referring</w:t>
      </w:r>
      <w:r w:rsidR="00007130" w:rsidRPr="00105C49">
        <w:rPr>
          <w:rFonts w:ascii="Arial" w:hAnsi="Arial" w:cs="Arial"/>
        </w:rPr>
        <w:t xml:space="preserve"> clinician</w:t>
      </w:r>
      <w:r w:rsidRPr="00105C49">
        <w:rPr>
          <w:rFonts w:ascii="Arial" w:hAnsi="Arial" w:cs="Arial"/>
        </w:rPr>
        <w:t xml:space="preserve">. Each variant was </w:t>
      </w:r>
      <w:r w:rsidR="003B0BE7">
        <w:rPr>
          <w:rFonts w:ascii="Arial" w:hAnsi="Arial" w:cs="Arial"/>
        </w:rPr>
        <w:t xml:space="preserve">then </w:t>
      </w:r>
      <w:r w:rsidR="00B55F54" w:rsidRPr="00105C49">
        <w:rPr>
          <w:rFonts w:ascii="Arial" w:hAnsi="Arial" w:cs="Arial"/>
        </w:rPr>
        <w:t>revie</w:t>
      </w:r>
      <w:r w:rsidR="00007130" w:rsidRPr="00105C49">
        <w:rPr>
          <w:rFonts w:ascii="Arial" w:hAnsi="Arial" w:cs="Arial"/>
        </w:rPr>
        <w:t xml:space="preserve">wed and </w:t>
      </w:r>
      <w:r w:rsidRPr="00105C49">
        <w:rPr>
          <w:rFonts w:ascii="Arial" w:hAnsi="Arial" w:cs="Arial"/>
        </w:rPr>
        <w:t xml:space="preserve">classified according to ACMG criteria </w:t>
      </w:r>
      <w:r w:rsidR="00B55F54" w:rsidRPr="00105C49">
        <w:rPr>
          <w:rFonts w:ascii="Arial" w:hAnsi="Arial" w:cs="Arial"/>
        </w:rPr>
        <w:t>and related publications</w:t>
      </w:r>
      <w:r w:rsidR="00B05D4B">
        <w:rPr>
          <w:rFonts w:ascii="Arial" w:hAnsi="Arial" w:cs="Arial"/>
          <w:noProof/>
          <w:lang w:val="en-US"/>
        </w:rPr>
        <w:t xml:space="preserve"> (Richards 2015, Ellard 2020)</w:t>
      </w:r>
      <w:r w:rsidR="00195EBC" w:rsidRPr="00105C49">
        <w:rPr>
          <w:rFonts w:ascii="Arial" w:hAnsi="Arial" w:cs="Arial"/>
        </w:rPr>
        <w:t>.</w:t>
      </w:r>
    </w:p>
    <w:p w14:paraId="769FA7C0" w14:textId="565E9EFA" w:rsidR="000B33D8" w:rsidRPr="00105C49" w:rsidRDefault="00007130" w:rsidP="006C2244">
      <w:pPr>
        <w:pStyle w:val="Normal1"/>
        <w:spacing w:line="480" w:lineRule="auto"/>
        <w:rPr>
          <w:sz w:val="24"/>
          <w:szCs w:val="24"/>
          <w:lang w:val="en-US"/>
        </w:rPr>
      </w:pPr>
      <w:r w:rsidRPr="00105C49">
        <w:rPr>
          <w:sz w:val="24"/>
          <w:szCs w:val="24"/>
          <w:lang w:val="en-US"/>
        </w:rPr>
        <w:t>Exclu</w:t>
      </w:r>
      <w:r w:rsidR="000B33D8" w:rsidRPr="00105C49">
        <w:rPr>
          <w:sz w:val="24"/>
          <w:szCs w:val="24"/>
          <w:lang w:val="en-US"/>
        </w:rPr>
        <w:t>sion criteria</w:t>
      </w:r>
      <w:r w:rsidRPr="00105C49">
        <w:rPr>
          <w:sz w:val="24"/>
          <w:szCs w:val="24"/>
          <w:lang w:val="en-US"/>
        </w:rPr>
        <w:t xml:space="preserve"> from th</w:t>
      </w:r>
      <w:r w:rsidR="000B33D8" w:rsidRPr="00105C49">
        <w:rPr>
          <w:sz w:val="24"/>
          <w:szCs w:val="24"/>
          <w:lang w:val="en-US"/>
        </w:rPr>
        <w:t>is</w:t>
      </w:r>
      <w:r w:rsidRPr="00105C49">
        <w:rPr>
          <w:sz w:val="24"/>
          <w:szCs w:val="24"/>
          <w:lang w:val="en-US"/>
        </w:rPr>
        <w:t xml:space="preserve"> study </w:t>
      </w:r>
      <w:proofErr w:type="gramStart"/>
      <w:r w:rsidRPr="00105C49">
        <w:rPr>
          <w:sz w:val="24"/>
          <w:szCs w:val="24"/>
          <w:lang w:val="en-US"/>
        </w:rPr>
        <w:t>were:</w:t>
      </w:r>
      <w:proofErr w:type="gramEnd"/>
      <w:r w:rsidRPr="00105C49">
        <w:rPr>
          <w:sz w:val="24"/>
          <w:szCs w:val="24"/>
          <w:lang w:val="en-US"/>
        </w:rPr>
        <w:t xml:space="preserve"> patients with an additional proven genetic diagnosis where the </w:t>
      </w:r>
      <w:r w:rsidRPr="00105C49">
        <w:rPr>
          <w:i/>
          <w:sz w:val="24"/>
          <w:szCs w:val="24"/>
          <w:lang w:val="en-US"/>
        </w:rPr>
        <w:t xml:space="preserve">SCN2A </w:t>
      </w:r>
      <w:r w:rsidRPr="00105C49">
        <w:rPr>
          <w:sz w:val="24"/>
          <w:szCs w:val="24"/>
          <w:lang w:val="en-US"/>
        </w:rPr>
        <w:t xml:space="preserve">variant was not thought to be contributory, and those in whom </w:t>
      </w:r>
      <w:r w:rsidRPr="00105C49">
        <w:rPr>
          <w:i/>
          <w:sz w:val="24"/>
          <w:szCs w:val="24"/>
          <w:lang w:val="en-US"/>
        </w:rPr>
        <w:t>SCN2A</w:t>
      </w:r>
      <w:r w:rsidRPr="00105C49">
        <w:rPr>
          <w:sz w:val="24"/>
          <w:szCs w:val="24"/>
          <w:lang w:val="en-US"/>
        </w:rPr>
        <w:t xml:space="preserve"> variants were </w:t>
      </w:r>
      <w:r w:rsidR="00D41627" w:rsidRPr="00105C49">
        <w:rPr>
          <w:sz w:val="24"/>
          <w:szCs w:val="24"/>
          <w:lang w:val="en-US"/>
        </w:rPr>
        <w:t xml:space="preserve">classified as </w:t>
      </w:r>
      <w:r w:rsidR="000B33D8" w:rsidRPr="00105C49">
        <w:rPr>
          <w:sz w:val="24"/>
          <w:szCs w:val="24"/>
          <w:lang w:val="en-US"/>
        </w:rPr>
        <w:t>benign</w:t>
      </w:r>
      <w:r w:rsidR="007F3EC0">
        <w:rPr>
          <w:sz w:val="24"/>
          <w:szCs w:val="24"/>
          <w:lang w:val="en-US"/>
        </w:rPr>
        <w:t xml:space="preserve"> or</w:t>
      </w:r>
      <w:r w:rsidR="00105C49">
        <w:rPr>
          <w:sz w:val="24"/>
          <w:szCs w:val="24"/>
          <w:lang w:val="en-US"/>
        </w:rPr>
        <w:t xml:space="preserve"> </w:t>
      </w:r>
      <w:r w:rsidR="000B33D8" w:rsidRPr="00105C49">
        <w:rPr>
          <w:sz w:val="24"/>
          <w:szCs w:val="24"/>
          <w:lang w:val="en-US"/>
        </w:rPr>
        <w:t>likely benign</w:t>
      </w:r>
      <w:r w:rsidR="007F3EC0">
        <w:rPr>
          <w:sz w:val="24"/>
          <w:szCs w:val="24"/>
          <w:lang w:val="en-US"/>
        </w:rPr>
        <w:t>.</w:t>
      </w:r>
    </w:p>
    <w:p w14:paraId="245CCFCA" w14:textId="77777777" w:rsidR="001202FD" w:rsidRPr="00105C49" w:rsidRDefault="001202FD" w:rsidP="006C2244">
      <w:pPr>
        <w:pStyle w:val="Normal1"/>
        <w:spacing w:line="480" w:lineRule="auto"/>
        <w:rPr>
          <w:sz w:val="24"/>
          <w:szCs w:val="24"/>
          <w:lang w:val="en-US"/>
        </w:rPr>
      </w:pPr>
    </w:p>
    <w:p w14:paraId="637281A2" w14:textId="77777777" w:rsidR="007A77B2" w:rsidRDefault="007A77B2" w:rsidP="006C2244">
      <w:pPr>
        <w:spacing w:line="480" w:lineRule="auto"/>
        <w:rPr>
          <w:rFonts w:ascii="Arial" w:hAnsi="Arial" w:cs="Arial"/>
          <w:b/>
          <w:lang w:val="en-US"/>
        </w:rPr>
      </w:pPr>
    </w:p>
    <w:p w14:paraId="21F97052" w14:textId="21E08191" w:rsidR="007B278A" w:rsidRPr="00105C49" w:rsidRDefault="00AC7188" w:rsidP="006C2244">
      <w:pPr>
        <w:spacing w:line="480" w:lineRule="auto"/>
        <w:rPr>
          <w:rFonts w:ascii="Arial" w:hAnsi="Arial" w:cs="Arial"/>
          <w:b/>
          <w:lang w:val="en-US"/>
        </w:rPr>
      </w:pPr>
      <w:proofErr w:type="gramStart"/>
      <w:r w:rsidRPr="00105C49">
        <w:rPr>
          <w:rFonts w:ascii="Arial" w:hAnsi="Arial" w:cs="Arial"/>
          <w:b/>
          <w:lang w:val="en-US"/>
        </w:rPr>
        <w:t>4</w:t>
      </w:r>
      <w:proofErr w:type="gramEnd"/>
      <w:r w:rsidRPr="00105C49">
        <w:rPr>
          <w:rFonts w:ascii="Arial" w:hAnsi="Arial" w:cs="Arial"/>
          <w:b/>
          <w:lang w:val="en-US"/>
        </w:rPr>
        <w:t xml:space="preserve"> </w:t>
      </w:r>
      <w:r w:rsidR="007B278A" w:rsidRPr="00105C49">
        <w:rPr>
          <w:rFonts w:ascii="Arial" w:hAnsi="Arial" w:cs="Arial"/>
          <w:b/>
          <w:lang w:val="en-US"/>
        </w:rPr>
        <w:t>Results</w:t>
      </w:r>
    </w:p>
    <w:p w14:paraId="55392AC3" w14:textId="039521DE" w:rsidR="000E071E" w:rsidRPr="00105C49" w:rsidRDefault="000E071E" w:rsidP="006C2244">
      <w:pPr>
        <w:spacing w:line="480" w:lineRule="auto"/>
        <w:rPr>
          <w:rFonts w:ascii="Arial" w:hAnsi="Arial" w:cs="Arial"/>
          <w:b/>
          <w:lang w:val="en-US"/>
        </w:rPr>
      </w:pPr>
      <w:r w:rsidRPr="00105C49">
        <w:rPr>
          <w:rFonts w:ascii="Arial" w:hAnsi="Arial" w:cs="Arial"/>
          <w:b/>
          <w:lang w:val="en-US"/>
        </w:rPr>
        <w:t>Demographics</w:t>
      </w:r>
    </w:p>
    <w:p w14:paraId="0D2A5AFA" w14:textId="2AD6E5A3" w:rsidR="000E071E" w:rsidRPr="00105C49" w:rsidRDefault="000E071E" w:rsidP="006C2244">
      <w:pPr>
        <w:pStyle w:val="Normal1"/>
        <w:spacing w:line="480" w:lineRule="auto"/>
        <w:rPr>
          <w:color w:val="auto"/>
          <w:sz w:val="24"/>
          <w:szCs w:val="24"/>
          <w:lang w:val="en-US"/>
        </w:rPr>
      </w:pPr>
      <w:r w:rsidRPr="00105C49">
        <w:rPr>
          <w:sz w:val="24"/>
          <w:szCs w:val="24"/>
        </w:rPr>
        <w:t xml:space="preserve">22 patients (10 male, 12 female) between 2 years and 52 years (median age 10.5 years) were recruited according to the above methods. </w:t>
      </w:r>
      <w:r w:rsidR="003D4CFA" w:rsidRPr="00105C49">
        <w:rPr>
          <w:sz w:val="24"/>
          <w:szCs w:val="24"/>
        </w:rPr>
        <w:t>19</w:t>
      </w:r>
      <w:r w:rsidRPr="00105C49">
        <w:rPr>
          <w:sz w:val="24"/>
          <w:szCs w:val="24"/>
        </w:rPr>
        <w:t xml:space="preserve"> were from the DDD study, and 3 from Leiden clinical genetics services. 18 had trio exome sequencing via the DDD study, 1 was diagnosed </w:t>
      </w:r>
      <w:r w:rsidR="00590F27" w:rsidRPr="00105C49">
        <w:rPr>
          <w:sz w:val="24"/>
          <w:szCs w:val="24"/>
        </w:rPr>
        <w:t>through the DDD study as the parent of a proband</w:t>
      </w:r>
      <w:r w:rsidRPr="00105C49">
        <w:rPr>
          <w:sz w:val="24"/>
          <w:szCs w:val="24"/>
        </w:rPr>
        <w:t xml:space="preserve">, 2 </w:t>
      </w:r>
      <w:r w:rsidRPr="00105C49">
        <w:rPr>
          <w:sz w:val="24"/>
          <w:szCs w:val="24"/>
        </w:rPr>
        <w:lastRenderedPageBreak/>
        <w:t xml:space="preserve">had a trio exome </w:t>
      </w:r>
      <w:r w:rsidR="00682BEB" w:rsidRPr="00105C49">
        <w:rPr>
          <w:sz w:val="24"/>
          <w:szCs w:val="24"/>
        </w:rPr>
        <w:t xml:space="preserve">through routine </w:t>
      </w:r>
      <w:r w:rsidRPr="00105C49">
        <w:rPr>
          <w:sz w:val="24"/>
          <w:szCs w:val="24"/>
        </w:rPr>
        <w:t xml:space="preserve">clinical services and 1 had an ID gene panel </w:t>
      </w:r>
      <w:r w:rsidR="00682BEB" w:rsidRPr="00105C49">
        <w:rPr>
          <w:sz w:val="24"/>
          <w:szCs w:val="24"/>
        </w:rPr>
        <w:t xml:space="preserve">through routine </w:t>
      </w:r>
      <w:r w:rsidRPr="00105C49">
        <w:rPr>
          <w:sz w:val="24"/>
          <w:szCs w:val="24"/>
        </w:rPr>
        <w:t>clinical service.</w:t>
      </w:r>
      <w:r w:rsidRPr="00105C49">
        <w:rPr>
          <w:rFonts w:eastAsia="Times New Roman"/>
          <w:color w:val="auto"/>
          <w:sz w:val="24"/>
          <w:szCs w:val="24"/>
          <w:lang w:val="en-GB" w:eastAsia="en-GB"/>
        </w:rPr>
        <w:t xml:space="preserve"> </w:t>
      </w:r>
      <w:r w:rsidRPr="00105C49">
        <w:rPr>
          <w:color w:val="auto"/>
          <w:sz w:val="24"/>
          <w:szCs w:val="24"/>
          <w:lang w:val="en-US"/>
        </w:rPr>
        <w:t xml:space="preserve">Table </w:t>
      </w:r>
      <w:r w:rsidR="009C751D" w:rsidRPr="00105C49">
        <w:rPr>
          <w:color w:val="auto"/>
          <w:sz w:val="24"/>
          <w:szCs w:val="24"/>
          <w:lang w:val="en-US"/>
        </w:rPr>
        <w:t xml:space="preserve">1 </w:t>
      </w:r>
      <w:r w:rsidRPr="00105C49">
        <w:rPr>
          <w:color w:val="auto"/>
          <w:sz w:val="24"/>
          <w:szCs w:val="24"/>
          <w:lang w:val="en-US"/>
        </w:rPr>
        <w:t>show</w:t>
      </w:r>
      <w:r w:rsidR="00E93E3F" w:rsidRPr="00105C49">
        <w:rPr>
          <w:color w:val="auto"/>
          <w:sz w:val="24"/>
          <w:szCs w:val="24"/>
          <w:lang w:val="en-US"/>
        </w:rPr>
        <w:t>s</w:t>
      </w:r>
      <w:r w:rsidRPr="00105C49">
        <w:rPr>
          <w:color w:val="auto"/>
          <w:sz w:val="24"/>
          <w:szCs w:val="24"/>
          <w:lang w:val="en-US"/>
        </w:rPr>
        <w:t xml:space="preserve"> a summary of the characteristics of the patients with variants in </w:t>
      </w:r>
      <w:r w:rsidRPr="00105C49">
        <w:rPr>
          <w:i/>
          <w:color w:val="auto"/>
          <w:sz w:val="24"/>
          <w:szCs w:val="24"/>
          <w:lang w:val="en-US"/>
        </w:rPr>
        <w:t>SCN2A</w:t>
      </w:r>
      <w:r w:rsidRPr="00105C49">
        <w:rPr>
          <w:color w:val="auto"/>
          <w:sz w:val="24"/>
          <w:szCs w:val="24"/>
          <w:lang w:val="en-US"/>
        </w:rPr>
        <w:t xml:space="preserve"> who were included in this study</w:t>
      </w:r>
      <w:r w:rsidR="003B0BE7">
        <w:rPr>
          <w:color w:val="auto"/>
          <w:sz w:val="24"/>
          <w:szCs w:val="24"/>
          <w:lang w:val="en-US"/>
        </w:rPr>
        <w:t xml:space="preserve"> with table 1a summarizing the patients with a</w:t>
      </w:r>
      <w:r w:rsidR="007516B6">
        <w:rPr>
          <w:color w:val="auto"/>
          <w:sz w:val="24"/>
          <w:szCs w:val="24"/>
          <w:lang w:val="en-US"/>
        </w:rPr>
        <w:t>n early onset seizure</w:t>
      </w:r>
      <w:r w:rsidR="00FA4E54">
        <w:rPr>
          <w:color w:val="auto"/>
          <w:sz w:val="24"/>
          <w:szCs w:val="24"/>
          <w:lang w:val="en-US"/>
        </w:rPr>
        <w:t xml:space="preserve"> </w:t>
      </w:r>
      <w:r w:rsidR="003B0BE7">
        <w:rPr>
          <w:color w:val="auto"/>
          <w:sz w:val="24"/>
          <w:szCs w:val="24"/>
          <w:lang w:val="en-US"/>
        </w:rPr>
        <w:t>phenotype</w:t>
      </w:r>
      <w:r w:rsidR="007516B6">
        <w:rPr>
          <w:color w:val="auto"/>
          <w:sz w:val="24"/>
          <w:szCs w:val="24"/>
          <w:lang w:val="en-US"/>
        </w:rPr>
        <w:t xml:space="preserve"> associated with DD/ID (DEE)</w:t>
      </w:r>
      <w:r w:rsidR="003B0BE7">
        <w:rPr>
          <w:color w:val="auto"/>
          <w:sz w:val="24"/>
          <w:szCs w:val="24"/>
          <w:lang w:val="en-US"/>
        </w:rPr>
        <w:t>, and table 1b those with an ID/ASD phenotype</w:t>
      </w:r>
      <w:r w:rsidRPr="00105C49">
        <w:rPr>
          <w:color w:val="auto"/>
          <w:sz w:val="24"/>
          <w:szCs w:val="24"/>
          <w:lang w:val="en-US"/>
        </w:rPr>
        <w:t xml:space="preserve">. A comprehensive summary of detailed phenotypic data is available in </w:t>
      </w:r>
      <w:r w:rsidR="00EB446C">
        <w:rPr>
          <w:color w:val="auto"/>
          <w:sz w:val="24"/>
          <w:szCs w:val="24"/>
          <w:lang w:val="en-US"/>
        </w:rPr>
        <w:t>S</w:t>
      </w:r>
      <w:r w:rsidR="001F152B" w:rsidRPr="00105C49">
        <w:rPr>
          <w:color w:val="auto"/>
          <w:sz w:val="24"/>
          <w:szCs w:val="24"/>
          <w:lang w:val="en-US"/>
        </w:rPr>
        <w:t>upplementary data 1.</w:t>
      </w:r>
    </w:p>
    <w:p w14:paraId="2CF0DE05" w14:textId="77777777" w:rsidR="000E071E" w:rsidRPr="00105C49" w:rsidRDefault="000E071E" w:rsidP="006C2244">
      <w:pPr>
        <w:spacing w:line="480" w:lineRule="auto"/>
        <w:rPr>
          <w:rFonts w:ascii="Arial" w:hAnsi="Arial" w:cs="Arial"/>
          <w:b/>
          <w:lang w:val="en-US"/>
        </w:rPr>
      </w:pPr>
    </w:p>
    <w:p w14:paraId="7ED19DBB" w14:textId="3D4EC62F" w:rsidR="004F3773" w:rsidRPr="00105C49" w:rsidRDefault="004F3773" w:rsidP="006C2244">
      <w:pPr>
        <w:spacing w:line="480" w:lineRule="auto"/>
        <w:rPr>
          <w:rFonts w:ascii="Arial" w:hAnsi="Arial" w:cs="Arial"/>
          <w:b/>
          <w:lang w:val="en-US"/>
        </w:rPr>
      </w:pPr>
      <w:r w:rsidRPr="00105C49">
        <w:rPr>
          <w:rFonts w:ascii="Arial" w:hAnsi="Arial" w:cs="Arial"/>
          <w:b/>
          <w:highlight w:val="yellow"/>
          <w:lang w:val="en-US"/>
        </w:rPr>
        <w:t>Table</w:t>
      </w:r>
      <w:r w:rsidR="003B0BE7">
        <w:rPr>
          <w:rFonts w:ascii="Arial" w:hAnsi="Arial" w:cs="Arial"/>
          <w:b/>
          <w:highlight w:val="yellow"/>
          <w:lang w:val="en-US"/>
        </w:rPr>
        <w:t>s</w:t>
      </w:r>
      <w:r w:rsidRPr="00105C49">
        <w:rPr>
          <w:rFonts w:ascii="Arial" w:hAnsi="Arial" w:cs="Arial"/>
          <w:b/>
          <w:highlight w:val="yellow"/>
          <w:lang w:val="en-US"/>
        </w:rPr>
        <w:t xml:space="preserve"> 1</w:t>
      </w:r>
      <w:r w:rsidR="003B0BE7">
        <w:rPr>
          <w:rFonts w:ascii="Arial" w:hAnsi="Arial" w:cs="Arial"/>
          <w:b/>
          <w:highlight w:val="yellow"/>
          <w:lang w:val="en-US"/>
        </w:rPr>
        <w:t>a and 1b</w:t>
      </w:r>
      <w:r w:rsidRPr="00105C49">
        <w:rPr>
          <w:rFonts w:ascii="Arial" w:hAnsi="Arial" w:cs="Arial"/>
          <w:b/>
          <w:highlight w:val="yellow"/>
          <w:lang w:val="en-US"/>
        </w:rPr>
        <w:t xml:space="preserve"> here</w:t>
      </w:r>
    </w:p>
    <w:p w14:paraId="05662E88" w14:textId="77777777" w:rsidR="004F3773" w:rsidRPr="00105C49" w:rsidRDefault="004F3773" w:rsidP="006C2244">
      <w:pPr>
        <w:spacing w:line="480" w:lineRule="auto"/>
        <w:rPr>
          <w:rFonts w:ascii="Arial" w:hAnsi="Arial" w:cs="Arial"/>
          <w:b/>
          <w:lang w:val="en-US"/>
        </w:rPr>
      </w:pPr>
    </w:p>
    <w:p w14:paraId="2F823E4F" w14:textId="5328BF67" w:rsidR="000E071E" w:rsidRPr="00105C49" w:rsidRDefault="000E071E" w:rsidP="006C2244">
      <w:pPr>
        <w:spacing w:line="480" w:lineRule="auto"/>
        <w:rPr>
          <w:rFonts w:ascii="Arial" w:hAnsi="Arial" w:cs="Arial"/>
          <w:highlight w:val="yellow"/>
        </w:rPr>
      </w:pPr>
      <w:r w:rsidRPr="00105C49">
        <w:rPr>
          <w:rFonts w:ascii="Arial" w:hAnsi="Arial" w:cs="Arial"/>
          <w:b/>
          <w:lang w:val="en-US"/>
        </w:rPr>
        <w:t>Neurodevelopment</w:t>
      </w:r>
    </w:p>
    <w:p w14:paraId="517C1DBF" w14:textId="6857CD43" w:rsidR="000E071E"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Of the 22 patients, all had DD and 19 </w:t>
      </w:r>
      <w:proofErr w:type="gramStart"/>
      <w:r w:rsidRPr="00105C49">
        <w:rPr>
          <w:color w:val="auto"/>
          <w:sz w:val="24"/>
          <w:szCs w:val="24"/>
          <w:lang w:val="en-US"/>
        </w:rPr>
        <w:t>had also</w:t>
      </w:r>
      <w:proofErr w:type="gramEnd"/>
      <w:r w:rsidRPr="00105C49">
        <w:rPr>
          <w:color w:val="auto"/>
          <w:sz w:val="24"/>
          <w:szCs w:val="24"/>
          <w:lang w:val="en-US"/>
        </w:rPr>
        <w:t xml:space="preserve"> been assessed as having ID. DD was mild in 3/22 (13.6%), moderate in 5/22 (22.7%), moderate-severe in 3/22 (13.6%) and severe in 6/22 (27.3%) patients. In 2/22 (9.1%) patients profound DD was noted. Global developmental delay (GDD) was described in </w:t>
      </w:r>
      <w:r w:rsidR="00727A7B">
        <w:rPr>
          <w:color w:val="auto"/>
          <w:sz w:val="24"/>
          <w:szCs w:val="24"/>
          <w:lang w:val="en-US"/>
        </w:rPr>
        <w:t>3</w:t>
      </w:r>
      <w:r w:rsidRPr="00105C49">
        <w:rPr>
          <w:color w:val="auto"/>
          <w:sz w:val="24"/>
          <w:szCs w:val="24"/>
          <w:lang w:val="en-US"/>
        </w:rPr>
        <w:t>/22 (1</w:t>
      </w:r>
      <w:r w:rsidR="00727A7B">
        <w:rPr>
          <w:color w:val="auto"/>
          <w:sz w:val="24"/>
          <w:szCs w:val="24"/>
          <w:lang w:val="en-US"/>
        </w:rPr>
        <w:t>3</w:t>
      </w:r>
      <w:r w:rsidRPr="00105C49">
        <w:rPr>
          <w:color w:val="auto"/>
          <w:sz w:val="24"/>
          <w:szCs w:val="24"/>
          <w:lang w:val="en-US"/>
        </w:rPr>
        <w:t>.</w:t>
      </w:r>
      <w:r w:rsidR="00727A7B">
        <w:rPr>
          <w:color w:val="auto"/>
          <w:sz w:val="24"/>
          <w:szCs w:val="24"/>
          <w:lang w:val="en-US"/>
        </w:rPr>
        <w:t>6</w:t>
      </w:r>
      <w:r w:rsidRPr="00105C49">
        <w:rPr>
          <w:color w:val="auto"/>
          <w:sz w:val="24"/>
          <w:szCs w:val="24"/>
          <w:lang w:val="en-US"/>
        </w:rPr>
        <w:t xml:space="preserve">%) patients without further </w:t>
      </w:r>
      <w:r w:rsidR="00682BEB" w:rsidRPr="00105C49">
        <w:rPr>
          <w:color w:val="auto"/>
          <w:sz w:val="24"/>
          <w:szCs w:val="24"/>
          <w:lang w:val="en-US"/>
        </w:rPr>
        <w:t>qualification</w:t>
      </w:r>
      <w:r w:rsidRPr="00105C49">
        <w:rPr>
          <w:color w:val="auto"/>
          <w:sz w:val="24"/>
          <w:szCs w:val="24"/>
          <w:lang w:val="en-US"/>
        </w:rPr>
        <w:t xml:space="preserve">. ID was moderate in </w:t>
      </w:r>
      <w:r w:rsidR="00E6692B">
        <w:rPr>
          <w:color w:val="auto"/>
          <w:sz w:val="24"/>
          <w:szCs w:val="24"/>
          <w:lang w:val="en-US"/>
        </w:rPr>
        <w:t>5</w:t>
      </w:r>
      <w:r w:rsidRPr="00105C49">
        <w:rPr>
          <w:color w:val="auto"/>
          <w:sz w:val="24"/>
          <w:szCs w:val="24"/>
          <w:lang w:val="en-US"/>
        </w:rPr>
        <w:t>/22 (</w:t>
      </w:r>
      <w:r w:rsidR="00E6692B">
        <w:rPr>
          <w:color w:val="auto"/>
          <w:sz w:val="24"/>
          <w:szCs w:val="24"/>
          <w:lang w:val="en-US"/>
        </w:rPr>
        <w:t>22.3</w:t>
      </w:r>
      <w:r w:rsidRPr="00105C49">
        <w:rPr>
          <w:color w:val="auto"/>
          <w:sz w:val="24"/>
          <w:szCs w:val="24"/>
          <w:lang w:val="en-US"/>
        </w:rPr>
        <w:t xml:space="preserve">%), moderate-severe in 3/22 (13.6%), severe in 4/22 (18.2%) and profound in 4/22 (18.2%) patients. 2 patients were noted to have ID without further </w:t>
      </w:r>
      <w:r w:rsidR="00682BEB" w:rsidRPr="00105C49">
        <w:rPr>
          <w:color w:val="auto"/>
          <w:sz w:val="24"/>
          <w:szCs w:val="24"/>
          <w:lang w:val="en-US"/>
        </w:rPr>
        <w:t>qualification</w:t>
      </w:r>
      <w:r w:rsidRPr="00105C49">
        <w:rPr>
          <w:color w:val="auto"/>
          <w:sz w:val="24"/>
          <w:szCs w:val="24"/>
          <w:lang w:val="en-US"/>
        </w:rPr>
        <w:t xml:space="preserve">. </w:t>
      </w:r>
    </w:p>
    <w:p w14:paraId="132BB605" w14:textId="3B30CA02" w:rsidR="001F152B"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Seizures were present </w:t>
      </w:r>
      <w:r w:rsidRPr="00136B25">
        <w:rPr>
          <w:color w:val="auto"/>
          <w:sz w:val="24"/>
          <w:szCs w:val="24"/>
          <w:lang w:val="en-US"/>
        </w:rPr>
        <w:t>in 1</w:t>
      </w:r>
      <w:r w:rsidR="00727A7B" w:rsidRPr="00727A7B">
        <w:rPr>
          <w:color w:val="auto"/>
          <w:sz w:val="24"/>
          <w:szCs w:val="24"/>
          <w:lang w:val="en-US"/>
        </w:rPr>
        <w:t>5</w:t>
      </w:r>
      <w:r w:rsidRPr="00136B25">
        <w:rPr>
          <w:color w:val="auto"/>
          <w:sz w:val="24"/>
          <w:szCs w:val="24"/>
          <w:lang w:val="en-US"/>
        </w:rPr>
        <w:t>/22 (</w:t>
      </w:r>
      <w:r w:rsidR="00727A7B">
        <w:rPr>
          <w:color w:val="auto"/>
          <w:sz w:val="24"/>
          <w:szCs w:val="24"/>
          <w:lang w:val="en-US"/>
        </w:rPr>
        <w:t>68.2</w:t>
      </w:r>
      <w:r w:rsidRPr="00136B25">
        <w:rPr>
          <w:color w:val="auto"/>
          <w:sz w:val="24"/>
          <w:szCs w:val="24"/>
          <w:lang w:val="en-US"/>
        </w:rPr>
        <w:t>%)</w:t>
      </w:r>
      <w:r w:rsidRPr="00105C49">
        <w:rPr>
          <w:color w:val="auto"/>
          <w:sz w:val="24"/>
          <w:szCs w:val="24"/>
          <w:lang w:val="en-US"/>
        </w:rPr>
        <w:t xml:space="preserve"> patients, of </w:t>
      </w:r>
      <w:r w:rsidRPr="00136B25">
        <w:rPr>
          <w:color w:val="auto"/>
          <w:sz w:val="24"/>
          <w:szCs w:val="24"/>
          <w:lang w:val="en-US"/>
        </w:rPr>
        <w:t xml:space="preserve">which </w:t>
      </w:r>
      <w:r w:rsidR="00136B25" w:rsidRPr="00FB0994">
        <w:rPr>
          <w:color w:val="auto"/>
          <w:sz w:val="24"/>
          <w:szCs w:val="24"/>
          <w:lang w:val="en-US"/>
        </w:rPr>
        <w:t>10</w:t>
      </w:r>
      <w:r w:rsidRPr="00136B25">
        <w:rPr>
          <w:color w:val="auto"/>
          <w:sz w:val="24"/>
          <w:szCs w:val="24"/>
          <w:lang w:val="en-US"/>
        </w:rPr>
        <w:t>/22</w:t>
      </w:r>
      <w:r w:rsidRPr="00105C49">
        <w:rPr>
          <w:color w:val="auto"/>
          <w:sz w:val="24"/>
          <w:szCs w:val="24"/>
          <w:lang w:val="en-US"/>
        </w:rPr>
        <w:t xml:space="preserve"> had onset of seizures within the first 3 months after birth, and </w:t>
      </w:r>
      <w:proofErr w:type="gramStart"/>
      <w:r w:rsidRPr="00105C49">
        <w:rPr>
          <w:color w:val="auto"/>
          <w:sz w:val="24"/>
          <w:szCs w:val="24"/>
          <w:lang w:val="en-US"/>
        </w:rPr>
        <w:t>4</w:t>
      </w:r>
      <w:proofErr w:type="gramEnd"/>
      <w:r w:rsidRPr="00105C49">
        <w:rPr>
          <w:color w:val="auto"/>
          <w:sz w:val="24"/>
          <w:szCs w:val="24"/>
          <w:lang w:val="en-US"/>
        </w:rPr>
        <w:t xml:space="preserve"> had seizure onset in childhood. </w:t>
      </w:r>
      <w:r w:rsidRPr="00FB0994">
        <w:rPr>
          <w:color w:val="auto"/>
          <w:sz w:val="24"/>
          <w:szCs w:val="24"/>
          <w:lang w:val="en-US"/>
        </w:rPr>
        <w:t xml:space="preserve">In </w:t>
      </w:r>
      <w:r w:rsidR="00136B25" w:rsidRPr="00FB0994">
        <w:rPr>
          <w:color w:val="auto"/>
          <w:sz w:val="24"/>
          <w:szCs w:val="24"/>
          <w:lang w:val="en-US"/>
        </w:rPr>
        <w:t xml:space="preserve">patient </w:t>
      </w:r>
      <w:proofErr w:type="gramStart"/>
      <w:r w:rsidR="00D4232F" w:rsidRPr="00D4232F">
        <w:rPr>
          <w:color w:val="auto"/>
          <w:sz w:val="24"/>
          <w:szCs w:val="24"/>
          <w:lang w:val="en-US"/>
        </w:rPr>
        <w:t>7</w:t>
      </w:r>
      <w:proofErr w:type="gramEnd"/>
      <w:r w:rsidRPr="00FB0994">
        <w:rPr>
          <w:color w:val="auto"/>
          <w:sz w:val="24"/>
          <w:szCs w:val="24"/>
          <w:lang w:val="en-US"/>
        </w:rPr>
        <w:t xml:space="preserve">, </w:t>
      </w:r>
      <w:r w:rsidR="00136B25" w:rsidRPr="00FB0994">
        <w:rPr>
          <w:color w:val="auto"/>
          <w:sz w:val="24"/>
          <w:szCs w:val="24"/>
          <w:lang w:val="en-US"/>
        </w:rPr>
        <w:t xml:space="preserve">the </w:t>
      </w:r>
      <w:r w:rsidR="00FA4E54">
        <w:rPr>
          <w:color w:val="auto"/>
          <w:sz w:val="24"/>
          <w:szCs w:val="24"/>
          <w:lang w:val="en-US"/>
        </w:rPr>
        <w:t xml:space="preserve">seizures were reported at a very young age </w:t>
      </w:r>
      <w:r w:rsidR="00F24830">
        <w:rPr>
          <w:color w:val="auto"/>
          <w:sz w:val="24"/>
          <w:szCs w:val="24"/>
          <w:lang w:val="en-US"/>
        </w:rPr>
        <w:t xml:space="preserve">but the </w:t>
      </w:r>
      <w:r w:rsidRPr="00FB0994">
        <w:rPr>
          <w:color w:val="auto"/>
          <w:sz w:val="24"/>
          <w:szCs w:val="24"/>
          <w:lang w:val="en-US"/>
        </w:rPr>
        <w:t>exact age of seizure onset was not known</w:t>
      </w:r>
      <w:r w:rsidR="00F24830">
        <w:rPr>
          <w:color w:val="auto"/>
          <w:sz w:val="24"/>
          <w:szCs w:val="24"/>
          <w:lang w:val="en-US"/>
        </w:rPr>
        <w:t>.</w:t>
      </w:r>
      <w:r w:rsidRPr="00105C49">
        <w:rPr>
          <w:color w:val="auto"/>
          <w:sz w:val="24"/>
          <w:szCs w:val="24"/>
          <w:lang w:val="en-US"/>
        </w:rPr>
        <w:t xml:space="preserve"> </w:t>
      </w:r>
    </w:p>
    <w:p w14:paraId="218E163C" w14:textId="465759C0" w:rsidR="000E071E"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None of the patients in this cohort </w:t>
      </w:r>
      <w:proofErr w:type="gramStart"/>
      <w:r w:rsidRPr="00105C49">
        <w:rPr>
          <w:color w:val="auto"/>
          <w:sz w:val="24"/>
          <w:szCs w:val="24"/>
          <w:lang w:val="en-US"/>
        </w:rPr>
        <w:t>were</w:t>
      </w:r>
      <w:proofErr w:type="gramEnd"/>
      <w:r w:rsidRPr="00105C49">
        <w:rPr>
          <w:color w:val="auto"/>
          <w:sz w:val="24"/>
          <w:szCs w:val="24"/>
          <w:lang w:val="en-US"/>
        </w:rPr>
        <w:t xml:space="preserve"> identified as having EA. </w:t>
      </w:r>
      <w:r w:rsidR="00AB074F" w:rsidRPr="00105C49">
        <w:rPr>
          <w:color w:val="auto"/>
          <w:sz w:val="24"/>
          <w:szCs w:val="24"/>
          <w:lang w:val="en-US"/>
        </w:rPr>
        <w:t xml:space="preserve">In </w:t>
      </w:r>
      <w:r w:rsidRPr="00105C49">
        <w:rPr>
          <w:color w:val="auto"/>
          <w:sz w:val="24"/>
          <w:szCs w:val="24"/>
          <w:lang w:val="en-US"/>
        </w:rPr>
        <w:t xml:space="preserve">4/22 </w:t>
      </w:r>
      <w:r w:rsidR="00AB074F" w:rsidRPr="00105C49">
        <w:rPr>
          <w:color w:val="auto"/>
          <w:sz w:val="24"/>
          <w:szCs w:val="24"/>
          <w:lang w:val="en-US"/>
        </w:rPr>
        <w:t xml:space="preserve">patients </w:t>
      </w:r>
      <w:r w:rsidRPr="00105C49">
        <w:rPr>
          <w:color w:val="auto"/>
          <w:sz w:val="24"/>
          <w:szCs w:val="24"/>
          <w:lang w:val="en-US"/>
        </w:rPr>
        <w:t>stereotypy</w:t>
      </w:r>
      <w:r w:rsidR="00AB074F" w:rsidRPr="00105C49">
        <w:rPr>
          <w:color w:val="auto"/>
          <w:sz w:val="24"/>
          <w:szCs w:val="24"/>
          <w:lang w:val="en-US"/>
        </w:rPr>
        <w:t xml:space="preserve"> </w:t>
      </w:r>
      <w:proofErr w:type="gramStart"/>
      <w:r w:rsidR="00AB074F" w:rsidRPr="00105C49">
        <w:rPr>
          <w:color w:val="auto"/>
          <w:sz w:val="24"/>
          <w:szCs w:val="24"/>
          <w:lang w:val="en-US"/>
        </w:rPr>
        <w:t xml:space="preserve">was </w:t>
      </w:r>
      <w:r w:rsidR="00FC1F67">
        <w:rPr>
          <w:color w:val="auto"/>
          <w:sz w:val="24"/>
          <w:szCs w:val="24"/>
          <w:lang w:val="en-US"/>
        </w:rPr>
        <w:t>noted</w:t>
      </w:r>
      <w:proofErr w:type="gramEnd"/>
      <w:r w:rsidRPr="00105C49">
        <w:rPr>
          <w:color w:val="auto"/>
          <w:sz w:val="24"/>
          <w:szCs w:val="24"/>
          <w:lang w:val="en-US"/>
        </w:rPr>
        <w:t xml:space="preserve">, </w:t>
      </w:r>
      <w:r w:rsidR="00FC1F67">
        <w:rPr>
          <w:color w:val="auto"/>
          <w:sz w:val="24"/>
          <w:szCs w:val="24"/>
          <w:lang w:val="en-US"/>
        </w:rPr>
        <w:t>another patient</w:t>
      </w:r>
      <w:r w:rsidR="00FC1F67" w:rsidRPr="00105C49">
        <w:rPr>
          <w:color w:val="auto"/>
          <w:sz w:val="24"/>
          <w:szCs w:val="24"/>
          <w:lang w:val="en-US"/>
        </w:rPr>
        <w:t xml:space="preserve"> </w:t>
      </w:r>
      <w:r w:rsidRPr="00105C49">
        <w:rPr>
          <w:color w:val="auto"/>
          <w:sz w:val="24"/>
          <w:szCs w:val="24"/>
          <w:lang w:val="en-US"/>
        </w:rPr>
        <w:t xml:space="preserve">had </w:t>
      </w:r>
      <w:proofErr w:type="spellStart"/>
      <w:r w:rsidRPr="00105C49">
        <w:rPr>
          <w:color w:val="auto"/>
          <w:sz w:val="24"/>
          <w:szCs w:val="24"/>
          <w:lang w:val="en-US"/>
        </w:rPr>
        <w:t>choreiform</w:t>
      </w:r>
      <w:proofErr w:type="spellEnd"/>
      <w:r w:rsidRPr="00105C49">
        <w:rPr>
          <w:color w:val="auto"/>
          <w:sz w:val="24"/>
          <w:szCs w:val="24"/>
          <w:lang w:val="en-US"/>
        </w:rPr>
        <w:t xml:space="preserve"> movements and another dystonic movements. </w:t>
      </w:r>
    </w:p>
    <w:p w14:paraId="68C93153" w14:textId="23D91429" w:rsidR="002909D4" w:rsidRPr="00105C49" w:rsidRDefault="000E071E" w:rsidP="006C2244">
      <w:pPr>
        <w:pStyle w:val="Normal1"/>
        <w:spacing w:line="480" w:lineRule="auto"/>
        <w:rPr>
          <w:color w:val="auto"/>
          <w:sz w:val="24"/>
          <w:szCs w:val="24"/>
          <w:lang w:val="en-US"/>
        </w:rPr>
      </w:pPr>
      <w:r w:rsidRPr="00105C49">
        <w:rPr>
          <w:color w:val="auto"/>
          <w:sz w:val="24"/>
          <w:szCs w:val="24"/>
          <w:lang w:val="en-US"/>
        </w:rPr>
        <w:lastRenderedPageBreak/>
        <w:t xml:space="preserve">In 8/22 patients abnormalities of tone were noted; increased tone in 4/22 (18.2%) and decreased or variable tone in 4/22 (18.2%). 4/22 (18.2%) had diagnoses of ASD, and an additional </w:t>
      </w:r>
      <w:proofErr w:type="gramStart"/>
      <w:r w:rsidRPr="00105C49">
        <w:rPr>
          <w:color w:val="auto"/>
          <w:sz w:val="24"/>
          <w:szCs w:val="24"/>
          <w:lang w:val="en-US"/>
        </w:rPr>
        <w:t>2</w:t>
      </w:r>
      <w:proofErr w:type="gramEnd"/>
      <w:r w:rsidRPr="00105C49">
        <w:rPr>
          <w:color w:val="auto"/>
          <w:sz w:val="24"/>
          <w:szCs w:val="24"/>
          <w:lang w:val="en-US"/>
        </w:rPr>
        <w:t xml:space="preserve"> cases displayed autistic features</w:t>
      </w:r>
      <w:r w:rsidR="00420609">
        <w:rPr>
          <w:color w:val="auto"/>
          <w:sz w:val="24"/>
          <w:szCs w:val="24"/>
          <w:lang w:val="en-US"/>
        </w:rPr>
        <w:t>.</w:t>
      </w:r>
      <w:r w:rsidR="00AB074F" w:rsidRPr="00105C49">
        <w:rPr>
          <w:color w:val="auto"/>
          <w:sz w:val="24"/>
          <w:szCs w:val="24"/>
          <w:lang w:val="en-US"/>
        </w:rPr>
        <w:t xml:space="preserve"> One patient had a diagnosis of attention deficit disorder (ADD).</w:t>
      </w:r>
    </w:p>
    <w:p w14:paraId="54AE078D" w14:textId="6A123BE5" w:rsidR="000E071E" w:rsidRPr="00105C49" w:rsidRDefault="00D41627" w:rsidP="006C2244">
      <w:pPr>
        <w:pStyle w:val="Normal1"/>
        <w:spacing w:line="480" w:lineRule="auto"/>
        <w:rPr>
          <w:sz w:val="24"/>
          <w:szCs w:val="24"/>
          <w:lang w:val="en-US"/>
        </w:rPr>
      </w:pPr>
      <w:r w:rsidRPr="00105C49">
        <w:rPr>
          <w:sz w:val="24"/>
          <w:szCs w:val="24"/>
          <w:lang w:val="en-US"/>
        </w:rPr>
        <w:t>One patient had a right hemi-paresis without any identifiable anomaly on MRI</w:t>
      </w:r>
      <w:r w:rsidR="002909D4" w:rsidRPr="00105C49">
        <w:rPr>
          <w:sz w:val="24"/>
          <w:szCs w:val="24"/>
          <w:lang w:val="en-US"/>
        </w:rPr>
        <w:t xml:space="preserve">, which developed after an episode of status epilepticus as an infant. The onset of seizures predated </w:t>
      </w:r>
      <w:r w:rsidR="007A77B2">
        <w:rPr>
          <w:sz w:val="24"/>
          <w:szCs w:val="24"/>
          <w:lang w:val="en-US"/>
        </w:rPr>
        <w:t>the hemi-paresis</w:t>
      </w:r>
      <w:r w:rsidR="002909D4" w:rsidRPr="00105C49">
        <w:rPr>
          <w:sz w:val="24"/>
          <w:szCs w:val="24"/>
          <w:lang w:val="en-US"/>
        </w:rPr>
        <w:t xml:space="preserve">. </w:t>
      </w:r>
    </w:p>
    <w:p w14:paraId="35D63EB0" w14:textId="77777777" w:rsidR="000E071E" w:rsidRPr="00105C49" w:rsidRDefault="000E071E" w:rsidP="006C2244">
      <w:pPr>
        <w:pStyle w:val="Normal1"/>
        <w:spacing w:line="480" w:lineRule="auto"/>
        <w:rPr>
          <w:b/>
          <w:sz w:val="24"/>
          <w:szCs w:val="24"/>
          <w:lang w:val="en-US"/>
        </w:rPr>
      </w:pPr>
    </w:p>
    <w:p w14:paraId="04F56D66" w14:textId="0B02D152" w:rsidR="000E071E" w:rsidRPr="00105C49" w:rsidRDefault="000E071E" w:rsidP="006C2244">
      <w:pPr>
        <w:pStyle w:val="Normal1"/>
        <w:spacing w:line="480" w:lineRule="auto"/>
        <w:rPr>
          <w:b/>
          <w:color w:val="auto"/>
          <w:sz w:val="24"/>
          <w:szCs w:val="24"/>
          <w:lang w:val="en-US"/>
        </w:rPr>
      </w:pPr>
      <w:r w:rsidRPr="00105C49">
        <w:rPr>
          <w:b/>
          <w:color w:val="auto"/>
          <w:sz w:val="24"/>
          <w:szCs w:val="24"/>
          <w:lang w:val="en-US"/>
        </w:rPr>
        <w:t>Imaging</w:t>
      </w:r>
    </w:p>
    <w:p w14:paraId="5672936E" w14:textId="7B9F9088" w:rsidR="000E071E" w:rsidRPr="00105C49" w:rsidRDefault="000E071E" w:rsidP="006C2244">
      <w:pPr>
        <w:spacing w:line="480" w:lineRule="auto"/>
        <w:rPr>
          <w:rFonts w:ascii="Arial" w:hAnsi="Arial" w:cs="Arial"/>
        </w:rPr>
      </w:pPr>
      <w:r w:rsidRPr="00105C49">
        <w:rPr>
          <w:rFonts w:ascii="Arial" w:hAnsi="Arial" w:cs="Arial"/>
          <w:lang w:val="en-US"/>
        </w:rPr>
        <w:t xml:space="preserve">Magnetic resonance imaging (MRI) of the brain reports were available in 12/22 patients. This was normal in 6/12 (50%). In cases where there were abnormal findings, these included cerebral atrophy or ‘thinning of the brain’ in </w:t>
      </w:r>
      <w:r w:rsidRPr="00F95100">
        <w:rPr>
          <w:rFonts w:ascii="Arial" w:hAnsi="Arial" w:cs="Arial"/>
          <w:lang w:val="en-US"/>
        </w:rPr>
        <w:t>2/12</w:t>
      </w:r>
      <w:r w:rsidRPr="00105C49">
        <w:rPr>
          <w:rFonts w:ascii="Arial" w:hAnsi="Arial" w:cs="Arial"/>
          <w:lang w:val="en-US"/>
        </w:rPr>
        <w:t xml:space="preserve"> (16.7%) and hypoplasia of the corpus callosum in 3/12 (25%) patients. </w:t>
      </w:r>
    </w:p>
    <w:p w14:paraId="048ED7B4" w14:textId="77777777" w:rsidR="000E071E" w:rsidRPr="00105C49" w:rsidRDefault="000E071E" w:rsidP="006C2244">
      <w:pPr>
        <w:pStyle w:val="Normal1"/>
        <w:spacing w:line="480" w:lineRule="auto"/>
        <w:rPr>
          <w:b/>
          <w:color w:val="auto"/>
          <w:sz w:val="24"/>
          <w:szCs w:val="24"/>
          <w:lang w:val="en-US"/>
        </w:rPr>
      </w:pPr>
    </w:p>
    <w:p w14:paraId="76F5C7B7" w14:textId="51FF7B94" w:rsidR="000E071E" w:rsidRPr="00105C49" w:rsidRDefault="000E071E" w:rsidP="006C2244">
      <w:pPr>
        <w:pStyle w:val="Normal1"/>
        <w:spacing w:line="480" w:lineRule="auto"/>
        <w:rPr>
          <w:b/>
          <w:color w:val="auto"/>
          <w:sz w:val="24"/>
          <w:szCs w:val="24"/>
          <w:lang w:val="en-US"/>
        </w:rPr>
      </w:pPr>
      <w:r w:rsidRPr="00105C49">
        <w:rPr>
          <w:b/>
          <w:color w:val="auto"/>
          <w:sz w:val="24"/>
          <w:szCs w:val="24"/>
          <w:lang w:val="en-US"/>
        </w:rPr>
        <w:t>Growth</w:t>
      </w:r>
    </w:p>
    <w:p w14:paraId="49728C66" w14:textId="477DBBBB" w:rsidR="000E071E" w:rsidRPr="00105C49" w:rsidRDefault="000E071E" w:rsidP="006C2244">
      <w:pPr>
        <w:pStyle w:val="Normal1"/>
        <w:spacing w:line="480" w:lineRule="auto"/>
        <w:rPr>
          <w:b/>
          <w:color w:val="auto"/>
          <w:sz w:val="24"/>
          <w:szCs w:val="24"/>
          <w:lang w:val="en-US"/>
        </w:rPr>
      </w:pPr>
      <w:r w:rsidRPr="00105C49">
        <w:rPr>
          <w:color w:val="auto"/>
          <w:sz w:val="24"/>
          <w:szCs w:val="24"/>
          <w:lang w:val="en-US"/>
        </w:rPr>
        <w:t>Mean height and weight were on the 39.4</w:t>
      </w:r>
      <w:r w:rsidRPr="00105C49">
        <w:rPr>
          <w:color w:val="auto"/>
          <w:sz w:val="24"/>
          <w:szCs w:val="24"/>
          <w:vertAlign w:val="superscript"/>
          <w:lang w:val="en-US"/>
        </w:rPr>
        <w:t>th</w:t>
      </w:r>
      <w:r w:rsidRPr="00105C49">
        <w:rPr>
          <w:color w:val="auto"/>
          <w:sz w:val="24"/>
          <w:szCs w:val="24"/>
          <w:lang w:val="en-US"/>
        </w:rPr>
        <w:t xml:space="preserve"> percentile (-0.24 standard deviation</w:t>
      </w:r>
      <w:r w:rsidR="00E93E3F" w:rsidRPr="00105C49">
        <w:rPr>
          <w:color w:val="auto"/>
          <w:sz w:val="24"/>
          <w:szCs w:val="24"/>
          <w:lang w:val="en-US"/>
        </w:rPr>
        <w:t xml:space="preserve"> score (SDs)</w:t>
      </w:r>
      <w:r w:rsidRPr="00105C49">
        <w:rPr>
          <w:color w:val="auto"/>
          <w:sz w:val="24"/>
          <w:szCs w:val="24"/>
          <w:lang w:val="en-US"/>
        </w:rPr>
        <w:t>) and 49.4</w:t>
      </w:r>
      <w:r w:rsidRPr="00105C49">
        <w:rPr>
          <w:color w:val="auto"/>
          <w:sz w:val="24"/>
          <w:szCs w:val="24"/>
          <w:vertAlign w:val="superscript"/>
          <w:lang w:val="en-US"/>
        </w:rPr>
        <w:t xml:space="preserve">th </w:t>
      </w:r>
      <w:r w:rsidRPr="00105C49">
        <w:rPr>
          <w:color w:val="auto"/>
          <w:sz w:val="24"/>
          <w:szCs w:val="24"/>
          <w:lang w:val="en-US"/>
        </w:rPr>
        <w:t xml:space="preserve">percentile (0.15 </w:t>
      </w:r>
      <w:r w:rsidR="00E93E3F" w:rsidRPr="00105C49">
        <w:rPr>
          <w:color w:val="auto"/>
          <w:sz w:val="24"/>
          <w:szCs w:val="24"/>
          <w:lang w:val="en-US"/>
        </w:rPr>
        <w:t>SDs</w:t>
      </w:r>
      <w:r w:rsidRPr="00105C49">
        <w:rPr>
          <w:color w:val="auto"/>
          <w:sz w:val="24"/>
          <w:szCs w:val="24"/>
          <w:lang w:val="en-US"/>
        </w:rPr>
        <w:t xml:space="preserve">) respectively. Mean </w:t>
      </w:r>
      <w:proofErr w:type="spellStart"/>
      <w:r w:rsidRPr="00105C49">
        <w:rPr>
          <w:color w:val="auto"/>
          <w:sz w:val="24"/>
          <w:szCs w:val="24"/>
          <w:lang w:val="en-US"/>
        </w:rPr>
        <w:t>occipito</w:t>
      </w:r>
      <w:proofErr w:type="spellEnd"/>
      <w:r w:rsidRPr="00105C49">
        <w:rPr>
          <w:color w:val="auto"/>
          <w:sz w:val="24"/>
          <w:szCs w:val="24"/>
          <w:lang w:val="en-US"/>
        </w:rPr>
        <w:t>-frontal circumference was 35.5</w:t>
      </w:r>
      <w:r w:rsidRPr="00105C49">
        <w:rPr>
          <w:color w:val="auto"/>
          <w:sz w:val="24"/>
          <w:szCs w:val="24"/>
          <w:vertAlign w:val="superscript"/>
          <w:lang w:val="en-US"/>
        </w:rPr>
        <w:t>th</w:t>
      </w:r>
      <w:r w:rsidRPr="00105C49">
        <w:rPr>
          <w:color w:val="auto"/>
          <w:sz w:val="24"/>
          <w:szCs w:val="24"/>
          <w:lang w:val="en-US"/>
        </w:rPr>
        <w:t xml:space="preserve"> percentile (-1.2 </w:t>
      </w:r>
      <w:r w:rsidR="00E93E3F" w:rsidRPr="00105C49">
        <w:rPr>
          <w:color w:val="auto"/>
          <w:sz w:val="24"/>
          <w:szCs w:val="24"/>
          <w:lang w:val="en-US"/>
        </w:rPr>
        <w:t>SDs</w:t>
      </w:r>
      <w:r w:rsidRPr="00105C49">
        <w:rPr>
          <w:color w:val="auto"/>
          <w:sz w:val="24"/>
          <w:szCs w:val="24"/>
          <w:lang w:val="en-US"/>
        </w:rPr>
        <w:t>), with a range from &lt;0.4</w:t>
      </w:r>
      <w:r w:rsidRPr="00105C49">
        <w:rPr>
          <w:color w:val="auto"/>
          <w:sz w:val="24"/>
          <w:szCs w:val="24"/>
          <w:vertAlign w:val="superscript"/>
          <w:lang w:val="en-US"/>
        </w:rPr>
        <w:t>th</w:t>
      </w:r>
      <w:r w:rsidRPr="00105C49">
        <w:rPr>
          <w:color w:val="auto"/>
          <w:sz w:val="24"/>
          <w:szCs w:val="24"/>
          <w:lang w:val="en-US"/>
        </w:rPr>
        <w:t xml:space="preserve"> percentile to 92</w:t>
      </w:r>
      <w:r w:rsidRPr="00105C49">
        <w:rPr>
          <w:color w:val="auto"/>
          <w:sz w:val="24"/>
          <w:szCs w:val="24"/>
          <w:vertAlign w:val="superscript"/>
          <w:lang w:val="en-US"/>
        </w:rPr>
        <w:t>nd</w:t>
      </w:r>
      <w:r w:rsidRPr="00105C49">
        <w:rPr>
          <w:color w:val="auto"/>
          <w:sz w:val="24"/>
          <w:szCs w:val="24"/>
          <w:lang w:val="en-US"/>
        </w:rPr>
        <w:t xml:space="preserve"> percentile (-6.76 to 1.43 </w:t>
      </w:r>
      <w:r w:rsidR="00E93E3F" w:rsidRPr="00105C49">
        <w:rPr>
          <w:color w:val="auto"/>
          <w:sz w:val="24"/>
          <w:szCs w:val="24"/>
          <w:lang w:val="en-US"/>
        </w:rPr>
        <w:t>SDs</w:t>
      </w:r>
      <w:r w:rsidRPr="00105C49">
        <w:rPr>
          <w:color w:val="auto"/>
          <w:sz w:val="24"/>
          <w:szCs w:val="24"/>
          <w:lang w:val="en-US"/>
        </w:rPr>
        <w:t xml:space="preserve">). </w:t>
      </w:r>
      <w:proofErr w:type="gramStart"/>
      <w:r w:rsidRPr="00105C49">
        <w:rPr>
          <w:color w:val="auto"/>
          <w:sz w:val="24"/>
          <w:szCs w:val="24"/>
          <w:lang w:val="en-US"/>
        </w:rPr>
        <w:t>4/22</w:t>
      </w:r>
      <w:proofErr w:type="gramEnd"/>
      <w:r w:rsidRPr="00105C49">
        <w:rPr>
          <w:color w:val="auto"/>
          <w:sz w:val="24"/>
          <w:szCs w:val="24"/>
          <w:lang w:val="en-US"/>
        </w:rPr>
        <w:t xml:space="preserve"> (18.2%) patients had a postnatal and/or progressive microcephaly. </w:t>
      </w:r>
    </w:p>
    <w:p w14:paraId="0334AF9C" w14:textId="77777777" w:rsidR="007A77B2" w:rsidRDefault="007A77B2" w:rsidP="006C2244">
      <w:pPr>
        <w:pStyle w:val="Normal1"/>
        <w:spacing w:line="480" w:lineRule="auto"/>
        <w:rPr>
          <w:b/>
          <w:color w:val="auto"/>
          <w:sz w:val="24"/>
          <w:szCs w:val="24"/>
          <w:lang w:val="en-US"/>
        </w:rPr>
      </w:pPr>
    </w:p>
    <w:p w14:paraId="4A80F288" w14:textId="723C3CB7" w:rsidR="000E071E" w:rsidRPr="00105C49" w:rsidRDefault="000E071E" w:rsidP="006C2244">
      <w:pPr>
        <w:pStyle w:val="Normal1"/>
        <w:spacing w:line="480" w:lineRule="auto"/>
        <w:rPr>
          <w:b/>
          <w:color w:val="auto"/>
          <w:sz w:val="24"/>
          <w:szCs w:val="24"/>
          <w:lang w:val="en-US"/>
        </w:rPr>
      </w:pPr>
      <w:r w:rsidRPr="00105C49">
        <w:rPr>
          <w:b/>
          <w:color w:val="auto"/>
          <w:sz w:val="24"/>
          <w:szCs w:val="24"/>
          <w:lang w:val="en-US"/>
        </w:rPr>
        <w:t>Craniofacial Features</w:t>
      </w:r>
    </w:p>
    <w:p w14:paraId="4FE51E34" w14:textId="03740BA1" w:rsidR="000E071E"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In 6/22 (27.3%) cases, dysmorphic features were noted (see </w:t>
      </w:r>
      <w:r w:rsidR="003B0BE7">
        <w:rPr>
          <w:color w:val="auto"/>
          <w:sz w:val="24"/>
          <w:szCs w:val="24"/>
          <w:lang w:val="en-US"/>
        </w:rPr>
        <w:t>supplementary data</w:t>
      </w:r>
      <w:r w:rsidRPr="00105C49">
        <w:rPr>
          <w:color w:val="auto"/>
          <w:sz w:val="24"/>
          <w:szCs w:val="24"/>
          <w:lang w:val="en-US"/>
        </w:rPr>
        <w:t xml:space="preserve">1). These were wide ranging with very little overlap between cases. Facial features were described as ‘coarse’ in 2/22 (9.1%) cases. </w:t>
      </w:r>
    </w:p>
    <w:p w14:paraId="23C47FB8" w14:textId="77777777" w:rsidR="000E071E" w:rsidRPr="00105C49" w:rsidRDefault="000E071E" w:rsidP="006C2244">
      <w:pPr>
        <w:pStyle w:val="Normal1"/>
        <w:spacing w:line="480" w:lineRule="auto"/>
        <w:rPr>
          <w:color w:val="auto"/>
          <w:sz w:val="24"/>
          <w:szCs w:val="24"/>
          <w:lang w:val="en-US"/>
        </w:rPr>
      </w:pPr>
    </w:p>
    <w:p w14:paraId="44646C9E" w14:textId="62F48BAB" w:rsidR="000E071E" w:rsidRPr="00105C49" w:rsidRDefault="000E071E" w:rsidP="006C2244">
      <w:pPr>
        <w:pStyle w:val="Normal1"/>
        <w:spacing w:line="480" w:lineRule="auto"/>
        <w:rPr>
          <w:b/>
          <w:color w:val="auto"/>
          <w:sz w:val="24"/>
          <w:szCs w:val="24"/>
          <w:lang w:val="en-US"/>
        </w:rPr>
      </w:pPr>
      <w:r w:rsidRPr="00105C49">
        <w:rPr>
          <w:b/>
          <w:color w:val="auto"/>
          <w:sz w:val="24"/>
          <w:szCs w:val="24"/>
          <w:lang w:val="en-US"/>
        </w:rPr>
        <w:t>Systemic Features</w:t>
      </w:r>
    </w:p>
    <w:p w14:paraId="5BA7BAC5" w14:textId="5084A503" w:rsidR="000E071E" w:rsidRPr="00105C49" w:rsidRDefault="000E071E" w:rsidP="006C2244">
      <w:pPr>
        <w:pStyle w:val="Normal1"/>
        <w:spacing w:line="480" w:lineRule="auto"/>
        <w:rPr>
          <w:color w:val="auto"/>
          <w:sz w:val="24"/>
          <w:szCs w:val="24"/>
          <w:lang w:val="en-US"/>
        </w:rPr>
      </w:pPr>
      <w:proofErr w:type="gramStart"/>
      <w:r w:rsidRPr="00105C49">
        <w:rPr>
          <w:color w:val="auto"/>
          <w:sz w:val="24"/>
          <w:szCs w:val="24"/>
          <w:lang w:val="en-US"/>
        </w:rPr>
        <w:t>2/22</w:t>
      </w:r>
      <w:proofErr w:type="gramEnd"/>
      <w:r w:rsidRPr="00105C49">
        <w:rPr>
          <w:color w:val="auto"/>
          <w:sz w:val="24"/>
          <w:szCs w:val="24"/>
          <w:lang w:val="en-US"/>
        </w:rPr>
        <w:t xml:space="preserve"> (9.1%) patients had joint hypermobility. One patient had a mild thoracolumbar scoliosis, displayed a </w:t>
      </w:r>
      <w:proofErr w:type="spellStart"/>
      <w:r w:rsidRPr="00105C49">
        <w:rPr>
          <w:color w:val="auto"/>
          <w:sz w:val="24"/>
          <w:szCs w:val="24"/>
          <w:lang w:val="en-US"/>
        </w:rPr>
        <w:t>lordotic</w:t>
      </w:r>
      <w:proofErr w:type="spellEnd"/>
      <w:r w:rsidRPr="00105C49">
        <w:rPr>
          <w:color w:val="auto"/>
          <w:sz w:val="24"/>
          <w:szCs w:val="24"/>
          <w:lang w:val="en-US"/>
        </w:rPr>
        <w:t xml:space="preserve"> posture and </w:t>
      </w:r>
      <w:proofErr w:type="gramStart"/>
      <w:r w:rsidRPr="00105C49">
        <w:rPr>
          <w:color w:val="auto"/>
          <w:sz w:val="24"/>
          <w:szCs w:val="24"/>
          <w:lang w:val="en-US"/>
        </w:rPr>
        <w:t>was found</w:t>
      </w:r>
      <w:proofErr w:type="gramEnd"/>
      <w:r w:rsidRPr="00105C49">
        <w:rPr>
          <w:color w:val="auto"/>
          <w:sz w:val="24"/>
          <w:szCs w:val="24"/>
          <w:lang w:val="en-US"/>
        </w:rPr>
        <w:t xml:space="preserve"> to have hip dysplasia. Another patient had bilateral hip dislocation. </w:t>
      </w:r>
    </w:p>
    <w:p w14:paraId="03DB0A6C" w14:textId="4D334ACD" w:rsidR="00682BEB" w:rsidRPr="00105C49" w:rsidRDefault="000E071E" w:rsidP="006C2244">
      <w:pPr>
        <w:pStyle w:val="Normal1"/>
        <w:spacing w:line="480" w:lineRule="auto"/>
        <w:rPr>
          <w:color w:val="auto"/>
          <w:sz w:val="24"/>
          <w:szCs w:val="24"/>
          <w:lang w:val="en-US"/>
        </w:rPr>
      </w:pPr>
      <w:r w:rsidRPr="00105C49">
        <w:rPr>
          <w:color w:val="auto"/>
          <w:sz w:val="24"/>
          <w:szCs w:val="24"/>
          <w:lang w:val="en-US"/>
        </w:rPr>
        <w:t>Prominent fingertip pads were noted in 3/22 (13.6%) patients. 5/22 (22.7%) patients had constipation. Two patients had gastro-</w:t>
      </w:r>
      <w:proofErr w:type="spellStart"/>
      <w:r w:rsidRPr="00105C49">
        <w:rPr>
          <w:color w:val="auto"/>
          <w:sz w:val="24"/>
          <w:szCs w:val="24"/>
          <w:lang w:val="en-US"/>
        </w:rPr>
        <w:t>oesophageal</w:t>
      </w:r>
      <w:proofErr w:type="spellEnd"/>
      <w:r w:rsidRPr="00105C49">
        <w:rPr>
          <w:color w:val="auto"/>
          <w:sz w:val="24"/>
          <w:szCs w:val="24"/>
          <w:lang w:val="en-US"/>
        </w:rPr>
        <w:t xml:space="preserve"> reflux with one of these requiring a percutaneous endoscopic gastrostomy. An additional patient also required a gastrostomy, without documented reflux disease. One individual had </w:t>
      </w:r>
      <w:proofErr w:type="spellStart"/>
      <w:r w:rsidRPr="00105C49">
        <w:rPr>
          <w:color w:val="auto"/>
          <w:sz w:val="24"/>
          <w:szCs w:val="24"/>
          <w:lang w:val="en-US"/>
        </w:rPr>
        <w:t>Hirschsprung</w:t>
      </w:r>
      <w:r w:rsidR="004141BA">
        <w:rPr>
          <w:color w:val="auto"/>
          <w:sz w:val="24"/>
          <w:szCs w:val="24"/>
          <w:lang w:val="en-US"/>
        </w:rPr>
        <w:t>’</w:t>
      </w:r>
      <w:r w:rsidRPr="00105C49">
        <w:rPr>
          <w:color w:val="auto"/>
          <w:sz w:val="24"/>
          <w:szCs w:val="24"/>
          <w:lang w:val="en-US"/>
        </w:rPr>
        <w:t>s</w:t>
      </w:r>
      <w:proofErr w:type="spellEnd"/>
      <w:r w:rsidRPr="00105C49">
        <w:rPr>
          <w:color w:val="auto"/>
          <w:sz w:val="24"/>
          <w:szCs w:val="24"/>
          <w:lang w:val="en-US"/>
        </w:rPr>
        <w:t xml:space="preserve"> disease (with a paternal history of </w:t>
      </w:r>
      <w:proofErr w:type="spellStart"/>
      <w:r w:rsidRPr="00105C49">
        <w:rPr>
          <w:color w:val="auto"/>
          <w:sz w:val="24"/>
          <w:szCs w:val="24"/>
          <w:lang w:val="en-US"/>
        </w:rPr>
        <w:t>Hirschsprung</w:t>
      </w:r>
      <w:r w:rsidR="004141BA">
        <w:rPr>
          <w:color w:val="auto"/>
          <w:sz w:val="24"/>
          <w:szCs w:val="24"/>
          <w:lang w:val="en-US"/>
        </w:rPr>
        <w:t>’s</w:t>
      </w:r>
      <w:proofErr w:type="spellEnd"/>
      <w:r w:rsidRPr="00105C49">
        <w:rPr>
          <w:color w:val="auto"/>
          <w:sz w:val="24"/>
          <w:szCs w:val="24"/>
          <w:lang w:val="en-US"/>
        </w:rPr>
        <w:t xml:space="preserve"> disease and therefore likely unrelated to the </w:t>
      </w:r>
      <w:r w:rsidRPr="00105C49">
        <w:rPr>
          <w:i/>
          <w:color w:val="auto"/>
          <w:sz w:val="24"/>
          <w:szCs w:val="24"/>
          <w:lang w:val="en-US"/>
        </w:rPr>
        <w:t>de novo SCN2A</w:t>
      </w:r>
      <w:r w:rsidRPr="00105C49">
        <w:rPr>
          <w:color w:val="auto"/>
          <w:sz w:val="24"/>
          <w:szCs w:val="24"/>
          <w:lang w:val="en-US"/>
        </w:rPr>
        <w:t xml:space="preserve"> variant).</w:t>
      </w:r>
    </w:p>
    <w:p w14:paraId="2144D775" w14:textId="77777777" w:rsidR="008B68F0" w:rsidRPr="00105C49" w:rsidRDefault="008B68F0" w:rsidP="006C2244">
      <w:pPr>
        <w:pStyle w:val="Normal1"/>
        <w:spacing w:line="480" w:lineRule="auto"/>
        <w:rPr>
          <w:color w:val="auto"/>
          <w:sz w:val="24"/>
          <w:szCs w:val="24"/>
          <w:lang w:val="en-US"/>
        </w:rPr>
      </w:pPr>
    </w:p>
    <w:p w14:paraId="561F231F" w14:textId="23B2B9A6" w:rsidR="000E071E" w:rsidRPr="00105C49" w:rsidRDefault="000E071E" w:rsidP="006C2244">
      <w:pPr>
        <w:pStyle w:val="Normal1"/>
        <w:spacing w:line="480" w:lineRule="auto"/>
        <w:rPr>
          <w:b/>
          <w:color w:val="auto"/>
          <w:sz w:val="24"/>
          <w:szCs w:val="24"/>
          <w:lang w:val="en-US"/>
        </w:rPr>
      </w:pPr>
      <w:r w:rsidRPr="00105C49">
        <w:rPr>
          <w:b/>
          <w:sz w:val="24"/>
          <w:szCs w:val="24"/>
        </w:rPr>
        <w:t>Anti-epileptic drugs</w:t>
      </w:r>
    </w:p>
    <w:p w14:paraId="03934CE2" w14:textId="2C8BA715" w:rsidR="000E071E" w:rsidRPr="004C4ECD" w:rsidRDefault="000E071E" w:rsidP="006C2244">
      <w:pPr>
        <w:pStyle w:val="Normal1"/>
        <w:spacing w:line="480" w:lineRule="auto"/>
        <w:rPr>
          <w:color w:val="auto"/>
          <w:sz w:val="24"/>
          <w:szCs w:val="24"/>
          <w:lang w:val="en-US"/>
        </w:rPr>
      </w:pPr>
      <w:r w:rsidRPr="00105C49">
        <w:rPr>
          <w:color w:val="auto"/>
          <w:sz w:val="24"/>
          <w:szCs w:val="24"/>
          <w:lang w:val="en-US"/>
        </w:rPr>
        <w:t xml:space="preserve">Seizures </w:t>
      </w:r>
      <w:proofErr w:type="gramStart"/>
      <w:r w:rsidRPr="00105C49">
        <w:rPr>
          <w:color w:val="auto"/>
          <w:sz w:val="24"/>
          <w:szCs w:val="24"/>
          <w:lang w:val="en-US"/>
        </w:rPr>
        <w:t>were reported</w:t>
      </w:r>
      <w:proofErr w:type="gramEnd"/>
      <w:r w:rsidRPr="00105C49">
        <w:rPr>
          <w:color w:val="auto"/>
          <w:sz w:val="24"/>
          <w:szCs w:val="24"/>
          <w:lang w:val="en-US"/>
        </w:rPr>
        <w:t xml:space="preserve"> in </w:t>
      </w:r>
      <w:r w:rsidRPr="00727A7B">
        <w:rPr>
          <w:color w:val="auto"/>
          <w:sz w:val="24"/>
          <w:szCs w:val="24"/>
          <w:lang w:val="en-US"/>
        </w:rPr>
        <w:t>1</w:t>
      </w:r>
      <w:r w:rsidR="00727A7B" w:rsidRPr="00FB0994">
        <w:rPr>
          <w:color w:val="auto"/>
          <w:sz w:val="24"/>
          <w:szCs w:val="24"/>
          <w:lang w:val="en-US"/>
        </w:rPr>
        <w:t>5</w:t>
      </w:r>
      <w:r w:rsidRPr="00105C49">
        <w:rPr>
          <w:color w:val="auto"/>
          <w:sz w:val="24"/>
          <w:szCs w:val="24"/>
          <w:lang w:val="en-US"/>
        </w:rPr>
        <w:t xml:space="preserve"> individuals, of which information about treatment was </w:t>
      </w:r>
      <w:r w:rsidRPr="00D4232F">
        <w:rPr>
          <w:color w:val="auto"/>
          <w:sz w:val="24"/>
          <w:szCs w:val="24"/>
          <w:lang w:val="en-US"/>
        </w:rPr>
        <w:t>available in 11</w:t>
      </w:r>
      <w:r w:rsidRPr="004C4ECD">
        <w:rPr>
          <w:color w:val="auto"/>
          <w:sz w:val="24"/>
          <w:szCs w:val="24"/>
          <w:lang w:val="en-US"/>
        </w:rPr>
        <w:t xml:space="preserve"> cases</w:t>
      </w:r>
      <w:r w:rsidR="00027701" w:rsidRPr="004C4ECD">
        <w:rPr>
          <w:color w:val="auto"/>
          <w:sz w:val="24"/>
          <w:szCs w:val="24"/>
          <w:lang w:val="en-US"/>
        </w:rPr>
        <w:t xml:space="preserve"> (see table 1)</w:t>
      </w:r>
      <w:r w:rsidR="00B05D4B" w:rsidRPr="004C4ECD">
        <w:rPr>
          <w:color w:val="auto"/>
          <w:sz w:val="24"/>
          <w:szCs w:val="24"/>
          <w:lang w:val="en-US"/>
        </w:rPr>
        <w:t xml:space="preserve">. </w:t>
      </w:r>
      <w:r w:rsidR="00727A7B" w:rsidRPr="004C4ECD">
        <w:rPr>
          <w:color w:val="auto"/>
          <w:sz w:val="24"/>
          <w:szCs w:val="24"/>
          <w:lang w:val="en-US"/>
        </w:rPr>
        <w:t xml:space="preserve">Where AED treatment </w:t>
      </w:r>
      <w:r w:rsidR="00D4232F" w:rsidRPr="004C4ECD">
        <w:rPr>
          <w:color w:val="auto"/>
          <w:sz w:val="24"/>
          <w:szCs w:val="24"/>
          <w:lang w:val="en-US"/>
        </w:rPr>
        <w:t xml:space="preserve">information </w:t>
      </w:r>
      <w:r w:rsidR="00727A7B" w:rsidRPr="00D4232F">
        <w:rPr>
          <w:color w:val="auto"/>
          <w:sz w:val="24"/>
          <w:szCs w:val="24"/>
          <w:lang w:val="en-US"/>
        </w:rPr>
        <w:t xml:space="preserve">was available and </w:t>
      </w:r>
      <w:r w:rsidR="004C4ECD">
        <w:rPr>
          <w:color w:val="auto"/>
          <w:sz w:val="24"/>
          <w:szCs w:val="24"/>
          <w:lang w:val="en-US"/>
        </w:rPr>
        <w:t>there were</w:t>
      </w:r>
      <w:r w:rsidR="00D4232F" w:rsidRPr="00D4232F">
        <w:rPr>
          <w:color w:val="auto"/>
          <w:sz w:val="24"/>
          <w:szCs w:val="24"/>
          <w:lang w:val="en-US"/>
        </w:rPr>
        <w:t xml:space="preserve"> early onset</w:t>
      </w:r>
      <w:r w:rsidR="00F95100">
        <w:rPr>
          <w:color w:val="auto"/>
          <w:sz w:val="24"/>
          <w:szCs w:val="24"/>
          <w:lang w:val="en-US"/>
        </w:rPr>
        <w:t xml:space="preserve"> </w:t>
      </w:r>
      <w:r w:rsidRPr="00D4232F">
        <w:rPr>
          <w:color w:val="auto"/>
          <w:sz w:val="24"/>
          <w:szCs w:val="24"/>
          <w:lang w:val="en-US"/>
        </w:rPr>
        <w:t>seizure</w:t>
      </w:r>
      <w:r w:rsidR="00F95100">
        <w:rPr>
          <w:color w:val="auto"/>
          <w:sz w:val="24"/>
          <w:szCs w:val="24"/>
          <w:lang w:val="en-US"/>
        </w:rPr>
        <w:t>s</w:t>
      </w:r>
      <w:r w:rsidRPr="00D4232F">
        <w:rPr>
          <w:color w:val="auto"/>
          <w:sz w:val="24"/>
          <w:szCs w:val="24"/>
          <w:lang w:val="en-US"/>
        </w:rPr>
        <w:t xml:space="preserve">, </w:t>
      </w:r>
      <w:proofErr w:type="gramStart"/>
      <w:r w:rsidRPr="00D4232F">
        <w:rPr>
          <w:color w:val="auto"/>
          <w:sz w:val="24"/>
          <w:szCs w:val="24"/>
          <w:lang w:val="en-US"/>
        </w:rPr>
        <w:t>5</w:t>
      </w:r>
      <w:proofErr w:type="gramEnd"/>
      <w:r w:rsidRPr="00D4232F">
        <w:rPr>
          <w:color w:val="auto"/>
          <w:sz w:val="24"/>
          <w:szCs w:val="24"/>
          <w:lang w:val="en-US"/>
        </w:rPr>
        <w:t xml:space="preserve"> were being managed with a combination of </w:t>
      </w:r>
      <w:r w:rsidR="00F95100">
        <w:rPr>
          <w:color w:val="auto"/>
          <w:sz w:val="24"/>
          <w:szCs w:val="24"/>
          <w:lang w:val="en-US"/>
        </w:rPr>
        <w:t>sodium channel blockers</w:t>
      </w:r>
      <w:r w:rsidRPr="00D4232F">
        <w:rPr>
          <w:color w:val="auto"/>
          <w:sz w:val="24"/>
          <w:szCs w:val="24"/>
          <w:lang w:val="en-US"/>
        </w:rPr>
        <w:t xml:space="preserve"> and </w:t>
      </w:r>
      <w:r w:rsidR="00F95100">
        <w:rPr>
          <w:color w:val="auto"/>
          <w:sz w:val="24"/>
          <w:szCs w:val="24"/>
          <w:lang w:val="en-US"/>
        </w:rPr>
        <w:t>non-sodium channel blockers</w:t>
      </w:r>
      <w:r w:rsidRPr="00D4232F">
        <w:rPr>
          <w:color w:val="auto"/>
          <w:sz w:val="24"/>
          <w:szCs w:val="24"/>
          <w:lang w:val="en-US"/>
        </w:rPr>
        <w:t xml:space="preserve">, 1 was managed on a </w:t>
      </w:r>
      <w:r w:rsidR="00F95100">
        <w:rPr>
          <w:color w:val="auto"/>
          <w:sz w:val="24"/>
          <w:szCs w:val="24"/>
          <w:lang w:val="en-US"/>
        </w:rPr>
        <w:t>sodium channel blocker</w:t>
      </w:r>
      <w:r w:rsidRPr="00D4232F">
        <w:rPr>
          <w:color w:val="auto"/>
          <w:sz w:val="24"/>
          <w:szCs w:val="24"/>
          <w:lang w:val="en-US"/>
        </w:rPr>
        <w:t xml:space="preserve"> alone and </w:t>
      </w:r>
      <w:r w:rsidR="003E19B8">
        <w:rPr>
          <w:color w:val="auto"/>
          <w:sz w:val="24"/>
          <w:szCs w:val="24"/>
          <w:lang w:val="en-US"/>
        </w:rPr>
        <w:t>1 was</w:t>
      </w:r>
      <w:r w:rsidRPr="00D4232F">
        <w:rPr>
          <w:color w:val="auto"/>
          <w:sz w:val="24"/>
          <w:szCs w:val="24"/>
          <w:lang w:val="en-US"/>
        </w:rPr>
        <w:t xml:space="preserve"> managed with a single </w:t>
      </w:r>
      <w:r w:rsidR="00AD605C">
        <w:rPr>
          <w:color w:val="auto"/>
          <w:sz w:val="24"/>
          <w:szCs w:val="24"/>
          <w:lang w:val="en-US"/>
        </w:rPr>
        <w:t>non-sodium channel blocker.</w:t>
      </w:r>
    </w:p>
    <w:p w14:paraId="44F92DCD" w14:textId="4372956E" w:rsidR="000E071E" w:rsidRPr="00105C49" w:rsidRDefault="000E071E" w:rsidP="006C2244">
      <w:pPr>
        <w:pStyle w:val="Normal1"/>
        <w:spacing w:line="480" w:lineRule="auto"/>
        <w:rPr>
          <w:color w:val="auto"/>
          <w:sz w:val="24"/>
          <w:szCs w:val="24"/>
          <w:lang w:val="en-US"/>
        </w:rPr>
      </w:pPr>
      <w:r w:rsidRPr="004C4ECD">
        <w:rPr>
          <w:color w:val="auto"/>
          <w:sz w:val="24"/>
          <w:szCs w:val="24"/>
          <w:lang w:val="en-US"/>
        </w:rPr>
        <w:t xml:space="preserve">Of the </w:t>
      </w:r>
      <w:proofErr w:type="gramStart"/>
      <w:r w:rsidRPr="004C4ECD">
        <w:rPr>
          <w:color w:val="auto"/>
          <w:sz w:val="24"/>
          <w:szCs w:val="24"/>
          <w:lang w:val="en-US"/>
        </w:rPr>
        <w:t>4</w:t>
      </w:r>
      <w:proofErr w:type="gramEnd"/>
      <w:r w:rsidRPr="004C4ECD">
        <w:rPr>
          <w:color w:val="auto"/>
          <w:sz w:val="24"/>
          <w:szCs w:val="24"/>
          <w:lang w:val="en-US"/>
        </w:rPr>
        <w:t xml:space="preserve"> cases where seizure onset was in childhood (&gt;12 months), </w:t>
      </w:r>
      <w:r w:rsidR="00D4232F" w:rsidRPr="00FB0994">
        <w:rPr>
          <w:color w:val="auto"/>
          <w:sz w:val="24"/>
          <w:szCs w:val="24"/>
          <w:lang w:val="en-US"/>
        </w:rPr>
        <w:t>1</w:t>
      </w:r>
      <w:r w:rsidRPr="00D4232F">
        <w:rPr>
          <w:color w:val="auto"/>
          <w:sz w:val="24"/>
          <w:szCs w:val="24"/>
          <w:lang w:val="en-US"/>
        </w:rPr>
        <w:t xml:space="preserve"> of these w</w:t>
      </w:r>
      <w:r w:rsidR="00D4232F" w:rsidRPr="00FB0994">
        <w:rPr>
          <w:color w:val="auto"/>
          <w:sz w:val="24"/>
          <w:szCs w:val="24"/>
          <w:lang w:val="en-US"/>
        </w:rPr>
        <w:t>as</w:t>
      </w:r>
      <w:r w:rsidRPr="00D4232F">
        <w:rPr>
          <w:color w:val="auto"/>
          <w:sz w:val="24"/>
          <w:szCs w:val="24"/>
          <w:lang w:val="en-US"/>
        </w:rPr>
        <w:t xml:space="preserve"> managed by </w:t>
      </w:r>
      <w:r w:rsidR="00F95100">
        <w:rPr>
          <w:color w:val="auto"/>
          <w:sz w:val="24"/>
          <w:szCs w:val="24"/>
          <w:lang w:val="en-US"/>
        </w:rPr>
        <w:t>non-sodium channel blocker</w:t>
      </w:r>
      <w:r w:rsidRPr="004C4ECD">
        <w:rPr>
          <w:color w:val="auto"/>
          <w:sz w:val="24"/>
          <w:szCs w:val="24"/>
          <w:lang w:val="en-US"/>
        </w:rPr>
        <w:t xml:space="preserve"> and 2 were managed by a </w:t>
      </w:r>
      <w:r w:rsidR="00F95100">
        <w:rPr>
          <w:color w:val="auto"/>
          <w:sz w:val="24"/>
          <w:szCs w:val="24"/>
          <w:lang w:val="en-US"/>
        </w:rPr>
        <w:t>sodium channel blocker</w:t>
      </w:r>
      <w:r w:rsidR="00D4232F" w:rsidRPr="00FB0994">
        <w:rPr>
          <w:color w:val="auto"/>
          <w:sz w:val="24"/>
          <w:szCs w:val="24"/>
          <w:lang w:val="en-US"/>
        </w:rPr>
        <w:t>, and 1 with a combination.</w:t>
      </w:r>
      <w:r w:rsidRPr="00105C49">
        <w:rPr>
          <w:color w:val="auto"/>
          <w:sz w:val="24"/>
          <w:szCs w:val="24"/>
          <w:lang w:val="en-US"/>
        </w:rPr>
        <w:t xml:space="preserve"> </w:t>
      </w:r>
    </w:p>
    <w:p w14:paraId="6DB0CEE9" w14:textId="77777777" w:rsidR="00C265A3" w:rsidRPr="00105C49" w:rsidRDefault="00C265A3" w:rsidP="006C2244">
      <w:pPr>
        <w:pStyle w:val="Normal1"/>
        <w:spacing w:line="480" w:lineRule="auto"/>
        <w:rPr>
          <w:sz w:val="24"/>
          <w:szCs w:val="24"/>
          <w:lang w:val="en-US"/>
        </w:rPr>
      </w:pPr>
    </w:p>
    <w:p w14:paraId="486CB6B5" w14:textId="0E2C3F94" w:rsidR="000E071E" w:rsidRPr="00105C49" w:rsidRDefault="000E071E" w:rsidP="006C2244">
      <w:pPr>
        <w:pStyle w:val="Normal1"/>
        <w:spacing w:line="480" w:lineRule="auto"/>
        <w:rPr>
          <w:b/>
          <w:color w:val="auto"/>
          <w:sz w:val="24"/>
          <w:szCs w:val="24"/>
          <w:lang w:val="en-US"/>
        </w:rPr>
      </w:pPr>
      <w:r w:rsidRPr="00105C49">
        <w:rPr>
          <w:b/>
          <w:color w:val="auto"/>
          <w:sz w:val="24"/>
          <w:szCs w:val="24"/>
          <w:lang w:val="en-US"/>
        </w:rPr>
        <w:t>Molecular genetics</w:t>
      </w:r>
    </w:p>
    <w:p w14:paraId="4F0D8E46" w14:textId="2E835F6A" w:rsidR="000E071E" w:rsidRPr="00105C49" w:rsidRDefault="000E071E" w:rsidP="008B68F0">
      <w:pPr>
        <w:spacing w:line="480" w:lineRule="auto"/>
        <w:rPr>
          <w:rFonts w:ascii="Arial" w:hAnsi="Arial" w:cs="Arial"/>
          <w:lang w:val="en-US"/>
        </w:rPr>
      </w:pPr>
      <w:r w:rsidRPr="00105C49">
        <w:rPr>
          <w:rFonts w:ascii="Arial" w:hAnsi="Arial" w:cs="Arial"/>
          <w:shd w:val="clear" w:color="auto" w:fill="FFFFFF"/>
        </w:rPr>
        <w:lastRenderedPageBreak/>
        <w:t xml:space="preserve">Normal chromosomal microarray (CMA) results were found in 17/22 (77.3%) patients, and in the </w:t>
      </w:r>
      <w:proofErr w:type="gramStart"/>
      <w:r w:rsidRPr="00105C49">
        <w:rPr>
          <w:rFonts w:ascii="Arial" w:hAnsi="Arial" w:cs="Arial"/>
          <w:shd w:val="clear" w:color="auto" w:fill="FFFFFF"/>
        </w:rPr>
        <w:t>5</w:t>
      </w:r>
      <w:proofErr w:type="gramEnd"/>
      <w:r w:rsidRPr="00105C49">
        <w:rPr>
          <w:rFonts w:ascii="Arial" w:hAnsi="Arial" w:cs="Arial"/>
          <w:shd w:val="clear" w:color="auto" w:fill="FFFFFF"/>
        </w:rPr>
        <w:t xml:space="preserve"> patients where CMA findings were reported, these were interpreted as benign or likely benign. Additional </w:t>
      </w:r>
      <w:r w:rsidR="00BE21C6" w:rsidRPr="00105C49">
        <w:rPr>
          <w:rFonts w:ascii="Arial" w:hAnsi="Arial" w:cs="Arial"/>
          <w:shd w:val="clear" w:color="auto" w:fill="FFFFFF"/>
        </w:rPr>
        <w:t xml:space="preserve">single nucleotide </w:t>
      </w:r>
      <w:r w:rsidRPr="00105C49">
        <w:rPr>
          <w:rFonts w:ascii="Arial" w:hAnsi="Arial" w:cs="Arial"/>
          <w:shd w:val="clear" w:color="auto" w:fill="FFFFFF"/>
        </w:rPr>
        <w:t xml:space="preserve">variants were identified in 4/22 (18.1%) patients and these were found to be benign or likely benign. These additional results are summarised in </w:t>
      </w:r>
      <w:r w:rsidR="00682BEB" w:rsidRPr="00105C49">
        <w:rPr>
          <w:rFonts w:ascii="Arial" w:hAnsi="Arial" w:cs="Arial"/>
          <w:shd w:val="clear" w:color="auto" w:fill="FFFFFF"/>
        </w:rPr>
        <w:t>Supplementary Data 1</w:t>
      </w:r>
      <w:r w:rsidRPr="00105C49">
        <w:rPr>
          <w:rFonts w:ascii="Arial" w:hAnsi="Arial" w:cs="Arial"/>
          <w:shd w:val="clear" w:color="auto" w:fill="FFFFFF"/>
        </w:rPr>
        <w:t xml:space="preserve">. </w:t>
      </w:r>
    </w:p>
    <w:p w14:paraId="5617E985" w14:textId="7DA3CFB5" w:rsidR="000E071E"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There were </w:t>
      </w:r>
      <w:r w:rsidR="00E949E0">
        <w:rPr>
          <w:color w:val="auto"/>
          <w:sz w:val="24"/>
          <w:szCs w:val="24"/>
          <w:lang w:val="en-US"/>
        </w:rPr>
        <w:t xml:space="preserve">20 </w:t>
      </w:r>
      <w:r w:rsidR="00E949E0" w:rsidRPr="00DE1460">
        <w:rPr>
          <w:i/>
          <w:color w:val="auto"/>
          <w:sz w:val="24"/>
          <w:szCs w:val="24"/>
          <w:lang w:val="en-US"/>
        </w:rPr>
        <w:t>SCN2A</w:t>
      </w:r>
      <w:r w:rsidR="00E949E0">
        <w:rPr>
          <w:color w:val="auto"/>
          <w:sz w:val="24"/>
          <w:szCs w:val="24"/>
          <w:lang w:val="en-US"/>
        </w:rPr>
        <w:t xml:space="preserve"> </w:t>
      </w:r>
      <w:r w:rsidRPr="00105C49">
        <w:rPr>
          <w:color w:val="auto"/>
          <w:sz w:val="24"/>
          <w:szCs w:val="24"/>
          <w:lang w:val="en-US"/>
        </w:rPr>
        <w:t>variants</w:t>
      </w:r>
      <w:r w:rsidR="009B159A">
        <w:rPr>
          <w:color w:val="auto"/>
          <w:sz w:val="24"/>
          <w:szCs w:val="24"/>
          <w:lang w:val="en-US"/>
        </w:rPr>
        <w:t xml:space="preserve"> (</w:t>
      </w:r>
      <w:r w:rsidR="009B159A" w:rsidRPr="00F95100">
        <w:rPr>
          <w:color w:val="auto"/>
          <w:sz w:val="24"/>
          <w:szCs w:val="24"/>
          <w:lang w:val="en-US"/>
        </w:rPr>
        <w:t xml:space="preserve">transcript </w:t>
      </w:r>
      <w:r w:rsidR="009B159A" w:rsidRPr="00F95100">
        <w:rPr>
          <w:color w:val="auto"/>
        </w:rPr>
        <w:t>NM_001040142.2)</w:t>
      </w:r>
      <w:r w:rsidR="00E949E0" w:rsidRPr="00F95100">
        <w:rPr>
          <w:color w:val="auto"/>
          <w:sz w:val="24"/>
          <w:szCs w:val="24"/>
          <w:lang w:val="en-US"/>
        </w:rPr>
        <w:t xml:space="preserve">, </w:t>
      </w:r>
      <w:r w:rsidR="00E949E0" w:rsidRPr="00105C49">
        <w:rPr>
          <w:color w:val="auto"/>
          <w:sz w:val="24"/>
          <w:szCs w:val="24"/>
          <w:lang w:val="en-US"/>
        </w:rPr>
        <w:t>13 novel</w:t>
      </w:r>
      <w:r w:rsidRPr="00105C49">
        <w:rPr>
          <w:color w:val="auto"/>
          <w:sz w:val="24"/>
          <w:szCs w:val="24"/>
          <w:lang w:val="en-US"/>
        </w:rPr>
        <w:t xml:space="preserve"> and 7 previously reported variants.   </w:t>
      </w:r>
      <w:r w:rsidR="007851D3">
        <w:rPr>
          <w:color w:val="auto"/>
          <w:sz w:val="24"/>
          <w:szCs w:val="24"/>
          <w:lang w:val="en-US"/>
        </w:rPr>
        <w:t xml:space="preserve">None of the previously reported variants has been functionally </w:t>
      </w:r>
      <w:proofErr w:type="spellStart"/>
      <w:r w:rsidR="007851D3" w:rsidRPr="00B05D4B">
        <w:rPr>
          <w:color w:val="auto"/>
          <w:sz w:val="24"/>
          <w:szCs w:val="24"/>
          <w:lang w:val="en-US"/>
        </w:rPr>
        <w:t>c</w:t>
      </w:r>
      <w:r w:rsidR="007851D3" w:rsidRPr="008D6F38">
        <w:rPr>
          <w:color w:val="auto"/>
          <w:sz w:val="24"/>
          <w:szCs w:val="24"/>
          <w:lang w:val="en-US"/>
        </w:rPr>
        <w:t>haracteri</w:t>
      </w:r>
      <w:r w:rsidR="00B05D4B" w:rsidRPr="008D6F38">
        <w:rPr>
          <w:color w:val="auto"/>
          <w:sz w:val="24"/>
          <w:szCs w:val="24"/>
          <w:lang w:val="en-US"/>
        </w:rPr>
        <w:t>s</w:t>
      </w:r>
      <w:r w:rsidR="007851D3" w:rsidRPr="008D6F38">
        <w:rPr>
          <w:color w:val="auto"/>
          <w:sz w:val="24"/>
          <w:szCs w:val="24"/>
          <w:lang w:val="en-US"/>
        </w:rPr>
        <w:t>ed</w:t>
      </w:r>
      <w:proofErr w:type="spellEnd"/>
      <w:r w:rsidR="007851D3" w:rsidRPr="00B05D4B">
        <w:rPr>
          <w:color w:val="auto"/>
          <w:sz w:val="24"/>
          <w:szCs w:val="24"/>
          <w:lang w:val="en-US"/>
        </w:rPr>
        <w:t>.</w:t>
      </w:r>
      <w:r w:rsidR="007851D3">
        <w:rPr>
          <w:color w:val="auto"/>
          <w:sz w:val="24"/>
          <w:szCs w:val="24"/>
          <w:lang w:val="en-US"/>
        </w:rPr>
        <w:t xml:space="preserve"> </w:t>
      </w:r>
      <w:r w:rsidRPr="00105C49">
        <w:rPr>
          <w:color w:val="auto"/>
          <w:sz w:val="24"/>
          <w:szCs w:val="24"/>
          <w:lang w:val="en-US"/>
        </w:rPr>
        <w:t xml:space="preserve">The majority of the patients in this cohort (16/22, 72.7%) have missense variants in </w:t>
      </w:r>
      <w:r w:rsidRPr="00105C49">
        <w:rPr>
          <w:i/>
          <w:color w:val="auto"/>
          <w:sz w:val="24"/>
          <w:szCs w:val="24"/>
          <w:lang w:val="en-US"/>
        </w:rPr>
        <w:t xml:space="preserve">SCN2A </w:t>
      </w:r>
      <w:r w:rsidRPr="00105C49">
        <w:rPr>
          <w:color w:val="auto"/>
          <w:sz w:val="24"/>
          <w:szCs w:val="24"/>
          <w:lang w:val="en-US"/>
        </w:rPr>
        <w:t xml:space="preserve">which have been classified according to ACMG guidelines based on a combination of evidence including </w:t>
      </w:r>
      <w:r w:rsidRPr="00105C49">
        <w:rPr>
          <w:i/>
          <w:color w:val="auto"/>
          <w:sz w:val="24"/>
          <w:szCs w:val="24"/>
          <w:lang w:val="en-US"/>
        </w:rPr>
        <w:t>de novo</w:t>
      </w:r>
      <w:r w:rsidRPr="00105C49">
        <w:rPr>
          <w:color w:val="auto"/>
          <w:sz w:val="24"/>
          <w:szCs w:val="24"/>
          <w:lang w:val="en-US"/>
        </w:rPr>
        <w:t xml:space="preserve"> status, multiple lines of computational evidence suggesting a deleterious effect on the protein and being absent from population databases</w:t>
      </w:r>
      <w:r w:rsidR="00B05D4B">
        <w:rPr>
          <w:color w:val="auto"/>
          <w:sz w:val="24"/>
          <w:szCs w:val="24"/>
          <w:lang w:val="en-US"/>
        </w:rPr>
        <w:t>.</w:t>
      </w:r>
    </w:p>
    <w:p w14:paraId="636869B2" w14:textId="19DC6497" w:rsidR="00F07726"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From this cohort, </w:t>
      </w:r>
      <w:proofErr w:type="gramStart"/>
      <w:r w:rsidRPr="00105C49">
        <w:rPr>
          <w:color w:val="auto"/>
          <w:sz w:val="24"/>
          <w:szCs w:val="24"/>
          <w:lang w:val="en-US"/>
        </w:rPr>
        <w:t>6</w:t>
      </w:r>
      <w:proofErr w:type="gramEnd"/>
      <w:r w:rsidRPr="00105C49">
        <w:rPr>
          <w:color w:val="auto"/>
          <w:sz w:val="24"/>
          <w:szCs w:val="24"/>
          <w:lang w:val="en-US"/>
        </w:rPr>
        <w:t xml:space="preserve"> patients had a presumed </w:t>
      </w:r>
      <w:proofErr w:type="spellStart"/>
      <w:r w:rsidRPr="00105C49">
        <w:rPr>
          <w:color w:val="auto"/>
          <w:sz w:val="24"/>
          <w:szCs w:val="24"/>
          <w:lang w:val="en-US"/>
        </w:rPr>
        <w:t>L</w:t>
      </w:r>
      <w:r w:rsidR="00F347E8" w:rsidRPr="00105C49">
        <w:rPr>
          <w:color w:val="auto"/>
          <w:sz w:val="24"/>
          <w:szCs w:val="24"/>
          <w:lang w:val="en-US"/>
        </w:rPr>
        <w:t>o</w:t>
      </w:r>
      <w:r w:rsidRPr="00105C49">
        <w:rPr>
          <w:color w:val="auto"/>
          <w:sz w:val="24"/>
          <w:szCs w:val="24"/>
          <w:lang w:val="en-US"/>
        </w:rPr>
        <w:t>F</w:t>
      </w:r>
      <w:proofErr w:type="spellEnd"/>
      <w:r w:rsidRPr="00105C49">
        <w:rPr>
          <w:color w:val="auto"/>
          <w:sz w:val="24"/>
          <w:szCs w:val="24"/>
          <w:lang w:val="en-US"/>
        </w:rPr>
        <w:t xml:space="preserve"> variant and of these 2 patients had nonsense variants, 2 had frameshift variants and 2 had splice site variants. These </w:t>
      </w:r>
      <w:proofErr w:type="gramStart"/>
      <w:r w:rsidRPr="00105C49">
        <w:rPr>
          <w:color w:val="auto"/>
          <w:sz w:val="24"/>
          <w:szCs w:val="24"/>
          <w:lang w:val="en-US"/>
        </w:rPr>
        <w:t>were classified</w:t>
      </w:r>
      <w:proofErr w:type="gramEnd"/>
      <w:r w:rsidRPr="00105C49">
        <w:rPr>
          <w:color w:val="auto"/>
          <w:sz w:val="24"/>
          <w:szCs w:val="24"/>
          <w:lang w:val="en-US"/>
        </w:rPr>
        <w:t xml:space="preserve"> as pathogenic or likely pathogenic variant based on a combination of evidence including </w:t>
      </w:r>
      <w:r w:rsidRPr="00105C49">
        <w:rPr>
          <w:i/>
          <w:color w:val="auto"/>
          <w:sz w:val="24"/>
          <w:szCs w:val="24"/>
          <w:lang w:val="en-US"/>
        </w:rPr>
        <w:t>de novo</w:t>
      </w:r>
      <w:r w:rsidRPr="00105C49">
        <w:rPr>
          <w:color w:val="auto"/>
          <w:sz w:val="24"/>
          <w:szCs w:val="24"/>
          <w:lang w:val="en-US"/>
        </w:rPr>
        <w:t xml:space="preserve"> status</w:t>
      </w:r>
      <w:r w:rsidR="00F07726" w:rsidRPr="00105C49">
        <w:rPr>
          <w:color w:val="auto"/>
          <w:sz w:val="24"/>
          <w:szCs w:val="24"/>
          <w:lang w:val="en-US"/>
        </w:rPr>
        <w:t xml:space="preserve"> and</w:t>
      </w:r>
      <w:r w:rsidRPr="00105C49">
        <w:rPr>
          <w:color w:val="auto"/>
          <w:sz w:val="24"/>
          <w:szCs w:val="24"/>
          <w:lang w:val="en-US"/>
        </w:rPr>
        <w:t xml:space="preserve"> absence from population databases. Of the </w:t>
      </w:r>
      <w:proofErr w:type="gramStart"/>
      <w:r w:rsidRPr="00105C49">
        <w:rPr>
          <w:color w:val="auto"/>
          <w:sz w:val="24"/>
          <w:szCs w:val="24"/>
          <w:lang w:val="en-US"/>
        </w:rPr>
        <w:t>6</w:t>
      </w:r>
      <w:proofErr w:type="gramEnd"/>
      <w:r w:rsidRPr="00105C49">
        <w:rPr>
          <w:color w:val="auto"/>
          <w:sz w:val="24"/>
          <w:szCs w:val="24"/>
          <w:lang w:val="en-US"/>
        </w:rPr>
        <w:t xml:space="preserve"> </w:t>
      </w:r>
      <w:r w:rsidR="00412E93">
        <w:rPr>
          <w:color w:val="auto"/>
          <w:sz w:val="24"/>
          <w:szCs w:val="24"/>
          <w:lang w:val="en-US"/>
        </w:rPr>
        <w:t xml:space="preserve">presumed </w:t>
      </w:r>
      <w:proofErr w:type="spellStart"/>
      <w:r w:rsidRPr="00105C49">
        <w:rPr>
          <w:color w:val="auto"/>
          <w:sz w:val="24"/>
          <w:szCs w:val="24"/>
          <w:lang w:val="en-US"/>
        </w:rPr>
        <w:t>L</w:t>
      </w:r>
      <w:r w:rsidR="00F347E8" w:rsidRPr="00105C49">
        <w:rPr>
          <w:color w:val="auto"/>
          <w:sz w:val="24"/>
          <w:szCs w:val="24"/>
          <w:lang w:val="en-US"/>
        </w:rPr>
        <w:t>o</w:t>
      </w:r>
      <w:r w:rsidRPr="00105C49">
        <w:rPr>
          <w:color w:val="auto"/>
          <w:sz w:val="24"/>
          <w:szCs w:val="24"/>
          <w:lang w:val="en-US"/>
        </w:rPr>
        <w:t>F</w:t>
      </w:r>
      <w:proofErr w:type="spellEnd"/>
      <w:r w:rsidRPr="00105C49">
        <w:rPr>
          <w:color w:val="auto"/>
          <w:sz w:val="24"/>
          <w:szCs w:val="24"/>
          <w:lang w:val="en-US"/>
        </w:rPr>
        <w:t xml:space="preserve"> variants identified, none were associated with a neonatal-onset seizure phenotype. Seizures were seen in 2/6 cases and were later onset (after </w:t>
      </w:r>
      <w:r w:rsidR="00D4232F">
        <w:rPr>
          <w:color w:val="auto"/>
          <w:sz w:val="24"/>
          <w:szCs w:val="24"/>
          <w:lang w:val="en-US"/>
        </w:rPr>
        <w:t>2</w:t>
      </w:r>
      <w:r w:rsidRPr="00105C49">
        <w:rPr>
          <w:color w:val="auto"/>
          <w:sz w:val="24"/>
          <w:szCs w:val="24"/>
          <w:lang w:val="en-US"/>
        </w:rPr>
        <w:t xml:space="preserve"> years).   ASD was diagnosed in </w:t>
      </w:r>
      <w:proofErr w:type="gramStart"/>
      <w:r w:rsidRPr="00105C49">
        <w:rPr>
          <w:color w:val="auto"/>
          <w:sz w:val="24"/>
          <w:szCs w:val="24"/>
          <w:lang w:val="en-US"/>
        </w:rPr>
        <w:t>4</w:t>
      </w:r>
      <w:proofErr w:type="gramEnd"/>
      <w:r w:rsidRPr="00105C49">
        <w:rPr>
          <w:color w:val="auto"/>
          <w:sz w:val="24"/>
          <w:szCs w:val="24"/>
          <w:lang w:val="en-US"/>
        </w:rPr>
        <w:t xml:space="preserve"> of the </w:t>
      </w:r>
      <w:r w:rsidR="00412E93">
        <w:rPr>
          <w:color w:val="auto"/>
          <w:sz w:val="24"/>
          <w:szCs w:val="24"/>
          <w:lang w:val="en-US"/>
        </w:rPr>
        <w:t xml:space="preserve">presumed </w:t>
      </w:r>
      <w:proofErr w:type="spellStart"/>
      <w:r w:rsidRPr="00105C49">
        <w:rPr>
          <w:color w:val="auto"/>
          <w:sz w:val="24"/>
          <w:szCs w:val="24"/>
          <w:lang w:val="en-US"/>
        </w:rPr>
        <w:t>L</w:t>
      </w:r>
      <w:r w:rsidR="00F347E8" w:rsidRPr="00105C49">
        <w:rPr>
          <w:color w:val="auto"/>
          <w:sz w:val="24"/>
          <w:szCs w:val="24"/>
          <w:lang w:val="en-US"/>
        </w:rPr>
        <w:t>o</w:t>
      </w:r>
      <w:r w:rsidRPr="00105C49">
        <w:rPr>
          <w:color w:val="auto"/>
          <w:sz w:val="24"/>
          <w:szCs w:val="24"/>
          <w:lang w:val="en-US"/>
        </w:rPr>
        <w:t>F</w:t>
      </w:r>
      <w:proofErr w:type="spellEnd"/>
      <w:r w:rsidRPr="00105C49">
        <w:rPr>
          <w:color w:val="auto"/>
          <w:sz w:val="24"/>
          <w:szCs w:val="24"/>
          <w:lang w:val="en-US"/>
        </w:rPr>
        <w:t xml:space="preserve"> variant cases, with ID and autistic features in </w:t>
      </w:r>
      <w:r w:rsidR="00682BEB" w:rsidRPr="00105C49">
        <w:rPr>
          <w:color w:val="auto"/>
          <w:sz w:val="24"/>
          <w:szCs w:val="24"/>
          <w:lang w:val="en-US"/>
        </w:rPr>
        <w:t>one patient and isolated ID in one patient</w:t>
      </w:r>
      <w:r w:rsidRPr="00105C49">
        <w:rPr>
          <w:color w:val="auto"/>
          <w:sz w:val="24"/>
          <w:szCs w:val="24"/>
          <w:lang w:val="en-US"/>
        </w:rPr>
        <w:t xml:space="preserve">. </w:t>
      </w:r>
    </w:p>
    <w:p w14:paraId="2B9AE580" w14:textId="7BB60B1D" w:rsidR="000E071E" w:rsidRPr="00105C49" w:rsidRDefault="000E071E" w:rsidP="006C2244">
      <w:pPr>
        <w:pStyle w:val="Normal1"/>
        <w:spacing w:line="480" w:lineRule="auto"/>
        <w:rPr>
          <w:color w:val="auto"/>
          <w:sz w:val="24"/>
          <w:szCs w:val="24"/>
          <w:lang w:val="en-US"/>
        </w:rPr>
      </w:pPr>
      <w:r w:rsidRPr="00105C49">
        <w:rPr>
          <w:color w:val="auto"/>
          <w:sz w:val="24"/>
          <w:szCs w:val="24"/>
          <w:lang w:val="en-US"/>
        </w:rPr>
        <w:t xml:space="preserve">A summary of the variants, ACMG criterions and classification </w:t>
      </w:r>
      <w:proofErr w:type="gramStart"/>
      <w:r w:rsidRPr="00105C49">
        <w:rPr>
          <w:color w:val="auto"/>
          <w:sz w:val="24"/>
          <w:szCs w:val="24"/>
          <w:lang w:val="en-US"/>
        </w:rPr>
        <w:t>is provided</w:t>
      </w:r>
      <w:proofErr w:type="gramEnd"/>
      <w:r w:rsidRPr="00105C49">
        <w:rPr>
          <w:color w:val="auto"/>
          <w:sz w:val="24"/>
          <w:szCs w:val="24"/>
          <w:lang w:val="en-US"/>
        </w:rPr>
        <w:t xml:space="preserve"> in table </w:t>
      </w:r>
      <w:r w:rsidR="00412E93">
        <w:rPr>
          <w:color w:val="auto"/>
          <w:sz w:val="24"/>
          <w:szCs w:val="24"/>
          <w:lang w:val="en-US"/>
        </w:rPr>
        <w:t>2</w:t>
      </w:r>
      <w:r w:rsidR="004515A3" w:rsidRPr="00105C49">
        <w:rPr>
          <w:color w:val="auto"/>
          <w:sz w:val="24"/>
          <w:szCs w:val="24"/>
          <w:lang w:val="en-US"/>
        </w:rPr>
        <w:t>.</w:t>
      </w:r>
    </w:p>
    <w:p w14:paraId="690A71BA" w14:textId="77777777" w:rsidR="008B68F0" w:rsidRPr="00105C49" w:rsidRDefault="008B68F0" w:rsidP="006C2244">
      <w:pPr>
        <w:pStyle w:val="Normal1"/>
        <w:spacing w:line="480" w:lineRule="auto"/>
        <w:rPr>
          <w:color w:val="auto"/>
          <w:sz w:val="24"/>
          <w:szCs w:val="24"/>
          <w:lang w:val="en-US"/>
        </w:rPr>
      </w:pPr>
    </w:p>
    <w:p w14:paraId="0C7D5752" w14:textId="11D563BB" w:rsidR="00195EBC" w:rsidRPr="00105C49" w:rsidRDefault="00195EBC" w:rsidP="00195EBC">
      <w:pPr>
        <w:pStyle w:val="Normal1"/>
        <w:spacing w:line="480" w:lineRule="auto"/>
        <w:rPr>
          <w:sz w:val="24"/>
          <w:szCs w:val="24"/>
          <w:lang w:val="en-US"/>
        </w:rPr>
      </w:pPr>
      <w:r w:rsidRPr="00105C49">
        <w:rPr>
          <w:sz w:val="24"/>
          <w:szCs w:val="24"/>
          <w:highlight w:val="yellow"/>
          <w:lang w:val="en-US"/>
        </w:rPr>
        <w:t xml:space="preserve">Table </w:t>
      </w:r>
      <w:r w:rsidR="00412E93">
        <w:rPr>
          <w:sz w:val="24"/>
          <w:szCs w:val="24"/>
          <w:highlight w:val="yellow"/>
          <w:lang w:val="en-US"/>
        </w:rPr>
        <w:t>2</w:t>
      </w:r>
      <w:r w:rsidRPr="00105C49">
        <w:rPr>
          <w:sz w:val="24"/>
          <w:szCs w:val="24"/>
          <w:highlight w:val="yellow"/>
          <w:lang w:val="en-US"/>
        </w:rPr>
        <w:t xml:space="preserve"> here</w:t>
      </w:r>
    </w:p>
    <w:p w14:paraId="37F78253" w14:textId="70633717" w:rsidR="000E071E" w:rsidRPr="00105C49" w:rsidRDefault="000E071E" w:rsidP="00195EBC">
      <w:pPr>
        <w:pStyle w:val="Normal1"/>
        <w:spacing w:line="480" w:lineRule="auto"/>
        <w:rPr>
          <w:color w:val="auto"/>
          <w:sz w:val="24"/>
          <w:szCs w:val="24"/>
          <w:highlight w:val="green"/>
          <w:lang w:val="en-US"/>
        </w:rPr>
      </w:pPr>
    </w:p>
    <w:p w14:paraId="18E2D05E" w14:textId="6B2507A5" w:rsidR="0075169B" w:rsidRPr="00105C49" w:rsidRDefault="0075169B" w:rsidP="006C2244">
      <w:pPr>
        <w:pStyle w:val="Normal1"/>
        <w:spacing w:line="480" w:lineRule="auto"/>
        <w:rPr>
          <w:color w:val="auto"/>
          <w:sz w:val="24"/>
          <w:szCs w:val="24"/>
          <w:lang w:val="en-US"/>
        </w:rPr>
      </w:pPr>
      <w:r w:rsidRPr="00105C49">
        <w:rPr>
          <w:color w:val="auto"/>
          <w:sz w:val="24"/>
          <w:szCs w:val="24"/>
          <w:lang w:val="en-US"/>
        </w:rPr>
        <w:t xml:space="preserve">Figure </w:t>
      </w:r>
      <w:r w:rsidR="00412E93">
        <w:rPr>
          <w:color w:val="auto"/>
          <w:sz w:val="24"/>
          <w:szCs w:val="24"/>
          <w:lang w:val="en-US"/>
        </w:rPr>
        <w:t>1</w:t>
      </w:r>
      <w:r w:rsidRPr="00105C49">
        <w:rPr>
          <w:color w:val="auto"/>
          <w:sz w:val="24"/>
          <w:szCs w:val="24"/>
          <w:lang w:val="en-US"/>
        </w:rPr>
        <w:t xml:space="preserve"> shows the position of the variants on a schematic representation of </w:t>
      </w:r>
      <w:r w:rsidRPr="00105C49">
        <w:rPr>
          <w:i/>
          <w:color w:val="auto"/>
          <w:sz w:val="24"/>
          <w:szCs w:val="24"/>
          <w:lang w:val="en-US"/>
        </w:rPr>
        <w:t>SCN2A</w:t>
      </w:r>
      <w:r w:rsidR="00412E93">
        <w:rPr>
          <w:color w:val="auto"/>
          <w:sz w:val="24"/>
          <w:szCs w:val="24"/>
          <w:lang w:val="en-US"/>
        </w:rPr>
        <w:t>.</w:t>
      </w:r>
    </w:p>
    <w:p w14:paraId="65EBC11F" w14:textId="24493A30" w:rsidR="004E6CB4" w:rsidRPr="00105C49" w:rsidRDefault="0075169B" w:rsidP="006C2244">
      <w:pPr>
        <w:pStyle w:val="Normal1"/>
        <w:spacing w:line="480" w:lineRule="auto"/>
        <w:rPr>
          <w:b/>
          <w:sz w:val="24"/>
          <w:szCs w:val="24"/>
          <w:lang w:val="en-US"/>
        </w:rPr>
      </w:pPr>
      <w:r w:rsidRPr="00105C49">
        <w:rPr>
          <w:color w:val="auto"/>
          <w:sz w:val="24"/>
          <w:szCs w:val="24"/>
          <w:lang w:val="en-US"/>
        </w:rPr>
        <w:lastRenderedPageBreak/>
        <w:t xml:space="preserve">The 20 variants identified </w:t>
      </w:r>
      <w:proofErr w:type="gramStart"/>
      <w:r w:rsidRPr="00105C49">
        <w:rPr>
          <w:color w:val="auto"/>
          <w:sz w:val="24"/>
          <w:szCs w:val="24"/>
          <w:lang w:val="en-US"/>
        </w:rPr>
        <w:t>were spread</w:t>
      </w:r>
      <w:proofErr w:type="gramEnd"/>
      <w:r w:rsidRPr="00105C49">
        <w:rPr>
          <w:color w:val="auto"/>
          <w:sz w:val="24"/>
          <w:szCs w:val="24"/>
          <w:lang w:val="en-US"/>
        </w:rPr>
        <w:t xml:space="preserve"> along the gene, in all domains. The </w:t>
      </w:r>
      <w:proofErr w:type="gramStart"/>
      <w:r w:rsidRPr="00105C49">
        <w:rPr>
          <w:color w:val="auto"/>
          <w:sz w:val="24"/>
          <w:szCs w:val="24"/>
          <w:lang w:val="en-US"/>
        </w:rPr>
        <w:t>6</w:t>
      </w:r>
      <w:proofErr w:type="gramEnd"/>
      <w:r w:rsidRPr="00105C49">
        <w:rPr>
          <w:color w:val="auto"/>
          <w:sz w:val="24"/>
          <w:szCs w:val="24"/>
          <w:lang w:val="en-US"/>
        </w:rPr>
        <w:t xml:space="preserve"> protein truncating variants (from 6 patients) associated with ASD or ID were throughout the gene. </w:t>
      </w:r>
      <w:proofErr w:type="gramStart"/>
      <w:r w:rsidR="00D4232F" w:rsidRPr="00F95100">
        <w:rPr>
          <w:color w:val="auto"/>
          <w:sz w:val="24"/>
          <w:szCs w:val="24"/>
          <w:lang w:val="en-US"/>
        </w:rPr>
        <w:t>6</w:t>
      </w:r>
      <w:r w:rsidRPr="00F95100">
        <w:rPr>
          <w:color w:val="auto"/>
          <w:sz w:val="24"/>
          <w:szCs w:val="24"/>
          <w:lang w:val="en-US"/>
        </w:rPr>
        <w:t>/</w:t>
      </w:r>
      <w:r w:rsidR="00D4232F" w:rsidRPr="00F95100">
        <w:rPr>
          <w:color w:val="auto"/>
          <w:sz w:val="24"/>
          <w:szCs w:val="24"/>
          <w:lang w:val="en-US"/>
        </w:rPr>
        <w:t>10</w:t>
      </w:r>
      <w:proofErr w:type="gramEnd"/>
      <w:r w:rsidRPr="00F95100">
        <w:rPr>
          <w:color w:val="auto"/>
          <w:sz w:val="24"/>
          <w:szCs w:val="24"/>
          <w:lang w:val="en-US"/>
        </w:rPr>
        <w:t xml:space="preserve"> of the missense variants (</w:t>
      </w:r>
      <w:r w:rsidR="00D4232F" w:rsidRPr="00F95100">
        <w:rPr>
          <w:color w:val="auto"/>
          <w:sz w:val="24"/>
          <w:szCs w:val="24"/>
          <w:lang w:val="en-US"/>
        </w:rPr>
        <w:t>7</w:t>
      </w:r>
      <w:r w:rsidRPr="00F95100">
        <w:rPr>
          <w:color w:val="auto"/>
          <w:sz w:val="24"/>
          <w:szCs w:val="24"/>
          <w:lang w:val="en-US"/>
        </w:rPr>
        <w:t>/</w:t>
      </w:r>
      <w:r w:rsidR="00D4232F" w:rsidRPr="00F95100">
        <w:rPr>
          <w:color w:val="auto"/>
          <w:sz w:val="24"/>
          <w:szCs w:val="24"/>
          <w:lang w:val="en-US"/>
        </w:rPr>
        <w:t>11</w:t>
      </w:r>
      <w:r w:rsidRPr="00F95100">
        <w:rPr>
          <w:color w:val="auto"/>
          <w:sz w:val="24"/>
          <w:szCs w:val="24"/>
          <w:lang w:val="en-US"/>
        </w:rPr>
        <w:t xml:space="preserve"> patients) associated with DEE appear to cluster near the voltage sensor. </w:t>
      </w:r>
      <w:proofErr w:type="gramStart"/>
      <w:r w:rsidRPr="00F95100">
        <w:rPr>
          <w:color w:val="auto"/>
          <w:sz w:val="24"/>
          <w:szCs w:val="24"/>
          <w:lang w:val="en-US"/>
        </w:rPr>
        <w:t>3/</w:t>
      </w:r>
      <w:r w:rsidR="00D4232F" w:rsidRPr="00F95100">
        <w:rPr>
          <w:color w:val="auto"/>
          <w:sz w:val="24"/>
          <w:szCs w:val="24"/>
          <w:lang w:val="en-US"/>
        </w:rPr>
        <w:t>4</w:t>
      </w:r>
      <w:proofErr w:type="gramEnd"/>
      <w:r w:rsidRPr="00F95100">
        <w:rPr>
          <w:color w:val="auto"/>
          <w:sz w:val="24"/>
          <w:szCs w:val="24"/>
          <w:lang w:val="en-US"/>
        </w:rPr>
        <w:t xml:space="preserve"> of the missense variants (3/</w:t>
      </w:r>
      <w:r w:rsidR="00D4232F" w:rsidRPr="00F95100">
        <w:rPr>
          <w:color w:val="auto"/>
          <w:sz w:val="24"/>
          <w:szCs w:val="24"/>
          <w:lang w:val="en-US"/>
        </w:rPr>
        <w:t>5</w:t>
      </w:r>
      <w:r w:rsidRPr="00F95100">
        <w:rPr>
          <w:color w:val="auto"/>
          <w:sz w:val="24"/>
          <w:szCs w:val="24"/>
          <w:lang w:val="en-US"/>
        </w:rPr>
        <w:t xml:space="preserve"> patients) associated with ASD/ID clustered near the pore</w:t>
      </w:r>
      <w:r w:rsidR="008B68F0" w:rsidRPr="00105C49">
        <w:rPr>
          <w:sz w:val="24"/>
          <w:szCs w:val="24"/>
          <w:lang w:val="en-US"/>
        </w:rPr>
        <w:t>.</w:t>
      </w:r>
      <w:r w:rsidR="003D4CFA" w:rsidRPr="00105C49">
        <w:rPr>
          <w:sz w:val="24"/>
          <w:szCs w:val="24"/>
          <w:lang w:val="en-US"/>
        </w:rPr>
        <w:t xml:space="preserve"> </w:t>
      </w:r>
    </w:p>
    <w:p w14:paraId="5E159011" w14:textId="77777777" w:rsidR="00F714CC" w:rsidRPr="00105C49" w:rsidRDefault="00F714CC" w:rsidP="006C2244">
      <w:pPr>
        <w:spacing w:line="480" w:lineRule="auto"/>
        <w:rPr>
          <w:rFonts w:ascii="Arial" w:hAnsi="Arial" w:cs="Arial"/>
        </w:rPr>
      </w:pPr>
    </w:p>
    <w:p w14:paraId="76B857A2" w14:textId="16B66E1B" w:rsidR="00287116" w:rsidRPr="00105C49" w:rsidRDefault="00CB7CC6" w:rsidP="00C1058E">
      <w:pPr>
        <w:pStyle w:val="Normal1"/>
        <w:spacing w:line="480" w:lineRule="auto"/>
        <w:rPr>
          <w:b/>
          <w:sz w:val="24"/>
          <w:szCs w:val="24"/>
          <w:lang w:val="en-US"/>
        </w:rPr>
      </w:pPr>
      <w:r w:rsidRPr="00105C49">
        <w:rPr>
          <w:b/>
          <w:sz w:val="24"/>
          <w:szCs w:val="24"/>
          <w:highlight w:val="yellow"/>
          <w:lang w:val="en-US"/>
        </w:rPr>
        <w:t xml:space="preserve">Figure </w:t>
      </w:r>
      <w:proofErr w:type="gramStart"/>
      <w:r w:rsidR="00412E93">
        <w:rPr>
          <w:b/>
          <w:sz w:val="24"/>
          <w:szCs w:val="24"/>
          <w:highlight w:val="yellow"/>
          <w:lang w:val="en-US"/>
        </w:rPr>
        <w:t>1</w:t>
      </w:r>
      <w:proofErr w:type="gramEnd"/>
      <w:r w:rsidRPr="00105C49">
        <w:rPr>
          <w:b/>
          <w:sz w:val="24"/>
          <w:szCs w:val="24"/>
          <w:highlight w:val="yellow"/>
          <w:lang w:val="en-US"/>
        </w:rPr>
        <w:t xml:space="preserve"> here</w:t>
      </w:r>
    </w:p>
    <w:p w14:paraId="17A99505" w14:textId="77777777" w:rsidR="00CB7CC6" w:rsidRPr="00105C49" w:rsidRDefault="00CB7CC6" w:rsidP="006C2244">
      <w:pPr>
        <w:pStyle w:val="Normal1"/>
        <w:spacing w:line="480" w:lineRule="auto"/>
        <w:rPr>
          <w:b/>
          <w:sz w:val="24"/>
          <w:szCs w:val="24"/>
          <w:lang w:val="en-US"/>
        </w:rPr>
      </w:pPr>
    </w:p>
    <w:p w14:paraId="59D3AD7C" w14:textId="234C9B99" w:rsidR="0075169B" w:rsidRPr="00105C49" w:rsidRDefault="0075169B" w:rsidP="006C2244">
      <w:pPr>
        <w:pStyle w:val="Normal1"/>
        <w:spacing w:line="480" w:lineRule="auto"/>
        <w:rPr>
          <w:b/>
          <w:color w:val="auto"/>
          <w:sz w:val="24"/>
          <w:szCs w:val="24"/>
          <w:lang w:val="en-US"/>
        </w:rPr>
      </w:pPr>
      <w:r w:rsidRPr="00105C49">
        <w:rPr>
          <w:b/>
          <w:color w:val="auto"/>
          <w:sz w:val="24"/>
          <w:szCs w:val="24"/>
          <w:lang w:val="en-US"/>
        </w:rPr>
        <w:t>Inheritance and mosaicism</w:t>
      </w:r>
    </w:p>
    <w:p w14:paraId="01131E8E" w14:textId="68B607E8" w:rsidR="0075169B" w:rsidRPr="00105C49" w:rsidRDefault="0075169B" w:rsidP="006C2244">
      <w:pPr>
        <w:spacing w:line="480" w:lineRule="auto"/>
        <w:rPr>
          <w:rFonts w:ascii="Arial" w:hAnsi="Arial" w:cs="Arial"/>
          <w:lang w:val="en-US"/>
        </w:rPr>
      </w:pPr>
      <w:r w:rsidRPr="00105C49">
        <w:rPr>
          <w:rFonts w:ascii="Arial" w:hAnsi="Arial" w:cs="Arial"/>
          <w:lang w:val="en-US"/>
        </w:rPr>
        <w:t xml:space="preserve">In 17/22 (77.3%) cases, the </w:t>
      </w:r>
      <w:r w:rsidRPr="00105C49">
        <w:rPr>
          <w:rFonts w:ascii="Arial" w:hAnsi="Arial" w:cs="Arial"/>
          <w:i/>
          <w:lang w:val="en-US"/>
        </w:rPr>
        <w:t>SCN2A</w:t>
      </w:r>
      <w:r w:rsidRPr="00105C49">
        <w:rPr>
          <w:rFonts w:ascii="Arial" w:hAnsi="Arial" w:cs="Arial"/>
          <w:lang w:val="en-US"/>
        </w:rPr>
        <w:t xml:space="preserve"> variant was found to be </w:t>
      </w:r>
      <w:r w:rsidRPr="00105C49">
        <w:rPr>
          <w:rFonts w:ascii="Arial" w:hAnsi="Arial" w:cs="Arial"/>
          <w:i/>
          <w:lang w:val="en-US"/>
        </w:rPr>
        <w:t>de novo</w:t>
      </w:r>
      <w:r w:rsidRPr="00105C49">
        <w:rPr>
          <w:rFonts w:ascii="Arial" w:hAnsi="Arial" w:cs="Arial"/>
          <w:lang w:val="en-US"/>
        </w:rPr>
        <w:t xml:space="preserve">. In </w:t>
      </w:r>
      <w:proofErr w:type="gramStart"/>
      <w:r w:rsidRPr="00105C49">
        <w:rPr>
          <w:rFonts w:ascii="Arial" w:hAnsi="Arial" w:cs="Arial"/>
          <w:lang w:val="en-US"/>
        </w:rPr>
        <w:t>2</w:t>
      </w:r>
      <w:proofErr w:type="gramEnd"/>
      <w:r w:rsidRPr="00105C49">
        <w:rPr>
          <w:rFonts w:ascii="Arial" w:hAnsi="Arial" w:cs="Arial"/>
          <w:lang w:val="en-US"/>
        </w:rPr>
        <w:t xml:space="preserve"> patients inheritance was unknown. In </w:t>
      </w:r>
      <w:proofErr w:type="gramStart"/>
      <w:r w:rsidRPr="00105C49">
        <w:rPr>
          <w:rFonts w:ascii="Arial" w:hAnsi="Arial" w:cs="Arial"/>
          <w:lang w:val="en-US"/>
        </w:rPr>
        <w:t>2</w:t>
      </w:r>
      <w:proofErr w:type="gramEnd"/>
      <w:r w:rsidRPr="00105C49">
        <w:rPr>
          <w:rFonts w:ascii="Arial" w:hAnsi="Arial" w:cs="Arial"/>
          <w:lang w:val="en-US"/>
        </w:rPr>
        <w:t xml:space="preserve"> patients the variant was inherited from an affected </w:t>
      </w:r>
      <w:r w:rsidRPr="00F95100">
        <w:rPr>
          <w:rFonts w:ascii="Arial" w:hAnsi="Arial" w:cs="Arial"/>
          <w:lang w:val="en-US"/>
        </w:rPr>
        <w:t>parent (</w:t>
      </w:r>
      <w:r w:rsidR="00F95100">
        <w:rPr>
          <w:rFonts w:ascii="Arial" w:hAnsi="Arial" w:cs="Arial"/>
          <w:lang w:val="en-US"/>
        </w:rPr>
        <w:t>patients</w:t>
      </w:r>
      <w:r w:rsidRPr="00F95100">
        <w:rPr>
          <w:rFonts w:ascii="Arial" w:hAnsi="Arial" w:cs="Arial"/>
          <w:lang w:val="en-US"/>
        </w:rPr>
        <w:t xml:space="preserve"> </w:t>
      </w:r>
      <w:r w:rsidR="00D4232F" w:rsidRPr="00F95100">
        <w:rPr>
          <w:rFonts w:ascii="Arial" w:hAnsi="Arial" w:cs="Arial"/>
          <w:lang w:val="en-US"/>
        </w:rPr>
        <w:t>3</w:t>
      </w:r>
      <w:r w:rsidRPr="00F95100">
        <w:rPr>
          <w:rFonts w:ascii="Arial" w:hAnsi="Arial" w:cs="Arial"/>
          <w:lang w:val="en-US"/>
        </w:rPr>
        <w:t xml:space="preserve"> and </w:t>
      </w:r>
      <w:r w:rsidR="00F95100">
        <w:rPr>
          <w:rFonts w:ascii="Arial" w:hAnsi="Arial" w:cs="Arial"/>
          <w:lang w:val="en-US"/>
        </w:rPr>
        <w:t>6</w:t>
      </w:r>
      <w:r w:rsidRPr="00F95100">
        <w:rPr>
          <w:rFonts w:ascii="Arial" w:hAnsi="Arial" w:cs="Arial"/>
          <w:lang w:val="en-US"/>
        </w:rPr>
        <w:t>).</w:t>
      </w:r>
      <w:r w:rsidRPr="00105C49">
        <w:rPr>
          <w:rFonts w:ascii="Arial" w:hAnsi="Arial" w:cs="Arial"/>
          <w:lang w:val="en-US"/>
        </w:rPr>
        <w:t xml:space="preserve"> </w:t>
      </w:r>
    </w:p>
    <w:p w14:paraId="57E63F17" w14:textId="2EAB33B4" w:rsidR="0075169B" w:rsidRPr="00105C49" w:rsidRDefault="0075169B" w:rsidP="006C2244">
      <w:pPr>
        <w:spacing w:line="480" w:lineRule="auto"/>
        <w:rPr>
          <w:rFonts w:ascii="Arial" w:hAnsi="Arial" w:cs="Arial"/>
          <w:lang w:val="en-US"/>
        </w:rPr>
      </w:pPr>
      <w:r w:rsidRPr="00F95100">
        <w:rPr>
          <w:rFonts w:ascii="Arial" w:hAnsi="Arial" w:cs="Arial"/>
          <w:lang w:val="en-US"/>
        </w:rPr>
        <w:t xml:space="preserve">Patient </w:t>
      </w:r>
      <w:proofErr w:type="gramStart"/>
      <w:r w:rsidR="00D4232F" w:rsidRPr="00F95100">
        <w:rPr>
          <w:rFonts w:ascii="Arial" w:hAnsi="Arial" w:cs="Arial"/>
          <w:lang w:val="en-US"/>
        </w:rPr>
        <w:t>3</w:t>
      </w:r>
      <w:proofErr w:type="gramEnd"/>
      <w:r w:rsidRPr="00F95100">
        <w:rPr>
          <w:rFonts w:ascii="Arial" w:hAnsi="Arial" w:cs="Arial"/>
          <w:lang w:val="en-US"/>
        </w:rPr>
        <w:t>, who had absence seizure onset a</w:t>
      </w:r>
      <w:r w:rsidR="00F07726" w:rsidRPr="00105C49">
        <w:rPr>
          <w:rFonts w:ascii="Arial" w:hAnsi="Arial" w:cs="Arial"/>
          <w:lang w:val="en-US"/>
        </w:rPr>
        <w:t>t</w:t>
      </w:r>
      <w:r w:rsidRPr="00105C49">
        <w:rPr>
          <w:rFonts w:ascii="Arial" w:hAnsi="Arial" w:cs="Arial"/>
          <w:lang w:val="en-US"/>
        </w:rPr>
        <w:t xml:space="preserve"> 3 months, and moderate DD and ID, inherited the variant from an affected mother (see </w:t>
      </w:r>
      <w:r w:rsidRPr="00621CBF">
        <w:rPr>
          <w:rFonts w:ascii="Arial" w:hAnsi="Arial" w:cs="Arial"/>
          <w:highlight w:val="yellow"/>
          <w:lang w:val="en-US"/>
        </w:rPr>
        <w:t xml:space="preserve">figure </w:t>
      </w:r>
      <w:r w:rsidR="00D453EE">
        <w:rPr>
          <w:rFonts w:ascii="Arial" w:hAnsi="Arial" w:cs="Arial"/>
          <w:highlight w:val="yellow"/>
          <w:lang w:val="en-US"/>
        </w:rPr>
        <w:t>2</w:t>
      </w:r>
      <w:r w:rsidRPr="00621CBF">
        <w:rPr>
          <w:rFonts w:ascii="Arial" w:hAnsi="Arial" w:cs="Arial"/>
          <w:highlight w:val="yellow"/>
          <w:lang w:val="en-US"/>
        </w:rPr>
        <w:t>b</w:t>
      </w:r>
      <w:r w:rsidRPr="00105C49">
        <w:rPr>
          <w:rFonts w:ascii="Arial" w:hAnsi="Arial" w:cs="Arial"/>
          <w:lang w:val="en-US"/>
        </w:rPr>
        <w:t>), who was also reported to have seizures (although the age of onset is unknown) and a ‘specific learning disability’.</w:t>
      </w:r>
      <w:r w:rsidR="007F3EC0">
        <w:rPr>
          <w:rFonts w:ascii="Arial" w:hAnsi="Arial" w:cs="Arial"/>
          <w:lang w:val="en-US"/>
        </w:rPr>
        <w:t xml:space="preserve"> This variant is absent from </w:t>
      </w:r>
      <w:proofErr w:type="spellStart"/>
      <w:r w:rsidR="007F3EC0">
        <w:rPr>
          <w:rFonts w:ascii="Arial" w:hAnsi="Arial" w:cs="Arial"/>
          <w:lang w:val="en-US"/>
        </w:rPr>
        <w:t>gnomAD</w:t>
      </w:r>
      <w:proofErr w:type="spellEnd"/>
      <w:r w:rsidR="007F3EC0">
        <w:rPr>
          <w:rFonts w:ascii="Arial" w:hAnsi="Arial" w:cs="Arial"/>
          <w:lang w:val="en-US"/>
        </w:rPr>
        <w:t>, lies with a constrained region of the gene (assessed via DECI</w:t>
      </w:r>
      <w:r w:rsidR="005E28D2">
        <w:rPr>
          <w:rFonts w:ascii="Arial" w:hAnsi="Arial" w:cs="Arial"/>
          <w:lang w:val="en-US"/>
        </w:rPr>
        <w:t>P</w:t>
      </w:r>
      <w:r w:rsidR="007F3EC0">
        <w:rPr>
          <w:rFonts w:ascii="Arial" w:hAnsi="Arial" w:cs="Arial"/>
          <w:lang w:val="en-US"/>
        </w:rPr>
        <w:t xml:space="preserve">HER database) and </w:t>
      </w:r>
      <w:r w:rsidR="007F3EC0" w:rsidRPr="005E28D2">
        <w:rPr>
          <w:rFonts w:ascii="Arial" w:hAnsi="Arial" w:cs="Arial"/>
          <w:i/>
          <w:lang w:val="en-US"/>
        </w:rPr>
        <w:t xml:space="preserve">in </w:t>
      </w:r>
      <w:proofErr w:type="spellStart"/>
      <w:r w:rsidR="007F3EC0" w:rsidRPr="005E28D2">
        <w:rPr>
          <w:rFonts w:ascii="Arial" w:hAnsi="Arial" w:cs="Arial"/>
          <w:i/>
          <w:lang w:val="en-US"/>
        </w:rPr>
        <w:t>silico</w:t>
      </w:r>
      <w:proofErr w:type="spellEnd"/>
      <w:r w:rsidR="007F3EC0">
        <w:rPr>
          <w:rFonts w:ascii="Arial" w:hAnsi="Arial" w:cs="Arial"/>
          <w:lang w:val="en-US"/>
        </w:rPr>
        <w:t xml:space="preserve"> tools predict this to be deleterious. The only previous report of this variant is referring to this same patient</w:t>
      </w:r>
      <w:r w:rsidR="00ED0C98">
        <w:rPr>
          <w:rFonts w:ascii="Arial" w:hAnsi="Arial" w:cs="Arial"/>
          <w:highlight w:val="yellow"/>
          <w:vertAlign w:val="superscript"/>
          <w:lang w:val="en-US"/>
        </w:rPr>
        <w:t xml:space="preserve"> </w:t>
      </w:r>
      <w:r w:rsidR="00ED0C98" w:rsidRPr="004E1995">
        <w:rPr>
          <w:rFonts w:ascii="Arial" w:hAnsi="Arial" w:cs="Arial"/>
          <w:lang w:val="en-US"/>
        </w:rPr>
        <w:t>(Fitzgerald 2015)</w:t>
      </w:r>
      <w:r w:rsidR="005E28D2" w:rsidRPr="004E1995">
        <w:rPr>
          <w:rFonts w:ascii="Arial" w:hAnsi="Arial" w:cs="Arial"/>
          <w:lang w:val="en-US"/>
        </w:rPr>
        <w:t>.</w:t>
      </w:r>
      <w:r w:rsidR="007C5237">
        <w:rPr>
          <w:rFonts w:ascii="Arial" w:hAnsi="Arial" w:cs="Arial"/>
          <w:lang w:val="en-US"/>
        </w:rPr>
        <w:t xml:space="preserve"> </w:t>
      </w:r>
      <w:r w:rsidR="007F3EC0">
        <w:rPr>
          <w:rFonts w:ascii="Arial" w:hAnsi="Arial" w:cs="Arial"/>
          <w:lang w:val="en-US"/>
        </w:rPr>
        <w:t>Currently, therefore, this remains a VUS with a posterior probability of 81.2</w:t>
      </w:r>
      <w:r w:rsidR="005E28D2">
        <w:rPr>
          <w:rFonts w:ascii="Arial" w:hAnsi="Arial" w:cs="Arial"/>
          <w:lang w:val="en-US"/>
        </w:rPr>
        <w:t>%</w:t>
      </w:r>
      <w:r w:rsidR="007F3EC0">
        <w:rPr>
          <w:rFonts w:ascii="Arial" w:hAnsi="Arial" w:cs="Arial"/>
          <w:lang w:val="en-US"/>
        </w:rPr>
        <w:t>.</w:t>
      </w:r>
    </w:p>
    <w:p w14:paraId="5D1F3C7F" w14:textId="2FAD7DE5" w:rsidR="0075169B" w:rsidRPr="00105C49" w:rsidRDefault="0075169B" w:rsidP="006C2244">
      <w:pPr>
        <w:spacing w:line="480" w:lineRule="auto"/>
        <w:rPr>
          <w:rFonts w:ascii="Arial" w:hAnsi="Arial" w:cs="Arial"/>
          <w:lang w:val="en-US"/>
        </w:rPr>
      </w:pPr>
      <w:r w:rsidRPr="00F95100">
        <w:rPr>
          <w:rFonts w:ascii="Arial" w:hAnsi="Arial" w:cs="Arial"/>
          <w:lang w:val="en-US"/>
        </w:rPr>
        <w:t xml:space="preserve">Patient </w:t>
      </w:r>
      <w:proofErr w:type="gramStart"/>
      <w:r w:rsidR="00F52CEE" w:rsidRPr="00F95100">
        <w:rPr>
          <w:rFonts w:ascii="Arial" w:hAnsi="Arial" w:cs="Arial"/>
          <w:lang w:val="en-US"/>
        </w:rPr>
        <w:t>6</w:t>
      </w:r>
      <w:proofErr w:type="gramEnd"/>
      <w:r w:rsidR="00F52CEE" w:rsidRPr="00F95100">
        <w:rPr>
          <w:rFonts w:ascii="Arial" w:hAnsi="Arial" w:cs="Arial"/>
          <w:lang w:val="en-US"/>
        </w:rPr>
        <w:t xml:space="preserve"> </w:t>
      </w:r>
      <w:r w:rsidRPr="00F95100">
        <w:rPr>
          <w:rFonts w:ascii="Arial" w:hAnsi="Arial" w:cs="Arial"/>
          <w:lang w:val="en-US"/>
        </w:rPr>
        <w:t>inherited</w:t>
      </w:r>
      <w:r w:rsidRPr="00105C49">
        <w:rPr>
          <w:rFonts w:ascii="Arial" w:hAnsi="Arial" w:cs="Arial"/>
          <w:lang w:val="en-US"/>
        </w:rPr>
        <w:t xml:space="preserve"> the variant from </w:t>
      </w:r>
      <w:r w:rsidR="00F52CEE">
        <w:rPr>
          <w:rFonts w:ascii="Arial" w:hAnsi="Arial" w:cs="Arial"/>
          <w:lang w:val="en-US"/>
        </w:rPr>
        <w:t>his</w:t>
      </w:r>
      <w:r w:rsidRPr="00105C49">
        <w:rPr>
          <w:rFonts w:ascii="Arial" w:hAnsi="Arial" w:cs="Arial"/>
          <w:lang w:val="en-US"/>
        </w:rPr>
        <w:t xml:space="preserve"> father </w:t>
      </w:r>
      <w:r w:rsidR="00F52CEE">
        <w:rPr>
          <w:rFonts w:ascii="Arial" w:hAnsi="Arial" w:cs="Arial"/>
          <w:lang w:val="en-US"/>
        </w:rPr>
        <w:t xml:space="preserve">who was </w:t>
      </w:r>
      <w:r w:rsidRPr="00105C49">
        <w:rPr>
          <w:rFonts w:ascii="Arial" w:hAnsi="Arial" w:cs="Arial"/>
          <w:lang w:val="en-US"/>
        </w:rPr>
        <w:t xml:space="preserve">also reported to have onset of seizures at a </w:t>
      </w:r>
      <w:r w:rsidRPr="00F95100">
        <w:rPr>
          <w:rFonts w:ascii="Arial" w:hAnsi="Arial" w:cs="Arial"/>
          <w:lang w:val="en-US"/>
        </w:rPr>
        <w:t>very young age</w:t>
      </w:r>
      <w:r w:rsidR="00F95100" w:rsidRPr="00F95100">
        <w:rPr>
          <w:rFonts w:ascii="Arial" w:hAnsi="Arial" w:cs="Arial"/>
          <w:lang w:val="en-US"/>
        </w:rPr>
        <w:t xml:space="preserve"> </w:t>
      </w:r>
      <w:r w:rsidR="00A31647">
        <w:rPr>
          <w:rFonts w:ascii="Arial" w:hAnsi="Arial" w:cs="Arial"/>
          <w:lang w:val="en-US"/>
        </w:rPr>
        <w:t>(</w:t>
      </w:r>
      <w:r w:rsidR="00F95100" w:rsidRPr="00F95100">
        <w:rPr>
          <w:rFonts w:ascii="Arial" w:hAnsi="Arial" w:cs="Arial"/>
          <w:lang w:val="en-US"/>
        </w:rPr>
        <w:t>although</w:t>
      </w:r>
      <w:r w:rsidR="00F95100">
        <w:rPr>
          <w:rFonts w:ascii="Arial" w:hAnsi="Arial" w:cs="Arial"/>
          <w:lang w:val="en-US"/>
        </w:rPr>
        <w:t xml:space="preserve"> exact age unknown</w:t>
      </w:r>
      <w:r w:rsidR="00A31647">
        <w:rPr>
          <w:rFonts w:ascii="Arial" w:hAnsi="Arial" w:cs="Arial"/>
          <w:lang w:val="en-US"/>
        </w:rPr>
        <w:t>)</w:t>
      </w:r>
      <w:r w:rsidR="00F52CEE">
        <w:rPr>
          <w:rFonts w:ascii="Arial" w:hAnsi="Arial" w:cs="Arial"/>
          <w:lang w:val="en-US"/>
        </w:rPr>
        <w:t>,</w:t>
      </w:r>
      <w:r w:rsidR="007C5237">
        <w:rPr>
          <w:rFonts w:ascii="Arial" w:hAnsi="Arial" w:cs="Arial"/>
          <w:lang w:val="en-US"/>
        </w:rPr>
        <w:t xml:space="preserve"> which resolved by around age 4 -5 years</w:t>
      </w:r>
      <w:r w:rsidR="00A31647">
        <w:rPr>
          <w:rFonts w:ascii="Arial" w:hAnsi="Arial" w:cs="Arial"/>
          <w:lang w:val="en-US"/>
        </w:rPr>
        <w:t xml:space="preserve"> and </w:t>
      </w:r>
      <w:r w:rsidR="000D1F7A">
        <w:rPr>
          <w:rFonts w:ascii="Arial" w:hAnsi="Arial" w:cs="Arial"/>
          <w:lang w:val="en-US"/>
        </w:rPr>
        <w:t>learning difficulties.</w:t>
      </w:r>
      <w:r w:rsidRPr="00105C49">
        <w:rPr>
          <w:rFonts w:ascii="Arial" w:hAnsi="Arial" w:cs="Arial"/>
          <w:lang w:val="en-US"/>
        </w:rPr>
        <w:t xml:space="preserve"> (</w:t>
      </w:r>
      <w:proofErr w:type="gramStart"/>
      <w:r w:rsidRPr="00105C49">
        <w:rPr>
          <w:rFonts w:ascii="Arial" w:hAnsi="Arial" w:cs="Arial"/>
          <w:lang w:val="en-US"/>
        </w:rPr>
        <w:t>see</w:t>
      </w:r>
      <w:proofErr w:type="gramEnd"/>
      <w:r w:rsidRPr="00105C49">
        <w:rPr>
          <w:rFonts w:ascii="Arial" w:hAnsi="Arial" w:cs="Arial"/>
          <w:lang w:val="en-US"/>
        </w:rPr>
        <w:t xml:space="preserve"> </w:t>
      </w:r>
      <w:r w:rsidRPr="00621CBF">
        <w:rPr>
          <w:rFonts w:ascii="Arial" w:hAnsi="Arial" w:cs="Arial"/>
          <w:highlight w:val="yellow"/>
          <w:lang w:val="en-US"/>
        </w:rPr>
        <w:t xml:space="preserve">figure </w:t>
      </w:r>
      <w:r w:rsidR="00D453EE">
        <w:rPr>
          <w:rFonts w:ascii="Arial" w:hAnsi="Arial" w:cs="Arial"/>
          <w:highlight w:val="yellow"/>
          <w:lang w:val="en-US"/>
        </w:rPr>
        <w:t>2</w:t>
      </w:r>
      <w:r w:rsidR="008B6226" w:rsidRPr="00621CBF">
        <w:rPr>
          <w:rFonts w:ascii="Arial" w:hAnsi="Arial" w:cs="Arial"/>
          <w:highlight w:val="yellow"/>
          <w:lang w:val="en-US"/>
        </w:rPr>
        <w:t>a</w:t>
      </w:r>
      <w:r w:rsidRPr="00105C49">
        <w:rPr>
          <w:rFonts w:ascii="Arial" w:hAnsi="Arial" w:cs="Arial"/>
          <w:lang w:val="en-US"/>
        </w:rPr>
        <w:t xml:space="preserve">). </w:t>
      </w:r>
      <w:r w:rsidR="0073560D" w:rsidRPr="00105C49">
        <w:rPr>
          <w:rFonts w:ascii="Arial" w:hAnsi="Arial" w:cs="Arial"/>
          <w:lang w:val="en-US"/>
        </w:rPr>
        <w:t xml:space="preserve">A </w:t>
      </w:r>
      <w:r w:rsidR="00436EB3" w:rsidRPr="00105C49">
        <w:rPr>
          <w:rFonts w:ascii="Arial" w:hAnsi="Arial" w:cs="Arial"/>
          <w:lang w:val="en-US"/>
        </w:rPr>
        <w:t>f</w:t>
      </w:r>
      <w:r w:rsidR="0073560D" w:rsidRPr="00105C49">
        <w:rPr>
          <w:rFonts w:ascii="Arial" w:hAnsi="Arial" w:cs="Arial"/>
          <w:lang w:val="en-US"/>
        </w:rPr>
        <w:t xml:space="preserve">ull sibling of patient </w:t>
      </w:r>
      <w:proofErr w:type="gramStart"/>
      <w:r w:rsidR="00F52CEE">
        <w:rPr>
          <w:rFonts w:ascii="Arial" w:hAnsi="Arial" w:cs="Arial"/>
          <w:lang w:val="en-US"/>
        </w:rPr>
        <w:t>6</w:t>
      </w:r>
      <w:proofErr w:type="gramEnd"/>
      <w:r w:rsidR="00F52CEE" w:rsidRPr="00105C49">
        <w:rPr>
          <w:rFonts w:ascii="Arial" w:hAnsi="Arial" w:cs="Arial"/>
          <w:lang w:val="en-US"/>
        </w:rPr>
        <w:t xml:space="preserve"> </w:t>
      </w:r>
      <w:r w:rsidR="00CB058A" w:rsidRPr="00105C49">
        <w:rPr>
          <w:rFonts w:ascii="Arial" w:hAnsi="Arial" w:cs="Arial"/>
          <w:lang w:val="en-US"/>
        </w:rPr>
        <w:t xml:space="preserve">did not have the </w:t>
      </w:r>
      <w:r w:rsidR="00CB058A" w:rsidRPr="00105C49">
        <w:rPr>
          <w:rFonts w:ascii="Arial" w:hAnsi="Arial" w:cs="Arial"/>
          <w:i/>
          <w:lang w:val="en-US"/>
        </w:rPr>
        <w:t>SCN2A</w:t>
      </w:r>
      <w:r w:rsidR="00CB058A" w:rsidRPr="00105C49">
        <w:rPr>
          <w:rFonts w:ascii="Arial" w:hAnsi="Arial" w:cs="Arial"/>
          <w:lang w:val="en-US"/>
        </w:rPr>
        <w:t xml:space="preserve"> variant, but </w:t>
      </w:r>
      <w:r w:rsidR="0073560D" w:rsidRPr="00105C49">
        <w:rPr>
          <w:rFonts w:ascii="Arial" w:hAnsi="Arial" w:cs="Arial"/>
          <w:lang w:val="en-US"/>
        </w:rPr>
        <w:t>ha</w:t>
      </w:r>
      <w:r w:rsidR="00436EB3" w:rsidRPr="00105C49">
        <w:rPr>
          <w:rFonts w:ascii="Arial" w:hAnsi="Arial" w:cs="Arial"/>
          <w:lang w:val="en-US"/>
        </w:rPr>
        <w:t xml:space="preserve">d </w:t>
      </w:r>
      <w:r w:rsidR="007C5237">
        <w:rPr>
          <w:rFonts w:ascii="Arial" w:hAnsi="Arial" w:cs="Arial"/>
          <w:lang w:val="en-US"/>
        </w:rPr>
        <w:t>infantile</w:t>
      </w:r>
      <w:r w:rsidR="007C5237" w:rsidRPr="00105C49">
        <w:rPr>
          <w:rFonts w:ascii="Arial" w:hAnsi="Arial" w:cs="Arial"/>
          <w:lang w:val="en-US"/>
        </w:rPr>
        <w:t xml:space="preserve"> </w:t>
      </w:r>
      <w:r w:rsidR="00436EB3" w:rsidRPr="00105C49">
        <w:rPr>
          <w:rFonts w:ascii="Arial" w:hAnsi="Arial" w:cs="Arial"/>
          <w:lang w:val="en-US"/>
        </w:rPr>
        <w:t>onset</w:t>
      </w:r>
      <w:r w:rsidR="0073560D" w:rsidRPr="00105C49">
        <w:rPr>
          <w:rFonts w:ascii="Arial" w:hAnsi="Arial" w:cs="Arial"/>
          <w:lang w:val="en-US"/>
        </w:rPr>
        <w:t xml:space="preserve"> seizures with a </w:t>
      </w:r>
      <w:r w:rsidR="00BD731D" w:rsidRPr="00105C49">
        <w:rPr>
          <w:rFonts w:ascii="Arial" w:hAnsi="Arial" w:cs="Arial"/>
          <w:lang w:val="en-US"/>
        </w:rPr>
        <w:t>m</w:t>
      </w:r>
      <w:r w:rsidR="0073560D" w:rsidRPr="00105C49">
        <w:rPr>
          <w:rFonts w:ascii="Arial" w:hAnsi="Arial" w:cs="Arial"/>
          <w:lang w:val="en-US"/>
        </w:rPr>
        <w:t>ilder ID</w:t>
      </w:r>
      <w:r w:rsidR="00CB058A" w:rsidRPr="00105C49">
        <w:rPr>
          <w:rFonts w:ascii="Arial" w:hAnsi="Arial" w:cs="Arial"/>
          <w:lang w:val="en-US"/>
        </w:rPr>
        <w:t xml:space="preserve"> </w:t>
      </w:r>
      <w:r w:rsidR="00B25304" w:rsidRPr="00105C49">
        <w:rPr>
          <w:rFonts w:ascii="Arial" w:hAnsi="Arial" w:cs="Arial"/>
          <w:lang w:val="en-US"/>
        </w:rPr>
        <w:t>b</w:t>
      </w:r>
      <w:r w:rsidR="007F3EC0">
        <w:rPr>
          <w:rFonts w:ascii="Arial" w:hAnsi="Arial" w:cs="Arial"/>
          <w:lang w:val="en-US"/>
        </w:rPr>
        <w:t>u</w:t>
      </w:r>
      <w:r w:rsidR="00B25304" w:rsidRPr="00105C49">
        <w:rPr>
          <w:rFonts w:ascii="Arial" w:hAnsi="Arial" w:cs="Arial"/>
          <w:lang w:val="en-US"/>
        </w:rPr>
        <w:t xml:space="preserve">t with </w:t>
      </w:r>
      <w:r w:rsidR="00CB058A" w:rsidRPr="00105C49">
        <w:rPr>
          <w:rFonts w:ascii="Arial" w:hAnsi="Arial" w:cs="Arial"/>
          <w:lang w:val="en-US"/>
        </w:rPr>
        <w:t xml:space="preserve">an antenatal and perinatal history suggestive of vascular risk, and so with a </w:t>
      </w:r>
      <w:r w:rsidR="00CB058A" w:rsidRPr="00105C49">
        <w:rPr>
          <w:rFonts w:ascii="Arial" w:hAnsi="Arial" w:cs="Arial"/>
          <w:lang w:val="en-US"/>
        </w:rPr>
        <w:lastRenderedPageBreak/>
        <w:t>plausible alternative explanation</w:t>
      </w:r>
      <w:r w:rsidR="0073560D" w:rsidRPr="00105C49">
        <w:rPr>
          <w:rFonts w:ascii="Arial" w:hAnsi="Arial" w:cs="Arial"/>
          <w:lang w:val="en-US"/>
        </w:rPr>
        <w:t xml:space="preserve">. </w:t>
      </w:r>
      <w:r w:rsidR="000D1F7A">
        <w:rPr>
          <w:rFonts w:ascii="Arial" w:hAnsi="Arial" w:cs="Arial"/>
          <w:lang w:val="en-US"/>
        </w:rPr>
        <w:t xml:space="preserve">Wider cascade testing of the </w:t>
      </w:r>
      <w:r w:rsidR="000D1F7A" w:rsidRPr="00E96FF6">
        <w:rPr>
          <w:rFonts w:ascii="Arial" w:hAnsi="Arial" w:cs="Arial"/>
          <w:i/>
          <w:lang w:val="en-US"/>
        </w:rPr>
        <w:t>SCN2A</w:t>
      </w:r>
      <w:r w:rsidR="000D1F7A">
        <w:rPr>
          <w:rFonts w:ascii="Arial" w:hAnsi="Arial" w:cs="Arial"/>
          <w:lang w:val="en-US"/>
        </w:rPr>
        <w:t xml:space="preserve"> variant in this family was not possible. </w:t>
      </w:r>
      <w:r w:rsidR="00B25304" w:rsidRPr="00105C49">
        <w:rPr>
          <w:rFonts w:ascii="Arial" w:hAnsi="Arial" w:cs="Arial"/>
          <w:lang w:val="en-US"/>
        </w:rPr>
        <w:t xml:space="preserve">Given the presence of this pathogenic </w:t>
      </w:r>
      <w:r w:rsidR="00B25304" w:rsidRPr="00105C49">
        <w:rPr>
          <w:rFonts w:ascii="Arial" w:hAnsi="Arial" w:cs="Arial"/>
          <w:i/>
          <w:lang w:val="en-US"/>
        </w:rPr>
        <w:t>SCN2A</w:t>
      </w:r>
      <w:r w:rsidR="00B25304" w:rsidRPr="00105C49">
        <w:rPr>
          <w:rFonts w:ascii="Arial" w:hAnsi="Arial" w:cs="Arial"/>
          <w:lang w:val="en-US"/>
        </w:rPr>
        <w:t xml:space="preserve"> variant, with no other class 3</w:t>
      </w:r>
      <w:proofErr w:type="gramStart"/>
      <w:r w:rsidR="00B25304" w:rsidRPr="00105C49">
        <w:rPr>
          <w:rFonts w:ascii="Arial" w:hAnsi="Arial" w:cs="Arial"/>
          <w:lang w:val="en-US"/>
        </w:rPr>
        <w:t>,4</w:t>
      </w:r>
      <w:proofErr w:type="gramEnd"/>
      <w:r w:rsidR="00B25304" w:rsidRPr="00105C49">
        <w:rPr>
          <w:rFonts w:ascii="Arial" w:hAnsi="Arial" w:cs="Arial"/>
          <w:lang w:val="en-US"/>
        </w:rPr>
        <w:t xml:space="preserve"> or 5 variants from the trio exome</w:t>
      </w:r>
      <w:r w:rsidR="00105C49">
        <w:rPr>
          <w:rFonts w:ascii="Arial" w:hAnsi="Arial" w:cs="Arial"/>
          <w:lang w:val="en-US"/>
        </w:rPr>
        <w:t xml:space="preserve"> analysis</w:t>
      </w:r>
      <w:r w:rsidR="00F52CEE">
        <w:rPr>
          <w:rFonts w:ascii="Arial" w:hAnsi="Arial" w:cs="Arial"/>
          <w:lang w:val="en-US"/>
        </w:rPr>
        <w:t xml:space="preserve"> and no CNVs </w:t>
      </w:r>
      <w:r w:rsidR="003E19B8">
        <w:rPr>
          <w:rFonts w:ascii="Arial" w:hAnsi="Arial" w:cs="Arial"/>
          <w:lang w:val="en-US"/>
        </w:rPr>
        <w:t xml:space="preserve">on CMA </w:t>
      </w:r>
      <w:r w:rsidR="00F52CEE" w:rsidRPr="00105C49">
        <w:rPr>
          <w:rFonts w:ascii="Arial" w:hAnsi="Arial" w:cs="Arial"/>
          <w:lang w:val="en-US"/>
        </w:rPr>
        <w:t>in this patient</w:t>
      </w:r>
      <w:r w:rsidR="00B25304" w:rsidRPr="00105C49">
        <w:rPr>
          <w:rFonts w:ascii="Arial" w:hAnsi="Arial" w:cs="Arial"/>
          <w:lang w:val="en-US"/>
        </w:rPr>
        <w:t xml:space="preserve">, this was concluded to be the </w:t>
      </w:r>
      <w:r w:rsidR="00C94044">
        <w:rPr>
          <w:rFonts w:ascii="Arial" w:hAnsi="Arial" w:cs="Arial"/>
          <w:lang w:val="en-US"/>
        </w:rPr>
        <w:t xml:space="preserve">likely </w:t>
      </w:r>
      <w:r w:rsidR="00B25304" w:rsidRPr="00105C49">
        <w:rPr>
          <w:rFonts w:ascii="Arial" w:hAnsi="Arial" w:cs="Arial"/>
          <w:lang w:val="en-US"/>
        </w:rPr>
        <w:t xml:space="preserve">explanation for </w:t>
      </w:r>
      <w:r w:rsidR="007C5237">
        <w:rPr>
          <w:rFonts w:ascii="Arial" w:hAnsi="Arial" w:cs="Arial"/>
          <w:lang w:val="en-US"/>
        </w:rPr>
        <w:t>the patients</w:t>
      </w:r>
      <w:r w:rsidR="00C4002A">
        <w:rPr>
          <w:rFonts w:ascii="Arial" w:hAnsi="Arial" w:cs="Arial"/>
          <w:lang w:val="en-US"/>
        </w:rPr>
        <w:t>’</w:t>
      </w:r>
      <w:r w:rsidR="007C5237" w:rsidRPr="00105C49">
        <w:rPr>
          <w:rFonts w:ascii="Arial" w:hAnsi="Arial" w:cs="Arial"/>
          <w:lang w:val="en-US"/>
        </w:rPr>
        <w:t xml:space="preserve"> </w:t>
      </w:r>
      <w:r w:rsidR="00B25304" w:rsidRPr="00105C49">
        <w:rPr>
          <w:rFonts w:ascii="Arial" w:hAnsi="Arial" w:cs="Arial"/>
          <w:lang w:val="en-US"/>
        </w:rPr>
        <w:t>phenotype.</w:t>
      </w:r>
    </w:p>
    <w:p w14:paraId="2A986F20" w14:textId="77777777" w:rsidR="00CB058A" w:rsidRPr="00105C49" w:rsidRDefault="00CB058A" w:rsidP="006C2244">
      <w:pPr>
        <w:spacing w:line="480" w:lineRule="auto"/>
        <w:rPr>
          <w:rFonts w:ascii="Arial" w:hAnsi="Arial" w:cs="Arial"/>
        </w:rPr>
      </w:pPr>
    </w:p>
    <w:p w14:paraId="1260C9C7" w14:textId="4DF9BECE" w:rsidR="0075169B" w:rsidRPr="00105C49" w:rsidRDefault="00E93E3F" w:rsidP="006C2244">
      <w:pPr>
        <w:spacing w:line="480" w:lineRule="auto"/>
        <w:rPr>
          <w:rFonts w:ascii="Arial" w:hAnsi="Arial" w:cs="Arial"/>
        </w:rPr>
      </w:pPr>
      <w:r w:rsidRPr="00105C49">
        <w:rPr>
          <w:rFonts w:ascii="Arial" w:hAnsi="Arial" w:cs="Arial"/>
          <w:lang w:val="en-US"/>
        </w:rPr>
        <w:t>One</w:t>
      </w:r>
      <w:r w:rsidR="0075169B" w:rsidRPr="00105C49">
        <w:rPr>
          <w:rFonts w:ascii="Arial" w:hAnsi="Arial" w:cs="Arial"/>
          <w:lang w:val="en-US"/>
        </w:rPr>
        <w:t xml:space="preserve"> </w:t>
      </w:r>
      <w:r w:rsidR="0075169B" w:rsidRPr="00A31647">
        <w:rPr>
          <w:rFonts w:ascii="Arial" w:hAnsi="Arial" w:cs="Arial"/>
          <w:lang w:val="en-US"/>
        </w:rPr>
        <w:t>family (patients 1</w:t>
      </w:r>
      <w:r w:rsidR="00F52CEE" w:rsidRPr="00A31647">
        <w:rPr>
          <w:rFonts w:ascii="Arial" w:hAnsi="Arial" w:cs="Arial"/>
          <w:lang w:val="en-US"/>
        </w:rPr>
        <w:t>6</w:t>
      </w:r>
      <w:r w:rsidR="0075169B" w:rsidRPr="00A31647">
        <w:rPr>
          <w:rFonts w:ascii="Arial" w:hAnsi="Arial" w:cs="Arial"/>
          <w:lang w:val="en-US"/>
        </w:rPr>
        <w:t xml:space="preserve"> and 1</w:t>
      </w:r>
      <w:r w:rsidR="00F52CEE" w:rsidRPr="00A31647">
        <w:rPr>
          <w:rFonts w:ascii="Arial" w:hAnsi="Arial" w:cs="Arial"/>
          <w:lang w:val="en-US"/>
        </w:rPr>
        <w:t>7</w:t>
      </w:r>
      <w:r w:rsidR="0075169B" w:rsidRPr="00A31647">
        <w:rPr>
          <w:rFonts w:ascii="Arial" w:hAnsi="Arial" w:cs="Arial"/>
          <w:lang w:val="en-US"/>
        </w:rPr>
        <w:t xml:space="preserve">, </w:t>
      </w:r>
      <w:r w:rsidR="0075169B" w:rsidRPr="00621CBF">
        <w:rPr>
          <w:rFonts w:ascii="Arial" w:hAnsi="Arial" w:cs="Arial"/>
          <w:highlight w:val="yellow"/>
          <w:lang w:val="en-US"/>
        </w:rPr>
        <w:t xml:space="preserve">see figure </w:t>
      </w:r>
      <w:r w:rsidR="00D453EE">
        <w:rPr>
          <w:rFonts w:ascii="Arial" w:hAnsi="Arial" w:cs="Arial"/>
          <w:highlight w:val="yellow"/>
          <w:lang w:val="en-US"/>
        </w:rPr>
        <w:t>2</w:t>
      </w:r>
      <w:r w:rsidR="00A51CBB" w:rsidRPr="00621CBF">
        <w:rPr>
          <w:rFonts w:ascii="Arial" w:hAnsi="Arial" w:cs="Arial"/>
          <w:highlight w:val="yellow"/>
          <w:lang w:val="en-US"/>
        </w:rPr>
        <w:t>c</w:t>
      </w:r>
      <w:r w:rsidR="0075169B" w:rsidRPr="00621CBF">
        <w:rPr>
          <w:rFonts w:ascii="Arial" w:hAnsi="Arial" w:cs="Arial"/>
          <w:highlight w:val="yellow"/>
          <w:lang w:val="en-US"/>
        </w:rPr>
        <w:t>)</w:t>
      </w:r>
      <w:r w:rsidR="0075169B" w:rsidRPr="00105C49">
        <w:rPr>
          <w:rFonts w:ascii="Arial" w:hAnsi="Arial" w:cs="Arial"/>
          <w:lang w:val="en-US"/>
        </w:rPr>
        <w:t xml:space="preserve"> </w:t>
      </w:r>
      <w:r w:rsidRPr="00105C49">
        <w:rPr>
          <w:rFonts w:ascii="Arial" w:hAnsi="Arial" w:cs="Arial"/>
          <w:lang w:val="en-US"/>
        </w:rPr>
        <w:t>had</w:t>
      </w:r>
      <w:r w:rsidR="0075169B" w:rsidRPr="00105C49">
        <w:rPr>
          <w:rFonts w:ascii="Arial" w:hAnsi="Arial" w:cs="Arial"/>
          <w:lang w:val="en-US"/>
        </w:rPr>
        <w:t xml:space="preserve"> presumed gonadal mosaicism</w:t>
      </w:r>
      <w:r w:rsidRPr="00105C49">
        <w:rPr>
          <w:rFonts w:ascii="Arial" w:hAnsi="Arial" w:cs="Arial"/>
        </w:rPr>
        <w:t xml:space="preserve">: </w:t>
      </w:r>
      <w:r w:rsidR="00CB058A" w:rsidRPr="00105C49">
        <w:rPr>
          <w:rFonts w:ascii="Arial" w:hAnsi="Arial" w:cs="Arial"/>
        </w:rPr>
        <w:t>T</w:t>
      </w:r>
      <w:r w:rsidRPr="00105C49">
        <w:rPr>
          <w:rFonts w:ascii="Arial" w:hAnsi="Arial" w:cs="Arial"/>
        </w:rPr>
        <w:t>wo</w:t>
      </w:r>
      <w:r w:rsidR="008B68F0" w:rsidRPr="00105C49">
        <w:rPr>
          <w:rFonts w:ascii="Arial" w:hAnsi="Arial" w:cs="Arial"/>
        </w:rPr>
        <w:t xml:space="preserve"> </w:t>
      </w:r>
      <w:r w:rsidR="0075169B" w:rsidRPr="00105C49">
        <w:rPr>
          <w:rFonts w:ascii="Arial" w:hAnsi="Arial" w:cs="Arial"/>
        </w:rPr>
        <w:t xml:space="preserve">maternal half siblings </w:t>
      </w:r>
      <w:proofErr w:type="gramStart"/>
      <w:r w:rsidR="0075169B" w:rsidRPr="00105C49">
        <w:rPr>
          <w:rFonts w:ascii="Arial" w:hAnsi="Arial" w:cs="Arial"/>
        </w:rPr>
        <w:t>were identified</w:t>
      </w:r>
      <w:proofErr w:type="gramEnd"/>
      <w:r w:rsidR="0075169B" w:rsidRPr="00105C49">
        <w:rPr>
          <w:rFonts w:ascii="Arial" w:hAnsi="Arial" w:cs="Arial"/>
        </w:rPr>
        <w:t xml:space="preserve"> to have the same pathogenic </w:t>
      </w:r>
      <w:r w:rsidR="0075169B" w:rsidRPr="00105C49">
        <w:rPr>
          <w:rFonts w:ascii="Arial" w:hAnsi="Arial" w:cs="Arial"/>
          <w:i/>
        </w:rPr>
        <w:t>SCN2A</w:t>
      </w:r>
      <w:r w:rsidR="0075169B" w:rsidRPr="00105C49">
        <w:rPr>
          <w:rFonts w:ascii="Arial" w:hAnsi="Arial" w:cs="Arial"/>
        </w:rPr>
        <w:t xml:space="preserve"> variant, which was absent from the mother’s blood and buccal DNA and absent from </w:t>
      </w:r>
      <w:r w:rsidR="0075169B" w:rsidRPr="00A31647">
        <w:rPr>
          <w:rFonts w:ascii="Arial" w:hAnsi="Arial" w:cs="Arial"/>
        </w:rPr>
        <w:t>patient 1</w:t>
      </w:r>
      <w:r w:rsidR="00F52CEE" w:rsidRPr="00A31647">
        <w:rPr>
          <w:rFonts w:ascii="Arial" w:hAnsi="Arial" w:cs="Arial"/>
        </w:rPr>
        <w:t>6</w:t>
      </w:r>
      <w:r w:rsidRPr="00A31647">
        <w:rPr>
          <w:rFonts w:ascii="Arial" w:hAnsi="Arial" w:cs="Arial"/>
        </w:rPr>
        <w:t>’s</w:t>
      </w:r>
      <w:r w:rsidR="0075169B" w:rsidRPr="00A31647">
        <w:rPr>
          <w:rFonts w:ascii="Arial" w:hAnsi="Arial" w:cs="Arial"/>
        </w:rPr>
        <w:t xml:space="preserve"> father. It</w:t>
      </w:r>
      <w:r w:rsidR="0075169B" w:rsidRPr="00105C49">
        <w:rPr>
          <w:rFonts w:ascii="Arial" w:hAnsi="Arial" w:cs="Arial"/>
        </w:rPr>
        <w:t xml:space="preserve"> </w:t>
      </w:r>
      <w:proofErr w:type="gramStart"/>
      <w:r w:rsidR="0075169B" w:rsidRPr="00105C49">
        <w:rPr>
          <w:rFonts w:ascii="Arial" w:hAnsi="Arial" w:cs="Arial"/>
        </w:rPr>
        <w:t>is therefore presumed</w:t>
      </w:r>
      <w:proofErr w:type="gramEnd"/>
      <w:r w:rsidR="0075169B" w:rsidRPr="00105C49">
        <w:rPr>
          <w:rFonts w:ascii="Arial" w:hAnsi="Arial" w:cs="Arial"/>
        </w:rPr>
        <w:t xml:space="preserve"> that this is due to maternal gonadal mosaicism.</w:t>
      </w:r>
    </w:p>
    <w:p w14:paraId="3A3A3BF7" w14:textId="47C7D3DF" w:rsidR="00235626" w:rsidRPr="00105C49" w:rsidRDefault="008B6226" w:rsidP="006C2244">
      <w:pPr>
        <w:pStyle w:val="Normal1"/>
        <w:spacing w:line="480" w:lineRule="auto"/>
        <w:rPr>
          <w:b/>
          <w:sz w:val="24"/>
          <w:szCs w:val="24"/>
          <w:lang w:val="en-US"/>
        </w:rPr>
      </w:pPr>
      <w:proofErr w:type="gramStart"/>
      <w:r w:rsidRPr="00105C49">
        <w:rPr>
          <w:b/>
          <w:sz w:val="24"/>
          <w:szCs w:val="24"/>
          <w:highlight w:val="yellow"/>
          <w:lang w:val="en-US"/>
        </w:rPr>
        <w:t>figure</w:t>
      </w:r>
      <w:proofErr w:type="gramEnd"/>
      <w:r w:rsidRPr="00105C49">
        <w:rPr>
          <w:b/>
          <w:sz w:val="24"/>
          <w:szCs w:val="24"/>
          <w:highlight w:val="yellow"/>
          <w:lang w:val="en-US"/>
        </w:rPr>
        <w:t xml:space="preserve"> </w:t>
      </w:r>
      <w:r w:rsidR="00412E93">
        <w:rPr>
          <w:b/>
          <w:sz w:val="24"/>
          <w:szCs w:val="24"/>
          <w:highlight w:val="yellow"/>
          <w:lang w:val="en-US"/>
        </w:rPr>
        <w:t>2</w:t>
      </w:r>
      <w:r w:rsidRPr="00105C49">
        <w:rPr>
          <w:b/>
          <w:sz w:val="24"/>
          <w:szCs w:val="24"/>
          <w:highlight w:val="yellow"/>
          <w:lang w:val="en-US"/>
        </w:rPr>
        <w:t xml:space="preserve"> here</w:t>
      </w:r>
      <w:r w:rsidR="00412E93">
        <w:rPr>
          <w:b/>
          <w:sz w:val="24"/>
          <w:szCs w:val="24"/>
          <w:lang w:val="en-US"/>
        </w:rPr>
        <w:t xml:space="preserve"> (pedigrees)</w:t>
      </w:r>
    </w:p>
    <w:p w14:paraId="1DE22860" w14:textId="57D7851A" w:rsidR="00235626" w:rsidRPr="00105C49" w:rsidRDefault="00235626" w:rsidP="006C2244">
      <w:pPr>
        <w:pStyle w:val="Normal1"/>
        <w:spacing w:line="480" w:lineRule="auto"/>
        <w:rPr>
          <w:b/>
          <w:sz w:val="24"/>
          <w:szCs w:val="24"/>
          <w:lang w:val="en-US"/>
        </w:rPr>
      </w:pPr>
    </w:p>
    <w:p w14:paraId="78A0361F" w14:textId="77777777" w:rsidR="00B26E38" w:rsidRPr="00105C49" w:rsidRDefault="00B26E38" w:rsidP="006C2244">
      <w:pPr>
        <w:pStyle w:val="Normal1"/>
        <w:spacing w:line="480" w:lineRule="auto"/>
        <w:rPr>
          <w:b/>
          <w:sz w:val="24"/>
          <w:szCs w:val="24"/>
          <w:lang w:val="en-US"/>
        </w:rPr>
      </w:pPr>
    </w:p>
    <w:p w14:paraId="5A22C938" w14:textId="77777777" w:rsidR="00B26E38" w:rsidRPr="00105C49" w:rsidRDefault="00B26E38" w:rsidP="006C2244">
      <w:pPr>
        <w:pStyle w:val="Normal1"/>
        <w:spacing w:line="480" w:lineRule="auto"/>
        <w:rPr>
          <w:b/>
          <w:sz w:val="24"/>
          <w:szCs w:val="24"/>
          <w:lang w:val="en-US"/>
        </w:rPr>
      </w:pPr>
    </w:p>
    <w:p w14:paraId="70A13310" w14:textId="0F681A47" w:rsidR="00B72F8B" w:rsidRDefault="00B72F8B" w:rsidP="006C2244">
      <w:pPr>
        <w:pStyle w:val="Normal1"/>
        <w:spacing w:line="480" w:lineRule="auto"/>
        <w:rPr>
          <w:b/>
          <w:sz w:val="24"/>
          <w:szCs w:val="24"/>
          <w:lang w:val="en-US"/>
        </w:rPr>
      </w:pPr>
      <w:r w:rsidRPr="00105C49">
        <w:rPr>
          <w:b/>
          <w:sz w:val="24"/>
          <w:szCs w:val="24"/>
          <w:lang w:val="en-US"/>
        </w:rPr>
        <w:t>Discussion</w:t>
      </w:r>
    </w:p>
    <w:p w14:paraId="1932E6A4" w14:textId="2CED10FD" w:rsidR="007F0A8D" w:rsidRPr="00105C49" w:rsidRDefault="007F0A8D" w:rsidP="006C2244">
      <w:pPr>
        <w:pStyle w:val="Normal1"/>
        <w:spacing w:line="480" w:lineRule="auto"/>
        <w:rPr>
          <w:color w:val="auto"/>
          <w:sz w:val="24"/>
          <w:szCs w:val="24"/>
          <w:lang w:val="en-US"/>
        </w:rPr>
      </w:pPr>
      <w:r w:rsidRPr="00105C49">
        <w:rPr>
          <w:color w:val="auto"/>
          <w:sz w:val="24"/>
          <w:szCs w:val="24"/>
          <w:lang w:val="en-US"/>
        </w:rPr>
        <w:t xml:space="preserve">Here we report detailed phenotypic information for 22 cases of </w:t>
      </w:r>
      <w:r w:rsidRPr="00105C49">
        <w:rPr>
          <w:i/>
          <w:color w:val="auto"/>
          <w:sz w:val="24"/>
          <w:szCs w:val="24"/>
          <w:lang w:val="en-US"/>
        </w:rPr>
        <w:t>SCN2A</w:t>
      </w:r>
      <w:r w:rsidRPr="00105C49">
        <w:rPr>
          <w:color w:val="auto"/>
          <w:sz w:val="24"/>
          <w:szCs w:val="24"/>
          <w:lang w:val="en-US"/>
        </w:rPr>
        <w:t xml:space="preserve">-related disorders that </w:t>
      </w:r>
      <w:proofErr w:type="gramStart"/>
      <w:r w:rsidRPr="00105C49">
        <w:rPr>
          <w:color w:val="auto"/>
          <w:sz w:val="24"/>
          <w:szCs w:val="24"/>
          <w:lang w:val="en-US"/>
        </w:rPr>
        <w:t>have not previously been reported</w:t>
      </w:r>
      <w:proofErr w:type="gramEnd"/>
      <w:r w:rsidRPr="00105C49">
        <w:rPr>
          <w:color w:val="auto"/>
          <w:sz w:val="24"/>
          <w:szCs w:val="24"/>
          <w:lang w:val="en-US"/>
        </w:rPr>
        <w:t xml:space="preserve"> with detailed phenotypic data. Among </w:t>
      </w:r>
      <w:proofErr w:type="gramStart"/>
      <w:r w:rsidRPr="00105C49">
        <w:rPr>
          <w:color w:val="auto"/>
          <w:sz w:val="24"/>
          <w:szCs w:val="24"/>
          <w:lang w:val="en-US"/>
        </w:rPr>
        <w:t>them</w:t>
      </w:r>
      <w:proofErr w:type="gramEnd"/>
      <w:r w:rsidRPr="00105C49">
        <w:rPr>
          <w:color w:val="auto"/>
          <w:sz w:val="24"/>
          <w:szCs w:val="24"/>
          <w:lang w:val="en-US"/>
        </w:rPr>
        <w:t xml:space="preserve"> there were 13 novel variants. The majority of these data supports the previously proposed genotype-phenotype </w:t>
      </w:r>
      <w:proofErr w:type="gramStart"/>
      <w:r w:rsidRPr="00105C49">
        <w:rPr>
          <w:color w:val="auto"/>
          <w:sz w:val="24"/>
          <w:szCs w:val="24"/>
          <w:lang w:val="en-US"/>
        </w:rPr>
        <w:t>paradigm and add to the understanding of gonadal mosaicism risk</w:t>
      </w:r>
      <w:proofErr w:type="gramEnd"/>
      <w:r w:rsidRPr="00105C49">
        <w:rPr>
          <w:color w:val="auto"/>
          <w:sz w:val="24"/>
          <w:szCs w:val="24"/>
          <w:lang w:val="en-US"/>
        </w:rPr>
        <w:t xml:space="preserve"> and inherited variants. </w:t>
      </w:r>
    </w:p>
    <w:p w14:paraId="5E0E0A07" w14:textId="6FBA1CBD" w:rsidR="006B4D06" w:rsidRPr="00105C49" w:rsidRDefault="00734F90" w:rsidP="006C2244">
      <w:pPr>
        <w:pStyle w:val="Default"/>
        <w:spacing w:line="480" w:lineRule="auto"/>
        <w:rPr>
          <w:rFonts w:ascii="Arial" w:hAnsi="Arial" w:cs="Arial"/>
        </w:rPr>
      </w:pPr>
      <w:r w:rsidRPr="00105C49">
        <w:rPr>
          <w:rFonts w:ascii="Arial" w:hAnsi="Arial" w:cs="Arial"/>
          <w:color w:val="1C1D1E"/>
          <w:shd w:val="clear" w:color="auto" w:fill="FFFFFF"/>
        </w:rPr>
        <w:t xml:space="preserve">Protein-truncating variants (PTV) in </w:t>
      </w:r>
      <w:r w:rsidRPr="00105C49">
        <w:rPr>
          <w:rFonts w:ascii="Arial" w:hAnsi="Arial" w:cs="Arial"/>
          <w:i/>
          <w:color w:val="1C1D1E"/>
          <w:shd w:val="clear" w:color="auto" w:fill="FFFFFF"/>
        </w:rPr>
        <w:t>SCN2A</w:t>
      </w:r>
      <w:r w:rsidRPr="00105C49">
        <w:rPr>
          <w:rFonts w:ascii="Arial" w:hAnsi="Arial" w:cs="Arial"/>
          <w:color w:val="1C1D1E"/>
          <w:shd w:val="clear" w:color="auto" w:fill="FFFFFF"/>
        </w:rPr>
        <w:t xml:space="preserve"> </w:t>
      </w:r>
      <w:proofErr w:type="gramStart"/>
      <w:r w:rsidRPr="00105C49">
        <w:rPr>
          <w:rFonts w:ascii="Arial" w:hAnsi="Arial" w:cs="Arial"/>
          <w:color w:val="1C1D1E"/>
          <w:shd w:val="clear" w:color="auto" w:fill="FFFFFF"/>
        </w:rPr>
        <w:t>have been shown to be situated</w:t>
      </w:r>
      <w:proofErr w:type="gramEnd"/>
      <w:r w:rsidRPr="00105C49">
        <w:rPr>
          <w:rFonts w:ascii="Arial" w:hAnsi="Arial" w:cs="Arial"/>
          <w:color w:val="1C1D1E"/>
          <w:shd w:val="clear" w:color="auto" w:fill="FFFFFF"/>
        </w:rPr>
        <w:t xml:space="preserve"> throughout the gene, as expected by their resulting functional effect.  </w:t>
      </w:r>
      <w:r w:rsidR="007851D3">
        <w:rPr>
          <w:rFonts w:ascii="Arial" w:hAnsi="Arial" w:cs="Arial"/>
          <w:color w:val="1C1D1E"/>
          <w:shd w:val="clear" w:color="auto" w:fill="FFFFFF"/>
        </w:rPr>
        <w:t>Previous functional assessments have found that m</w:t>
      </w:r>
      <w:r w:rsidRPr="00105C49">
        <w:rPr>
          <w:rFonts w:ascii="Arial" w:hAnsi="Arial" w:cs="Arial"/>
          <w:color w:val="1C1D1E"/>
          <w:shd w:val="clear" w:color="auto" w:fill="FFFFFF"/>
        </w:rPr>
        <w:t xml:space="preserve">issense variants leading to </w:t>
      </w:r>
      <w:proofErr w:type="spellStart"/>
      <w:r w:rsidRPr="00105C49">
        <w:rPr>
          <w:rFonts w:ascii="Arial" w:hAnsi="Arial" w:cs="Arial"/>
          <w:color w:val="1C1D1E"/>
          <w:shd w:val="clear" w:color="auto" w:fill="FFFFFF"/>
        </w:rPr>
        <w:t>L</w:t>
      </w:r>
      <w:r w:rsidR="00F347E8" w:rsidRPr="00105C49">
        <w:rPr>
          <w:rFonts w:ascii="Arial" w:hAnsi="Arial" w:cs="Arial"/>
          <w:color w:val="1C1D1E"/>
          <w:shd w:val="clear" w:color="auto" w:fill="FFFFFF"/>
        </w:rPr>
        <w:t>o</w:t>
      </w:r>
      <w:r w:rsidRPr="00105C49">
        <w:rPr>
          <w:rFonts w:ascii="Arial" w:hAnsi="Arial" w:cs="Arial"/>
          <w:color w:val="1C1D1E"/>
          <w:shd w:val="clear" w:color="auto" w:fill="FFFFFF"/>
        </w:rPr>
        <w:t>F</w:t>
      </w:r>
      <w:proofErr w:type="spellEnd"/>
      <w:r w:rsidRPr="00105C49">
        <w:rPr>
          <w:rFonts w:ascii="Arial" w:hAnsi="Arial" w:cs="Arial"/>
          <w:color w:val="1C1D1E"/>
          <w:shd w:val="clear" w:color="auto" w:fill="FFFFFF"/>
        </w:rPr>
        <w:t xml:space="preserve"> tend to be situated at the pore loop or N-terminus</w:t>
      </w:r>
      <w:r w:rsidR="00C4002A">
        <w:rPr>
          <w:rFonts w:ascii="Arial" w:hAnsi="Arial" w:cs="Arial"/>
          <w:color w:val="1C1D1E"/>
          <w:shd w:val="clear" w:color="auto" w:fill="FFFFFF"/>
        </w:rPr>
        <w:t xml:space="preserve"> (Ben-Shalom 2017)</w:t>
      </w:r>
      <w:r w:rsidR="00F52CEE">
        <w:rPr>
          <w:rFonts w:ascii="Arial" w:hAnsi="Arial" w:cs="Arial"/>
          <w:color w:val="1C1D1E"/>
          <w:shd w:val="clear" w:color="auto" w:fill="FFFFFF"/>
        </w:rPr>
        <w:t xml:space="preserve"> </w:t>
      </w:r>
      <w:r w:rsidR="007851D3">
        <w:rPr>
          <w:rFonts w:ascii="Arial" w:hAnsi="Arial" w:cs="Arial"/>
          <w:color w:val="1C1D1E"/>
          <w:shd w:val="clear" w:color="auto" w:fill="FFFFFF"/>
        </w:rPr>
        <w:t>whereas</w:t>
      </w:r>
      <w:r w:rsidR="00E96FF6">
        <w:rPr>
          <w:rFonts w:ascii="Arial" w:hAnsi="Arial" w:cs="Arial"/>
          <w:color w:val="1C1D1E"/>
          <w:shd w:val="clear" w:color="auto" w:fill="FFFFFF"/>
        </w:rPr>
        <w:t xml:space="preserve"> </w:t>
      </w:r>
      <w:r w:rsidRPr="00105C49">
        <w:rPr>
          <w:rFonts w:ascii="Arial" w:hAnsi="Arial" w:cs="Arial"/>
          <w:color w:val="1C1D1E"/>
          <w:shd w:val="clear" w:color="auto" w:fill="FFFFFF"/>
        </w:rPr>
        <w:t xml:space="preserve">missense </w:t>
      </w:r>
      <w:r w:rsidRPr="00105C49">
        <w:rPr>
          <w:rFonts w:ascii="Arial" w:hAnsi="Arial" w:cs="Arial"/>
          <w:color w:val="1C1D1E"/>
          <w:shd w:val="clear" w:color="auto" w:fill="FFFFFF"/>
        </w:rPr>
        <w:lastRenderedPageBreak/>
        <w:t xml:space="preserve">variants with </w:t>
      </w:r>
      <w:proofErr w:type="spellStart"/>
      <w:r w:rsidRPr="00105C49">
        <w:rPr>
          <w:rFonts w:ascii="Arial" w:hAnsi="Arial" w:cs="Arial"/>
          <w:color w:val="1C1D1E"/>
          <w:shd w:val="clear" w:color="auto" w:fill="FFFFFF"/>
        </w:rPr>
        <w:t>G</w:t>
      </w:r>
      <w:r w:rsidR="00F347E8" w:rsidRPr="00105C49">
        <w:rPr>
          <w:rFonts w:ascii="Arial" w:hAnsi="Arial" w:cs="Arial"/>
          <w:color w:val="1C1D1E"/>
          <w:shd w:val="clear" w:color="auto" w:fill="FFFFFF"/>
        </w:rPr>
        <w:t>o</w:t>
      </w:r>
      <w:r w:rsidRPr="00105C49">
        <w:rPr>
          <w:rFonts w:ascii="Arial" w:hAnsi="Arial" w:cs="Arial"/>
          <w:color w:val="1C1D1E"/>
          <w:shd w:val="clear" w:color="auto" w:fill="FFFFFF"/>
        </w:rPr>
        <w:t>F</w:t>
      </w:r>
      <w:proofErr w:type="spellEnd"/>
      <w:r w:rsidRPr="00105C49">
        <w:rPr>
          <w:rFonts w:ascii="Arial" w:hAnsi="Arial" w:cs="Arial"/>
          <w:color w:val="1C1D1E"/>
          <w:shd w:val="clear" w:color="auto" w:fill="FFFFFF"/>
        </w:rPr>
        <w:t xml:space="preserve"> effect tend to be located in the transmembrane segments or in cytoplasmic loops near to these or in the cytoplasmic loop containing the inactivation gate </w:t>
      </w:r>
      <w:r w:rsidR="00C4002A" w:rsidRPr="008D6F38">
        <w:rPr>
          <w:rFonts w:ascii="Arial" w:hAnsi="Arial" w:cs="Arial"/>
          <w:color w:val="1C1D1E"/>
          <w:shd w:val="clear" w:color="auto" w:fill="FFFFFF"/>
        </w:rPr>
        <w:t>(</w:t>
      </w:r>
      <w:proofErr w:type="spellStart"/>
      <w:r w:rsidR="00C4002A" w:rsidRPr="008D6F38">
        <w:rPr>
          <w:rFonts w:ascii="Arial" w:hAnsi="Arial" w:cs="Arial"/>
          <w:color w:val="1C1D1E"/>
          <w:shd w:val="clear" w:color="auto" w:fill="FFFFFF"/>
        </w:rPr>
        <w:t>Hedich</w:t>
      </w:r>
      <w:proofErr w:type="spellEnd"/>
      <w:r w:rsidR="00C4002A" w:rsidRPr="008D6F38">
        <w:rPr>
          <w:rFonts w:ascii="Arial" w:hAnsi="Arial" w:cs="Arial"/>
          <w:color w:val="1C1D1E"/>
          <w:shd w:val="clear" w:color="auto" w:fill="FFFFFF"/>
        </w:rPr>
        <w:t xml:space="preserve"> 2019)</w:t>
      </w:r>
      <w:r w:rsidR="00276975" w:rsidRPr="00C4002A">
        <w:rPr>
          <w:rFonts w:ascii="Arial" w:hAnsi="Arial" w:cs="Arial"/>
          <w:color w:val="1C1D1E"/>
          <w:shd w:val="clear" w:color="auto" w:fill="FFFFFF"/>
        </w:rPr>
        <w:t>.</w:t>
      </w:r>
    </w:p>
    <w:p w14:paraId="75726BE2" w14:textId="441459EB" w:rsidR="007F0A8D" w:rsidRPr="00ED0C98" w:rsidRDefault="007851D3" w:rsidP="006C2244">
      <w:pPr>
        <w:pStyle w:val="Normal1"/>
        <w:spacing w:line="480" w:lineRule="auto"/>
        <w:rPr>
          <w:b/>
          <w:sz w:val="24"/>
          <w:szCs w:val="24"/>
          <w:lang w:val="en-US"/>
        </w:rPr>
      </w:pPr>
      <w:r>
        <w:rPr>
          <w:color w:val="auto"/>
          <w:sz w:val="24"/>
          <w:szCs w:val="24"/>
          <w:lang w:val="en-US"/>
        </w:rPr>
        <w:t>This variants found in this study</w:t>
      </w:r>
      <w:r w:rsidR="00E96FF6">
        <w:rPr>
          <w:color w:val="auto"/>
          <w:sz w:val="24"/>
          <w:szCs w:val="24"/>
          <w:lang w:val="en-US"/>
        </w:rPr>
        <w:t xml:space="preserve"> </w:t>
      </w:r>
      <w:r>
        <w:rPr>
          <w:color w:val="auto"/>
          <w:sz w:val="24"/>
          <w:szCs w:val="24"/>
          <w:lang w:val="en-US"/>
        </w:rPr>
        <w:t>showed</w:t>
      </w:r>
      <w:r w:rsidR="00734F90" w:rsidRPr="00105C49">
        <w:rPr>
          <w:color w:val="auto"/>
          <w:sz w:val="24"/>
          <w:szCs w:val="24"/>
          <w:lang w:val="en-US"/>
        </w:rPr>
        <w:t xml:space="preserve"> some correlation with </w:t>
      </w:r>
      <w:r>
        <w:rPr>
          <w:color w:val="auto"/>
          <w:sz w:val="24"/>
          <w:szCs w:val="24"/>
          <w:lang w:val="en-US"/>
        </w:rPr>
        <w:t>these previous findings.</w:t>
      </w:r>
      <w:r w:rsidR="00734F90" w:rsidRPr="00105C49">
        <w:rPr>
          <w:color w:val="auto"/>
          <w:sz w:val="24"/>
          <w:szCs w:val="24"/>
          <w:lang w:val="en-US"/>
        </w:rPr>
        <w:t xml:space="preserve"> </w:t>
      </w:r>
      <w:r w:rsidR="00F52CEE" w:rsidRPr="00A31647">
        <w:rPr>
          <w:color w:val="auto"/>
          <w:sz w:val="24"/>
          <w:szCs w:val="24"/>
          <w:lang w:val="en-US"/>
        </w:rPr>
        <w:t>6/10</w:t>
      </w:r>
      <w:r w:rsidR="00734F90" w:rsidRPr="00A31647">
        <w:rPr>
          <w:color w:val="auto"/>
          <w:sz w:val="24"/>
          <w:szCs w:val="24"/>
          <w:lang w:val="en-US"/>
        </w:rPr>
        <w:t xml:space="preserve"> of the missense variants associated with DEE </w:t>
      </w:r>
      <w:r w:rsidRPr="00A31647">
        <w:rPr>
          <w:color w:val="auto"/>
          <w:sz w:val="24"/>
          <w:szCs w:val="24"/>
          <w:lang w:val="en-US"/>
        </w:rPr>
        <w:t xml:space="preserve">(and therefore predicted to result in </w:t>
      </w:r>
      <w:proofErr w:type="spellStart"/>
      <w:r w:rsidRPr="00A31647">
        <w:rPr>
          <w:color w:val="auto"/>
          <w:sz w:val="24"/>
          <w:szCs w:val="24"/>
          <w:lang w:val="en-US"/>
        </w:rPr>
        <w:t>GoF</w:t>
      </w:r>
      <w:proofErr w:type="spellEnd"/>
      <w:r w:rsidRPr="00A31647">
        <w:rPr>
          <w:color w:val="auto"/>
          <w:sz w:val="24"/>
          <w:szCs w:val="24"/>
          <w:lang w:val="en-US"/>
        </w:rPr>
        <w:t xml:space="preserve">) </w:t>
      </w:r>
      <w:r w:rsidR="00734F90" w:rsidRPr="00A31647">
        <w:rPr>
          <w:color w:val="auto"/>
          <w:sz w:val="24"/>
          <w:szCs w:val="24"/>
          <w:lang w:val="en-US"/>
        </w:rPr>
        <w:t>and 3/</w:t>
      </w:r>
      <w:r w:rsidR="00F52CEE" w:rsidRPr="00A31647">
        <w:rPr>
          <w:color w:val="auto"/>
          <w:sz w:val="24"/>
          <w:szCs w:val="24"/>
          <w:lang w:val="en-US"/>
        </w:rPr>
        <w:t>4</w:t>
      </w:r>
      <w:r w:rsidR="00734F90" w:rsidRPr="00A31647">
        <w:rPr>
          <w:color w:val="auto"/>
          <w:sz w:val="24"/>
          <w:szCs w:val="24"/>
          <w:lang w:val="en-US"/>
        </w:rPr>
        <w:t xml:space="preserve"> of the missense variants associated with ASD or ID </w:t>
      </w:r>
      <w:r w:rsidRPr="00A31647">
        <w:rPr>
          <w:color w:val="auto"/>
          <w:sz w:val="24"/>
          <w:szCs w:val="24"/>
          <w:lang w:val="en-US"/>
        </w:rPr>
        <w:t xml:space="preserve">(and therefore predicted to result in </w:t>
      </w:r>
      <w:proofErr w:type="spellStart"/>
      <w:r w:rsidRPr="00A31647">
        <w:rPr>
          <w:color w:val="auto"/>
          <w:sz w:val="24"/>
          <w:szCs w:val="24"/>
          <w:lang w:val="en-US"/>
        </w:rPr>
        <w:t>LoF</w:t>
      </w:r>
      <w:proofErr w:type="spellEnd"/>
      <w:r w:rsidRPr="00A31647">
        <w:rPr>
          <w:color w:val="auto"/>
          <w:sz w:val="24"/>
          <w:szCs w:val="24"/>
          <w:lang w:val="en-US"/>
        </w:rPr>
        <w:t xml:space="preserve">) </w:t>
      </w:r>
      <w:r w:rsidR="00734F90" w:rsidRPr="00105C49">
        <w:rPr>
          <w:color w:val="auto"/>
          <w:sz w:val="24"/>
          <w:szCs w:val="24"/>
          <w:lang w:val="en-US"/>
        </w:rPr>
        <w:t xml:space="preserve">being positioned as </w:t>
      </w:r>
      <w:r w:rsidR="002020D8" w:rsidRPr="00105C49">
        <w:rPr>
          <w:color w:val="auto"/>
          <w:sz w:val="24"/>
          <w:szCs w:val="24"/>
          <w:lang w:val="en-US"/>
        </w:rPr>
        <w:t xml:space="preserve">previously </w:t>
      </w:r>
      <w:r w:rsidR="002020D8" w:rsidRPr="00ED0C98">
        <w:rPr>
          <w:color w:val="auto"/>
          <w:sz w:val="24"/>
          <w:szCs w:val="24"/>
          <w:lang w:val="en-US"/>
        </w:rPr>
        <w:t xml:space="preserve">seen </w:t>
      </w:r>
      <w:r w:rsidR="00C4002A" w:rsidRPr="00621CBF">
        <w:rPr>
          <w:color w:val="1C1D1E"/>
          <w:sz w:val="24"/>
          <w:szCs w:val="24"/>
          <w:shd w:val="clear" w:color="auto" w:fill="FFFFFF"/>
        </w:rPr>
        <w:t>(Hedich 2019, Wolff 2019).</w:t>
      </w:r>
      <w:bookmarkStart w:id="0" w:name="_GoBack"/>
      <w:bookmarkEnd w:id="0"/>
    </w:p>
    <w:p w14:paraId="0831E98C" w14:textId="515BE468" w:rsidR="00D80115" w:rsidRPr="00105C49" w:rsidRDefault="0075169B" w:rsidP="006C2244">
      <w:pPr>
        <w:pStyle w:val="Normal1"/>
        <w:spacing w:line="480" w:lineRule="auto"/>
        <w:rPr>
          <w:sz w:val="24"/>
          <w:szCs w:val="24"/>
          <w:lang w:val="en-US"/>
        </w:rPr>
      </w:pPr>
      <w:r w:rsidRPr="00105C49">
        <w:rPr>
          <w:color w:val="auto"/>
          <w:sz w:val="24"/>
          <w:szCs w:val="24"/>
          <w:lang w:val="en-US"/>
        </w:rPr>
        <w:t xml:space="preserve">There was a range of DD and/or ID within this cohort, from mild to profound </w:t>
      </w:r>
      <w:proofErr w:type="gramStart"/>
      <w:r w:rsidRPr="00105C49">
        <w:rPr>
          <w:color w:val="auto"/>
          <w:sz w:val="24"/>
          <w:szCs w:val="24"/>
          <w:lang w:val="en-US"/>
        </w:rPr>
        <w:t>in-keeping</w:t>
      </w:r>
      <w:proofErr w:type="gramEnd"/>
      <w:r w:rsidRPr="00105C49">
        <w:rPr>
          <w:color w:val="auto"/>
          <w:sz w:val="24"/>
          <w:szCs w:val="24"/>
          <w:lang w:val="en-US"/>
        </w:rPr>
        <w:t xml:space="preserve"> with previous case series </w:t>
      </w:r>
      <w:r w:rsidR="00C4002A" w:rsidRPr="008D6F38">
        <w:rPr>
          <w:color w:val="auto"/>
          <w:sz w:val="24"/>
          <w:szCs w:val="24"/>
          <w:lang w:val="en-US"/>
        </w:rPr>
        <w:t>(</w:t>
      </w:r>
      <w:proofErr w:type="spellStart"/>
      <w:r w:rsidR="00C4002A" w:rsidRPr="008D6F38">
        <w:rPr>
          <w:color w:val="auto"/>
          <w:sz w:val="24"/>
          <w:szCs w:val="24"/>
          <w:lang w:val="en-US"/>
        </w:rPr>
        <w:t>Alsaif</w:t>
      </w:r>
      <w:proofErr w:type="spellEnd"/>
      <w:r w:rsidR="00C4002A" w:rsidRPr="008D6F38">
        <w:rPr>
          <w:color w:val="auto"/>
          <w:sz w:val="24"/>
          <w:szCs w:val="24"/>
          <w:lang w:val="en-US"/>
        </w:rPr>
        <w:t xml:space="preserve"> 2019, Schwarz 2019)</w:t>
      </w:r>
      <w:r w:rsidRPr="00105C49">
        <w:rPr>
          <w:color w:val="auto"/>
          <w:sz w:val="24"/>
          <w:szCs w:val="24"/>
          <w:lang w:val="en-US"/>
        </w:rPr>
        <w:t>.</w:t>
      </w:r>
      <w:r w:rsidR="008B68F0" w:rsidRPr="00105C49">
        <w:rPr>
          <w:color w:val="auto"/>
          <w:sz w:val="24"/>
          <w:szCs w:val="24"/>
          <w:lang w:val="en-US"/>
        </w:rPr>
        <w:t xml:space="preserve"> </w:t>
      </w:r>
      <w:r w:rsidR="00DB471C" w:rsidRPr="00105C49">
        <w:rPr>
          <w:color w:val="auto"/>
          <w:sz w:val="24"/>
          <w:szCs w:val="24"/>
          <w:lang w:val="en-US"/>
        </w:rPr>
        <w:t>T</w:t>
      </w:r>
      <w:r w:rsidRPr="00105C49">
        <w:rPr>
          <w:color w:val="auto"/>
          <w:sz w:val="24"/>
          <w:szCs w:val="24"/>
          <w:lang w:val="en-US"/>
        </w:rPr>
        <w:t xml:space="preserve">here was a range of seizure phenotypes reported. No cases </w:t>
      </w:r>
      <w:proofErr w:type="gramStart"/>
      <w:r w:rsidRPr="00105C49">
        <w:rPr>
          <w:color w:val="auto"/>
          <w:sz w:val="24"/>
          <w:szCs w:val="24"/>
          <w:lang w:val="en-US"/>
        </w:rPr>
        <w:t>were reported</w:t>
      </w:r>
      <w:proofErr w:type="gramEnd"/>
      <w:r w:rsidRPr="00105C49">
        <w:rPr>
          <w:color w:val="auto"/>
          <w:sz w:val="24"/>
          <w:szCs w:val="24"/>
          <w:lang w:val="en-US"/>
        </w:rPr>
        <w:t xml:space="preserve"> with SLNIE, which is likely to be reflective of the cases selected for the DDD study, which will have been biased towards patients with </w:t>
      </w:r>
      <w:r w:rsidR="00F07726" w:rsidRPr="00105C49">
        <w:rPr>
          <w:color w:val="auto"/>
          <w:sz w:val="24"/>
          <w:szCs w:val="24"/>
          <w:lang w:val="en-US"/>
        </w:rPr>
        <w:t>more severe</w:t>
      </w:r>
      <w:r w:rsidR="002456DA" w:rsidRPr="00105C49">
        <w:rPr>
          <w:color w:val="auto"/>
          <w:sz w:val="24"/>
          <w:szCs w:val="24"/>
          <w:lang w:val="en-US"/>
        </w:rPr>
        <w:t xml:space="preserve"> </w:t>
      </w:r>
      <w:r w:rsidR="00F07726" w:rsidRPr="00105C49">
        <w:rPr>
          <w:color w:val="auto"/>
          <w:sz w:val="24"/>
          <w:szCs w:val="24"/>
          <w:lang w:val="en-US"/>
        </w:rPr>
        <w:t>developmental</w:t>
      </w:r>
      <w:r w:rsidR="002456DA" w:rsidRPr="00105C49">
        <w:rPr>
          <w:color w:val="auto"/>
          <w:sz w:val="24"/>
          <w:szCs w:val="24"/>
          <w:lang w:val="en-US"/>
        </w:rPr>
        <w:t xml:space="preserve"> </w:t>
      </w:r>
      <w:r w:rsidR="00F07726" w:rsidRPr="00105C49">
        <w:rPr>
          <w:color w:val="auto"/>
          <w:sz w:val="24"/>
          <w:szCs w:val="24"/>
          <w:lang w:val="en-US"/>
        </w:rPr>
        <w:t>phenotypes</w:t>
      </w:r>
      <w:r w:rsidR="002456DA" w:rsidRPr="00105C49">
        <w:rPr>
          <w:color w:val="auto"/>
          <w:sz w:val="24"/>
          <w:szCs w:val="24"/>
          <w:lang w:val="en-US"/>
        </w:rPr>
        <w:t xml:space="preserve">. </w:t>
      </w:r>
      <w:r w:rsidR="00676F4B" w:rsidRPr="00105C49">
        <w:rPr>
          <w:color w:val="auto"/>
          <w:sz w:val="24"/>
          <w:szCs w:val="24"/>
          <w:lang w:val="en-US"/>
        </w:rPr>
        <w:t xml:space="preserve">None of the patients in this cohort </w:t>
      </w:r>
      <w:proofErr w:type="gramStart"/>
      <w:r w:rsidR="00676F4B" w:rsidRPr="00105C49">
        <w:rPr>
          <w:color w:val="auto"/>
          <w:sz w:val="24"/>
          <w:szCs w:val="24"/>
          <w:lang w:val="en-US"/>
        </w:rPr>
        <w:t>were</w:t>
      </w:r>
      <w:proofErr w:type="gramEnd"/>
      <w:r w:rsidR="00676F4B" w:rsidRPr="00105C49">
        <w:rPr>
          <w:color w:val="auto"/>
          <w:sz w:val="24"/>
          <w:szCs w:val="24"/>
          <w:lang w:val="en-US"/>
        </w:rPr>
        <w:t xml:space="preserve"> identified as having EA</w:t>
      </w:r>
      <w:r w:rsidR="00ED0C98">
        <w:rPr>
          <w:color w:val="auto"/>
          <w:sz w:val="24"/>
          <w:szCs w:val="24"/>
          <w:lang w:val="en-US"/>
        </w:rPr>
        <w:t xml:space="preserve">. </w:t>
      </w:r>
      <w:r w:rsidR="00676F4B" w:rsidRPr="00105C49">
        <w:rPr>
          <w:color w:val="auto"/>
          <w:sz w:val="24"/>
          <w:szCs w:val="24"/>
          <w:lang w:val="en-US"/>
        </w:rPr>
        <w:t xml:space="preserve">As this is an uncommon later finding in </w:t>
      </w:r>
      <w:r w:rsidR="00676F4B" w:rsidRPr="00105C49">
        <w:rPr>
          <w:i/>
          <w:color w:val="auto"/>
          <w:sz w:val="24"/>
          <w:szCs w:val="24"/>
          <w:lang w:val="en-US"/>
        </w:rPr>
        <w:t>SCN2A</w:t>
      </w:r>
      <w:r w:rsidR="00676F4B" w:rsidRPr="00105C49">
        <w:rPr>
          <w:color w:val="auto"/>
          <w:sz w:val="24"/>
          <w:szCs w:val="24"/>
          <w:lang w:val="en-US"/>
        </w:rPr>
        <w:t xml:space="preserve">, this is </w:t>
      </w:r>
      <w:proofErr w:type="gramStart"/>
      <w:r w:rsidR="00676F4B" w:rsidRPr="00105C49">
        <w:rPr>
          <w:color w:val="auto"/>
          <w:sz w:val="24"/>
          <w:szCs w:val="24"/>
          <w:lang w:val="en-US"/>
        </w:rPr>
        <w:t>not unexpected</w:t>
      </w:r>
      <w:proofErr w:type="gramEnd"/>
      <w:r w:rsidR="00676F4B" w:rsidRPr="00105C49">
        <w:rPr>
          <w:color w:val="auto"/>
          <w:sz w:val="24"/>
          <w:szCs w:val="24"/>
          <w:lang w:val="en-US"/>
        </w:rPr>
        <w:t>.</w:t>
      </w:r>
    </w:p>
    <w:p w14:paraId="0BCDD5E8" w14:textId="0030CAAA" w:rsidR="006D1B9C" w:rsidRPr="00105C49" w:rsidRDefault="0075169B" w:rsidP="008B68F0">
      <w:pPr>
        <w:pStyle w:val="Normal1"/>
        <w:spacing w:line="480" w:lineRule="auto"/>
        <w:rPr>
          <w:sz w:val="24"/>
          <w:szCs w:val="24"/>
        </w:rPr>
      </w:pPr>
      <w:r w:rsidRPr="00105C49">
        <w:rPr>
          <w:color w:val="auto"/>
          <w:sz w:val="24"/>
          <w:szCs w:val="24"/>
          <w:lang w:val="en-US"/>
        </w:rPr>
        <w:t xml:space="preserve">One adult patient </w:t>
      </w:r>
      <w:proofErr w:type="gramStart"/>
      <w:r w:rsidRPr="00105C49">
        <w:rPr>
          <w:color w:val="auto"/>
          <w:sz w:val="24"/>
          <w:szCs w:val="24"/>
          <w:lang w:val="en-US"/>
        </w:rPr>
        <w:t>was reported</w:t>
      </w:r>
      <w:proofErr w:type="gramEnd"/>
      <w:r w:rsidRPr="00105C49">
        <w:rPr>
          <w:color w:val="auto"/>
          <w:sz w:val="24"/>
          <w:szCs w:val="24"/>
          <w:lang w:val="en-US"/>
        </w:rPr>
        <w:t xml:space="preserve"> with bipolar disorder. It is interesting that this patient with a </w:t>
      </w:r>
      <w:proofErr w:type="spellStart"/>
      <w:r w:rsidRPr="00105C49">
        <w:rPr>
          <w:color w:val="auto"/>
          <w:sz w:val="24"/>
          <w:szCs w:val="24"/>
          <w:lang w:val="en-US"/>
        </w:rPr>
        <w:t>L</w:t>
      </w:r>
      <w:r w:rsidR="00F347E8" w:rsidRPr="00105C49">
        <w:rPr>
          <w:color w:val="auto"/>
          <w:sz w:val="24"/>
          <w:szCs w:val="24"/>
          <w:lang w:val="en-US"/>
        </w:rPr>
        <w:t>o</w:t>
      </w:r>
      <w:r w:rsidRPr="00105C49">
        <w:rPr>
          <w:color w:val="auto"/>
          <w:sz w:val="24"/>
          <w:szCs w:val="24"/>
          <w:lang w:val="en-US"/>
        </w:rPr>
        <w:t>F</w:t>
      </w:r>
      <w:proofErr w:type="spellEnd"/>
      <w:r w:rsidRPr="00105C49">
        <w:rPr>
          <w:color w:val="auto"/>
          <w:sz w:val="24"/>
          <w:szCs w:val="24"/>
          <w:lang w:val="en-US"/>
        </w:rPr>
        <w:t xml:space="preserve"> variant and ASD went on to have this diagnosis in adulthood. </w:t>
      </w:r>
      <w:r w:rsidR="00D502D2" w:rsidRPr="00105C49">
        <w:rPr>
          <w:color w:val="auto"/>
          <w:sz w:val="24"/>
          <w:szCs w:val="24"/>
          <w:lang w:val="en-US"/>
        </w:rPr>
        <w:t>Bipolar disorder</w:t>
      </w:r>
      <w:r w:rsidR="00ED0C98">
        <w:rPr>
          <w:color w:val="auto"/>
          <w:sz w:val="24"/>
          <w:szCs w:val="24"/>
          <w:lang w:val="en-US"/>
        </w:rPr>
        <w:t>-</w:t>
      </w:r>
      <w:r w:rsidR="00D502D2" w:rsidRPr="00105C49">
        <w:rPr>
          <w:color w:val="auto"/>
          <w:sz w:val="24"/>
          <w:szCs w:val="24"/>
          <w:lang w:val="en-US"/>
        </w:rPr>
        <w:t>associated loci have been identified in GWAS studies</w:t>
      </w:r>
      <w:r w:rsidR="00C4002A">
        <w:rPr>
          <w:color w:val="auto"/>
          <w:sz w:val="24"/>
          <w:szCs w:val="24"/>
          <w:lang w:val="en-US"/>
        </w:rPr>
        <w:t>,</w:t>
      </w:r>
      <w:r w:rsidR="00D502D2" w:rsidRPr="00105C49">
        <w:rPr>
          <w:color w:val="auto"/>
          <w:sz w:val="24"/>
          <w:szCs w:val="24"/>
          <w:lang w:val="en-US"/>
        </w:rPr>
        <w:t xml:space="preserve"> which include </w:t>
      </w:r>
      <w:r w:rsidR="00D502D2" w:rsidRPr="00105C49">
        <w:rPr>
          <w:i/>
          <w:color w:val="auto"/>
          <w:sz w:val="24"/>
          <w:szCs w:val="24"/>
          <w:lang w:val="en-US"/>
        </w:rPr>
        <w:t>SCN2A</w:t>
      </w:r>
      <w:r w:rsidR="00D502D2" w:rsidRPr="00105C49">
        <w:rPr>
          <w:color w:val="auto"/>
          <w:sz w:val="24"/>
          <w:szCs w:val="24"/>
          <w:lang w:val="en-US"/>
        </w:rPr>
        <w:t xml:space="preserve"> </w:t>
      </w:r>
      <w:r w:rsidR="00C4002A">
        <w:rPr>
          <w:color w:val="auto"/>
          <w:sz w:val="24"/>
          <w:szCs w:val="24"/>
          <w:lang w:val="en-US"/>
        </w:rPr>
        <w:t>(Stahl 2019)</w:t>
      </w:r>
      <w:r w:rsidR="00ED0C98">
        <w:rPr>
          <w:color w:val="auto"/>
          <w:sz w:val="24"/>
          <w:szCs w:val="24"/>
          <w:lang w:val="en-US"/>
        </w:rPr>
        <w:t xml:space="preserve"> </w:t>
      </w:r>
      <w:r w:rsidR="00D502D2" w:rsidRPr="00105C49">
        <w:rPr>
          <w:color w:val="auto"/>
          <w:sz w:val="24"/>
          <w:szCs w:val="24"/>
          <w:lang w:val="en-US"/>
        </w:rPr>
        <w:t xml:space="preserve">but it remains to be seen if there is a causal link here. </w:t>
      </w:r>
      <w:r w:rsidR="00682BEB" w:rsidRPr="00105C49">
        <w:rPr>
          <w:color w:val="auto"/>
          <w:sz w:val="24"/>
          <w:szCs w:val="24"/>
          <w:lang w:val="en-US"/>
        </w:rPr>
        <w:t xml:space="preserve">There were no </w:t>
      </w:r>
      <w:r w:rsidR="00B26E38" w:rsidRPr="00105C49">
        <w:rPr>
          <w:color w:val="auto"/>
          <w:sz w:val="24"/>
          <w:szCs w:val="24"/>
          <w:lang w:val="en-US"/>
        </w:rPr>
        <w:t>patients</w:t>
      </w:r>
      <w:r w:rsidR="00682BEB" w:rsidRPr="00105C49">
        <w:rPr>
          <w:color w:val="auto"/>
          <w:sz w:val="24"/>
          <w:szCs w:val="24"/>
          <w:lang w:val="en-US"/>
        </w:rPr>
        <w:t xml:space="preserve"> with a diagnosis of schizophrenia. </w:t>
      </w:r>
      <w:r w:rsidR="00D502D2" w:rsidRPr="00105C49">
        <w:rPr>
          <w:color w:val="auto"/>
          <w:sz w:val="24"/>
          <w:szCs w:val="24"/>
          <w:lang w:val="en-US"/>
        </w:rPr>
        <w:t>Overall, a</w:t>
      </w:r>
      <w:r w:rsidRPr="00105C49">
        <w:rPr>
          <w:color w:val="auto"/>
          <w:sz w:val="24"/>
          <w:szCs w:val="24"/>
          <w:lang w:val="en-US"/>
        </w:rPr>
        <w:t xml:space="preserve">wareness of vulnerability to secondary psychiatric disorders in patients with </w:t>
      </w:r>
      <w:r w:rsidRPr="00105C49">
        <w:rPr>
          <w:i/>
          <w:color w:val="auto"/>
          <w:sz w:val="24"/>
          <w:szCs w:val="24"/>
          <w:lang w:val="en-US"/>
        </w:rPr>
        <w:t>SCN2A</w:t>
      </w:r>
      <w:r w:rsidRPr="00105C49">
        <w:rPr>
          <w:color w:val="auto"/>
          <w:sz w:val="24"/>
          <w:szCs w:val="24"/>
          <w:lang w:val="en-US"/>
        </w:rPr>
        <w:t xml:space="preserve">- related ASD should lead to a lower threshold for assessment in any adult displaying symptoms. </w:t>
      </w:r>
    </w:p>
    <w:p w14:paraId="04CBF542" w14:textId="2F06E2F7" w:rsidR="006B4D06" w:rsidRPr="00105C49" w:rsidRDefault="006B4D06" w:rsidP="006C2244">
      <w:pPr>
        <w:pStyle w:val="Normal1"/>
        <w:spacing w:line="480" w:lineRule="auto"/>
        <w:rPr>
          <w:color w:val="auto"/>
          <w:sz w:val="24"/>
          <w:szCs w:val="24"/>
          <w:lang w:val="en-US"/>
        </w:rPr>
      </w:pPr>
      <w:r w:rsidRPr="00105C49">
        <w:rPr>
          <w:color w:val="auto"/>
          <w:sz w:val="24"/>
          <w:szCs w:val="24"/>
          <w:lang w:val="en-US"/>
        </w:rPr>
        <w:t>No specific facial gestalt was</w:t>
      </w:r>
      <w:r w:rsidRPr="004453DE">
        <w:rPr>
          <w:color w:val="auto"/>
          <w:sz w:val="24"/>
          <w:szCs w:val="24"/>
          <w:lang w:val="en-GB"/>
        </w:rPr>
        <w:t xml:space="preserve"> recogni</w:t>
      </w:r>
      <w:r w:rsidR="00E104F4" w:rsidRPr="004453DE">
        <w:rPr>
          <w:color w:val="auto"/>
          <w:sz w:val="24"/>
          <w:szCs w:val="24"/>
          <w:lang w:val="en-GB"/>
        </w:rPr>
        <w:t>s</w:t>
      </w:r>
      <w:r w:rsidRPr="004453DE">
        <w:rPr>
          <w:color w:val="auto"/>
          <w:sz w:val="24"/>
          <w:szCs w:val="24"/>
          <w:lang w:val="en-GB"/>
        </w:rPr>
        <w:t>able</w:t>
      </w:r>
      <w:r w:rsidRPr="00105C49">
        <w:rPr>
          <w:color w:val="auto"/>
          <w:sz w:val="24"/>
          <w:szCs w:val="24"/>
          <w:lang w:val="en-US"/>
        </w:rPr>
        <w:t xml:space="preserve">, although </w:t>
      </w:r>
      <w:r w:rsidRPr="00105C49">
        <w:rPr>
          <w:sz w:val="24"/>
          <w:szCs w:val="24"/>
          <w:lang w:val="en-US"/>
        </w:rPr>
        <w:t>6/22</w:t>
      </w:r>
      <w:r w:rsidRPr="00105C49">
        <w:rPr>
          <w:color w:val="auto"/>
          <w:sz w:val="24"/>
          <w:szCs w:val="24"/>
          <w:lang w:val="en-US"/>
        </w:rPr>
        <w:t xml:space="preserve"> (27.3%) patients had dysmorphic features. Cases of </w:t>
      </w:r>
      <w:r w:rsidRPr="00105C49">
        <w:rPr>
          <w:i/>
          <w:color w:val="auto"/>
          <w:sz w:val="24"/>
          <w:szCs w:val="24"/>
          <w:lang w:val="en-US"/>
        </w:rPr>
        <w:t>SCN2A</w:t>
      </w:r>
      <w:r w:rsidRPr="00105C49">
        <w:rPr>
          <w:color w:val="auto"/>
          <w:sz w:val="24"/>
          <w:szCs w:val="24"/>
          <w:lang w:val="en-US"/>
        </w:rPr>
        <w:t xml:space="preserve">-related disorder are likely to </w:t>
      </w:r>
      <w:proofErr w:type="gramStart"/>
      <w:r w:rsidRPr="00105C49">
        <w:rPr>
          <w:color w:val="auto"/>
          <w:sz w:val="24"/>
          <w:szCs w:val="24"/>
          <w:lang w:val="en-US"/>
        </w:rPr>
        <w:t>be made with</w:t>
      </w:r>
      <w:proofErr w:type="gramEnd"/>
      <w:r w:rsidRPr="00105C49">
        <w:rPr>
          <w:color w:val="auto"/>
          <w:sz w:val="24"/>
          <w:szCs w:val="24"/>
          <w:lang w:val="en-US"/>
        </w:rPr>
        <w:t xml:space="preserve"> panel-based or next generation sequencing (NGS) based approaches to </w:t>
      </w:r>
      <w:r w:rsidRPr="00105C49">
        <w:rPr>
          <w:color w:val="auto"/>
          <w:sz w:val="24"/>
          <w:szCs w:val="24"/>
          <w:lang w:val="en-US"/>
        </w:rPr>
        <w:lastRenderedPageBreak/>
        <w:t xml:space="preserve">investigation, rather than on clinical assessment alone. The presence of dysmorphic features may require consideration of a separate or additional genetic diagnosis but may be part of the phenotypic presentations of </w:t>
      </w:r>
      <w:r w:rsidRPr="00105C49">
        <w:rPr>
          <w:i/>
          <w:color w:val="auto"/>
          <w:sz w:val="24"/>
          <w:szCs w:val="24"/>
          <w:lang w:val="en-US"/>
        </w:rPr>
        <w:t>SCN2A</w:t>
      </w:r>
      <w:r w:rsidRPr="00105C49">
        <w:rPr>
          <w:color w:val="auto"/>
          <w:sz w:val="24"/>
          <w:szCs w:val="24"/>
          <w:lang w:val="en-US"/>
        </w:rPr>
        <w:t>-related disorder.</w:t>
      </w:r>
    </w:p>
    <w:p w14:paraId="789BD541" w14:textId="4A84BC8A" w:rsidR="006B4D06" w:rsidRPr="00105C49" w:rsidRDefault="00734F90" w:rsidP="006C2244">
      <w:pPr>
        <w:spacing w:line="480" w:lineRule="auto"/>
        <w:rPr>
          <w:rFonts w:ascii="Arial" w:hAnsi="Arial" w:cs="Arial"/>
          <w:highlight w:val="yellow"/>
        </w:rPr>
      </w:pPr>
      <w:r w:rsidRPr="00105C49">
        <w:rPr>
          <w:rFonts w:ascii="Arial" w:hAnsi="Arial" w:cs="Arial"/>
        </w:rPr>
        <w:t>Other</w:t>
      </w:r>
      <w:r w:rsidR="006B4D06" w:rsidRPr="00105C49">
        <w:rPr>
          <w:rFonts w:ascii="Arial" w:hAnsi="Arial" w:cs="Arial"/>
        </w:rPr>
        <w:t xml:space="preserve"> previously</w:t>
      </w:r>
      <w:r w:rsidRPr="00105C49">
        <w:rPr>
          <w:rFonts w:ascii="Arial" w:hAnsi="Arial" w:cs="Arial"/>
        </w:rPr>
        <w:t xml:space="preserve"> reported associated phenotypes include structural brain abnormalities including severe cortical dysplasia </w:t>
      </w:r>
      <w:r w:rsidR="00C4002A" w:rsidRPr="008D6F38">
        <w:rPr>
          <w:rFonts w:ascii="Arial" w:hAnsi="Arial" w:cs="Arial"/>
        </w:rPr>
        <w:t>(</w:t>
      </w:r>
      <w:proofErr w:type="gramStart"/>
      <w:r w:rsidR="00C4002A" w:rsidRPr="00C4002A">
        <w:rPr>
          <w:rFonts w:ascii="Arial" w:hAnsi="Arial" w:cs="Arial"/>
        </w:rPr>
        <w:t>Bernardo</w:t>
      </w:r>
      <w:r w:rsidR="00C4002A" w:rsidRPr="008D6F38" w:rsidDel="00C4002A">
        <w:rPr>
          <w:rFonts w:ascii="Arial" w:hAnsi="Arial" w:cs="Arial"/>
        </w:rPr>
        <w:t xml:space="preserve"> </w:t>
      </w:r>
      <w:r w:rsidR="00C4002A" w:rsidRPr="008D6F38">
        <w:rPr>
          <w:rFonts w:ascii="Arial" w:hAnsi="Arial" w:cs="Arial"/>
        </w:rPr>
        <w:t xml:space="preserve"> 2017</w:t>
      </w:r>
      <w:proofErr w:type="gramEnd"/>
      <w:r w:rsidR="00C4002A" w:rsidRPr="008D6F38">
        <w:rPr>
          <w:rFonts w:ascii="Arial" w:hAnsi="Arial" w:cs="Arial"/>
        </w:rPr>
        <w:t>)</w:t>
      </w:r>
      <w:r w:rsidR="00276975" w:rsidRPr="00105C49">
        <w:rPr>
          <w:rFonts w:ascii="Arial" w:hAnsi="Arial" w:cs="Arial"/>
        </w:rPr>
        <w:t xml:space="preserve">, </w:t>
      </w:r>
      <w:r w:rsidRPr="00105C49">
        <w:rPr>
          <w:rFonts w:ascii="Arial" w:hAnsi="Arial" w:cs="Arial"/>
        </w:rPr>
        <w:t xml:space="preserve">cerebral atrophy </w:t>
      </w:r>
      <w:r w:rsidR="00C4002A" w:rsidRPr="008D6F38">
        <w:rPr>
          <w:rFonts w:ascii="Arial" w:hAnsi="Arial" w:cs="Arial"/>
        </w:rPr>
        <w:t>(</w:t>
      </w:r>
      <w:proofErr w:type="spellStart"/>
      <w:r w:rsidR="00C4002A" w:rsidRPr="00C4002A">
        <w:rPr>
          <w:rFonts w:ascii="Arial" w:hAnsi="Arial" w:cs="Arial"/>
        </w:rPr>
        <w:t>Ogiwara</w:t>
      </w:r>
      <w:proofErr w:type="spellEnd"/>
      <w:r w:rsidR="00C4002A" w:rsidRPr="008D6F38" w:rsidDel="00C4002A">
        <w:rPr>
          <w:rFonts w:ascii="Arial" w:hAnsi="Arial" w:cs="Arial"/>
        </w:rPr>
        <w:t xml:space="preserve"> </w:t>
      </w:r>
      <w:r w:rsidR="00C4002A" w:rsidRPr="008D6F38">
        <w:rPr>
          <w:rFonts w:ascii="Arial" w:hAnsi="Arial" w:cs="Arial"/>
        </w:rPr>
        <w:t xml:space="preserve"> 2009, </w:t>
      </w:r>
      <w:proofErr w:type="spellStart"/>
      <w:r w:rsidR="00C4002A" w:rsidRPr="00C4002A">
        <w:rPr>
          <w:rFonts w:ascii="Arial" w:hAnsi="Arial" w:cs="Arial"/>
        </w:rPr>
        <w:t>Baasch</w:t>
      </w:r>
      <w:proofErr w:type="spellEnd"/>
      <w:r w:rsidR="00C4002A" w:rsidRPr="008D6F38" w:rsidDel="00C4002A">
        <w:rPr>
          <w:rFonts w:ascii="Arial" w:hAnsi="Arial" w:cs="Arial"/>
        </w:rPr>
        <w:t xml:space="preserve"> </w:t>
      </w:r>
      <w:r w:rsidR="00C4002A" w:rsidRPr="008D6F38">
        <w:rPr>
          <w:rFonts w:ascii="Arial" w:hAnsi="Arial" w:cs="Arial"/>
        </w:rPr>
        <w:t xml:space="preserve"> 2014)</w:t>
      </w:r>
      <w:r w:rsidR="00276975" w:rsidRPr="00105C49">
        <w:rPr>
          <w:rFonts w:ascii="Arial" w:hAnsi="Arial" w:cs="Arial"/>
        </w:rPr>
        <w:t>,</w:t>
      </w:r>
      <w:r w:rsidRPr="00105C49">
        <w:rPr>
          <w:rFonts w:ascii="Arial" w:hAnsi="Arial" w:cs="Arial"/>
        </w:rPr>
        <w:t xml:space="preserve"> and </w:t>
      </w:r>
      <w:proofErr w:type="spellStart"/>
      <w:r w:rsidRPr="00105C49">
        <w:rPr>
          <w:rFonts w:ascii="Arial" w:hAnsi="Arial" w:cs="Arial"/>
        </w:rPr>
        <w:t>hypoplastic</w:t>
      </w:r>
      <w:proofErr w:type="spellEnd"/>
      <w:r w:rsidRPr="00105C49">
        <w:rPr>
          <w:rFonts w:ascii="Arial" w:hAnsi="Arial" w:cs="Arial"/>
        </w:rPr>
        <w:t xml:space="preserve"> corpus callosum </w:t>
      </w:r>
      <w:r w:rsidR="00C4002A" w:rsidRPr="008D6F38">
        <w:rPr>
          <w:rFonts w:ascii="Arial" w:hAnsi="Arial" w:cs="Arial"/>
        </w:rPr>
        <w:t>(</w:t>
      </w:r>
      <w:proofErr w:type="spellStart"/>
      <w:r w:rsidR="00C4002A" w:rsidRPr="00C4002A">
        <w:rPr>
          <w:rFonts w:ascii="Arial" w:hAnsi="Arial" w:cs="Arial"/>
        </w:rPr>
        <w:t>Baasch</w:t>
      </w:r>
      <w:proofErr w:type="spellEnd"/>
      <w:r w:rsidR="00C4002A" w:rsidRPr="00C4002A" w:rsidDel="00C4002A">
        <w:rPr>
          <w:rFonts w:ascii="Arial" w:hAnsi="Arial" w:cs="Arial"/>
        </w:rPr>
        <w:t xml:space="preserve"> </w:t>
      </w:r>
      <w:r w:rsidR="00C4002A" w:rsidRPr="00C4002A">
        <w:rPr>
          <w:rFonts w:ascii="Arial" w:hAnsi="Arial" w:cs="Arial"/>
        </w:rPr>
        <w:t xml:space="preserve"> 2014</w:t>
      </w:r>
      <w:r w:rsidR="00C4002A">
        <w:rPr>
          <w:rFonts w:ascii="Arial" w:hAnsi="Arial" w:cs="Arial"/>
        </w:rPr>
        <w:t>)</w:t>
      </w:r>
      <w:r w:rsidR="00276975" w:rsidRPr="00105C49">
        <w:rPr>
          <w:rFonts w:ascii="Arial" w:hAnsi="Arial" w:cs="Arial"/>
        </w:rPr>
        <w:t xml:space="preserve">. </w:t>
      </w:r>
      <w:r w:rsidR="00676F4B" w:rsidRPr="00105C49">
        <w:rPr>
          <w:rFonts w:ascii="Arial" w:hAnsi="Arial" w:cs="Arial"/>
          <w:lang w:val="en-US"/>
        </w:rPr>
        <w:t xml:space="preserve">In 50% of the patients in this study who had cranial imaging an abnormality </w:t>
      </w:r>
      <w:proofErr w:type="gramStart"/>
      <w:r w:rsidR="00676F4B" w:rsidRPr="00105C49">
        <w:rPr>
          <w:rFonts w:ascii="Arial" w:hAnsi="Arial" w:cs="Arial"/>
          <w:lang w:val="en-US"/>
        </w:rPr>
        <w:t>was identified</w:t>
      </w:r>
      <w:proofErr w:type="gramEnd"/>
      <w:r w:rsidR="00676F4B" w:rsidRPr="00105C49">
        <w:rPr>
          <w:rFonts w:ascii="Arial" w:hAnsi="Arial" w:cs="Arial"/>
          <w:lang w:val="en-US"/>
        </w:rPr>
        <w:t xml:space="preserve"> including </w:t>
      </w:r>
      <w:r w:rsidR="006B4D06" w:rsidRPr="00105C49">
        <w:rPr>
          <w:rFonts w:ascii="Arial" w:hAnsi="Arial" w:cs="Arial"/>
          <w:lang w:val="en-US"/>
        </w:rPr>
        <w:t xml:space="preserve">cerebral atrophy </w:t>
      </w:r>
      <w:r w:rsidR="00676F4B" w:rsidRPr="00105C49">
        <w:rPr>
          <w:rFonts w:ascii="Arial" w:hAnsi="Arial" w:cs="Arial"/>
          <w:lang w:val="en-US"/>
        </w:rPr>
        <w:t xml:space="preserve">and </w:t>
      </w:r>
      <w:r w:rsidR="006B4D06" w:rsidRPr="00105C49">
        <w:rPr>
          <w:rFonts w:ascii="Arial" w:hAnsi="Arial" w:cs="Arial"/>
          <w:lang w:val="en-US"/>
        </w:rPr>
        <w:t>hypoplasia of the corpus callosum</w:t>
      </w:r>
      <w:r w:rsidR="00676F4B" w:rsidRPr="00105C49">
        <w:rPr>
          <w:rFonts w:ascii="Arial" w:hAnsi="Arial" w:cs="Arial"/>
          <w:lang w:val="en-US"/>
        </w:rPr>
        <w:t>.</w:t>
      </w:r>
    </w:p>
    <w:p w14:paraId="089D0480" w14:textId="381FAA17" w:rsidR="00734F90" w:rsidRPr="00105C49" w:rsidRDefault="00734F90" w:rsidP="006C2244">
      <w:pPr>
        <w:spacing w:line="480" w:lineRule="auto"/>
        <w:rPr>
          <w:rFonts w:ascii="Arial" w:hAnsi="Arial" w:cs="Arial"/>
          <w:lang w:val="en-US"/>
        </w:rPr>
      </w:pPr>
      <w:r w:rsidRPr="00105C49">
        <w:rPr>
          <w:rFonts w:ascii="Arial" w:hAnsi="Arial" w:cs="Arial"/>
        </w:rPr>
        <w:t xml:space="preserve">Spasticity and other movement disorders such as dystonia, chorea, stereotypies, </w:t>
      </w:r>
      <w:proofErr w:type="spellStart"/>
      <w:r w:rsidRPr="00105C49">
        <w:rPr>
          <w:rFonts w:ascii="Arial" w:hAnsi="Arial" w:cs="Arial"/>
        </w:rPr>
        <w:t>opisthotonus</w:t>
      </w:r>
      <w:proofErr w:type="spellEnd"/>
      <w:r w:rsidRPr="00105C49">
        <w:rPr>
          <w:rFonts w:ascii="Arial" w:hAnsi="Arial" w:cs="Arial"/>
        </w:rPr>
        <w:t xml:space="preserve"> and oculogyric crises have also been noted in </w:t>
      </w:r>
      <w:r w:rsidRPr="00105C49">
        <w:rPr>
          <w:rFonts w:ascii="Arial" w:hAnsi="Arial" w:cs="Arial"/>
          <w:i/>
        </w:rPr>
        <w:t>SCN2A</w:t>
      </w:r>
      <w:r w:rsidRPr="00105C49">
        <w:rPr>
          <w:rFonts w:ascii="Arial" w:hAnsi="Arial" w:cs="Arial"/>
        </w:rPr>
        <w:t xml:space="preserve"> disorders </w:t>
      </w:r>
      <w:r w:rsidR="00C4002A" w:rsidRPr="008D6F38">
        <w:rPr>
          <w:rFonts w:ascii="Arial" w:hAnsi="Arial" w:cs="Arial"/>
        </w:rPr>
        <w:t>(</w:t>
      </w:r>
      <w:proofErr w:type="spellStart"/>
      <w:r w:rsidR="00C4002A" w:rsidRPr="00C4002A">
        <w:rPr>
          <w:rFonts w:ascii="Arial" w:hAnsi="Arial" w:cs="Arial"/>
        </w:rPr>
        <w:t>Takezawa</w:t>
      </w:r>
      <w:proofErr w:type="spellEnd"/>
      <w:r w:rsidR="00C4002A" w:rsidRPr="008D6F38" w:rsidDel="00C4002A">
        <w:rPr>
          <w:rFonts w:ascii="Arial" w:hAnsi="Arial" w:cs="Arial"/>
        </w:rPr>
        <w:t xml:space="preserve"> </w:t>
      </w:r>
      <w:r w:rsidR="00C4002A" w:rsidRPr="008D6F38">
        <w:rPr>
          <w:rFonts w:ascii="Arial" w:hAnsi="Arial" w:cs="Arial"/>
        </w:rPr>
        <w:t xml:space="preserve"> 2018, </w:t>
      </w:r>
      <w:r w:rsidR="00C4002A" w:rsidRPr="00C4002A">
        <w:rPr>
          <w:rFonts w:ascii="Arial" w:hAnsi="Arial" w:cs="Arial"/>
          <w:shd w:val="clear" w:color="auto" w:fill="FFFFFF"/>
        </w:rPr>
        <w:t>Howell</w:t>
      </w:r>
      <w:r w:rsidR="00C4002A" w:rsidRPr="008D6F38" w:rsidDel="00C4002A">
        <w:rPr>
          <w:rFonts w:ascii="Arial" w:hAnsi="Arial" w:cs="Arial"/>
        </w:rPr>
        <w:t xml:space="preserve"> </w:t>
      </w:r>
      <w:r w:rsidR="00C4002A" w:rsidRPr="008D6F38">
        <w:rPr>
          <w:rFonts w:ascii="Arial" w:hAnsi="Arial" w:cs="Arial"/>
        </w:rPr>
        <w:t xml:space="preserve"> 2015)</w:t>
      </w:r>
      <w:r w:rsidR="003B24A1" w:rsidRPr="00105C49">
        <w:rPr>
          <w:rFonts w:ascii="Arial" w:hAnsi="Arial" w:cs="Arial"/>
          <w:vertAlign w:val="superscript"/>
        </w:rPr>
        <w:t>,</w:t>
      </w:r>
      <w:r w:rsidR="005E28D2">
        <w:rPr>
          <w:rFonts w:ascii="Arial" w:hAnsi="Arial" w:cs="Arial"/>
          <w:vertAlign w:val="superscript"/>
        </w:rPr>
        <w:t xml:space="preserve"> </w:t>
      </w:r>
      <w:r w:rsidR="00676F4B" w:rsidRPr="00105C49">
        <w:rPr>
          <w:rFonts w:ascii="Arial" w:hAnsi="Arial" w:cs="Arial"/>
        </w:rPr>
        <w:t>and these were also observed in this cohort</w:t>
      </w:r>
      <w:r w:rsidR="00733082" w:rsidRPr="00105C49">
        <w:rPr>
          <w:rFonts w:ascii="Arial" w:hAnsi="Arial" w:cs="Arial"/>
        </w:rPr>
        <w:t xml:space="preserve"> (6/22 patients)</w:t>
      </w:r>
      <w:r w:rsidR="00676F4B" w:rsidRPr="00105C49">
        <w:rPr>
          <w:rFonts w:ascii="Arial" w:hAnsi="Arial" w:cs="Arial"/>
        </w:rPr>
        <w:t xml:space="preserve">. </w:t>
      </w:r>
    </w:p>
    <w:p w14:paraId="44729A60" w14:textId="23D71821" w:rsidR="0075169B" w:rsidRPr="00105C49" w:rsidRDefault="0075169B" w:rsidP="006C2244">
      <w:pPr>
        <w:pStyle w:val="Normal1"/>
        <w:spacing w:line="480" w:lineRule="auto"/>
        <w:rPr>
          <w:color w:val="auto"/>
          <w:sz w:val="24"/>
          <w:szCs w:val="24"/>
          <w:lang w:val="en-US"/>
        </w:rPr>
      </w:pPr>
      <w:r w:rsidRPr="00105C49">
        <w:rPr>
          <w:color w:val="auto"/>
          <w:sz w:val="24"/>
          <w:szCs w:val="24"/>
          <w:lang w:val="en-US"/>
        </w:rPr>
        <w:t xml:space="preserve">Perhaps due to the impact of the phenotype on the likelihood of an individual having the </w:t>
      </w:r>
      <w:r w:rsidRPr="00ED0C98">
        <w:rPr>
          <w:color w:val="auto"/>
          <w:sz w:val="24"/>
          <w:szCs w:val="24"/>
          <w:lang w:val="en-US"/>
        </w:rPr>
        <w:t xml:space="preserve">capacity to have a child, in the majority of previously reported cases, the variants have been </w:t>
      </w:r>
      <w:r w:rsidRPr="00ED0C98">
        <w:rPr>
          <w:i/>
          <w:color w:val="auto"/>
          <w:sz w:val="24"/>
          <w:szCs w:val="24"/>
          <w:lang w:val="en-US"/>
        </w:rPr>
        <w:t>de novo</w:t>
      </w:r>
      <w:r w:rsidRPr="00ED0C98">
        <w:rPr>
          <w:color w:val="auto"/>
          <w:sz w:val="24"/>
          <w:szCs w:val="24"/>
          <w:lang w:val="en-US"/>
        </w:rPr>
        <w:t xml:space="preserve"> </w:t>
      </w:r>
      <w:r w:rsidR="00C4002A" w:rsidRPr="00ED0C98">
        <w:rPr>
          <w:color w:val="auto"/>
          <w:sz w:val="24"/>
          <w:szCs w:val="24"/>
          <w:lang w:val="en-US"/>
        </w:rPr>
        <w:t>(</w:t>
      </w:r>
      <w:proofErr w:type="gramStart"/>
      <w:r w:rsidR="00C4002A" w:rsidRPr="00621CBF">
        <w:rPr>
          <w:sz w:val="24"/>
          <w:szCs w:val="24"/>
        </w:rPr>
        <w:t>Lindy</w:t>
      </w:r>
      <w:r w:rsidR="00C4002A" w:rsidRPr="00ED0C98" w:rsidDel="00C4002A">
        <w:rPr>
          <w:color w:val="auto"/>
          <w:sz w:val="24"/>
          <w:szCs w:val="24"/>
          <w:lang w:val="en-US"/>
        </w:rPr>
        <w:t xml:space="preserve"> </w:t>
      </w:r>
      <w:r w:rsidR="00C4002A" w:rsidRPr="00ED0C98">
        <w:rPr>
          <w:color w:val="auto"/>
          <w:sz w:val="24"/>
          <w:szCs w:val="24"/>
          <w:lang w:val="en-US"/>
        </w:rPr>
        <w:t xml:space="preserve"> 2018</w:t>
      </w:r>
      <w:proofErr w:type="gramEnd"/>
      <w:r w:rsidR="00C4002A" w:rsidRPr="00ED0C98">
        <w:rPr>
          <w:color w:val="auto"/>
          <w:sz w:val="24"/>
          <w:szCs w:val="24"/>
          <w:lang w:val="en-US"/>
        </w:rPr>
        <w:t>)</w:t>
      </w:r>
      <w:r w:rsidR="00276975" w:rsidRPr="00ED0C98">
        <w:rPr>
          <w:color w:val="auto"/>
          <w:sz w:val="24"/>
          <w:szCs w:val="24"/>
          <w:lang w:val="en-US"/>
        </w:rPr>
        <w:t xml:space="preserve">. </w:t>
      </w:r>
      <w:r w:rsidRPr="00ED0C98">
        <w:rPr>
          <w:color w:val="auto"/>
          <w:sz w:val="24"/>
          <w:szCs w:val="24"/>
          <w:lang w:val="en-US"/>
        </w:rPr>
        <w:t>The</w:t>
      </w:r>
      <w:r w:rsidRPr="00105C49">
        <w:rPr>
          <w:color w:val="auto"/>
          <w:sz w:val="24"/>
          <w:szCs w:val="24"/>
          <w:lang w:val="en-US"/>
        </w:rPr>
        <w:t xml:space="preserve"> </w:t>
      </w:r>
      <w:proofErr w:type="gramStart"/>
      <w:r w:rsidRPr="00105C49">
        <w:rPr>
          <w:color w:val="auto"/>
          <w:sz w:val="24"/>
          <w:szCs w:val="24"/>
          <w:lang w:val="en-US"/>
        </w:rPr>
        <w:t>2</w:t>
      </w:r>
      <w:proofErr w:type="gramEnd"/>
      <w:r w:rsidRPr="00105C49">
        <w:rPr>
          <w:color w:val="auto"/>
          <w:sz w:val="24"/>
          <w:szCs w:val="24"/>
          <w:lang w:val="en-US"/>
        </w:rPr>
        <w:t xml:space="preserve"> families from this study with inherited variants highlight the possibility of inheritance of </w:t>
      </w:r>
      <w:r w:rsidRPr="00105C49">
        <w:rPr>
          <w:i/>
          <w:color w:val="auto"/>
          <w:sz w:val="24"/>
          <w:szCs w:val="24"/>
          <w:lang w:val="en-US"/>
        </w:rPr>
        <w:t>SCN2A</w:t>
      </w:r>
      <w:r w:rsidRPr="00105C49">
        <w:rPr>
          <w:color w:val="auto"/>
          <w:sz w:val="24"/>
          <w:szCs w:val="24"/>
          <w:lang w:val="en-US"/>
        </w:rPr>
        <w:t xml:space="preserve"> variants </w:t>
      </w:r>
      <w:r w:rsidR="00682BEB" w:rsidRPr="00105C49">
        <w:rPr>
          <w:color w:val="auto"/>
          <w:sz w:val="24"/>
          <w:szCs w:val="24"/>
          <w:lang w:val="en-US"/>
        </w:rPr>
        <w:t xml:space="preserve">associated </w:t>
      </w:r>
      <w:r w:rsidRPr="00105C49">
        <w:rPr>
          <w:color w:val="auto"/>
          <w:sz w:val="24"/>
          <w:szCs w:val="24"/>
          <w:lang w:val="en-US"/>
        </w:rPr>
        <w:t xml:space="preserve">with a non-benign phenotype. No evidence of incomplete penetrance </w:t>
      </w:r>
      <w:proofErr w:type="gramStart"/>
      <w:r w:rsidRPr="00105C49">
        <w:rPr>
          <w:color w:val="auto"/>
          <w:sz w:val="24"/>
          <w:szCs w:val="24"/>
          <w:lang w:val="en-US"/>
        </w:rPr>
        <w:t>was demonstrated</w:t>
      </w:r>
      <w:proofErr w:type="gramEnd"/>
      <w:r w:rsidRPr="00105C49">
        <w:rPr>
          <w:color w:val="auto"/>
          <w:sz w:val="24"/>
          <w:szCs w:val="24"/>
          <w:lang w:val="en-US"/>
        </w:rPr>
        <w:t xml:space="preserve"> in these data. </w:t>
      </w:r>
    </w:p>
    <w:p w14:paraId="7B9935D4" w14:textId="76D2DBF1" w:rsidR="0075169B" w:rsidRPr="00105C49" w:rsidRDefault="0075169B" w:rsidP="006C2244">
      <w:pPr>
        <w:spacing w:line="480" w:lineRule="auto"/>
        <w:rPr>
          <w:rFonts w:ascii="Arial" w:hAnsi="Arial" w:cs="Arial"/>
        </w:rPr>
      </w:pPr>
      <w:r w:rsidRPr="00105C49">
        <w:rPr>
          <w:rFonts w:ascii="Arial" w:hAnsi="Arial" w:cs="Arial"/>
        </w:rPr>
        <w:t xml:space="preserve">Mosaicism in </w:t>
      </w:r>
      <w:proofErr w:type="spellStart"/>
      <w:r w:rsidRPr="00105C49">
        <w:rPr>
          <w:rFonts w:ascii="Arial" w:hAnsi="Arial" w:cs="Arial"/>
        </w:rPr>
        <w:t>probands</w:t>
      </w:r>
      <w:proofErr w:type="spellEnd"/>
      <w:r w:rsidRPr="00105C49">
        <w:rPr>
          <w:rFonts w:ascii="Arial" w:hAnsi="Arial" w:cs="Arial"/>
        </w:rPr>
        <w:t xml:space="preserve"> and parents </w:t>
      </w:r>
      <w:proofErr w:type="gramStart"/>
      <w:r w:rsidRPr="00105C49">
        <w:rPr>
          <w:rFonts w:ascii="Arial" w:hAnsi="Arial" w:cs="Arial"/>
        </w:rPr>
        <w:t>is recognised</w:t>
      </w:r>
      <w:proofErr w:type="gramEnd"/>
      <w:r w:rsidRPr="00105C49">
        <w:rPr>
          <w:rFonts w:ascii="Arial" w:hAnsi="Arial" w:cs="Arial"/>
        </w:rPr>
        <w:t xml:space="preserve"> in epilepsy-related neurodevelopmental </w:t>
      </w:r>
      <w:r w:rsidRPr="00C4002A">
        <w:rPr>
          <w:rFonts w:ascii="Arial" w:hAnsi="Arial" w:cs="Arial"/>
        </w:rPr>
        <w:t xml:space="preserve">genes </w:t>
      </w:r>
      <w:r w:rsidR="00C4002A" w:rsidRPr="008D6F38">
        <w:rPr>
          <w:rFonts w:ascii="Arial" w:hAnsi="Arial" w:cs="Arial"/>
        </w:rPr>
        <w:t>(</w:t>
      </w:r>
      <w:proofErr w:type="spellStart"/>
      <w:r w:rsidR="00C4002A" w:rsidRPr="00C4002A">
        <w:rPr>
          <w:rFonts w:ascii="Arial" w:hAnsi="Arial" w:cs="Arial"/>
        </w:rPr>
        <w:t>Stosser</w:t>
      </w:r>
      <w:proofErr w:type="spellEnd"/>
      <w:r w:rsidR="00C4002A" w:rsidRPr="008D6F38">
        <w:rPr>
          <w:rFonts w:ascii="Arial" w:hAnsi="Arial" w:cs="Arial"/>
        </w:rPr>
        <w:t xml:space="preserve"> 2018)</w:t>
      </w:r>
      <w:r w:rsidR="003B24A1" w:rsidRPr="00105C49">
        <w:rPr>
          <w:rFonts w:ascii="Arial" w:hAnsi="Arial" w:cs="Arial"/>
        </w:rPr>
        <w:t xml:space="preserve"> </w:t>
      </w:r>
      <w:r w:rsidRPr="00105C49">
        <w:rPr>
          <w:rFonts w:ascii="Arial" w:hAnsi="Arial" w:cs="Arial"/>
        </w:rPr>
        <w:t xml:space="preserve">and one previous case of paternal germline mosaicism of </w:t>
      </w:r>
      <w:r w:rsidRPr="00105C49">
        <w:rPr>
          <w:rFonts w:ascii="Arial" w:hAnsi="Arial" w:cs="Arial"/>
          <w:i/>
        </w:rPr>
        <w:t xml:space="preserve">SCN2A </w:t>
      </w:r>
      <w:r w:rsidRPr="00105C49">
        <w:rPr>
          <w:rFonts w:ascii="Arial" w:hAnsi="Arial" w:cs="Arial"/>
        </w:rPr>
        <w:t xml:space="preserve">has been reported in a family with two children </w:t>
      </w:r>
      <w:r w:rsidR="00ED0C98">
        <w:rPr>
          <w:rFonts w:ascii="Arial" w:hAnsi="Arial" w:cs="Arial"/>
        </w:rPr>
        <w:t>with an</w:t>
      </w:r>
      <w:r w:rsidRPr="00105C49">
        <w:rPr>
          <w:rFonts w:ascii="Arial" w:hAnsi="Arial" w:cs="Arial"/>
        </w:rPr>
        <w:t xml:space="preserve"> </w:t>
      </w:r>
      <w:proofErr w:type="spellStart"/>
      <w:r w:rsidRPr="00105C49">
        <w:rPr>
          <w:rFonts w:ascii="Arial" w:hAnsi="Arial" w:cs="Arial"/>
        </w:rPr>
        <w:t>Ohtahara</w:t>
      </w:r>
      <w:proofErr w:type="spellEnd"/>
      <w:r w:rsidRPr="00105C49">
        <w:rPr>
          <w:rFonts w:ascii="Arial" w:hAnsi="Arial" w:cs="Arial"/>
        </w:rPr>
        <w:t xml:space="preserve"> </w:t>
      </w:r>
      <w:r w:rsidRPr="00C4002A">
        <w:rPr>
          <w:rFonts w:ascii="Arial" w:hAnsi="Arial" w:cs="Arial"/>
        </w:rPr>
        <w:t xml:space="preserve">syndrome </w:t>
      </w:r>
      <w:r w:rsidR="00ED0C98">
        <w:rPr>
          <w:rFonts w:ascii="Arial" w:hAnsi="Arial" w:cs="Arial"/>
        </w:rPr>
        <w:t xml:space="preserve">epilepsy phenotype </w:t>
      </w:r>
      <w:r w:rsidR="00C4002A" w:rsidRPr="008D6F38">
        <w:rPr>
          <w:rFonts w:ascii="Arial" w:hAnsi="Arial" w:cs="Arial"/>
        </w:rPr>
        <w:t>(</w:t>
      </w:r>
      <w:proofErr w:type="spellStart"/>
      <w:r w:rsidR="00C4002A" w:rsidRPr="00C4002A">
        <w:rPr>
          <w:rFonts w:ascii="Arial" w:hAnsi="Arial" w:cs="Arial"/>
        </w:rPr>
        <w:t>Zerem</w:t>
      </w:r>
      <w:proofErr w:type="spellEnd"/>
      <w:r w:rsidR="00C4002A" w:rsidRPr="008D6F38" w:rsidDel="00C4002A">
        <w:rPr>
          <w:rFonts w:ascii="Arial" w:hAnsi="Arial" w:cs="Arial"/>
        </w:rPr>
        <w:t xml:space="preserve"> </w:t>
      </w:r>
      <w:r w:rsidR="00C4002A" w:rsidRPr="008D6F38">
        <w:rPr>
          <w:rFonts w:ascii="Arial" w:hAnsi="Arial" w:cs="Arial"/>
        </w:rPr>
        <w:t>2014)</w:t>
      </w:r>
      <w:r w:rsidR="00276975" w:rsidRPr="00C4002A">
        <w:rPr>
          <w:rFonts w:ascii="Arial" w:hAnsi="Arial" w:cs="Arial"/>
        </w:rPr>
        <w:t>.</w:t>
      </w:r>
      <w:r w:rsidRPr="00105C49">
        <w:rPr>
          <w:rFonts w:ascii="Arial" w:hAnsi="Arial" w:cs="Arial"/>
        </w:rPr>
        <w:t xml:space="preserve"> This study documents the first reported family with a presumed </w:t>
      </w:r>
      <w:proofErr w:type="spellStart"/>
      <w:r w:rsidRPr="00105C49">
        <w:rPr>
          <w:rFonts w:ascii="Arial" w:hAnsi="Arial" w:cs="Arial"/>
        </w:rPr>
        <w:t>L</w:t>
      </w:r>
      <w:r w:rsidR="00F347E8" w:rsidRPr="00105C49">
        <w:rPr>
          <w:rFonts w:ascii="Arial" w:hAnsi="Arial" w:cs="Arial"/>
        </w:rPr>
        <w:t>o</w:t>
      </w:r>
      <w:r w:rsidRPr="00105C49">
        <w:rPr>
          <w:rFonts w:ascii="Arial" w:hAnsi="Arial" w:cs="Arial"/>
        </w:rPr>
        <w:t>F</w:t>
      </w:r>
      <w:proofErr w:type="spellEnd"/>
      <w:r w:rsidRPr="00105C49">
        <w:rPr>
          <w:rFonts w:ascii="Arial" w:hAnsi="Arial" w:cs="Arial"/>
        </w:rPr>
        <w:t xml:space="preserve"> phenotype (ID/DD with or without later onset seizures) (</w:t>
      </w:r>
      <w:r w:rsidRPr="00A31647">
        <w:rPr>
          <w:rFonts w:ascii="Arial" w:hAnsi="Arial" w:cs="Arial"/>
        </w:rPr>
        <w:t>patients 1</w:t>
      </w:r>
      <w:r w:rsidR="00F52CEE" w:rsidRPr="00A31647">
        <w:rPr>
          <w:rFonts w:ascii="Arial" w:hAnsi="Arial" w:cs="Arial"/>
        </w:rPr>
        <w:t>6</w:t>
      </w:r>
      <w:r w:rsidRPr="00A31647">
        <w:rPr>
          <w:rFonts w:ascii="Arial" w:hAnsi="Arial" w:cs="Arial"/>
        </w:rPr>
        <w:t xml:space="preserve"> and 1</w:t>
      </w:r>
      <w:r w:rsidR="00F52CEE" w:rsidRPr="00A31647">
        <w:rPr>
          <w:rFonts w:ascii="Arial" w:hAnsi="Arial" w:cs="Arial"/>
        </w:rPr>
        <w:t>7</w:t>
      </w:r>
      <w:r w:rsidRPr="00A31647">
        <w:rPr>
          <w:rFonts w:ascii="Arial" w:hAnsi="Arial" w:cs="Arial"/>
        </w:rPr>
        <w:t>)</w:t>
      </w:r>
      <w:r w:rsidRPr="00105C49">
        <w:rPr>
          <w:rFonts w:ascii="Arial" w:hAnsi="Arial" w:cs="Arial"/>
        </w:rPr>
        <w:t xml:space="preserve"> with </w:t>
      </w:r>
      <w:r w:rsidR="00682BEB" w:rsidRPr="00105C49">
        <w:rPr>
          <w:rFonts w:ascii="Arial" w:hAnsi="Arial" w:cs="Arial"/>
        </w:rPr>
        <w:t xml:space="preserve">presumed </w:t>
      </w:r>
      <w:r w:rsidRPr="00105C49">
        <w:rPr>
          <w:rFonts w:ascii="Arial" w:hAnsi="Arial" w:cs="Arial"/>
        </w:rPr>
        <w:t xml:space="preserve">gonadal mosaicism. </w:t>
      </w:r>
      <w:r w:rsidRPr="00A31647">
        <w:rPr>
          <w:rFonts w:ascii="Arial" w:hAnsi="Arial" w:cs="Arial"/>
        </w:rPr>
        <w:t>This has important implications for counselling of families with a child with</w:t>
      </w:r>
      <w:r w:rsidR="00DB471C" w:rsidRPr="00A31647">
        <w:rPr>
          <w:rFonts w:ascii="Arial" w:hAnsi="Arial" w:cs="Arial"/>
        </w:rPr>
        <w:t xml:space="preserve"> a</w:t>
      </w:r>
      <w:r w:rsidRPr="00A31647">
        <w:rPr>
          <w:rFonts w:ascii="Arial" w:hAnsi="Arial" w:cs="Arial"/>
        </w:rPr>
        <w:t xml:space="preserve"> </w:t>
      </w:r>
      <w:r w:rsidRPr="00A31647">
        <w:rPr>
          <w:rFonts w:ascii="Arial" w:hAnsi="Arial" w:cs="Arial"/>
          <w:i/>
        </w:rPr>
        <w:t>de novo</w:t>
      </w:r>
      <w:r w:rsidRPr="00A31647">
        <w:rPr>
          <w:rFonts w:ascii="Arial" w:hAnsi="Arial" w:cs="Arial"/>
        </w:rPr>
        <w:t xml:space="preserve"> </w:t>
      </w:r>
      <w:r w:rsidRPr="00A31647">
        <w:rPr>
          <w:rFonts w:ascii="Arial" w:hAnsi="Arial" w:cs="Arial"/>
          <w:i/>
        </w:rPr>
        <w:t>SCN2A</w:t>
      </w:r>
      <w:r w:rsidRPr="00A31647">
        <w:rPr>
          <w:rFonts w:ascii="Arial" w:hAnsi="Arial" w:cs="Arial"/>
        </w:rPr>
        <w:t xml:space="preserve"> </w:t>
      </w:r>
      <w:r w:rsidRPr="00A31647">
        <w:rPr>
          <w:rFonts w:ascii="Arial" w:hAnsi="Arial" w:cs="Arial"/>
        </w:rPr>
        <w:lastRenderedPageBreak/>
        <w:t xml:space="preserve">pathogenic variant. Generally, in clinical practice, recurrence risk based on gonadal mosaicism rate </w:t>
      </w:r>
      <w:proofErr w:type="gramStart"/>
      <w:r w:rsidRPr="00A31647">
        <w:rPr>
          <w:rFonts w:ascii="Arial" w:hAnsi="Arial" w:cs="Arial"/>
        </w:rPr>
        <w:t>is counselled</w:t>
      </w:r>
      <w:proofErr w:type="gramEnd"/>
      <w:r w:rsidRPr="00A31647">
        <w:rPr>
          <w:rFonts w:ascii="Arial" w:hAnsi="Arial" w:cs="Arial"/>
        </w:rPr>
        <w:t xml:space="preserve"> as </w:t>
      </w:r>
      <w:r w:rsidR="000F320E" w:rsidRPr="00A31647">
        <w:rPr>
          <w:rFonts w:ascii="Arial" w:hAnsi="Arial" w:cs="Arial"/>
        </w:rPr>
        <w:t>around</w:t>
      </w:r>
      <w:r w:rsidRPr="00A31647">
        <w:rPr>
          <w:rFonts w:ascii="Arial" w:hAnsi="Arial" w:cs="Arial"/>
        </w:rPr>
        <w:t xml:space="preserve"> 1%. This study and the previous reported case of mosaicism is </w:t>
      </w:r>
      <w:proofErr w:type="gramStart"/>
      <w:r w:rsidRPr="00A31647">
        <w:rPr>
          <w:rFonts w:ascii="Arial" w:hAnsi="Arial" w:cs="Arial"/>
        </w:rPr>
        <w:t>in-keeping</w:t>
      </w:r>
      <w:proofErr w:type="gramEnd"/>
      <w:r w:rsidRPr="00A31647">
        <w:rPr>
          <w:rFonts w:ascii="Arial" w:hAnsi="Arial" w:cs="Arial"/>
        </w:rPr>
        <w:t xml:space="preserve"> with this estimated recurrence risk and there is insufficient data at present to alter this practice for </w:t>
      </w:r>
      <w:r w:rsidRPr="00A31647">
        <w:rPr>
          <w:rFonts w:ascii="Arial" w:hAnsi="Arial" w:cs="Arial"/>
          <w:i/>
        </w:rPr>
        <w:t>SCN2A</w:t>
      </w:r>
      <w:r w:rsidRPr="00A31647">
        <w:rPr>
          <w:rFonts w:ascii="Arial" w:hAnsi="Arial" w:cs="Arial"/>
        </w:rPr>
        <w:t xml:space="preserve"> variants.</w:t>
      </w:r>
    </w:p>
    <w:p w14:paraId="3FB307DE" w14:textId="54E7C93F" w:rsidR="0075169B" w:rsidRPr="00105C49" w:rsidRDefault="00C4002A" w:rsidP="006C2244">
      <w:pPr>
        <w:pStyle w:val="Normal1"/>
        <w:spacing w:line="480" w:lineRule="auto"/>
        <w:rPr>
          <w:sz w:val="24"/>
          <w:szCs w:val="24"/>
        </w:rPr>
      </w:pPr>
      <w:r>
        <w:rPr>
          <w:sz w:val="24"/>
          <w:szCs w:val="24"/>
        </w:rPr>
        <w:t>It is</w:t>
      </w:r>
      <w:r w:rsidR="007F0A8D" w:rsidRPr="00105C49">
        <w:rPr>
          <w:sz w:val="24"/>
          <w:szCs w:val="24"/>
        </w:rPr>
        <w:t xml:space="preserve"> hypothesed that </w:t>
      </w:r>
      <w:r w:rsidR="007F0A8D" w:rsidRPr="00105C49">
        <w:rPr>
          <w:i/>
          <w:sz w:val="24"/>
          <w:szCs w:val="24"/>
        </w:rPr>
        <w:t>SCN2A</w:t>
      </w:r>
      <w:r w:rsidR="007F0A8D" w:rsidRPr="00105C49">
        <w:rPr>
          <w:sz w:val="24"/>
          <w:szCs w:val="24"/>
        </w:rPr>
        <w:t xml:space="preserve"> variants in DEE vs ASD/ID have opposing effects of the Na</w:t>
      </w:r>
      <w:r w:rsidR="007F0A8D" w:rsidRPr="00105C49">
        <w:rPr>
          <w:sz w:val="24"/>
          <w:szCs w:val="24"/>
          <w:vertAlign w:val="subscript"/>
        </w:rPr>
        <w:t>v</w:t>
      </w:r>
      <w:r w:rsidR="007F0A8D" w:rsidRPr="00105C49">
        <w:rPr>
          <w:sz w:val="24"/>
          <w:szCs w:val="24"/>
        </w:rPr>
        <w:t xml:space="preserve">1.2 </w:t>
      </w:r>
      <w:r w:rsidR="00977C23" w:rsidRPr="00105C49">
        <w:rPr>
          <w:sz w:val="24"/>
          <w:szCs w:val="24"/>
        </w:rPr>
        <w:t>function</w:t>
      </w:r>
      <w:r>
        <w:rPr>
          <w:sz w:val="24"/>
          <w:szCs w:val="24"/>
          <w:vertAlign w:val="superscript"/>
        </w:rPr>
        <w:t xml:space="preserve"> </w:t>
      </w:r>
      <w:r w:rsidRPr="008D6F38">
        <w:rPr>
          <w:sz w:val="24"/>
          <w:szCs w:val="24"/>
        </w:rPr>
        <w:t>(Ben-Shalom 2017)</w:t>
      </w:r>
      <w:r w:rsidR="007F0A8D" w:rsidRPr="00C4002A">
        <w:rPr>
          <w:sz w:val="24"/>
          <w:szCs w:val="24"/>
        </w:rPr>
        <w:t>, and</w:t>
      </w:r>
      <w:r w:rsidR="007F0A8D" w:rsidRPr="00105C49">
        <w:rPr>
          <w:sz w:val="24"/>
          <w:szCs w:val="24"/>
        </w:rPr>
        <w:t xml:space="preserve"> this study provides some evidence to supports this, with all the PTVs associated with ASD/ID.  </w:t>
      </w:r>
    </w:p>
    <w:p w14:paraId="3E45AF70" w14:textId="1B63892D" w:rsidR="007F0A8D" w:rsidRPr="00105C49" w:rsidRDefault="007F0A8D" w:rsidP="006C2244">
      <w:pPr>
        <w:pStyle w:val="Normal1"/>
        <w:spacing w:line="480" w:lineRule="auto"/>
        <w:rPr>
          <w:sz w:val="24"/>
          <w:szCs w:val="24"/>
        </w:rPr>
      </w:pPr>
      <w:r w:rsidRPr="00105C49">
        <w:rPr>
          <w:color w:val="auto"/>
          <w:sz w:val="24"/>
          <w:szCs w:val="24"/>
          <w:lang w:val="en-US"/>
        </w:rPr>
        <w:t xml:space="preserve">It is possible that some variants confer a risk </w:t>
      </w:r>
      <w:r w:rsidR="00977C23" w:rsidRPr="00105C49">
        <w:rPr>
          <w:color w:val="auto"/>
          <w:sz w:val="24"/>
          <w:szCs w:val="24"/>
          <w:lang w:val="en-US"/>
        </w:rPr>
        <w:t>to a broader range of</w:t>
      </w:r>
      <w:r w:rsidRPr="00105C49">
        <w:rPr>
          <w:color w:val="auto"/>
          <w:sz w:val="24"/>
          <w:szCs w:val="24"/>
          <w:lang w:val="en-US"/>
        </w:rPr>
        <w:t xml:space="preserve"> </w:t>
      </w:r>
      <w:r w:rsidRPr="00105C49">
        <w:rPr>
          <w:i/>
          <w:color w:val="auto"/>
          <w:sz w:val="24"/>
          <w:szCs w:val="24"/>
          <w:lang w:val="en-US"/>
        </w:rPr>
        <w:t>SCN2A</w:t>
      </w:r>
      <w:r w:rsidRPr="00105C49">
        <w:rPr>
          <w:color w:val="auto"/>
          <w:sz w:val="24"/>
          <w:szCs w:val="24"/>
          <w:lang w:val="en-US"/>
        </w:rPr>
        <w:t xml:space="preserve"> </w:t>
      </w:r>
      <w:r w:rsidR="00977C23" w:rsidRPr="00105C49">
        <w:rPr>
          <w:color w:val="auto"/>
          <w:sz w:val="24"/>
          <w:szCs w:val="24"/>
          <w:lang w:val="en-US"/>
        </w:rPr>
        <w:t xml:space="preserve">related phenotypes. </w:t>
      </w:r>
      <w:r w:rsidRPr="00105C49">
        <w:rPr>
          <w:sz w:val="24"/>
          <w:szCs w:val="24"/>
        </w:rPr>
        <w:t xml:space="preserve">From this study, nine patients had a previously reported variant, in </w:t>
      </w:r>
      <w:r w:rsidR="00C82E6A">
        <w:rPr>
          <w:sz w:val="24"/>
          <w:szCs w:val="24"/>
        </w:rPr>
        <w:t xml:space="preserve">six </w:t>
      </w:r>
      <w:r w:rsidRPr="00105C49">
        <w:rPr>
          <w:sz w:val="24"/>
          <w:szCs w:val="24"/>
        </w:rPr>
        <w:t xml:space="preserve">of these patients </w:t>
      </w:r>
      <w:r w:rsidRPr="00C82E6A">
        <w:rPr>
          <w:sz w:val="24"/>
          <w:szCs w:val="24"/>
        </w:rPr>
        <w:t xml:space="preserve">there were phenotypic differences to the previous reports.  For example, patient </w:t>
      </w:r>
      <w:r w:rsidR="00F52CEE" w:rsidRPr="00C82E6A">
        <w:rPr>
          <w:sz w:val="24"/>
          <w:szCs w:val="24"/>
        </w:rPr>
        <w:t>6</w:t>
      </w:r>
      <w:r w:rsidR="002020D8" w:rsidRPr="00C82E6A">
        <w:rPr>
          <w:sz w:val="24"/>
          <w:szCs w:val="24"/>
        </w:rPr>
        <w:t xml:space="preserve"> and </w:t>
      </w:r>
      <w:r w:rsidR="00F52CEE" w:rsidRPr="00C82E6A">
        <w:rPr>
          <w:sz w:val="24"/>
          <w:szCs w:val="24"/>
        </w:rPr>
        <w:t>7</w:t>
      </w:r>
      <w:r w:rsidR="002020D8" w:rsidRPr="00C82E6A">
        <w:rPr>
          <w:sz w:val="24"/>
          <w:szCs w:val="24"/>
        </w:rPr>
        <w:t>’s</w:t>
      </w:r>
      <w:r w:rsidRPr="00C82E6A">
        <w:rPr>
          <w:sz w:val="24"/>
          <w:szCs w:val="24"/>
        </w:rPr>
        <w:t xml:space="preserve"> </w:t>
      </w:r>
      <w:r w:rsidRPr="004C75BB">
        <w:rPr>
          <w:sz w:val="24"/>
          <w:szCs w:val="24"/>
        </w:rPr>
        <w:t xml:space="preserve">variant was previously reported in a patients with an infantile encephalopathy phenotype </w:t>
      </w:r>
      <w:r w:rsidR="00C4002A" w:rsidRPr="004C75BB">
        <w:rPr>
          <w:sz w:val="24"/>
          <w:szCs w:val="24"/>
        </w:rPr>
        <w:t>(</w:t>
      </w:r>
      <w:r w:rsidR="004C75BB" w:rsidRPr="004C75BB">
        <w:rPr>
          <w:rStyle w:val="author"/>
          <w:sz w:val="24"/>
          <w:szCs w:val="24"/>
          <w:shd w:val="clear" w:color="auto" w:fill="FFFFFF"/>
        </w:rPr>
        <w:t>Wei 2018</w:t>
      </w:r>
      <w:r w:rsidR="00C4002A" w:rsidRPr="004C75BB">
        <w:rPr>
          <w:sz w:val="24"/>
          <w:szCs w:val="24"/>
        </w:rPr>
        <w:t>)</w:t>
      </w:r>
      <w:r w:rsidRPr="004C75BB">
        <w:rPr>
          <w:sz w:val="24"/>
          <w:szCs w:val="24"/>
        </w:rPr>
        <w:t>,</w:t>
      </w:r>
      <w:r w:rsidR="004C75BB" w:rsidRPr="004C75BB">
        <w:rPr>
          <w:sz w:val="24"/>
          <w:szCs w:val="24"/>
        </w:rPr>
        <w:t xml:space="preserve"> </w:t>
      </w:r>
      <w:r w:rsidRPr="004C75BB">
        <w:rPr>
          <w:sz w:val="24"/>
          <w:szCs w:val="24"/>
        </w:rPr>
        <w:t xml:space="preserve"> with epilepsy of unknown type and age of onset </w:t>
      </w:r>
      <w:r w:rsidR="00E8085F" w:rsidRPr="004C75BB">
        <w:rPr>
          <w:sz w:val="24"/>
          <w:szCs w:val="24"/>
        </w:rPr>
        <w:t>and</w:t>
      </w:r>
      <w:r w:rsidR="004C75BB">
        <w:rPr>
          <w:sz w:val="24"/>
          <w:szCs w:val="24"/>
        </w:rPr>
        <w:t xml:space="preserve"> neurodevelopm</w:t>
      </w:r>
      <w:r w:rsidR="00E8085F" w:rsidRPr="004C75BB">
        <w:rPr>
          <w:sz w:val="24"/>
          <w:szCs w:val="24"/>
        </w:rPr>
        <w:t>e</w:t>
      </w:r>
      <w:r w:rsidR="004C75BB">
        <w:rPr>
          <w:sz w:val="24"/>
          <w:szCs w:val="24"/>
        </w:rPr>
        <w:t>n</w:t>
      </w:r>
      <w:r w:rsidR="00E8085F" w:rsidRPr="004C75BB">
        <w:rPr>
          <w:sz w:val="24"/>
          <w:szCs w:val="24"/>
        </w:rPr>
        <w:t xml:space="preserve">tal disorder </w:t>
      </w:r>
      <w:r w:rsidR="00C4002A" w:rsidRPr="004C75BB">
        <w:rPr>
          <w:sz w:val="24"/>
          <w:szCs w:val="24"/>
        </w:rPr>
        <w:t>(</w:t>
      </w:r>
      <w:r w:rsidR="00E8085F" w:rsidRPr="004C75BB">
        <w:rPr>
          <w:sz w:val="24"/>
          <w:szCs w:val="24"/>
        </w:rPr>
        <w:t>Lindy 2018</w:t>
      </w:r>
      <w:r w:rsidR="00C4002A" w:rsidRPr="004C75BB">
        <w:rPr>
          <w:sz w:val="24"/>
          <w:szCs w:val="24"/>
        </w:rPr>
        <w:t>)</w:t>
      </w:r>
      <w:r w:rsidRPr="004C75BB">
        <w:rPr>
          <w:sz w:val="24"/>
          <w:szCs w:val="24"/>
        </w:rPr>
        <w:t xml:space="preserve">, as well as benign familial epilepsy </w:t>
      </w:r>
      <w:r w:rsidR="000F5417" w:rsidRPr="004C75BB">
        <w:rPr>
          <w:sz w:val="24"/>
          <w:szCs w:val="24"/>
        </w:rPr>
        <w:t>(</w:t>
      </w:r>
      <w:r w:rsidR="004C75BB" w:rsidRPr="004C75BB">
        <w:rPr>
          <w:sz w:val="24"/>
          <w:szCs w:val="24"/>
          <w:shd w:val="clear" w:color="auto" w:fill="FFFFFF"/>
        </w:rPr>
        <w:t>Zeng</w:t>
      </w:r>
      <w:r w:rsidR="000F5417" w:rsidRPr="004C75BB" w:rsidDel="000F5417">
        <w:rPr>
          <w:sz w:val="24"/>
          <w:szCs w:val="24"/>
        </w:rPr>
        <w:t xml:space="preserve"> </w:t>
      </w:r>
      <w:r w:rsidR="000F5417" w:rsidRPr="004C75BB">
        <w:rPr>
          <w:sz w:val="24"/>
          <w:szCs w:val="24"/>
        </w:rPr>
        <w:t>2018)</w:t>
      </w:r>
      <w:r w:rsidRPr="004C75BB">
        <w:rPr>
          <w:sz w:val="24"/>
          <w:szCs w:val="24"/>
        </w:rPr>
        <w:t>.</w:t>
      </w:r>
      <w:r w:rsidRPr="00105C49">
        <w:rPr>
          <w:sz w:val="24"/>
          <w:szCs w:val="24"/>
        </w:rPr>
        <w:t xml:space="preserve"> </w:t>
      </w:r>
      <w:r w:rsidR="002020D8" w:rsidRPr="00105C49">
        <w:rPr>
          <w:sz w:val="24"/>
          <w:szCs w:val="24"/>
        </w:rPr>
        <w:t xml:space="preserve"> Similarly, patient </w:t>
      </w:r>
      <w:r w:rsidR="00F52CEE">
        <w:rPr>
          <w:sz w:val="24"/>
          <w:szCs w:val="24"/>
        </w:rPr>
        <w:t>4</w:t>
      </w:r>
      <w:r w:rsidR="004C75BB">
        <w:rPr>
          <w:sz w:val="24"/>
          <w:szCs w:val="24"/>
        </w:rPr>
        <w:t xml:space="preserve"> presented with a DEE </w:t>
      </w:r>
      <w:r w:rsidR="002020D8" w:rsidRPr="00105C49">
        <w:rPr>
          <w:sz w:val="24"/>
          <w:szCs w:val="24"/>
        </w:rPr>
        <w:t>and this variant has been previ</w:t>
      </w:r>
      <w:r w:rsidR="006D3AFF" w:rsidRPr="00105C49">
        <w:rPr>
          <w:sz w:val="24"/>
          <w:szCs w:val="24"/>
        </w:rPr>
        <w:t xml:space="preserve">ously reported in </w:t>
      </w:r>
      <w:r w:rsidR="002020D8" w:rsidRPr="00105C49">
        <w:rPr>
          <w:sz w:val="24"/>
          <w:szCs w:val="24"/>
        </w:rPr>
        <w:t xml:space="preserve">both </w:t>
      </w:r>
      <w:r w:rsidR="002020D8" w:rsidRPr="00116541">
        <w:rPr>
          <w:sz w:val="24"/>
          <w:szCs w:val="24"/>
        </w:rPr>
        <w:t>DEE</w:t>
      </w:r>
      <w:r w:rsidR="00116541" w:rsidRPr="008D6F38">
        <w:rPr>
          <w:sz w:val="24"/>
          <w:szCs w:val="24"/>
        </w:rPr>
        <w:t xml:space="preserve"> (Wolff 2017)</w:t>
      </w:r>
      <w:r w:rsidR="002020D8" w:rsidRPr="008D6F38">
        <w:rPr>
          <w:sz w:val="24"/>
          <w:szCs w:val="24"/>
        </w:rPr>
        <w:t xml:space="preserve"> </w:t>
      </w:r>
      <w:r w:rsidR="002020D8" w:rsidRPr="00116541">
        <w:rPr>
          <w:sz w:val="24"/>
          <w:szCs w:val="24"/>
        </w:rPr>
        <w:t>and SLNIE</w:t>
      </w:r>
      <w:r w:rsidR="00116541" w:rsidRPr="008D6F38">
        <w:rPr>
          <w:sz w:val="24"/>
          <w:szCs w:val="24"/>
        </w:rPr>
        <w:t xml:space="preserve"> (Kong 2018)</w:t>
      </w:r>
      <w:r w:rsidR="002020D8" w:rsidRPr="00105C49">
        <w:rPr>
          <w:sz w:val="24"/>
          <w:szCs w:val="24"/>
        </w:rPr>
        <w:t xml:space="preserve">. </w:t>
      </w:r>
      <w:r w:rsidRPr="00105C49">
        <w:rPr>
          <w:sz w:val="24"/>
          <w:szCs w:val="24"/>
        </w:rPr>
        <w:t xml:space="preserve">As both SLNIE and DEE can be caused by a GoF variant, it is plausible that in different families, the variant may result in either of these phenotypes, although it appears to be consistent within each pedigree. </w:t>
      </w:r>
    </w:p>
    <w:p w14:paraId="423FDD09" w14:textId="2A42045C" w:rsidR="002020D8" w:rsidRPr="00105C49" w:rsidRDefault="006D3AFF" w:rsidP="006C2244">
      <w:pPr>
        <w:spacing w:line="480" w:lineRule="auto"/>
        <w:rPr>
          <w:rFonts w:ascii="Arial" w:hAnsi="Arial" w:cs="Arial"/>
          <w:lang w:val="en-US"/>
        </w:rPr>
      </w:pPr>
      <w:r w:rsidRPr="00A31647">
        <w:rPr>
          <w:rFonts w:ascii="Arial" w:hAnsi="Arial" w:cs="Arial"/>
          <w:lang w:val="en-US"/>
        </w:rPr>
        <w:t>Patient’s 1</w:t>
      </w:r>
      <w:r w:rsidR="00F52CEE" w:rsidRPr="00A31647">
        <w:rPr>
          <w:rFonts w:ascii="Arial" w:hAnsi="Arial" w:cs="Arial"/>
          <w:lang w:val="en-US"/>
        </w:rPr>
        <w:t>6</w:t>
      </w:r>
      <w:r w:rsidRPr="00A31647">
        <w:rPr>
          <w:rFonts w:ascii="Arial" w:hAnsi="Arial" w:cs="Arial"/>
          <w:lang w:val="en-US"/>
        </w:rPr>
        <w:t xml:space="preserve"> and 1</w:t>
      </w:r>
      <w:r w:rsidR="00F52CEE" w:rsidRPr="00A31647">
        <w:rPr>
          <w:rFonts w:ascii="Arial" w:hAnsi="Arial" w:cs="Arial"/>
          <w:lang w:val="en-US"/>
        </w:rPr>
        <w:t>7</w:t>
      </w:r>
      <w:r w:rsidRPr="00A31647">
        <w:rPr>
          <w:rFonts w:ascii="Arial" w:hAnsi="Arial" w:cs="Arial"/>
          <w:lang w:val="en-US"/>
        </w:rPr>
        <w:t xml:space="preserve"> both have DD and ID and </w:t>
      </w:r>
      <w:r w:rsidR="00116541" w:rsidRPr="00A31647">
        <w:rPr>
          <w:rFonts w:ascii="Arial" w:hAnsi="Arial" w:cs="Arial"/>
          <w:lang w:val="en-US"/>
        </w:rPr>
        <w:t xml:space="preserve">with </w:t>
      </w:r>
      <w:r w:rsidRPr="00A31647">
        <w:rPr>
          <w:rFonts w:ascii="Arial" w:hAnsi="Arial" w:cs="Arial"/>
          <w:lang w:val="en-US"/>
        </w:rPr>
        <w:t xml:space="preserve">seizures in </w:t>
      </w:r>
      <w:r w:rsidR="00A31647" w:rsidRPr="00A31647">
        <w:rPr>
          <w:rFonts w:ascii="Arial" w:hAnsi="Arial" w:cs="Arial"/>
          <w:lang w:val="en-US"/>
        </w:rPr>
        <w:t>patient 16</w:t>
      </w:r>
      <w:r w:rsidRPr="00A31647">
        <w:rPr>
          <w:rFonts w:ascii="Arial" w:hAnsi="Arial" w:cs="Arial"/>
          <w:lang w:val="en-US"/>
        </w:rPr>
        <w:t xml:space="preserve"> only</w:t>
      </w:r>
      <w:r w:rsidR="00116541" w:rsidRPr="00A31647">
        <w:rPr>
          <w:rFonts w:ascii="Arial" w:hAnsi="Arial" w:cs="Arial"/>
          <w:lang w:val="en-US"/>
        </w:rPr>
        <w:t>.</w:t>
      </w:r>
      <w:r w:rsidR="00F52CEE" w:rsidRPr="00A31647">
        <w:rPr>
          <w:rFonts w:ascii="Arial" w:hAnsi="Arial" w:cs="Arial"/>
          <w:lang w:val="en-US"/>
        </w:rPr>
        <w:t xml:space="preserve"> </w:t>
      </w:r>
      <w:r w:rsidR="00116541" w:rsidRPr="00A31647">
        <w:rPr>
          <w:rFonts w:ascii="Arial" w:hAnsi="Arial" w:cs="Arial"/>
          <w:lang w:val="en-US"/>
        </w:rPr>
        <w:t>T</w:t>
      </w:r>
      <w:r w:rsidRPr="00A31647">
        <w:rPr>
          <w:rFonts w:ascii="Arial" w:hAnsi="Arial" w:cs="Arial"/>
          <w:lang w:val="en-US"/>
        </w:rPr>
        <w:t>h</w:t>
      </w:r>
      <w:r w:rsidRPr="00105C49">
        <w:rPr>
          <w:rFonts w:ascii="Arial" w:hAnsi="Arial" w:cs="Arial"/>
          <w:lang w:val="en-US"/>
        </w:rPr>
        <w:t xml:space="preserve">is variant has been previously reported with an ASD </w:t>
      </w:r>
      <w:r w:rsidRPr="00116541">
        <w:rPr>
          <w:rFonts w:ascii="Arial" w:hAnsi="Arial" w:cs="Arial"/>
          <w:lang w:val="en-US"/>
        </w:rPr>
        <w:t>phenotypes</w:t>
      </w:r>
      <w:r w:rsidR="00116541" w:rsidRPr="008D6F38">
        <w:rPr>
          <w:rFonts w:ascii="Arial" w:hAnsi="Arial" w:cs="Arial"/>
          <w:lang w:val="en-US"/>
        </w:rPr>
        <w:t xml:space="preserve"> (Wolff 2017, Wang 2016)</w:t>
      </w:r>
      <w:proofErr w:type="gramStart"/>
      <w:r w:rsidRPr="00116541">
        <w:rPr>
          <w:rFonts w:ascii="Arial" w:hAnsi="Arial" w:cs="Arial"/>
          <w:lang w:val="en-US"/>
        </w:rPr>
        <w:t>,</w:t>
      </w:r>
      <w:r w:rsidRPr="008D6F38">
        <w:rPr>
          <w:rFonts w:ascii="Arial" w:hAnsi="Arial" w:cs="Arial"/>
          <w:lang w:val="en-US"/>
        </w:rPr>
        <w:t xml:space="preserve"> </w:t>
      </w:r>
      <w:r w:rsidRPr="00116541">
        <w:rPr>
          <w:rFonts w:ascii="Arial" w:hAnsi="Arial" w:cs="Arial"/>
          <w:lang w:val="en-US"/>
        </w:rPr>
        <w:t xml:space="preserve"> Simila</w:t>
      </w:r>
      <w:r w:rsidRPr="00105C49">
        <w:rPr>
          <w:rFonts w:ascii="Arial" w:hAnsi="Arial" w:cs="Arial"/>
          <w:lang w:val="en-US"/>
        </w:rPr>
        <w:t>rly</w:t>
      </w:r>
      <w:proofErr w:type="gramEnd"/>
      <w:r w:rsidRPr="00105C49">
        <w:rPr>
          <w:rFonts w:ascii="Arial" w:hAnsi="Arial" w:cs="Arial"/>
          <w:lang w:val="en-US"/>
        </w:rPr>
        <w:t xml:space="preserve">, </w:t>
      </w:r>
      <w:r w:rsidR="00FC1F67">
        <w:rPr>
          <w:rFonts w:ascii="Arial" w:hAnsi="Arial" w:cs="Arial"/>
          <w:lang w:val="en-US"/>
        </w:rPr>
        <w:t xml:space="preserve">the variant observed </w:t>
      </w:r>
      <w:r w:rsidR="00FC1F67" w:rsidRPr="00C82E6A">
        <w:rPr>
          <w:rFonts w:ascii="Arial" w:hAnsi="Arial" w:cs="Arial"/>
          <w:lang w:val="en-US"/>
        </w:rPr>
        <w:t xml:space="preserve">in </w:t>
      </w:r>
      <w:r w:rsidRPr="00C82E6A">
        <w:rPr>
          <w:rFonts w:ascii="Arial" w:hAnsi="Arial" w:cs="Arial"/>
          <w:lang w:val="en-US"/>
        </w:rPr>
        <w:t>patient 22</w:t>
      </w:r>
      <w:r w:rsidR="005E28D2" w:rsidRPr="00C82E6A">
        <w:rPr>
          <w:rFonts w:ascii="Arial" w:hAnsi="Arial" w:cs="Arial"/>
          <w:lang w:val="en-US"/>
        </w:rPr>
        <w:t xml:space="preserve"> </w:t>
      </w:r>
      <w:r w:rsidRPr="00C82E6A">
        <w:rPr>
          <w:rFonts w:ascii="Arial" w:hAnsi="Arial" w:cs="Arial"/>
          <w:lang w:val="en-US"/>
        </w:rPr>
        <w:t>has been reported</w:t>
      </w:r>
      <w:r w:rsidRPr="00105C49">
        <w:rPr>
          <w:rFonts w:ascii="Arial" w:hAnsi="Arial" w:cs="Arial"/>
          <w:lang w:val="en-US"/>
        </w:rPr>
        <w:t xml:space="preserve"> with ASD, but he had isolated DD and ID</w:t>
      </w:r>
      <w:r w:rsidR="00116541">
        <w:rPr>
          <w:rFonts w:ascii="Arial" w:hAnsi="Arial" w:cs="Arial"/>
          <w:lang w:val="en-US"/>
        </w:rPr>
        <w:t xml:space="preserve"> </w:t>
      </w:r>
      <w:r w:rsidR="00116541" w:rsidRPr="00116541">
        <w:rPr>
          <w:rFonts w:ascii="Arial" w:hAnsi="Arial" w:cs="Arial"/>
          <w:lang w:val="en-US"/>
        </w:rPr>
        <w:t>(</w:t>
      </w:r>
      <w:proofErr w:type="spellStart"/>
      <w:r w:rsidR="00116541" w:rsidRPr="00116541">
        <w:rPr>
          <w:rFonts w:ascii="Arial" w:hAnsi="Arial" w:cs="Arial"/>
        </w:rPr>
        <w:t>D’Gama</w:t>
      </w:r>
      <w:proofErr w:type="spellEnd"/>
      <w:r w:rsidR="00116541" w:rsidRPr="008D6F38" w:rsidDel="00116541">
        <w:rPr>
          <w:rFonts w:ascii="Arial" w:hAnsi="Arial" w:cs="Arial"/>
          <w:lang w:val="en-US"/>
        </w:rPr>
        <w:t xml:space="preserve"> </w:t>
      </w:r>
      <w:r w:rsidR="00116541" w:rsidRPr="008D6F38">
        <w:rPr>
          <w:rFonts w:ascii="Arial" w:hAnsi="Arial" w:cs="Arial"/>
          <w:lang w:val="en-US"/>
        </w:rPr>
        <w:t xml:space="preserve"> 2015)</w:t>
      </w:r>
      <w:r w:rsidR="00A31647">
        <w:rPr>
          <w:rFonts w:ascii="Arial" w:hAnsi="Arial" w:cs="Arial"/>
          <w:lang w:val="en-US"/>
        </w:rPr>
        <w:t xml:space="preserve">. </w:t>
      </w:r>
      <w:r w:rsidRPr="00105C49">
        <w:rPr>
          <w:rFonts w:ascii="Arial" w:hAnsi="Arial" w:cs="Arial"/>
          <w:lang w:val="en-US"/>
        </w:rPr>
        <w:t>Given that ASD and ID phenotypes are both associated with LOF, again it seems reasonable to conclude that this variant may result in differing elements of the LOF-associated phenotypes in different families</w:t>
      </w:r>
      <w:r w:rsidR="00F52CEE">
        <w:rPr>
          <w:rFonts w:ascii="Arial" w:hAnsi="Arial" w:cs="Arial"/>
          <w:lang w:val="en-US"/>
        </w:rPr>
        <w:t>.</w:t>
      </w:r>
      <w:r w:rsidRPr="00105C49">
        <w:rPr>
          <w:rFonts w:ascii="Arial" w:hAnsi="Arial" w:cs="Arial"/>
          <w:lang w:val="en-US"/>
        </w:rPr>
        <w:t xml:space="preserve"> </w:t>
      </w:r>
    </w:p>
    <w:p w14:paraId="126829EA" w14:textId="363DE836" w:rsidR="007F0A8D" w:rsidRPr="00105C49" w:rsidRDefault="007F0A8D" w:rsidP="006C2244">
      <w:pPr>
        <w:spacing w:line="480" w:lineRule="auto"/>
        <w:rPr>
          <w:rFonts w:ascii="Arial" w:hAnsi="Arial" w:cs="Arial"/>
          <w:lang w:val="en-US"/>
        </w:rPr>
      </w:pPr>
      <w:r w:rsidRPr="00105C49">
        <w:rPr>
          <w:rFonts w:ascii="Arial" w:hAnsi="Arial" w:cs="Arial"/>
          <w:lang w:val="en-US"/>
        </w:rPr>
        <w:lastRenderedPageBreak/>
        <w:t xml:space="preserve">These variants will be particularly interesting </w:t>
      </w:r>
      <w:proofErr w:type="gramStart"/>
      <w:r w:rsidRPr="00105C49">
        <w:rPr>
          <w:rFonts w:ascii="Arial" w:hAnsi="Arial" w:cs="Arial"/>
          <w:lang w:val="en-US"/>
        </w:rPr>
        <w:t>to functionally</w:t>
      </w:r>
      <w:r w:rsidRPr="004453DE">
        <w:rPr>
          <w:rFonts w:ascii="Arial" w:hAnsi="Arial" w:cs="Arial"/>
        </w:rPr>
        <w:t xml:space="preserve"> </w:t>
      </w:r>
      <w:r w:rsidR="00E104F4" w:rsidRPr="004453DE">
        <w:rPr>
          <w:rFonts w:ascii="Arial" w:hAnsi="Arial" w:cs="Arial"/>
        </w:rPr>
        <w:t>characterise</w:t>
      </w:r>
      <w:proofErr w:type="gramEnd"/>
      <w:r w:rsidRPr="00A31647">
        <w:rPr>
          <w:rFonts w:ascii="Arial" w:hAnsi="Arial" w:cs="Arial"/>
          <w:lang w:val="en-US"/>
        </w:rPr>
        <w:t>, to see if an unusual functional pattern explains the phenotypic variation between cases.</w:t>
      </w:r>
    </w:p>
    <w:p w14:paraId="1DA28ADE" w14:textId="77777777" w:rsidR="00CB058A" w:rsidRPr="00105C49" w:rsidRDefault="00CB058A" w:rsidP="006C2244">
      <w:pPr>
        <w:spacing w:line="480" w:lineRule="auto"/>
        <w:rPr>
          <w:rFonts w:ascii="Arial" w:hAnsi="Arial" w:cs="Arial"/>
        </w:rPr>
      </w:pPr>
    </w:p>
    <w:p w14:paraId="2A0913CC" w14:textId="1C367FD1" w:rsidR="00977C23" w:rsidRPr="00105C49" w:rsidRDefault="005E28D2" w:rsidP="00977C23">
      <w:pPr>
        <w:pStyle w:val="Normal1"/>
        <w:spacing w:line="480" w:lineRule="auto"/>
        <w:rPr>
          <w:color w:val="auto"/>
          <w:sz w:val="24"/>
          <w:szCs w:val="24"/>
          <w:lang w:val="en-US"/>
        </w:rPr>
      </w:pPr>
      <w:r>
        <w:rPr>
          <w:color w:val="auto"/>
          <w:sz w:val="24"/>
          <w:szCs w:val="24"/>
          <w:lang w:val="en-US"/>
        </w:rPr>
        <w:t xml:space="preserve">Based on the hypothesis that </w:t>
      </w:r>
      <w:proofErr w:type="spellStart"/>
      <w:r>
        <w:rPr>
          <w:color w:val="auto"/>
          <w:sz w:val="24"/>
          <w:szCs w:val="24"/>
          <w:lang w:val="en-US"/>
        </w:rPr>
        <w:t>GoF</w:t>
      </w:r>
      <w:proofErr w:type="spellEnd"/>
      <w:r>
        <w:rPr>
          <w:color w:val="auto"/>
          <w:sz w:val="24"/>
          <w:szCs w:val="24"/>
          <w:lang w:val="en-US"/>
        </w:rPr>
        <w:t xml:space="preserve"> variants cause an early onset seizure</w:t>
      </w:r>
      <w:r w:rsidR="00412E93">
        <w:rPr>
          <w:color w:val="auto"/>
          <w:sz w:val="24"/>
          <w:szCs w:val="24"/>
          <w:lang w:val="en-US"/>
        </w:rPr>
        <w:t xml:space="preserve">, which </w:t>
      </w:r>
      <w:proofErr w:type="gramStart"/>
      <w:r w:rsidR="00412E93">
        <w:rPr>
          <w:color w:val="auto"/>
          <w:sz w:val="24"/>
          <w:szCs w:val="24"/>
          <w:lang w:val="en-US"/>
        </w:rPr>
        <w:t>are</w:t>
      </w:r>
      <w:r>
        <w:rPr>
          <w:color w:val="auto"/>
          <w:sz w:val="24"/>
          <w:szCs w:val="24"/>
          <w:lang w:val="en-US"/>
        </w:rPr>
        <w:t xml:space="preserve"> best treated</w:t>
      </w:r>
      <w:proofErr w:type="gramEnd"/>
      <w:r>
        <w:rPr>
          <w:color w:val="auto"/>
          <w:sz w:val="24"/>
          <w:szCs w:val="24"/>
          <w:lang w:val="en-US"/>
        </w:rPr>
        <w:t xml:space="preserve"> with </w:t>
      </w:r>
      <w:r w:rsidR="00AD605C">
        <w:rPr>
          <w:color w:val="auto"/>
          <w:sz w:val="24"/>
          <w:szCs w:val="24"/>
          <w:lang w:val="en-US"/>
        </w:rPr>
        <w:t>sodium channel blockers</w:t>
      </w:r>
      <w:r>
        <w:rPr>
          <w:color w:val="auto"/>
          <w:sz w:val="24"/>
          <w:szCs w:val="24"/>
          <w:lang w:val="en-US"/>
        </w:rPr>
        <w:t xml:space="preserve">, and </w:t>
      </w:r>
      <w:proofErr w:type="spellStart"/>
      <w:r>
        <w:rPr>
          <w:color w:val="auto"/>
          <w:sz w:val="24"/>
          <w:szCs w:val="24"/>
          <w:lang w:val="en-US"/>
        </w:rPr>
        <w:t>LoF</w:t>
      </w:r>
      <w:proofErr w:type="spellEnd"/>
      <w:r>
        <w:rPr>
          <w:color w:val="auto"/>
          <w:sz w:val="24"/>
          <w:szCs w:val="24"/>
          <w:lang w:val="en-US"/>
        </w:rPr>
        <w:t xml:space="preserve"> variants lead to later onset epilepsy</w:t>
      </w:r>
      <w:r w:rsidR="00412E93">
        <w:rPr>
          <w:color w:val="auto"/>
          <w:sz w:val="24"/>
          <w:szCs w:val="24"/>
          <w:lang w:val="en-US"/>
        </w:rPr>
        <w:t>, which are</w:t>
      </w:r>
      <w:r>
        <w:rPr>
          <w:color w:val="auto"/>
          <w:sz w:val="24"/>
          <w:szCs w:val="24"/>
          <w:lang w:val="en-US"/>
        </w:rPr>
        <w:t xml:space="preserve"> best treated with </w:t>
      </w:r>
      <w:r w:rsidR="00AD605C">
        <w:rPr>
          <w:color w:val="auto"/>
          <w:sz w:val="24"/>
          <w:szCs w:val="24"/>
          <w:lang w:val="en-US"/>
        </w:rPr>
        <w:t>non-sodium channel blockers</w:t>
      </w:r>
      <w:r>
        <w:rPr>
          <w:color w:val="auto"/>
          <w:sz w:val="24"/>
          <w:szCs w:val="24"/>
          <w:lang w:val="en-US"/>
        </w:rPr>
        <w:t xml:space="preserve">, the correlation of phenotype and </w:t>
      </w:r>
      <w:r w:rsidR="00D7648B">
        <w:rPr>
          <w:color w:val="auto"/>
          <w:sz w:val="24"/>
          <w:szCs w:val="24"/>
          <w:lang w:val="en-US"/>
        </w:rPr>
        <w:t>prescribed</w:t>
      </w:r>
      <w:r>
        <w:rPr>
          <w:color w:val="auto"/>
          <w:sz w:val="24"/>
          <w:szCs w:val="24"/>
          <w:lang w:val="en-US"/>
        </w:rPr>
        <w:t xml:space="preserve"> AED treatment was examined. </w:t>
      </w:r>
      <w:r w:rsidR="00977C23" w:rsidRPr="00105C49">
        <w:rPr>
          <w:color w:val="auto"/>
          <w:sz w:val="24"/>
          <w:szCs w:val="24"/>
          <w:lang w:val="en-US"/>
        </w:rPr>
        <w:t xml:space="preserve">The correlation of response to antiepileptic drugs with phenotype or genotype was variable with </w:t>
      </w:r>
      <w:r w:rsidR="004C4ECD" w:rsidRPr="00A31647">
        <w:rPr>
          <w:color w:val="auto"/>
          <w:sz w:val="24"/>
          <w:szCs w:val="24"/>
          <w:lang w:val="en-US"/>
        </w:rPr>
        <w:t>6</w:t>
      </w:r>
      <w:r w:rsidR="00977C23" w:rsidRPr="00A31647">
        <w:rPr>
          <w:color w:val="auto"/>
          <w:sz w:val="24"/>
          <w:szCs w:val="24"/>
          <w:lang w:val="en-US"/>
        </w:rPr>
        <w:t>/7 (</w:t>
      </w:r>
      <w:r w:rsidR="004C4ECD" w:rsidRPr="00A31647">
        <w:rPr>
          <w:color w:val="auto"/>
          <w:sz w:val="24"/>
          <w:szCs w:val="24"/>
          <w:lang w:val="en-US"/>
        </w:rPr>
        <w:t>85.7</w:t>
      </w:r>
      <w:r w:rsidR="00977C23" w:rsidRPr="00A31647">
        <w:rPr>
          <w:color w:val="auto"/>
          <w:sz w:val="24"/>
          <w:szCs w:val="24"/>
          <w:lang w:val="en-US"/>
        </w:rPr>
        <w:t xml:space="preserve">%) presumed </w:t>
      </w:r>
      <w:proofErr w:type="spellStart"/>
      <w:r w:rsidR="00977C23" w:rsidRPr="00A31647">
        <w:rPr>
          <w:color w:val="auto"/>
          <w:sz w:val="24"/>
          <w:szCs w:val="24"/>
          <w:lang w:val="en-US"/>
        </w:rPr>
        <w:t>GoF</w:t>
      </w:r>
      <w:proofErr w:type="spellEnd"/>
      <w:r w:rsidR="00977C23" w:rsidRPr="00A31647">
        <w:rPr>
          <w:color w:val="auto"/>
          <w:sz w:val="24"/>
          <w:szCs w:val="24"/>
          <w:lang w:val="en-US"/>
        </w:rPr>
        <w:t xml:space="preserve"> and 2/4 (50%) presumed</w:t>
      </w:r>
      <w:r w:rsidR="00977C23" w:rsidRPr="00105C49">
        <w:rPr>
          <w:color w:val="auto"/>
          <w:sz w:val="24"/>
          <w:szCs w:val="24"/>
          <w:lang w:val="en-US"/>
        </w:rPr>
        <w:t xml:space="preserve"> </w:t>
      </w:r>
      <w:proofErr w:type="spellStart"/>
      <w:r w:rsidR="00977C23" w:rsidRPr="00105C49">
        <w:rPr>
          <w:color w:val="auto"/>
          <w:sz w:val="24"/>
          <w:szCs w:val="24"/>
          <w:lang w:val="en-US"/>
        </w:rPr>
        <w:t>LoF</w:t>
      </w:r>
      <w:proofErr w:type="spellEnd"/>
      <w:r w:rsidR="00977C23" w:rsidRPr="00105C49">
        <w:rPr>
          <w:color w:val="auto"/>
          <w:sz w:val="24"/>
          <w:szCs w:val="24"/>
          <w:lang w:val="en-US"/>
        </w:rPr>
        <w:t xml:space="preserve"> cases </w:t>
      </w:r>
      <w:r>
        <w:rPr>
          <w:color w:val="auto"/>
          <w:sz w:val="24"/>
          <w:szCs w:val="24"/>
          <w:lang w:val="en-US"/>
        </w:rPr>
        <w:t xml:space="preserve">being treated with an AED </w:t>
      </w:r>
      <w:proofErr w:type="gramStart"/>
      <w:r>
        <w:rPr>
          <w:color w:val="auto"/>
          <w:sz w:val="24"/>
          <w:szCs w:val="24"/>
          <w:lang w:val="en-US"/>
        </w:rPr>
        <w:t>in-keeping</w:t>
      </w:r>
      <w:proofErr w:type="gramEnd"/>
      <w:r>
        <w:rPr>
          <w:color w:val="auto"/>
          <w:sz w:val="24"/>
          <w:szCs w:val="24"/>
          <w:lang w:val="en-US"/>
        </w:rPr>
        <w:t xml:space="preserve"> with the hypothesis. </w:t>
      </w:r>
      <w:r w:rsidR="00977C23" w:rsidRPr="00105C49">
        <w:rPr>
          <w:color w:val="auto"/>
          <w:sz w:val="24"/>
          <w:szCs w:val="24"/>
          <w:lang w:val="en-US"/>
        </w:rPr>
        <w:t xml:space="preserve"> </w:t>
      </w:r>
      <w:r w:rsidR="000F320E" w:rsidRPr="00105C49">
        <w:rPr>
          <w:color w:val="auto"/>
          <w:sz w:val="24"/>
          <w:szCs w:val="24"/>
          <w:lang w:val="en-US"/>
        </w:rPr>
        <w:t xml:space="preserve">There are limitations to this data, given this is based on effective treatments reported within the context of routine clinical practice, rather than a </w:t>
      </w:r>
      <w:r w:rsidR="00CB058A" w:rsidRPr="00105C49">
        <w:rPr>
          <w:color w:val="auto"/>
          <w:sz w:val="24"/>
          <w:szCs w:val="24"/>
          <w:lang w:val="en-US"/>
        </w:rPr>
        <w:t xml:space="preserve">clinical trial </w:t>
      </w:r>
      <w:r w:rsidR="000F320E" w:rsidRPr="00105C49">
        <w:rPr>
          <w:color w:val="auto"/>
          <w:sz w:val="24"/>
          <w:szCs w:val="24"/>
          <w:lang w:val="en-US"/>
        </w:rPr>
        <w:t xml:space="preserve">setting. </w:t>
      </w:r>
    </w:p>
    <w:p w14:paraId="778409B5" w14:textId="6A75C4D4" w:rsidR="0075169B" w:rsidRPr="00105C49" w:rsidRDefault="0075169B" w:rsidP="006C2244">
      <w:pPr>
        <w:pStyle w:val="Normal1"/>
        <w:spacing w:line="480" w:lineRule="auto"/>
        <w:rPr>
          <w:color w:val="auto"/>
          <w:sz w:val="24"/>
          <w:szCs w:val="24"/>
          <w:lang w:val="en-US"/>
        </w:rPr>
      </w:pPr>
      <w:r w:rsidRPr="00105C49">
        <w:rPr>
          <w:color w:val="auto"/>
          <w:sz w:val="24"/>
          <w:szCs w:val="24"/>
          <w:lang w:val="en-US"/>
        </w:rPr>
        <w:t xml:space="preserve">The limited ability to predict the phenotype from the variant’s type and position highlights the importance of a functional assessment of each variant. A prediction of function allows a prediction of phenotype and gives a degree of prognostic information, although this </w:t>
      </w:r>
      <w:proofErr w:type="gramStart"/>
      <w:r w:rsidRPr="00105C49">
        <w:rPr>
          <w:color w:val="auto"/>
          <w:sz w:val="24"/>
          <w:szCs w:val="24"/>
          <w:lang w:val="en-US"/>
        </w:rPr>
        <w:t>is limited</w:t>
      </w:r>
      <w:proofErr w:type="gramEnd"/>
      <w:r w:rsidRPr="00105C49">
        <w:rPr>
          <w:color w:val="auto"/>
          <w:sz w:val="24"/>
          <w:szCs w:val="24"/>
          <w:lang w:val="en-US"/>
        </w:rPr>
        <w:t xml:space="preserve"> by the variability of presentation, even with the same variant. However, the lack of definitive correlation of function (or presumed function) and AED response both in the literature and from this study, indicates that accurately assessing variant function is not necessarily sufficient to act as a predictive biomarker</w:t>
      </w:r>
      <w:r w:rsidR="002456DA" w:rsidRPr="00105C49">
        <w:rPr>
          <w:color w:val="auto"/>
          <w:sz w:val="24"/>
          <w:szCs w:val="24"/>
          <w:lang w:val="en-US"/>
        </w:rPr>
        <w:t xml:space="preserve"> for treatment </w:t>
      </w:r>
      <w:r w:rsidR="007B278A" w:rsidRPr="00105C49">
        <w:rPr>
          <w:color w:val="auto"/>
          <w:sz w:val="24"/>
          <w:szCs w:val="24"/>
          <w:lang w:val="en-US"/>
        </w:rPr>
        <w:t>response</w:t>
      </w:r>
      <w:r w:rsidRPr="00105C49">
        <w:rPr>
          <w:color w:val="auto"/>
          <w:sz w:val="24"/>
          <w:szCs w:val="24"/>
          <w:lang w:val="en-US"/>
        </w:rPr>
        <w:t xml:space="preserve">. </w:t>
      </w:r>
    </w:p>
    <w:p w14:paraId="2318C9BE" w14:textId="77777777" w:rsidR="00BB7ED2" w:rsidRDefault="00734F90" w:rsidP="006C2244">
      <w:pPr>
        <w:pStyle w:val="Normal1"/>
        <w:spacing w:line="480" w:lineRule="auto"/>
        <w:rPr>
          <w:color w:val="auto"/>
          <w:sz w:val="24"/>
          <w:szCs w:val="24"/>
          <w:lang w:val="en-US"/>
        </w:rPr>
      </w:pPr>
      <w:r w:rsidRPr="00105C49">
        <w:rPr>
          <w:color w:val="auto"/>
          <w:sz w:val="24"/>
          <w:szCs w:val="24"/>
          <w:lang w:val="en-US"/>
        </w:rPr>
        <w:t xml:space="preserve">As whole exome or whole genome based testing is used as first line for investigation of patients, more variants are identified that may be of uncertain clinical significance. </w:t>
      </w:r>
    </w:p>
    <w:p w14:paraId="7597DDC8" w14:textId="671A47E9" w:rsidR="0075169B" w:rsidRPr="00105C49" w:rsidRDefault="00734F90" w:rsidP="006C2244">
      <w:pPr>
        <w:pStyle w:val="Normal1"/>
        <w:spacing w:line="480" w:lineRule="auto"/>
        <w:rPr>
          <w:color w:val="auto"/>
          <w:sz w:val="24"/>
          <w:szCs w:val="24"/>
          <w:lang w:val="en-US"/>
        </w:rPr>
      </w:pPr>
      <w:r w:rsidRPr="00105C49">
        <w:rPr>
          <w:color w:val="auto"/>
          <w:sz w:val="24"/>
          <w:szCs w:val="24"/>
          <w:lang w:val="en-US"/>
        </w:rPr>
        <w:t xml:space="preserve">It </w:t>
      </w:r>
      <w:proofErr w:type="gramStart"/>
      <w:r w:rsidRPr="00105C49">
        <w:rPr>
          <w:color w:val="auto"/>
          <w:sz w:val="24"/>
          <w:szCs w:val="24"/>
          <w:lang w:val="en-US"/>
        </w:rPr>
        <w:t>has been</w:t>
      </w:r>
      <w:r w:rsidRPr="004453DE">
        <w:rPr>
          <w:color w:val="auto"/>
          <w:sz w:val="24"/>
          <w:szCs w:val="24"/>
          <w:lang w:val="en-GB"/>
        </w:rPr>
        <w:t xml:space="preserve"> recogni</w:t>
      </w:r>
      <w:r w:rsidR="00E104F4" w:rsidRPr="004453DE">
        <w:rPr>
          <w:color w:val="auto"/>
          <w:sz w:val="24"/>
          <w:szCs w:val="24"/>
          <w:lang w:val="en-GB"/>
        </w:rPr>
        <w:t>s</w:t>
      </w:r>
      <w:r w:rsidRPr="004453DE">
        <w:rPr>
          <w:color w:val="auto"/>
          <w:sz w:val="24"/>
          <w:szCs w:val="24"/>
          <w:lang w:val="en-GB"/>
        </w:rPr>
        <w:t>ed</w:t>
      </w:r>
      <w:proofErr w:type="gramEnd"/>
      <w:r w:rsidRPr="00105C49">
        <w:rPr>
          <w:color w:val="auto"/>
          <w:sz w:val="24"/>
          <w:szCs w:val="24"/>
          <w:lang w:val="en-US"/>
        </w:rPr>
        <w:t xml:space="preserve"> that an agnostic approach is increasingly identifying a much broader phenotype in previously </w:t>
      </w:r>
      <w:r w:rsidR="00116541" w:rsidRPr="00105C49">
        <w:rPr>
          <w:color w:val="auto"/>
          <w:sz w:val="24"/>
          <w:szCs w:val="24"/>
          <w:lang w:val="en-US"/>
        </w:rPr>
        <w:t>well-described</w:t>
      </w:r>
      <w:r w:rsidRPr="00105C49">
        <w:rPr>
          <w:color w:val="auto"/>
          <w:sz w:val="24"/>
          <w:szCs w:val="24"/>
          <w:lang w:val="en-US"/>
        </w:rPr>
        <w:t xml:space="preserve"> syndromes. Routine functional work as part of variant assessment is unlikely to be possible</w:t>
      </w:r>
      <w:r w:rsidR="00676F4B" w:rsidRPr="00105C49">
        <w:rPr>
          <w:color w:val="auto"/>
          <w:sz w:val="24"/>
          <w:szCs w:val="24"/>
          <w:lang w:val="en-US"/>
        </w:rPr>
        <w:t xml:space="preserve">. </w:t>
      </w:r>
      <w:proofErr w:type="spellStart"/>
      <w:r w:rsidR="00676F4B" w:rsidRPr="00105C49">
        <w:rPr>
          <w:color w:val="auto"/>
          <w:sz w:val="24"/>
          <w:szCs w:val="24"/>
          <w:lang w:val="en-US"/>
        </w:rPr>
        <w:t>Heyne</w:t>
      </w:r>
      <w:proofErr w:type="spellEnd"/>
      <w:r w:rsidR="00676F4B" w:rsidRPr="00105C49">
        <w:rPr>
          <w:color w:val="auto"/>
          <w:sz w:val="24"/>
          <w:szCs w:val="24"/>
          <w:lang w:val="en-US"/>
        </w:rPr>
        <w:t xml:space="preserve"> </w:t>
      </w:r>
      <w:r w:rsidR="00676F4B" w:rsidRPr="00105C49">
        <w:rPr>
          <w:i/>
          <w:color w:val="auto"/>
          <w:sz w:val="24"/>
          <w:szCs w:val="24"/>
          <w:lang w:val="en-US"/>
        </w:rPr>
        <w:t>et al</w:t>
      </w:r>
      <w:r w:rsidR="00DB471C" w:rsidRPr="00105C49">
        <w:rPr>
          <w:i/>
          <w:color w:val="auto"/>
          <w:sz w:val="24"/>
          <w:szCs w:val="24"/>
          <w:lang w:val="en-US"/>
        </w:rPr>
        <w:t>.</w:t>
      </w:r>
      <w:r w:rsidR="00676F4B" w:rsidRPr="00105C49">
        <w:rPr>
          <w:color w:val="auto"/>
          <w:sz w:val="24"/>
          <w:szCs w:val="24"/>
          <w:lang w:val="en-US"/>
        </w:rPr>
        <w:t xml:space="preserve"> published data </w:t>
      </w:r>
      <w:r w:rsidR="00676F4B" w:rsidRPr="00105C49">
        <w:rPr>
          <w:color w:val="auto"/>
          <w:sz w:val="24"/>
          <w:szCs w:val="24"/>
          <w:lang w:val="en-US"/>
        </w:rPr>
        <w:lastRenderedPageBreak/>
        <w:t>from</w:t>
      </w:r>
      <w:r w:rsidRPr="00105C49">
        <w:rPr>
          <w:color w:val="auto"/>
          <w:sz w:val="24"/>
          <w:szCs w:val="24"/>
          <w:lang w:val="en-US"/>
        </w:rPr>
        <w:t xml:space="preserve"> a tool </w:t>
      </w:r>
      <w:r w:rsidR="00676F4B" w:rsidRPr="00105C49">
        <w:rPr>
          <w:color w:val="auto"/>
          <w:sz w:val="24"/>
          <w:szCs w:val="24"/>
          <w:lang w:val="en-US"/>
        </w:rPr>
        <w:t xml:space="preserve">that </w:t>
      </w:r>
      <w:r w:rsidRPr="00105C49">
        <w:rPr>
          <w:color w:val="auto"/>
          <w:sz w:val="24"/>
          <w:szCs w:val="24"/>
          <w:lang w:val="en-US"/>
        </w:rPr>
        <w:t>us</w:t>
      </w:r>
      <w:r w:rsidR="00676F4B" w:rsidRPr="00105C49">
        <w:rPr>
          <w:color w:val="auto"/>
          <w:sz w:val="24"/>
          <w:szCs w:val="24"/>
          <w:lang w:val="en-US"/>
        </w:rPr>
        <w:t>es</w:t>
      </w:r>
      <w:r w:rsidRPr="00105C49">
        <w:rPr>
          <w:color w:val="auto"/>
          <w:sz w:val="24"/>
          <w:szCs w:val="24"/>
          <w:lang w:val="en-US"/>
        </w:rPr>
        <w:t xml:space="preserve"> a </w:t>
      </w:r>
      <w:proofErr w:type="gramStart"/>
      <w:r w:rsidRPr="00105C49">
        <w:rPr>
          <w:color w:val="auto"/>
          <w:sz w:val="24"/>
          <w:szCs w:val="24"/>
          <w:lang w:val="en-US"/>
        </w:rPr>
        <w:t>machine learning</w:t>
      </w:r>
      <w:proofErr w:type="gramEnd"/>
      <w:r w:rsidRPr="00105C49">
        <w:rPr>
          <w:color w:val="auto"/>
          <w:sz w:val="24"/>
          <w:szCs w:val="24"/>
          <w:lang w:val="en-US"/>
        </w:rPr>
        <w:t xml:space="preserve"> model to predict </w:t>
      </w:r>
      <w:proofErr w:type="spellStart"/>
      <w:r w:rsidRPr="00105C49">
        <w:rPr>
          <w:color w:val="auto"/>
          <w:sz w:val="24"/>
          <w:szCs w:val="24"/>
          <w:lang w:val="en-US"/>
        </w:rPr>
        <w:t>L</w:t>
      </w:r>
      <w:r w:rsidR="00F347E8" w:rsidRPr="00105C49">
        <w:rPr>
          <w:color w:val="auto"/>
          <w:sz w:val="24"/>
          <w:szCs w:val="24"/>
          <w:lang w:val="en-US"/>
        </w:rPr>
        <w:t>o</w:t>
      </w:r>
      <w:r w:rsidRPr="00105C49">
        <w:rPr>
          <w:color w:val="auto"/>
          <w:sz w:val="24"/>
          <w:szCs w:val="24"/>
          <w:lang w:val="en-US"/>
        </w:rPr>
        <w:t>F</w:t>
      </w:r>
      <w:proofErr w:type="spellEnd"/>
      <w:r w:rsidRPr="00105C49">
        <w:rPr>
          <w:color w:val="auto"/>
          <w:sz w:val="24"/>
          <w:szCs w:val="24"/>
          <w:lang w:val="en-US"/>
        </w:rPr>
        <w:t xml:space="preserve"> or </w:t>
      </w:r>
      <w:proofErr w:type="spellStart"/>
      <w:r w:rsidRPr="00105C49">
        <w:rPr>
          <w:color w:val="auto"/>
          <w:sz w:val="24"/>
          <w:szCs w:val="24"/>
          <w:lang w:val="en-US"/>
        </w:rPr>
        <w:t>G</w:t>
      </w:r>
      <w:r w:rsidR="00F347E8" w:rsidRPr="00105C49">
        <w:rPr>
          <w:color w:val="auto"/>
          <w:sz w:val="24"/>
          <w:szCs w:val="24"/>
          <w:lang w:val="en-US"/>
        </w:rPr>
        <w:t>o</w:t>
      </w:r>
      <w:r w:rsidRPr="00105C49">
        <w:rPr>
          <w:color w:val="auto"/>
          <w:sz w:val="24"/>
          <w:szCs w:val="24"/>
          <w:lang w:val="en-US"/>
        </w:rPr>
        <w:t>F</w:t>
      </w:r>
      <w:proofErr w:type="spellEnd"/>
      <w:r w:rsidRPr="00105C49">
        <w:rPr>
          <w:color w:val="auto"/>
          <w:sz w:val="24"/>
          <w:szCs w:val="24"/>
          <w:lang w:val="en-US"/>
        </w:rPr>
        <w:t xml:space="preserve"> effects, with good correlation with previously functionally tested </w:t>
      </w:r>
      <w:r w:rsidRPr="00116541">
        <w:rPr>
          <w:color w:val="auto"/>
          <w:sz w:val="24"/>
          <w:szCs w:val="24"/>
          <w:lang w:val="en-US"/>
        </w:rPr>
        <w:t xml:space="preserve">variants </w:t>
      </w:r>
      <w:r w:rsidR="00116541" w:rsidRPr="008D6F38">
        <w:rPr>
          <w:color w:val="auto"/>
          <w:sz w:val="24"/>
          <w:szCs w:val="24"/>
          <w:lang w:val="en-US"/>
        </w:rPr>
        <w:t>(</w:t>
      </w:r>
      <w:proofErr w:type="spellStart"/>
      <w:r w:rsidR="00116541" w:rsidRPr="008D6F38">
        <w:rPr>
          <w:color w:val="auto"/>
          <w:sz w:val="24"/>
          <w:szCs w:val="24"/>
          <w:lang w:val="en-US"/>
        </w:rPr>
        <w:t>Heyne</w:t>
      </w:r>
      <w:proofErr w:type="spellEnd"/>
      <w:r w:rsidR="00116541" w:rsidRPr="008D6F38">
        <w:rPr>
          <w:color w:val="auto"/>
          <w:sz w:val="24"/>
          <w:szCs w:val="24"/>
          <w:lang w:val="en-US"/>
        </w:rPr>
        <w:t xml:space="preserve"> 2020)</w:t>
      </w:r>
      <w:r w:rsidR="00FC5A99" w:rsidRPr="00116541">
        <w:rPr>
          <w:color w:val="auto"/>
          <w:sz w:val="24"/>
          <w:szCs w:val="24"/>
          <w:lang w:val="en-US"/>
        </w:rPr>
        <w:t>.</w:t>
      </w:r>
      <w:r w:rsidR="00FC5A99" w:rsidRPr="00105C49">
        <w:rPr>
          <w:color w:val="auto"/>
          <w:sz w:val="24"/>
          <w:szCs w:val="24"/>
          <w:lang w:val="en-US"/>
        </w:rPr>
        <w:t xml:space="preserve"> </w:t>
      </w:r>
      <w:r w:rsidRPr="00105C49">
        <w:rPr>
          <w:color w:val="auto"/>
          <w:sz w:val="24"/>
          <w:szCs w:val="24"/>
          <w:lang w:val="en-US"/>
        </w:rPr>
        <w:t xml:space="preserve">While this is a tool not validated for clinical practice, this has potential to be a cost-effect mechanism to predict variant function in a </w:t>
      </w:r>
      <w:proofErr w:type="gramStart"/>
      <w:r w:rsidRPr="00105C49">
        <w:rPr>
          <w:color w:val="auto"/>
          <w:sz w:val="24"/>
          <w:szCs w:val="24"/>
          <w:lang w:val="en-US"/>
        </w:rPr>
        <w:t>time-frame</w:t>
      </w:r>
      <w:proofErr w:type="gramEnd"/>
      <w:r w:rsidRPr="00105C49">
        <w:rPr>
          <w:color w:val="auto"/>
          <w:sz w:val="24"/>
          <w:szCs w:val="24"/>
          <w:lang w:val="en-US"/>
        </w:rPr>
        <w:t xml:space="preserve"> that is clinical useful.</w:t>
      </w:r>
      <w:r w:rsidR="004141BA">
        <w:rPr>
          <w:color w:val="auto"/>
          <w:sz w:val="24"/>
          <w:szCs w:val="24"/>
          <w:lang w:val="en-US"/>
        </w:rPr>
        <w:t xml:space="preserve"> </w:t>
      </w:r>
      <w:r w:rsidR="0075169B" w:rsidRPr="00105C49">
        <w:rPr>
          <w:color w:val="auto"/>
          <w:sz w:val="24"/>
          <w:szCs w:val="24"/>
          <w:lang w:val="en-US"/>
        </w:rPr>
        <w:t>It remains to be seen whether early and</w:t>
      </w:r>
      <w:r w:rsidR="0075169B" w:rsidRPr="004453DE">
        <w:rPr>
          <w:color w:val="auto"/>
          <w:sz w:val="24"/>
          <w:szCs w:val="24"/>
          <w:lang w:val="en-GB"/>
        </w:rPr>
        <w:t xml:space="preserve"> </w:t>
      </w:r>
      <w:r w:rsidR="00E104F4" w:rsidRPr="004453DE">
        <w:rPr>
          <w:color w:val="auto"/>
          <w:sz w:val="24"/>
          <w:szCs w:val="24"/>
          <w:lang w:val="en-GB"/>
        </w:rPr>
        <w:t>optimised</w:t>
      </w:r>
      <w:r w:rsidR="00E104F4" w:rsidRPr="00105C49">
        <w:rPr>
          <w:color w:val="auto"/>
          <w:sz w:val="24"/>
          <w:szCs w:val="24"/>
          <w:lang w:val="en-US"/>
        </w:rPr>
        <w:t xml:space="preserve"> </w:t>
      </w:r>
      <w:r w:rsidR="0075169B" w:rsidRPr="00105C49">
        <w:rPr>
          <w:color w:val="auto"/>
          <w:sz w:val="24"/>
          <w:szCs w:val="24"/>
          <w:lang w:val="en-US"/>
        </w:rPr>
        <w:t xml:space="preserve">therapy </w:t>
      </w:r>
      <w:proofErr w:type="gramStart"/>
      <w:r w:rsidR="0075169B" w:rsidRPr="00105C49">
        <w:rPr>
          <w:color w:val="auto"/>
          <w:sz w:val="24"/>
          <w:szCs w:val="24"/>
          <w:lang w:val="en-US"/>
        </w:rPr>
        <w:t>could also</w:t>
      </w:r>
      <w:proofErr w:type="gramEnd"/>
      <w:r w:rsidR="0075169B" w:rsidRPr="00105C49">
        <w:rPr>
          <w:color w:val="auto"/>
          <w:sz w:val="24"/>
          <w:szCs w:val="24"/>
          <w:lang w:val="en-US"/>
        </w:rPr>
        <w:t xml:space="preserve"> act to reduce some of the presumed impact of the variant’s function on the developing brain. </w:t>
      </w:r>
    </w:p>
    <w:p w14:paraId="6508FB1E" w14:textId="77777777" w:rsidR="002456DA" w:rsidRPr="00105C49" w:rsidRDefault="002456DA" w:rsidP="006C2244">
      <w:pPr>
        <w:pStyle w:val="Normal1"/>
        <w:spacing w:line="480" w:lineRule="auto"/>
        <w:rPr>
          <w:b/>
          <w:sz w:val="24"/>
          <w:szCs w:val="24"/>
          <w:lang w:val="en-US"/>
        </w:rPr>
      </w:pPr>
    </w:p>
    <w:p w14:paraId="21F5CC4D" w14:textId="77777777" w:rsidR="00B72F8B" w:rsidRPr="00105C49" w:rsidRDefault="00B72F8B" w:rsidP="006C2244">
      <w:pPr>
        <w:pStyle w:val="Normal1"/>
        <w:spacing w:line="480" w:lineRule="auto"/>
        <w:rPr>
          <w:sz w:val="24"/>
          <w:szCs w:val="24"/>
          <w:highlight w:val="white"/>
          <w:lang w:val="en-US"/>
        </w:rPr>
      </w:pPr>
    </w:p>
    <w:p w14:paraId="6DAB75D8" w14:textId="3317B59E" w:rsidR="00B72F8B" w:rsidRPr="00105C49" w:rsidRDefault="00B72F8B" w:rsidP="006C2244">
      <w:pPr>
        <w:spacing w:line="480" w:lineRule="auto"/>
        <w:rPr>
          <w:rFonts w:ascii="Arial" w:hAnsi="Arial" w:cs="Arial"/>
          <w:lang w:val="en-US"/>
        </w:rPr>
        <w:sectPr w:rsidR="00B72F8B" w:rsidRPr="00105C49" w:rsidSect="00FB0994">
          <w:pgSz w:w="11909" w:h="16834"/>
          <w:pgMar w:top="1440" w:right="1440" w:bottom="1440" w:left="1440" w:header="0" w:footer="708" w:gutter="0"/>
          <w:lnNumType w:countBy="1"/>
          <w:pgNumType w:start="1"/>
          <w:cols w:space="708"/>
          <w:docGrid w:linePitch="326"/>
        </w:sectPr>
      </w:pPr>
    </w:p>
    <w:p w14:paraId="68A89A13" w14:textId="77777777" w:rsidR="00B72F8B" w:rsidRPr="00105C49" w:rsidRDefault="00B72F8B" w:rsidP="006C2244">
      <w:pPr>
        <w:pStyle w:val="EndNoteBibliography"/>
        <w:spacing w:line="480" w:lineRule="auto"/>
        <w:rPr>
          <w:rFonts w:ascii="Arial" w:hAnsi="Arial" w:cs="Arial"/>
          <w:lang w:val="en-US"/>
        </w:rPr>
      </w:pPr>
      <w:r w:rsidRPr="00105C49">
        <w:rPr>
          <w:rFonts w:ascii="Arial" w:hAnsi="Arial" w:cs="Arial"/>
          <w:lang w:val="en-US"/>
        </w:rPr>
        <w:lastRenderedPageBreak/>
        <w:t>References</w:t>
      </w:r>
    </w:p>
    <w:p w14:paraId="77D2C26F" w14:textId="06DB80E5" w:rsidR="00135C7F" w:rsidRPr="00621CBF" w:rsidRDefault="00135C7F" w:rsidP="00621CBF">
      <w:pPr>
        <w:pStyle w:val="EndNoteBibliography"/>
        <w:ind w:left="720" w:hanging="720"/>
        <w:rPr>
          <w:rFonts w:ascii="Arial" w:hAnsi="Arial" w:cs="Arial"/>
          <w:lang w:val="en-US"/>
        </w:rPr>
      </w:pPr>
    </w:p>
    <w:p w14:paraId="627F4FB0" w14:textId="77777777" w:rsidR="00135C7F" w:rsidRPr="00621CBF" w:rsidRDefault="00135C7F" w:rsidP="00621CBF">
      <w:pPr>
        <w:pStyle w:val="EndNoteBibliography"/>
        <w:ind w:left="720" w:hanging="720"/>
        <w:rPr>
          <w:rFonts w:ascii="Arial" w:hAnsi="Arial" w:cs="Arial"/>
          <w:lang w:val="en-US"/>
        </w:rPr>
      </w:pPr>
    </w:p>
    <w:p w14:paraId="507FDA38" w14:textId="2E862471" w:rsidR="00701E53" w:rsidRPr="00621CBF" w:rsidRDefault="00701E53" w:rsidP="00621CBF">
      <w:pPr>
        <w:autoSpaceDE w:val="0"/>
        <w:autoSpaceDN w:val="0"/>
        <w:adjustRightInd w:val="0"/>
        <w:rPr>
          <w:rFonts w:ascii="Arial" w:hAnsi="Arial" w:cs="Arial"/>
          <w:shd w:val="clear" w:color="auto" w:fill="FFFFFF"/>
        </w:rPr>
      </w:pPr>
      <w:proofErr w:type="spellStart"/>
      <w:r w:rsidRPr="00621CBF">
        <w:rPr>
          <w:rFonts w:ascii="Arial" w:hAnsi="Arial" w:cs="Arial"/>
          <w:shd w:val="clear" w:color="auto" w:fill="FFFFFF"/>
        </w:rPr>
        <w:t>AlSaif</w:t>
      </w:r>
      <w:proofErr w:type="spellEnd"/>
      <w:r w:rsidRPr="00621CBF">
        <w:rPr>
          <w:rFonts w:ascii="Arial" w:hAnsi="Arial" w:cs="Arial"/>
          <w:shd w:val="clear" w:color="auto" w:fill="FFFFFF"/>
        </w:rPr>
        <w:t xml:space="preserve"> S, </w:t>
      </w:r>
      <w:proofErr w:type="spellStart"/>
      <w:r w:rsidRPr="00621CBF">
        <w:rPr>
          <w:rFonts w:ascii="Arial" w:hAnsi="Arial" w:cs="Arial"/>
          <w:shd w:val="clear" w:color="auto" w:fill="FFFFFF"/>
        </w:rPr>
        <w:t>Umair</w:t>
      </w:r>
      <w:proofErr w:type="spellEnd"/>
      <w:r w:rsidRPr="00621CBF">
        <w:rPr>
          <w:rFonts w:ascii="Arial" w:hAnsi="Arial" w:cs="Arial"/>
          <w:shd w:val="clear" w:color="auto" w:fill="FFFFFF"/>
        </w:rPr>
        <w:t xml:space="preserve"> M, </w:t>
      </w:r>
      <w:proofErr w:type="spellStart"/>
      <w:r w:rsidRPr="00621CBF">
        <w:rPr>
          <w:rFonts w:ascii="Arial" w:hAnsi="Arial" w:cs="Arial"/>
          <w:shd w:val="clear" w:color="auto" w:fill="FFFFFF"/>
        </w:rPr>
        <w:t>Alfadhel</w:t>
      </w:r>
      <w:proofErr w:type="spellEnd"/>
      <w:r w:rsidRPr="00621CBF">
        <w:rPr>
          <w:rFonts w:ascii="Arial" w:hAnsi="Arial" w:cs="Arial"/>
          <w:shd w:val="clear" w:color="auto" w:fill="FFFFFF"/>
        </w:rPr>
        <w:t xml:space="preserve"> M. (2019). </w:t>
      </w:r>
      <w:proofErr w:type="spellStart"/>
      <w:r w:rsidRPr="00621CBF">
        <w:rPr>
          <w:rFonts w:ascii="Arial" w:hAnsi="Arial" w:cs="Arial"/>
          <w:shd w:val="clear" w:color="auto" w:fill="FFFFFF"/>
        </w:rPr>
        <w:t>Biallelic</w:t>
      </w:r>
      <w:proofErr w:type="spellEnd"/>
      <w:r w:rsidRPr="00621CBF">
        <w:rPr>
          <w:rFonts w:ascii="Arial" w:hAnsi="Arial" w:cs="Arial"/>
          <w:shd w:val="clear" w:color="auto" w:fill="FFFFFF"/>
        </w:rPr>
        <w:t xml:space="preserve"> </w:t>
      </w:r>
      <w:r w:rsidRPr="00621CBF">
        <w:rPr>
          <w:rFonts w:ascii="Arial" w:hAnsi="Arial" w:cs="Arial"/>
          <w:i/>
          <w:shd w:val="clear" w:color="auto" w:fill="FFFFFF"/>
        </w:rPr>
        <w:t>SCN2A</w:t>
      </w:r>
      <w:r w:rsidRPr="00621CBF">
        <w:rPr>
          <w:rFonts w:ascii="Arial" w:hAnsi="Arial" w:cs="Arial"/>
          <w:shd w:val="clear" w:color="auto" w:fill="FFFFFF"/>
        </w:rPr>
        <w:t xml:space="preserve"> Gene Mutation Causing Early Infantile Epileptic Encephalopathy: Case Report and Review. </w:t>
      </w:r>
      <w:r w:rsidRPr="00621CBF">
        <w:rPr>
          <w:rFonts w:ascii="Arial" w:hAnsi="Arial" w:cs="Arial"/>
          <w:i/>
          <w:shd w:val="clear" w:color="auto" w:fill="FFFFFF"/>
        </w:rPr>
        <w:t>Journal of Central Nervous System Disease</w:t>
      </w:r>
      <w:r w:rsidRPr="00621CBF">
        <w:rPr>
          <w:rFonts w:ascii="Arial" w:hAnsi="Arial" w:cs="Arial"/>
          <w:shd w:val="clear" w:color="auto" w:fill="FFFFFF"/>
        </w:rPr>
        <w:t>. 11:</w:t>
      </w:r>
      <w:r w:rsidR="00135C7F" w:rsidRPr="00621CBF">
        <w:rPr>
          <w:rFonts w:ascii="Arial" w:hAnsi="Arial" w:cs="Arial"/>
          <w:shd w:val="clear" w:color="auto" w:fill="FFFFFF"/>
        </w:rPr>
        <w:t>1179573519849938</w:t>
      </w:r>
      <w:proofErr w:type="gramStart"/>
      <w:r w:rsidR="00135C7F" w:rsidRPr="00621CBF">
        <w:rPr>
          <w:rFonts w:ascii="Arial" w:hAnsi="Arial" w:cs="Arial"/>
          <w:shd w:val="clear" w:color="auto" w:fill="FFFFFF"/>
        </w:rPr>
        <w:t xml:space="preserve">,  </w:t>
      </w:r>
      <w:proofErr w:type="spellStart"/>
      <w:r w:rsidR="00135C7F" w:rsidRPr="00621CBF">
        <w:rPr>
          <w:rFonts w:ascii="Arial" w:hAnsi="Arial" w:cs="Arial"/>
          <w:shd w:val="clear" w:color="auto" w:fill="FFFFFF"/>
        </w:rPr>
        <w:t>doi</w:t>
      </w:r>
      <w:proofErr w:type="spellEnd"/>
      <w:proofErr w:type="gramEnd"/>
      <w:r w:rsidR="00135C7F" w:rsidRPr="00621CBF">
        <w:rPr>
          <w:rFonts w:ascii="Arial" w:hAnsi="Arial" w:cs="Arial"/>
          <w:shd w:val="clear" w:color="auto" w:fill="FFFFFF"/>
        </w:rPr>
        <w:t>: 10.1177/1179573519849938. </w:t>
      </w:r>
    </w:p>
    <w:p w14:paraId="5DC7AE8A" w14:textId="6271D139" w:rsidR="00701E53" w:rsidRPr="00621CBF" w:rsidRDefault="00701E53" w:rsidP="00621CBF">
      <w:pPr>
        <w:autoSpaceDE w:val="0"/>
        <w:autoSpaceDN w:val="0"/>
        <w:adjustRightInd w:val="0"/>
        <w:rPr>
          <w:rFonts w:ascii="Arial" w:hAnsi="Arial" w:cs="Arial"/>
        </w:rPr>
      </w:pPr>
    </w:p>
    <w:p w14:paraId="39065928" w14:textId="4029F0A0" w:rsidR="003C01A6" w:rsidRPr="00621CBF" w:rsidRDefault="00E52213" w:rsidP="00621CBF">
      <w:pPr>
        <w:rPr>
          <w:rFonts w:ascii="Arial" w:hAnsi="Arial" w:cs="Arial"/>
        </w:rPr>
      </w:pPr>
      <w:proofErr w:type="spellStart"/>
      <w:r w:rsidRPr="00621CBF">
        <w:rPr>
          <w:rFonts w:ascii="Arial" w:hAnsi="Arial" w:cs="Arial"/>
        </w:rPr>
        <w:t>Baasch</w:t>
      </w:r>
      <w:proofErr w:type="spellEnd"/>
      <w:r w:rsidRPr="00621CBF">
        <w:rPr>
          <w:rFonts w:ascii="Arial" w:hAnsi="Arial" w:cs="Arial"/>
        </w:rPr>
        <w:t xml:space="preserve"> AL, </w:t>
      </w:r>
      <w:proofErr w:type="spellStart"/>
      <w:r w:rsidRPr="00621CBF">
        <w:rPr>
          <w:rFonts w:ascii="Arial" w:hAnsi="Arial" w:cs="Arial"/>
        </w:rPr>
        <w:t>Huning</w:t>
      </w:r>
      <w:proofErr w:type="spellEnd"/>
      <w:r w:rsidRPr="00621CBF">
        <w:rPr>
          <w:rFonts w:ascii="Arial" w:hAnsi="Arial" w:cs="Arial"/>
        </w:rPr>
        <w:t xml:space="preserve"> I, </w:t>
      </w:r>
      <w:proofErr w:type="spellStart"/>
      <w:r w:rsidRPr="00621CBF">
        <w:rPr>
          <w:rFonts w:ascii="Arial" w:hAnsi="Arial" w:cs="Arial"/>
        </w:rPr>
        <w:t>Gilissen</w:t>
      </w:r>
      <w:proofErr w:type="spellEnd"/>
      <w:r w:rsidRPr="00621CBF">
        <w:rPr>
          <w:rFonts w:ascii="Arial" w:hAnsi="Arial" w:cs="Arial"/>
        </w:rPr>
        <w:t xml:space="preserve"> C, </w:t>
      </w:r>
      <w:proofErr w:type="spellStart"/>
      <w:r w:rsidRPr="00621CBF">
        <w:rPr>
          <w:rFonts w:ascii="Arial" w:hAnsi="Arial" w:cs="Arial"/>
        </w:rPr>
        <w:t>Klepper</w:t>
      </w:r>
      <w:proofErr w:type="spellEnd"/>
      <w:r w:rsidRPr="00621CBF">
        <w:rPr>
          <w:rFonts w:ascii="Arial" w:hAnsi="Arial" w:cs="Arial"/>
        </w:rPr>
        <w:t xml:space="preserve"> J. </w:t>
      </w:r>
      <w:r w:rsidRPr="00621CBF">
        <w:rPr>
          <w:rFonts w:ascii="Arial" w:hAnsi="Arial" w:cs="Arial"/>
          <w:i/>
        </w:rPr>
        <w:t>et al</w:t>
      </w:r>
      <w:r w:rsidRPr="00621CBF">
        <w:rPr>
          <w:rFonts w:ascii="Arial" w:hAnsi="Arial" w:cs="Arial"/>
        </w:rPr>
        <w:t xml:space="preserve">. (2014) Exome sequencing identifies a </w:t>
      </w:r>
      <w:r w:rsidRPr="00621CBF">
        <w:rPr>
          <w:rFonts w:ascii="Arial" w:hAnsi="Arial" w:cs="Arial"/>
          <w:i/>
        </w:rPr>
        <w:t>de novo SCN2A</w:t>
      </w:r>
      <w:r w:rsidRPr="00621CBF">
        <w:rPr>
          <w:rFonts w:ascii="Arial" w:hAnsi="Arial" w:cs="Arial"/>
        </w:rPr>
        <w:t xml:space="preserve"> mutation in a patient with intractable seizures, severe intellectual </w:t>
      </w:r>
      <w:proofErr w:type="spellStart"/>
      <w:r w:rsidRPr="00621CBF">
        <w:rPr>
          <w:rFonts w:ascii="Arial" w:hAnsi="Arial" w:cs="Arial"/>
        </w:rPr>
        <w:t>disability,optic</w:t>
      </w:r>
      <w:proofErr w:type="spellEnd"/>
      <w:r w:rsidRPr="00621CBF">
        <w:rPr>
          <w:rFonts w:ascii="Arial" w:hAnsi="Arial" w:cs="Arial"/>
        </w:rPr>
        <w:t xml:space="preserve"> atrophy, muscular </w:t>
      </w:r>
      <w:proofErr w:type="spellStart"/>
      <w:r w:rsidRPr="00621CBF">
        <w:rPr>
          <w:rFonts w:ascii="Arial" w:hAnsi="Arial" w:cs="Arial"/>
        </w:rPr>
        <w:t>hypotonia</w:t>
      </w:r>
      <w:proofErr w:type="spellEnd"/>
      <w:r w:rsidRPr="00621CBF">
        <w:rPr>
          <w:rFonts w:ascii="Arial" w:hAnsi="Arial" w:cs="Arial"/>
        </w:rPr>
        <w:t xml:space="preserve">, and brain abnormalities. </w:t>
      </w:r>
      <w:proofErr w:type="spellStart"/>
      <w:r w:rsidRPr="00621CBF">
        <w:rPr>
          <w:rFonts w:ascii="Arial" w:hAnsi="Arial" w:cs="Arial"/>
          <w:i/>
          <w:iCs/>
        </w:rPr>
        <w:t>Epilepsia</w:t>
      </w:r>
      <w:proofErr w:type="spellEnd"/>
      <w:r w:rsidRPr="00621CBF">
        <w:rPr>
          <w:rFonts w:ascii="Arial" w:hAnsi="Arial" w:cs="Arial"/>
        </w:rPr>
        <w:t xml:space="preserve">. </w:t>
      </w:r>
      <w:proofErr w:type="gramStart"/>
      <w:r w:rsidRPr="00621CBF">
        <w:rPr>
          <w:rFonts w:ascii="Arial" w:hAnsi="Arial" w:cs="Arial"/>
        </w:rPr>
        <w:t>55</w:t>
      </w:r>
      <w:proofErr w:type="gramEnd"/>
      <w:r w:rsidRPr="00621CBF">
        <w:rPr>
          <w:rFonts w:ascii="Arial" w:hAnsi="Arial" w:cs="Arial"/>
        </w:rPr>
        <w:t>:</w:t>
      </w:r>
      <w:r w:rsidR="003C01A6" w:rsidRPr="00621CBF">
        <w:rPr>
          <w:rFonts w:ascii="Arial" w:hAnsi="Arial" w:cs="Arial"/>
        </w:rPr>
        <w:t>e</w:t>
      </w:r>
      <w:r w:rsidRPr="00621CBF">
        <w:rPr>
          <w:rFonts w:ascii="Arial" w:hAnsi="Arial" w:cs="Arial"/>
        </w:rPr>
        <w:t>25–</w:t>
      </w:r>
      <w:r w:rsidR="003C01A6" w:rsidRPr="00621CBF">
        <w:rPr>
          <w:rFonts w:ascii="Arial" w:hAnsi="Arial" w:cs="Arial"/>
        </w:rPr>
        <w:t>e</w:t>
      </w:r>
      <w:r w:rsidRPr="00621CBF">
        <w:rPr>
          <w:rFonts w:ascii="Arial" w:hAnsi="Arial" w:cs="Arial"/>
        </w:rPr>
        <w:t xml:space="preserve">29. </w:t>
      </w:r>
      <w:r w:rsidR="003C01A6" w:rsidRPr="00621CBF">
        <w:rPr>
          <w:rFonts w:ascii="Arial" w:hAnsi="Arial" w:cs="Arial"/>
          <w:shd w:val="clear" w:color="auto" w:fill="FFFFFF"/>
        </w:rPr>
        <w:t> doi:10.1111/epi.12554</w:t>
      </w:r>
    </w:p>
    <w:p w14:paraId="43745F7C" w14:textId="77777777" w:rsidR="00E52213" w:rsidRPr="00621CBF" w:rsidRDefault="00E52213" w:rsidP="00621CBF">
      <w:pPr>
        <w:autoSpaceDE w:val="0"/>
        <w:autoSpaceDN w:val="0"/>
        <w:adjustRightInd w:val="0"/>
        <w:rPr>
          <w:rFonts w:ascii="Arial" w:hAnsi="Arial" w:cs="Arial"/>
        </w:rPr>
      </w:pPr>
    </w:p>
    <w:p w14:paraId="5E69AE1C" w14:textId="182BB453" w:rsidR="00701E53" w:rsidRPr="00621CBF" w:rsidRDefault="00701E53" w:rsidP="00621CBF">
      <w:pPr>
        <w:autoSpaceDE w:val="0"/>
        <w:autoSpaceDN w:val="0"/>
        <w:adjustRightInd w:val="0"/>
        <w:rPr>
          <w:rFonts w:ascii="Arial" w:hAnsi="Arial" w:cs="Arial"/>
        </w:rPr>
      </w:pPr>
      <w:proofErr w:type="spellStart"/>
      <w:r w:rsidRPr="00621CBF">
        <w:rPr>
          <w:rFonts w:ascii="Arial" w:hAnsi="Arial" w:cs="Arial"/>
        </w:rPr>
        <w:t>Begemann</w:t>
      </w:r>
      <w:proofErr w:type="spellEnd"/>
      <w:r w:rsidRPr="00621CBF">
        <w:rPr>
          <w:rFonts w:ascii="Arial" w:hAnsi="Arial" w:cs="Arial"/>
        </w:rPr>
        <w:t xml:space="preserve"> A, Acuna MA, </w:t>
      </w:r>
      <w:proofErr w:type="spellStart"/>
      <w:r w:rsidRPr="00621CBF">
        <w:rPr>
          <w:rFonts w:ascii="Arial" w:hAnsi="Arial" w:cs="Arial"/>
        </w:rPr>
        <w:t>Zweier</w:t>
      </w:r>
      <w:proofErr w:type="spellEnd"/>
      <w:r w:rsidRPr="00621CBF">
        <w:rPr>
          <w:rFonts w:ascii="Arial" w:hAnsi="Arial" w:cs="Arial"/>
        </w:rPr>
        <w:t xml:space="preserve"> M, Vincent M </w:t>
      </w:r>
      <w:r w:rsidRPr="00621CBF">
        <w:rPr>
          <w:rFonts w:ascii="Arial" w:hAnsi="Arial" w:cs="Arial"/>
          <w:i/>
        </w:rPr>
        <w:t>et al</w:t>
      </w:r>
      <w:r w:rsidRPr="00621CBF">
        <w:rPr>
          <w:rFonts w:ascii="Arial" w:hAnsi="Arial" w:cs="Arial"/>
        </w:rPr>
        <w:t xml:space="preserve">. (2019). Further corroboration of distinct functional features in </w:t>
      </w:r>
      <w:r w:rsidRPr="00621CBF">
        <w:rPr>
          <w:rFonts w:ascii="Arial" w:hAnsi="Arial" w:cs="Arial"/>
          <w:i/>
        </w:rPr>
        <w:t>SCN2A</w:t>
      </w:r>
      <w:r w:rsidRPr="00621CBF">
        <w:rPr>
          <w:rFonts w:ascii="Arial" w:hAnsi="Arial" w:cs="Arial"/>
        </w:rPr>
        <w:t xml:space="preserve"> variants causing intellectual disability or epileptic phenotypes. </w:t>
      </w:r>
      <w:r w:rsidRPr="00621CBF">
        <w:rPr>
          <w:rFonts w:ascii="Arial" w:hAnsi="Arial" w:cs="Arial"/>
          <w:i/>
        </w:rPr>
        <w:t xml:space="preserve">Molecular Medicine </w:t>
      </w:r>
      <w:r w:rsidR="003C01A6" w:rsidRPr="00621CBF">
        <w:rPr>
          <w:rFonts w:ascii="Arial" w:hAnsi="Arial" w:cs="Arial"/>
          <w:shd w:val="clear" w:color="auto" w:fill="FFFFFF"/>
        </w:rPr>
        <w:t xml:space="preserve">25:6. </w:t>
      </w:r>
      <w:proofErr w:type="spellStart"/>
      <w:proofErr w:type="gramStart"/>
      <w:r w:rsidR="003C01A6" w:rsidRPr="00621CBF">
        <w:rPr>
          <w:rFonts w:ascii="Arial" w:hAnsi="Arial" w:cs="Arial"/>
          <w:shd w:val="clear" w:color="auto" w:fill="FFFFFF"/>
        </w:rPr>
        <w:t>doi</w:t>
      </w:r>
      <w:proofErr w:type="spellEnd"/>
      <w:proofErr w:type="gramEnd"/>
      <w:r w:rsidR="003C01A6" w:rsidRPr="00621CBF">
        <w:rPr>
          <w:rFonts w:ascii="Arial" w:hAnsi="Arial" w:cs="Arial"/>
          <w:shd w:val="clear" w:color="auto" w:fill="FFFFFF"/>
        </w:rPr>
        <w:t>: 10.1186/s10020-019-0073-6.</w:t>
      </w:r>
    </w:p>
    <w:p w14:paraId="48EDC6FC" w14:textId="77777777" w:rsidR="003C01A6" w:rsidRPr="00621CBF" w:rsidRDefault="003C01A6" w:rsidP="00621CBF">
      <w:pPr>
        <w:autoSpaceDE w:val="0"/>
        <w:autoSpaceDN w:val="0"/>
        <w:adjustRightInd w:val="0"/>
        <w:rPr>
          <w:rFonts w:ascii="Arial" w:hAnsi="Arial" w:cs="Arial"/>
        </w:rPr>
      </w:pPr>
    </w:p>
    <w:p w14:paraId="630817B7" w14:textId="4F871822" w:rsidR="00701E53" w:rsidRPr="00621CBF" w:rsidRDefault="00701E53" w:rsidP="00621CBF">
      <w:pPr>
        <w:autoSpaceDE w:val="0"/>
        <w:autoSpaceDN w:val="0"/>
        <w:adjustRightInd w:val="0"/>
        <w:rPr>
          <w:rFonts w:ascii="Arial" w:hAnsi="Arial" w:cs="Arial"/>
        </w:rPr>
      </w:pPr>
      <w:r w:rsidRPr="00621CBF">
        <w:rPr>
          <w:rFonts w:ascii="Arial" w:hAnsi="Arial" w:cs="Arial"/>
          <w:bCs/>
        </w:rPr>
        <w:t xml:space="preserve">Ben-Shalom R, </w:t>
      </w:r>
      <w:proofErr w:type="spellStart"/>
      <w:r w:rsidRPr="00621CBF">
        <w:rPr>
          <w:rFonts w:ascii="Arial" w:hAnsi="Arial" w:cs="Arial"/>
          <w:bCs/>
        </w:rPr>
        <w:t>Keeshen</w:t>
      </w:r>
      <w:proofErr w:type="spellEnd"/>
      <w:r w:rsidRPr="00621CBF">
        <w:rPr>
          <w:rFonts w:ascii="Arial" w:hAnsi="Arial" w:cs="Arial"/>
        </w:rPr>
        <w:t xml:space="preserve"> CM, </w:t>
      </w:r>
      <w:r w:rsidRPr="00621CBF">
        <w:rPr>
          <w:rFonts w:ascii="Arial" w:hAnsi="Arial" w:cs="Arial"/>
          <w:bCs/>
        </w:rPr>
        <w:t>Berrios</w:t>
      </w:r>
      <w:r w:rsidRPr="00621CBF">
        <w:rPr>
          <w:rFonts w:ascii="Arial" w:hAnsi="Arial" w:cs="Arial"/>
        </w:rPr>
        <w:t xml:space="preserve"> KN, </w:t>
      </w:r>
      <w:r w:rsidRPr="00621CBF">
        <w:rPr>
          <w:rFonts w:ascii="Arial" w:hAnsi="Arial" w:cs="Arial"/>
          <w:bCs/>
        </w:rPr>
        <w:t>An</w:t>
      </w:r>
      <w:r w:rsidRPr="00621CBF">
        <w:rPr>
          <w:rFonts w:ascii="Arial" w:hAnsi="Arial" w:cs="Arial"/>
        </w:rPr>
        <w:t xml:space="preserve"> JY, , </w:t>
      </w:r>
      <w:r w:rsidRPr="00621CBF">
        <w:rPr>
          <w:rFonts w:ascii="Arial" w:hAnsi="Arial" w:cs="Arial"/>
          <w:bCs/>
        </w:rPr>
        <w:t>Sanders</w:t>
      </w:r>
      <w:r w:rsidRPr="00621CBF">
        <w:rPr>
          <w:rFonts w:ascii="Arial" w:hAnsi="Arial" w:cs="Arial"/>
        </w:rPr>
        <w:t xml:space="preserve"> SJ, </w:t>
      </w:r>
      <w:r w:rsidRPr="00621CBF">
        <w:rPr>
          <w:rFonts w:ascii="Arial" w:hAnsi="Arial" w:cs="Arial"/>
          <w:bCs/>
        </w:rPr>
        <w:t>Bender</w:t>
      </w:r>
      <w:r w:rsidRPr="00621CBF">
        <w:rPr>
          <w:rFonts w:ascii="Arial" w:hAnsi="Arial" w:cs="Arial"/>
        </w:rPr>
        <w:t xml:space="preserve"> KJ</w:t>
      </w:r>
      <w:r w:rsidRPr="00621CBF">
        <w:rPr>
          <w:rFonts w:ascii="Arial" w:hAnsi="Arial" w:cs="Arial"/>
          <w:bCs/>
        </w:rPr>
        <w:t xml:space="preserve"> (</w:t>
      </w:r>
      <w:r w:rsidRPr="00621CBF">
        <w:rPr>
          <w:rFonts w:ascii="Arial" w:hAnsi="Arial" w:cs="Arial"/>
        </w:rPr>
        <w:t xml:space="preserve">2017) </w:t>
      </w:r>
      <w:r w:rsidRPr="00621CBF">
        <w:rPr>
          <w:rFonts w:ascii="Arial" w:hAnsi="Arial" w:cs="Arial"/>
          <w:bCs/>
        </w:rPr>
        <w:t xml:space="preserve">Opposing effects on NaV1.2 function underlie differences between </w:t>
      </w:r>
      <w:r w:rsidRPr="00621CBF">
        <w:rPr>
          <w:rFonts w:ascii="Arial" w:hAnsi="Arial" w:cs="Arial"/>
          <w:bCs/>
          <w:i/>
          <w:iCs/>
        </w:rPr>
        <w:t xml:space="preserve">SCN2A </w:t>
      </w:r>
      <w:r w:rsidRPr="00621CBF">
        <w:rPr>
          <w:rFonts w:ascii="Arial" w:hAnsi="Arial" w:cs="Arial"/>
          <w:bCs/>
        </w:rPr>
        <w:t xml:space="preserve">variants observed in individuals with autism spectrum disorder or infantile seizures. </w:t>
      </w:r>
      <w:proofErr w:type="spellStart"/>
      <w:r w:rsidRPr="00621CBF">
        <w:rPr>
          <w:rFonts w:ascii="Arial" w:hAnsi="Arial" w:cs="Arial"/>
          <w:i/>
        </w:rPr>
        <w:t>Biol</w:t>
      </w:r>
      <w:proofErr w:type="spellEnd"/>
      <w:r w:rsidRPr="00621CBF">
        <w:rPr>
          <w:rFonts w:ascii="Arial" w:hAnsi="Arial" w:cs="Arial"/>
          <w:i/>
        </w:rPr>
        <w:t xml:space="preserve"> Psychiatry.</w:t>
      </w:r>
      <w:r w:rsidRPr="00621CBF">
        <w:rPr>
          <w:rFonts w:ascii="Arial" w:hAnsi="Arial" w:cs="Arial"/>
        </w:rPr>
        <w:t xml:space="preserve"> </w:t>
      </w:r>
      <w:proofErr w:type="gramStart"/>
      <w:r w:rsidRPr="00621CBF">
        <w:rPr>
          <w:rFonts w:ascii="Arial" w:hAnsi="Arial" w:cs="Arial"/>
        </w:rPr>
        <w:t>82</w:t>
      </w:r>
      <w:proofErr w:type="gramEnd"/>
      <w:r w:rsidRPr="00621CBF">
        <w:rPr>
          <w:rFonts w:ascii="Arial" w:hAnsi="Arial" w:cs="Arial"/>
        </w:rPr>
        <w:t xml:space="preserve">: 224–232. </w:t>
      </w:r>
      <w:proofErr w:type="spellStart"/>
      <w:proofErr w:type="gramStart"/>
      <w:r w:rsidR="003C01A6" w:rsidRPr="00621CBF">
        <w:rPr>
          <w:rFonts w:ascii="Arial" w:hAnsi="Arial" w:cs="Arial"/>
          <w:shd w:val="clear" w:color="auto" w:fill="FFFFFF"/>
        </w:rPr>
        <w:t>doi</w:t>
      </w:r>
      <w:proofErr w:type="spellEnd"/>
      <w:proofErr w:type="gramEnd"/>
      <w:r w:rsidR="003C01A6" w:rsidRPr="00621CBF">
        <w:rPr>
          <w:rFonts w:ascii="Arial" w:hAnsi="Arial" w:cs="Arial"/>
          <w:shd w:val="clear" w:color="auto" w:fill="FFFFFF"/>
        </w:rPr>
        <w:t>: 10.1016/j.biopsych.2017.01.009.</w:t>
      </w:r>
    </w:p>
    <w:p w14:paraId="0C9228F8" w14:textId="5E3A595B" w:rsidR="00E52213" w:rsidRPr="00621CBF" w:rsidRDefault="00E52213" w:rsidP="00621CBF">
      <w:pPr>
        <w:autoSpaceDE w:val="0"/>
        <w:autoSpaceDN w:val="0"/>
        <w:adjustRightInd w:val="0"/>
        <w:rPr>
          <w:rFonts w:ascii="Arial" w:hAnsi="Arial" w:cs="Arial"/>
        </w:rPr>
      </w:pPr>
    </w:p>
    <w:p w14:paraId="59C3AA54" w14:textId="0CB59E6E" w:rsidR="00E52213" w:rsidRPr="00621CBF" w:rsidRDefault="00E52213" w:rsidP="00621CBF">
      <w:pPr>
        <w:autoSpaceDE w:val="0"/>
        <w:autoSpaceDN w:val="0"/>
        <w:adjustRightInd w:val="0"/>
        <w:rPr>
          <w:rFonts w:ascii="Arial" w:hAnsi="Arial" w:cs="Arial"/>
        </w:rPr>
      </w:pPr>
      <w:r w:rsidRPr="00621CBF">
        <w:rPr>
          <w:rFonts w:ascii="Arial" w:hAnsi="Arial" w:cs="Arial"/>
        </w:rPr>
        <w:t xml:space="preserve">Bernardo S, Marchionni E, </w:t>
      </w:r>
      <w:proofErr w:type="spellStart"/>
      <w:r w:rsidRPr="00621CBF">
        <w:rPr>
          <w:rFonts w:ascii="Arial" w:hAnsi="Arial" w:cs="Arial"/>
        </w:rPr>
        <w:t>Prudente</w:t>
      </w:r>
      <w:proofErr w:type="spellEnd"/>
      <w:r w:rsidRPr="00621CBF">
        <w:rPr>
          <w:rFonts w:ascii="Arial" w:hAnsi="Arial" w:cs="Arial"/>
        </w:rPr>
        <w:t xml:space="preserve"> S, </w:t>
      </w:r>
      <w:r w:rsidRPr="00621CBF">
        <w:rPr>
          <w:rFonts w:ascii="Arial" w:hAnsi="Arial" w:cs="Arial"/>
          <w:i/>
        </w:rPr>
        <w:t>et al.</w:t>
      </w:r>
      <w:r w:rsidRPr="00621CBF">
        <w:rPr>
          <w:rFonts w:ascii="Arial" w:hAnsi="Arial" w:cs="Arial"/>
        </w:rPr>
        <w:t xml:space="preserve"> (2017) Unusual association of </w:t>
      </w:r>
      <w:r w:rsidRPr="00621CBF">
        <w:rPr>
          <w:rFonts w:ascii="Arial" w:hAnsi="Arial" w:cs="Arial"/>
          <w:i/>
        </w:rPr>
        <w:t xml:space="preserve">SCN2A </w:t>
      </w:r>
      <w:r w:rsidRPr="00621CBF">
        <w:rPr>
          <w:rFonts w:ascii="Arial" w:hAnsi="Arial" w:cs="Arial"/>
        </w:rPr>
        <w:t xml:space="preserve">epileptic encephalopathy with severe cortical dysplasia detected by prenatal MRI. </w:t>
      </w:r>
      <w:proofErr w:type="spellStart"/>
      <w:r w:rsidRPr="00621CBF">
        <w:rPr>
          <w:rFonts w:ascii="Arial" w:hAnsi="Arial" w:cs="Arial"/>
          <w:i/>
          <w:iCs/>
        </w:rPr>
        <w:t>Eur</w:t>
      </w:r>
      <w:proofErr w:type="spellEnd"/>
      <w:r w:rsidRPr="00621CBF">
        <w:rPr>
          <w:rFonts w:ascii="Arial" w:hAnsi="Arial" w:cs="Arial"/>
          <w:i/>
          <w:iCs/>
        </w:rPr>
        <w:t xml:space="preserve"> J </w:t>
      </w:r>
      <w:proofErr w:type="spellStart"/>
      <w:r w:rsidRPr="00621CBF">
        <w:rPr>
          <w:rFonts w:ascii="Arial" w:hAnsi="Arial" w:cs="Arial"/>
          <w:i/>
          <w:iCs/>
        </w:rPr>
        <w:t>Paediatr</w:t>
      </w:r>
      <w:proofErr w:type="spellEnd"/>
      <w:r w:rsidRPr="00621CBF">
        <w:rPr>
          <w:rFonts w:ascii="Arial" w:hAnsi="Arial" w:cs="Arial"/>
          <w:i/>
          <w:iCs/>
        </w:rPr>
        <w:t xml:space="preserve"> Neurol</w:t>
      </w:r>
      <w:r w:rsidRPr="00621CBF">
        <w:rPr>
          <w:rFonts w:ascii="Arial" w:hAnsi="Arial" w:cs="Arial"/>
        </w:rPr>
        <w:t>.</w:t>
      </w:r>
      <w:proofErr w:type="gramStart"/>
      <w:r w:rsidRPr="00621CBF">
        <w:rPr>
          <w:rFonts w:ascii="Arial" w:hAnsi="Arial" w:cs="Arial"/>
        </w:rPr>
        <w:t>;21:587</w:t>
      </w:r>
      <w:proofErr w:type="gramEnd"/>
      <w:r w:rsidRPr="00621CBF">
        <w:rPr>
          <w:rFonts w:ascii="Arial" w:hAnsi="Arial" w:cs="Arial"/>
        </w:rPr>
        <w:t>–590.</w:t>
      </w:r>
      <w:r w:rsidR="003C01A6" w:rsidRPr="00621CBF">
        <w:rPr>
          <w:rFonts w:ascii="Arial" w:hAnsi="Arial" w:cs="Arial"/>
          <w:shd w:val="clear" w:color="auto" w:fill="FFFFFF"/>
        </w:rPr>
        <w:t>doi: 10.1016/j.ejpn.2017.01.014.</w:t>
      </w:r>
    </w:p>
    <w:p w14:paraId="7F6D7610" w14:textId="255733FB" w:rsidR="00701E53" w:rsidRPr="00621CBF" w:rsidRDefault="00701E53" w:rsidP="00621CBF">
      <w:pPr>
        <w:autoSpaceDE w:val="0"/>
        <w:autoSpaceDN w:val="0"/>
        <w:adjustRightInd w:val="0"/>
        <w:rPr>
          <w:rFonts w:ascii="Arial" w:hAnsi="Arial" w:cs="Arial"/>
        </w:rPr>
      </w:pPr>
    </w:p>
    <w:p w14:paraId="568581F2" w14:textId="77777777" w:rsidR="003C01A6" w:rsidRPr="00621CBF" w:rsidRDefault="00701E53" w:rsidP="00621CBF">
      <w:pPr>
        <w:shd w:val="clear" w:color="auto" w:fill="FFFFFF"/>
        <w:textAlignment w:val="top"/>
        <w:rPr>
          <w:rFonts w:ascii="Arial" w:hAnsi="Arial" w:cs="Arial"/>
          <w:shd w:val="clear" w:color="auto" w:fill="FFFFFF"/>
        </w:rPr>
      </w:pPr>
      <w:proofErr w:type="spellStart"/>
      <w:r w:rsidRPr="00621CBF">
        <w:rPr>
          <w:rFonts w:ascii="Arial" w:hAnsi="Arial" w:cs="Arial"/>
          <w:shd w:val="clear" w:color="auto" w:fill="FFFFFF"/>
        </w:rPr>
        <w:t>ClinVar</w:t>
      </w:r>
      <w:proofErr w:type="spellEnd"/>
      <w:r w:rsidRPr="00621CBF">
        <w:rPr>
          <w:rFonts w:ascii="Arial" w:hAnsi="Arial" w:cs="Arial"/>
          <w:shd w:val="clear" w:color="auto" w:fill="FFFFFF"/>
        </w:rPr>
        <w:t>. Landrum MJ, Lee JM, Benson M, Brown GR</w:t>
      </w:r>
      <w:r w:rsidRPr="00621CBF">
        <w:rPr>
          <w:rFonts w:ascii="Arial" w:hAnsi="Arial" w:cs="Arial"/>
          <w:i/>
          <w:shd w:val="clear" w:color="auto" w:fill="FFFFFF"/>
        </w:rPr>
        <w:t>, et al:</w:t>
      </w:r>
      <w:r w:rsidRPr="00621CBF">
        <w:rPr>
          <w:rFonts w:ascii="Arial" w:hAnsi="Arial" w:cs="Arial"/>
          <w:shd w:val="clear" w:color="auto" w:fill="FFFFFF"/>
        </w:rPr>
        <w:t xml:space="preserve"> (2018) </w:t>
      </w:r>
    </w:p>
    <w:p w14:paraId="38B24349" w14:textId="3D7D6983" w:rsidR="00701E53" w:rsidRPr="00621CBF" w:rsidRDefault="00701E53" w:rsidP="00621CBF">
      <w:pPr>
        <w:shd w:val="clear" w:color="auto" w:fill="FFFFFF"/>
        <w:textAlignment w:val="top"/>
        <w:rPr>
          <w:rFonts w:ascii="Arial" w:hAnsi="Arial" w:cs="Arial"/>
        </w:rPr>
      </w:pPr>
      <w:proofErr w:type="spellStart"/>
      <w:r w:rsidRPr="00621CBF">
        <w:rPr>
          <w:rFonts w:ascii="Arial" w:hAnsi="Arial" w:cs="Arial"/>
          <w:shd w:val="clear" w:color="auto" w:fill="FFFFFF"/>
        </w:rPr>
        <w:t>ClinVar</w:t>
      </w:r>
      <w:proofErr w:type="gramStart"/>
      <w:r w:rsidRPr="00621CBF">
        <w:rPr>
          <w:rFonts w:ascii="Arial" w:hAnsi="Arial" w:cs="Arial"/>
          <w:shd w:val="clear" w:color="auto" w:fill="FFFFFF"/>
        </w:rPr>
        <w:t>:improving</w:t>
      </w:r>
      <w:proofErr w:type="spellEnd"/>
      <w:proofErr w:type="gramEnd"/>
      <w:r w:rsidRPr="00621CBF">
        <w:rPr>
          <w:rFonts w:ascii="Arial" w:hAnsi="Arial" w:cs="Arial"/>
          <w:shd w:val="clear" w:color="auto" w:fill="FFFFFF"/>
        </w:rPr>
        <w:t xml:space="preserve"> access to variant interpretations and supporting evidence. </w:t>
      </w:r>
      <w:r w:rsidRPr="00621CBF">
        <w:rPr>
          <w:rStyle w:val="jrnl"/>
          <w:rFonts w:ascii="Arial" w:hAnsi="Arial" w:cs="Arial"/>
          <w:i/>
          <w:shd w:val="clear" w:color="auto" w:fill="FFFFFF"/>
        </w:rPr>
        <w:t>Nucleic Acids Res</w:t>
      </w:r>
      <w:r w:rsidRPr="00621CBF">
        <w:rPr>
          <w:rFonts w:ascii="Arial" w:hAnsi="Arial" w:cs="Arial"/>
          <w:shd w:val="clear" w:color="auto" w:fill="FFFFFF"/>
        </w:rPr>
        <w:t xml:space="preserve">. </w:t>
      </w:r>
      <w:r w:rsidR="003C01A6" w:rsidRPr="00621CBF">
        <w:rPr>
          <w:rFonts w:ascii="Arial" w:hAnsi="Arial" w:cs="Arial"/>
          <w:shd w:val="clear" w:color="auto" w:fill="FFFFFF"/>
        </w:rPr>
        <w:t xml:space="preserve">46:D1062-D1067. </w:t>
      </w:r>
      <w:proofErr w:type="spellStart"/>
      <w:proofErr w:type="gramStart"/>
      <w:r w:rsidR="003C01A6" w:rsidRPr="00621CBF">
        <w:rPr>
          <w:rFonts w:ascii="Arial" w:hAnsi="Arial" w:cs="Arial"/>
          <w:shd w:val="clear" w:color="auto" w:fill="FFFFFF"/>
        </w:rPr>
        <w:t>doi</w:t>
      </w:r>
      <w:proofErr w:type="spellEnd"/>
      <w:proofErr w:type="gramEnd"/>
      <w:r w:rsidR="003C01A6" w:rsidRPr="00621CBF">
        <w:rPr>
          <w:rFonts w:ascii="Arial" w:hAnsi="Arial" w:cs="Arial"/>
          <w:shd w:val="clear" w:color="auto" w:fill="FFFFFF"/>
        </w:rPr>
        <w:t>: 10.1093/</w:t>
      </w:r>
      <w:proofErr w:type="spellStart"/>
      <w:r w:rsidR="003C01A6" w:rsidRPr="00621CBF">
        <w:rPr>
          <w:rFonts w:ascii="Arial" w:hAnsi="Arial" w:cs="Arial"/>
          <w:shd w:val="clear" w:color="auto" w:fill="FFFFFF"/>
        </w:rPr>
        <w:t>nar</w:t>
      </w:r>
      <w:proofErr w:type="spellEnd"/>
      <w:r w:rsidR="003C01A6" w:rsidRPr="00621CBF">
        <w:rPr>
          <w:rFonts w:ascii="Arial" w:hAnsi="Arial" w:cs="Arial"/>
          <w:shd w:val="clear" w:color="auto" w:fill="FFFFFF"/>
        </w:rPr>
        <w:t xml:space="preserve">/gkx1153. </w:t>
      </w:r>
      <w:r w:rsidRPr="00621CBF">
        <w:rPr>
          <w:rFonts w:ascii="Arial" w:hAnsi="Arial" w:cs="Arial"/>
          <w:shd w:val="clear" w:color="auto" w:fill="FFFFFF"/>
        </w:rPr>
        <w:t>(RCV001028090.1) (accessed 01/05/2020)</w:t>
      </w:r>
    </w:p>
    <w:p w14:paraId="1D71FAE1" w14:textId="77777777" w:rsidR="00701E53" w:rsidRPr="00621CBF" w:rsidRDefault="00701E53" w:rsidP="00621CBF">
      <w:pPr>
        <w:autoSpaceDE w:val="0"/>
        <w:autoSpaceDN w:val="0"/>
        <w:adjustRightInd w:val="0"/>
        <w:rPr>
          <w:rFonts w:ascii="Arial" w:hAnsi="Arial" w:cs="Arial"/>
        </w:rPr>
      </w:pPr>
    </w:p>
    <w:p w14:paraId="233A702B" w14:textId="081BB94A" w:rsidR="003C01A6" w:rsidRPr="00621CBF" w:rsidRDefault="00701E53" w:rsidP="00621CBF">
      <w:pPr>
        <w:pStyle w:val="publication"/>
        <w:spacing w:before="0" w:beforeAutospacing="0" w:after="0" w:afterAutospacing="0"/>
        <w:textAlignment w:val="baseline"/>
        <w:rPr>
          <w:rStyle w:val="pagerange"/>
          <w:rFonts w:ascii="Arial" w:hAnsi="Arial" w:cs="Arial"/>
          <w:bdr w:val="none" w:sz="0" w:space="0" w:color="auto" w:frame="1"/>
        </w:rPr>
      </w:pPr>
      <w:r w:rsidRPr="00621CBF">
        <w:rPr>
          <w:rStyle w:val="author"/>
          <w:rFonts w:ascii="Arial" w:hAnsi="Arial" w:cs="Arial"/>
          <w:bdr w:val="none" w:sz="0" w:space="0" w:color="auto" w:frame="1"/>
        </w:rPr>
        <w:t>Deciphering Developmental Disorders Study. (2014)</w:t>
      </w:r>
      <w:r w:rsidRPr="00621CBF">
        <w:rPr>
          <w:rFonts w:ascii="Arial" w:hAnsi="Arial" w:cs="Arial"/>
        </w:rPr>
        <w:t xml:space="preserve"> Large-scale discovery of novel genetic causes of developmental disorders.</w:t>
      </w:r>
      <w:r w:rsidRPr="00621CBF">
        <w:rPr>
          <w:rStyle w:val="Title1"/>
          <w:rFonts w:ascii="Arial" w:hAnsi="Arial" w:cs="Arial"/>
          <w:bdr w:val="none" w:sz="0" w:space="0" w:color="auto" w:frame="1"/>
        </w:rPr>
        <w:t xml:space="preserve"> </w:t>
      </w:r>
      <w:r w:rsidRPr="00621CBF">
        <w:rPr>
          <w:rStyle w:val="Title1"/>
          <w:rFonts w:ascii="Arial" w:hAnsi="Arial" w:cs="Arial"/>
          <w:i/>
          <w:bdr w:val="none" w:sz="0" w:space="0" w:color="auto" w:frame="1"/>
        </w:rPr>
        <w:t>Nature</w:t>
      </w:r>
      <w:r w:rsidRPr="00621CBF">
        <w:rPr>
          <w:rFonts w:ascii="Arial" w:hAnsi="Arial" w:cs="Arial"/>
        </w:rPr>
        <w:t xml:space="preserve">. </w:t>
      </w:r>
      <w:r w:rsidRPr="00621CBF">
        <w:rPr>
          <w:rStyle w:val="volume"/>
          <w:rFonts w:ascii="Arial" w:hAnsi="Arial" w:cs="Arial"/>
          <w:bdr w:val="none" w:sz="0" w:space="0" w:color="auto" w:frame="1"/>
        </w:rPr>
        <w:t>519</w:t>
      </w:r>
      <w:r w:rsidRPr="00621CBF">
        <w:rPr>
          <w:rFonts w:ascii="Arial" w:hAnsi="Arial" w:cs="Arial"/>
        </w:rPr>
        <w:t>;</w:t>
      </w:r>
      <w:proofErr w:type="gramStart"/>
      <w:r w:rsidRPr="00621CBF">
        <w:rPr>
          <w:rFonts w:ascii="Arial" w:hAnsi="Arial" w:cs="Arial"/>
        </w:rPr>
        <w:t>;</w:t>
      </w:r>
      <w:r w:rsidRPr="00621CBF">
        <w:rPr>
          <w:rStyle w:val="pagerange"/>
          <w:rFonts w:ascii="Arial" w:hAnsi="Arial" w:cs="Arial"/>
          <w:bdr w:val="none" w:sz="0" w:space="0" w:color="auto" w:frame="1"/>
        </w:rPr>
        <w:t>223</w:t>
      </w:r>
      <w:proofErr w:type="gramEnd"/>
      <w:r w:rsidRPr="00621CBF">
        <w:rPr>
          <w:rStyle w:val="pagerange"/>
          <w:rFonts w:ascii="Arial" w:hAnsi="Arial" w:cs="Arial"/>
          <w:bdr w:val="none" w:sz="0" w:space="0" w:color="auto" w:frame="1"/>
        </w:rPr>
        <w:t>-8</w:t>
      </w:r>
      <w:r w:rsidR="003C01A6" w:rsidRPr="00621CBF">
        <w:rPr>
          <w:rStyle w:val="pagerange"/>
          <w:rFonts w:ascii="Arial" w:hAnsi="Arial" w:cs="Arial"/>
          <w:bdr w:val="none" w:sz="0" w:space="0" w:color="auto" w:frame="1"/>
        </w:rPr>
        <w:t xml:space="preserve">. </w:t>
      </w:r>
      <w:proofErr w:type="spellStart"/>
      <w:proofErr w:type="gramStart"/>
      <w:r w:rsidR="003C01A6" w:rsidRPr="00621CBF">
        <w:rPr>
          <w:rFonts w:ascii="Arial" w:hAnsi="Arial" w:cs="Arial"/>
          <w:shd w:val="clear" w:color="auto" w:fill="FFFFFF"/>
        </w:rPr>
        <w:t>doi</w:t>
      </w:r>
      <w:proofErr w:type="spellEnd"/>
      <w:proofErr w:type="gramEnd"/>
      <w:r w:rsidR="003C01A6" w:rsidRPr="00621CBF">
        <w:rPr>
          <w:rFonts w:ascii="Arial" w:hAnsi="Arial" w:cs="Arial"/>
          <w:shd w:val="clear" w:color="auto" w:fill="FFFFFF"/>
        </w:rPr>
        <w:t>: 10.1038/nature14135.</w:t>
      </w:r>
    </w:p>
    <w:p w14:paraId="7E19E2C4" w14:textId="77777777" w:rsidR="003C01A6" w:rsidRPr="00621CBF" w:rsidRDefault="003C01A6" w:rsidP="00621CBF">
      <w:pPr>
        <w:rPr>
          <w:rFonts w:ascii="Arial" w:hAnsi="Arial" w:cs="Arial"/>
        </w:rPr>
      </w:pPr>
    </w:p>
    <w:p w14:paraId="38D5797C" w14:textId="4259AEE0" w:rsidR="00701E53" w:rsidRPr="00621CBF" w:rsidRDefault="00701E53" w:rsidP="00621CBF">
      <w:pPr>
        <w:rPr>
          <w:rFonts w:ascii="Arial" w:hAnsi="Arial" w:cs="Arial"/>
        </w:rPr>
      </w:pPr>
      <w:r w:rsidRPr="00621CBF">
        <w:rPr>
          <w:rFonts w:ascii="Arial" w:hAnsi="Arial" w:cs="Arial"/>
        </w:rPr>
        <w:t xml:space="preserve">Deciphering Developmental Disorders Study. (2017) Prevalence and architecture of </w:t>
      </w:r>
      <w:r w:rsidRPr="00621CBF">
        <w:rPr>
          <w:rFonts w:ascii="Arial" w:hAnsi="Arial" w:cs="Arial"/>
          <w:i/>
        </w:rPr>
        <w:t>de novo</w:t>
      </w:r>
      <w:r w:rsidRPr="00621CBF">
        <w:rPr>
          <w:rFonts w:ascii="Arial" w:hAnsi="Arial" w:cs="Arial"/>
        </w:rPr>
        <w:t xml:space="preserve"> mutations in developmental disorders. </w:t>
      </w:r>
      <w:r w:rsidRPr="00621CBF">
        <w:rPr>
          <w:rFonts w:ascii="Arial" w:hAnsi="Arial" w:cs="Arial"/>
          <w:i/>
        </w:rPr>
        <w:t>Nature</w:t>
      </w:r>
      <w:r w:rsidRPr="00621CBF">
        <w:rPr>
          <w:rFonts w:ascii="Arial" w:hAnsi="Arial" w:cs="Arial"/>
        </w:rPr>
        <w:t xml:space="preserve">. </w:t>
      </w:r>
      <w:proofErr w:type="gramStart"/>
      <w:r w:rsidRPr="00621CBF">
        <w:rPr>
          <w:rFonts w:ascii="Arial" w:hAnsi="Arial" w:cs="Arial"/>
        </w:rPr>
        <w:t>542</w:t>
      </w:r>
      <w:proofErr w:type="gramEnd"/>
      <w:r w:rsidRPr="00621CBF">
        <w:rPr>
          <w:rFonts w:ascii="Arial" w:hAnsi="Arial" w:cs="Arial"/>
        </w:rPr>
        <w:t>:433-438.</w:t>
      </w:r>
      <w:r w:rsidR="000F2B30" w:rsidRPr="00621CBF">
        <w:rPr>
          <w:rFonts w:ascii="Arial" w:hAnsi="Arial" w:cs="Arial"/>
          <w:shd w:val="clear" w:color="auto" w:fill="FFFFFF"/>
        </w:rPr>
        <w:t xml:space="preserve"> </w:t>
      </w:r>
      <w:proofErr w:type="spellStart"/>
      <w:r w:rsidR="000F2B30" w:rsidRPr="00621CBF">
        <w:rPr>
          <w:rFonts w:ascii="Arial" w:hAnsi="Arial" w:cs="Arial"/>
          <w:shd w:val="clear" w:color="auto" w:fill="FFFFFF"/>
        </w:rPr>
        <w:t>doi</w:t>
      </w:r>
      <w:proofErr w:type="spellEnd"/>
      <w:r w:rsidR="000F2B30" w:rsidRPr="00621CBF">
        <w:rPr>
          <w:rFonts w:ascii="Arial" w:hAnsi="Arial" w:cs="Arial"/>
          <w:shd w:val="clear" w:color="auto" w:fill="FFFFFF"/>
        </w:rPr>
        <w:t>: 10.1038/nature21062. </w:t>
      </w:r>
    </w:p>
    <w:p w14:paraId="7E465190" w14:textId="77777777" w:rsidR="000F2B30" w:rsidRPr="00621CBF" w:rsidRDefault="000F2B30" w:rsidP="00621CBF">
      <w:pPr>
        <w:rPr>
          <w:rFonts w:ascii="Arial" w:hAnsi="Arial" w:cs="Arial"/>
        </w:rPr>
      </w:pPr>
    </w:p>
    <w:p w14:paraId="70A26C33" w14:textId="05969E5F" w:rsidR="00701E53" w:rsidRPr="00621CBF" w:rsidRDefault="00701E53" w:rsidP="00621CBF">
      <w:pPr>
        <w:rPr>
          <w:rStyle w:val="Hyperlink"/>
          <w:rFonts w:ascii="Arial" w:hAnsi="Arial" w:cs="Arial"/>
          <w:color w:val="auto"/>
          <w:u w:val="none"/>
          <w:lang w:val="en-US"/>
        </w:rPr>
      </w:pPr>
      <w:r w:rsidRPr="00621CBF">
        <w:rPr>
          <w:rFonts w:ascii="Arial" w:hAnsi="Arial" w:cs="Arial"/>
        </w:rPr>
        <w:t xml:space="preserve">DECIPHER. DECIPHER v9.24: </w:t>
      </w:r>
      <w:hyperlink r:id="rId9" w:history="1">
        <w:r w:rsidRPr="00621CBF">
          <w:rPr>
            <w:rStyle w:val="Hyperlink"/>
            <w:rFonts w:ascii="Arial" w:hAnsi="Arial" w:cs="Arial"/>
            <w:color w:val="auto"/>
            <w:u w:val="none"/>
            <w:lang w:val="en-US"/>
          </w:rPr>
          <w:t>https://decipher.sanger.ac.uk/</w:t>
        </w:r>
      </w:hyperlink>
    </w:p>
    <w:p w14:paraId="5CC4B5F6" w14:textId="2FDA3A7C" w:rsidR="00701E53" w:rsidRPr="00621CBF" w:rsidRDefault="00701E53" w:rsidP="00621CBF">
      <w:pPr>
        <w:pStyle w:val="Normal1"/>
        <w:spacing w:line="240" w:lineRule="auto"/>
        <w:rPr>
          <w:color w:val="auto"/>
          <w:sz w:val="24"/>
          <w:szCs w:val="24"/>
        </w:rPr>
      </w:pPr>
    </w:p>
    <w:p w14:paraId="61AE145E" w14:textId="6231416F" w:rsidR="000F2B30" w:rsidRPr="00621CBF" w:rsidRDefault="00701E53" w:rsidP="00621CBF">
      <w:pPr>
        <w:rPr>
          <w:rFonts w:ascii="Arial" w:hAnsi="Arial" w:cs="Arial"/>
        </w:rPr>
      </w:pPr>
      <w:proofErr w:type="spellStart"/>
      <w:r w:rsidRPr="00621CBF">
        <w:rPr>
          <w:rFonts w:ascii="Arial" w:hAnsi="Arial" w:cs="Arial"/>
        </w:rPr>
        <w:t>D’Gama</w:t>
      </w:r>
      <w:proofErr w:type="spellEnd"/>
      <w:r w:rsidRPr="00621CBF">
        <w:rPr>
          <w:rFonts w:ascii="Arial" w:hAnsi="Arial" w:cs="Arial"/>
        </w:rPr>
        <w:t xml:space="preserve"> AM, </w:t>
      </w:r>
      <w:proofErr w:type="spellStart"/>
      <w:r w:rsidRPr="00621CBF">
        <w:rPr>
          <w:rFonts w:ascii="Arial" w:hAnsi="Arial" w:cs="Arial"/>
        </w:rPr>
        <w:t>Pochareddy</w:t>
      </w:r>
      <w:proofErr w:type="spellEnd"/>
      <w:r w:rsidRPr="00621CBF">
        <w:rPr>
          <w:rFonts w:ascii="Arial" w:hAnsi="Arial" w:cs="Arial"/>
        </w:rPr>
        <w:t xml:space="preserve"> S, Li M, </w:t>
      </w:r>
      <w:proofErr w:type="spellStart"/>
      <w:r w:rsidRPr="00621CBF">
        <w:rPr>
          <w:rFonts w:ascii="Arial" w:hAnsi="Arial" w:cs="Arial"/>
        </w:rPr>
        <w:t>Jamuar</w:t>
      </w:r>
      <w:proofErr w:type="spellEnd"/>
      <w:r w:rsidRPr="00621CBF">
        <w:rPr>
          <w:rFonts w:ascii="Arial" w:hAnsi="Arial" w:cs="Arial"/>
        </w:rPr>
        <w:t xml:space="preserve"> SS, </w:t>
      </w:r>
      <w:r w:rsidRPr="00621CBF">
        <w:rPr>
          <w:rFonts w:ascii="Arial" w:hAnsi="Arial" w:cs="Arial"/>
          <w:i/>
        </w:rPr>
        <w:t>et al</w:t>
      </w:r>
      <w:r w:rsidRPr="00621CBF">
        <w:rPr>
          <w:rFonts w:ascii="Arial" w:hAnsi="Arial" w:cs="Arial"/>
        </w:rPr>
        <w:t>. (2015).</w:t>
      </w:r>
      <w:r w:rsidRPr="00621CBF">
        <w:rPr>
          <w:rFonts w:ascii="Arial" w:hAnsi="Arial" w:cs="Arial"/>
          <w:bCs/>
          <w:kern w:val="36"/>
        </w:rPr>
        <w:t xml:space="preserve"> Targeted DNA Sequencing from Autism Spectrum Disorder Brains Implicates Multiple Genetic Mechanisms. </w:t>
      </w:r>
      <w:r w:rsidRPr="00621CBF">
        <w:rPr>
          <w:rFonts w:ascii="Arial" w:hAnsi="Arial" w:cs="Arial"/>
          <w:i/>
        </w:rPr>
        <w:t>Neuron</w:t>
      </w:r>
      <w:r w:rsidRPr="00621CBF">
        <w:rPr>
          <w:rFonts w:ascii="Arial" w:hAnsi="Arial" w:cs="Arial"/>
          <w:bCs/>
          <w:i/>
          <w:kern w:val="36"/>
        </w:rPr>
        <w:t>.</w:t>
      </w:r>
      <w:r w:rsidRPr="00621CBF">
        <w:rPr>
          <w:rFonts w:ascii="Arial" w:hAnsi="Arial" w:cs="Arial"/>
          <w:bCs/>
          <w:kern w:val="36"/>
        </w:rPr>
        <w:t xml:space="preserve"> </w:t>
      </w:r>
      <w:proofErr w:type="gramStart"/>
      <w:r w:rsidRPr="00621CBF">
        <w:rPr>
          <w:rFonts w:ascii="Arial" w:hAnsi="Arial" w:cs="Arial"/>
        </w:rPr>
        <w:t>88</w:t>
      </w:r>
      <w:proofErr w:type="gramEnd"/>
      <w:r w:rsidRPr="00621CBF">
        <w:rPr>
          <w:rFonts w:ascii="Arial" w:hAnsi="Arial" w:cs="Arial"/>
        </w:rPr>
        <w:t>:910-917.</w:t>
      </w:r>
      <w:r w:rsidR="000F2B30" w:rsidRPr="00621CBF">
        <w:rPr>
          <w:rFonts w:ascii="Arial" w:hAnsi="Arial" w:cs="Arial"/>
        </w:rPr>
        <w:t xml:space="preserve"> </w:t>
      </w:r>
      <w:proofErr w:type="spellStart"/>
      <w:r w:rsidR="000F2B30" w:rsidRPr="00621CBF">
        <w:rPr>
          <w:rFonts w:ascii="Arial" w:hAnsi="Arial" w:cs="Arial"/>
          <w:shd w:val="clear" w:color="auto" w:fill="FFFFFF"/>
        </w:rPr>
        <w:t>doi</w:t>
      </w:r>
      <w:proofErr w:type="spellEnd"/>
      <w:r w:rsidR="000F2B30" w:rsidRPr="00621CBF">
        <w:rPr>
          <w:rFonts w:ascii="Arial" w:hAnsi="Arial" w:cs="Arial"/>
          <w:shd w:val="clear" w:color="auto" w:fill="FFFFFF"/>
        </w:rPr>
        <w:t>: 10.1016/j.neuron.2015.11.009. </w:t>
      </w:r>
    </w:p>
    <w:p w14:paraId="11B33D32" w14:textId="39ADF573" w:rsidR="00701E53" w:rsidRPr="00621CBF" w:rsidRDefault="00701E53" w:rsidP="00621CBF">
      <w:pPr>
        <w:rPr>
          <w:rFonts w:ascii="Arial" w:hAnsi="Arial" w:cs="Arial"/>
        </w:rPr>
      </w:pPr>
    </w:p>
    <w:p w14:paraId="567B78AD" w14:textId="01858AB8" w:rsidR="00701E53" w:rsidRPr="00621CBF" w:rsidRDefault="00701E53" w:rsidP="00621CBF">
      <w:pPr>
        <w:pStyle w:val="Normal1"/>
        <w:spacing w:line="240" w:lineRule="auto"/>
        <w:rPr>
          <w:color w:val="auto"/>
          <w:sz w:val="24"/>
          <w:szCs w:val="24"/>
        </w:rPr>
      </w:pPr>
      <w:r w:rsidRPr="00621CBF">
        <w:rPr>
          <w:color w:val="auto"/>
          <w:sz w:val="24"/>
          <w:szCs w:val="24"/>
        </w:rPr>
        <w:t xml:space="preserve">Ellard S, Baple E, Callaway A, Berry I, </w:t>
      </w:r>
      <w:r w:rsidRPr="00621CBF">
        <w:rPr>
          <w:i/>
          <w:color w:val="auto"/>
          <w:sz w:val="24"/>
          <w:szCs w:val="24"/>
        </w:rPr>
        <w:t>et al.</w:t>
      </w:r>
      <w:r w:rsidRPr="00621CBF">
        <w:rPr>
          <w:color w:val="auto"/>
          <w:sz w:val="24"/>
          <w:szCs w:val="24"/>
        </w:rPr>
        <w:t xml:space="preserve"> ACGS Best Practice Guidelines for Variant Classification in Rare Disease (2020). Association for Clinical Genomic Science. </w:t>
      </w:r>
      <w:r w:rsidR="003E19B8">
        <w:fldChar w:fldCharType="begin"/>
      </w:r>
      <w:r w:rsidR="003E19B8">
        <w:instrText xml:space="preserve"> HYPERLINK "https://www.acgs.uk.com/quality/best-practice-guidelines/" </w:instrText>
      </w:r>
      <w:r w:rsidR="003E19B8">
        <w:fldChar w:fldCharType="separate"/>
      </w:r>
      <w:r w:rsidRPr="00621CBF">
        <w:rPr>
          <w:rStyle w:val="Hyperlink"/>
          <w:color w:val="auto"/>
          <w:sz w:val="24"/>
          <w:szCs w:val="24"/>
          <w:u w:val="none"/>
        </w:rPr>
        <w:t>https://www.acgs.uk.com/quality/best-practice-guidelines/</w:t>
      </w:r>
      <w:r w:rsidR="003E19B8">
        <w:rPr>
          <w:rStyle w:val="Hyperlink"/>
          <w:color w:val="auto"/>
          <w:sz w:val="24"/>
          <w:szCs w:val="24"/>
          <w:u w:val="none"/>
        </w:rPr>
        <w:fldChar w:fldCharType="end"/>
      </w:r>
      <w:r w:rsidRPr="00621CBF">
        <w:rPr>
          <w:color w:val="auto"/>
          <w:sz w:val="24"/>
          <w:szCs w:val="24"/>
        </w:rPr>
        <w:t>. Accessed 01/05/2020</w:t>
      </w:r>
    </w:p>
    <w:p w14:paraId="34A91AF2" w14:textId="77777777" w:rsidR="00701E53" w:rsidRPr="00621CBF" w:rsidRDefault="00701E53" w:rsidP="00621CBF">
      <w:pPr>
        <w:ind w:left="142"/>
        <w:rPr>
          <w:rFonts w:ascii="Arial" w:hAnsi="Arial" w:cs="Arial"/>
          <w:shd w:val="clear" w:color="auto" w:fill="FFFFFF"/>
        </w:rPr>
      </w:pPr>
    </w:p>
    <w:p w14:paraId="024FBEAA" w14:textId="4E9CAAFE" w:rsidR="00701E53" w:rsidRPr="00621CBF" w:rsidRDefault="00701E53" w:rsidP="00621CBF">
      <w:pPr>
        <w:ind w:left="142"/>
        <w:rPr>
          <w:rFonts w:ascii="Arial" w:hAnsi="Arial" w:cs="Arial"/>
          <w:shd w:val="clear" w:color="auto" w:fill="FFFFFF"/>
        </w:rPr>
      </w:pPr>
      <w:r w:rsidRPr="00621CBF">
        <w:rPr>
          <w:rFonts w:ascii="Arial" w:hAnsi="Arial" w:cs="Arial"/>
          <w:shd w:val="clear" w:color="auto" w:fill="FFFFFF"/>
        </w:rPr>
        <w:t xml:space="preserve">Firth HV, Richards SM, Bevan AP, Clayton S. </w:t>
      </w:r>
      <w:r w:rsidRPr="00621CBF">
        <w:rPr>
          <w:rStyle w:val="Emphasis"/>
          <w:rFonts w:ascii="Arial" w:hAnsi="Arial" w:cs="Arial"/>
          <w:shd w:val="clear" w:color="auto" w:fill="FFFFFF"/>
        </w:rPr>
        <w:t>et al.</w:t>
      </w:r>
      <w:r w:rsidRPr="00621CBF">
        <w:rPr>
          <w:rFonts w:ascii="Arial" w:hAnsi="Arial" w:cs="Arial"/>
          <w:shd w:val="clear" w:color="auto" w:fill="FFFFFF"/>
        </w:rPr>
        <w:t xml:space="preserve">, (2009) </w:t>
      </w:r>
      <w:proofErr w:type="gramStart"/>
      <w:r w:rsidRPr="00621CBF">
        <w:rPr>
          <w:rFonts w:ascii="Arial" w:hAnsi="Arial" w:cs="Arial"/>
          <w:shd w:val="clear" w:color="auto" w:fill="FFFFFF"/>
        </w:rPr>
        <w:t>DECIPHER:</w:t>
      </w:r>
      <w:proofErr w:type="gramEnd"/>
      <w:r w:rsidRPr="00621CBF">
        <w:rPr>
          <w:rFonts w:ascii="Arial" w:hAnsi="Arial" w:cs="Arial"/>
          <w:shd w:val="clear" w:color="auto" w:fill="FFFFFF"/>
        </w:rPr>
        <w:t xml:space="preserve"> Database of Chromosomal Imbalance and Phenotype in Humans using </w:t>
      </w:r>
      <w:proofErr w:type="spellStart"/>
      <w:r w:rsidRPr="00621CBF">
        <w:rPr>
          <w:rFonts w:ascii="Arial" w:hAnsi="Arial" w:cs="Arial"/>
          <w:shd w:val="clear" w:color="auto" w:fill="FFFFFF"/>
        </w:rPr>
        <w:t>Ensembl</w:t>
      </w:r>
      <w:proofErr w:type="spellEnd"/>
      <w:r w:rsidRPr="00621CBF">
        <w:rPr>
          <w:rFonts w:ascii="Arial" w:hAnsi="Arial" w:cs="Arial"/>
          <w:shd w:val="clear" w:color="auto" w:fill="FFFFFF"/>
        </w:rPr>
        <w:t xml:space="preserve"> Resources. </w:t>
      </w:r>
      <w:proofErr w:type="spellStart"/>
      <w:r w:rsidRPr="00621CBF">
        <w:rPr>
          <w:rFonts w:ascii="Arial" w:hAnsi="Arial" w:cs="Arial"/>
          <w:i/>
          <w:shd w:val="clear" w:color="auto" w:fill="FFFFFF"/>
        </w:rPr>
        <w:t>Am.J.Hum.Genet</w:t>
      </w:r>
      <w:proofErr w:type="spellEnd"/>
      <w:r w:rsidRPr="00621CBF">
        <w:rPr>
          <w:rFonts w:ascii="Arial" w:hAnsi="Arial" w:cs="Arial"/>
          <w:shd w:val="clear" w:color="auto" w:fill="FFFFFF"/>
        </w:rPr>
        <w:t xml:space="preserve"> 84, 524-533</w:t>
      </w:r>
      <w:r w:rsidR="00C6194B" w:rsidRPr="00621CBF">
        <w:rPr>
          <w:rFonts w:ascii="Arial" w:hAnsi="Arial" w:cs="Arial"/>
          <w:shd w:val="clear" w:color="auto" w:fill="FFFFFF"/>
        </w:rPr>
        <w:t xml:space="preserve">. </w:t>
      </w:r>
      <w:proofErr w:type="spellStart"/>
      <w:proofErr w:type="gramStart"/>
      <w:r w:rsidR="00C6194B" w:rsidRPr="00621CBF">
        <w:rPr>
          <w:rFonts w:ascii="Arial" w:hAnsi="Arial" w:cs="Arial"/>
          <w:shd w:val="clear" w:color="auto" w:fill="FFFFFF"/>
        </w:rPr>
        <w:t>doi</w:t>
      </w:r>
      <w:proofErr w:type="spellEnd"/>
      <w:proofErr w:type="gramEnd"/>
      <w:r w:rsidR="00C6194B" w:rsidRPr="00621CBF">
        <w:rPr>
          <w:rFonts w:ascii="Arial" w:hAnsi="Arial" w:cs="Arial"/>
          <w:shd w:val="clear" w:color="auto" w:fill="FFFFFF"/>
        </w:rPr>
        <w:t>: 10.1016/j.ajhg.2009.03.010</w:t>
      </w:r>
    </w:p>
    <w:p w14:paraId="57D71029" w14:textId="77777777" w:rsidR="00C6194B" w:rsidRPr="00621CBF" w:rsidRDefault="00C6194B" w:rsidP="00621CBF">
      <w:pPr>
        <w:ind w:left="142"/>
        <w:rPr>
          <w:rStyle w:val="Hyperlink"/>
          <w:rFonts w:ascii="Arial" w:hAnsi="Arial" w:cs="Arial"/>
          <w:color w:val="auto"/>
          <w:u w:val="none"/>
          <w:lang w:val="en-US"/>
        </w:rPr>
      </w:pPr>
    </w:p>
    <w:p w14:paraId="031E9818" w14:textId="327AC389" w:rsidR="00701E53" w:rsidRPr="00621CBF" w:rsidRDefault="00701E53" w:rsidP="00621CBF">
      <w:pPr>
        <w:shd w:val="clear" w:color="auto" w:fill="FFFFFF"/>
        <w:ind w:left="142"/>
        <w:textAlignment w:val="top"/>
        <w:rPr>
          <w:rFonts w:ascii="Arial" w:hAnsi="Arial" w:cs="Arial"/>
        </w:rPr>
      </w:pPr>
      <w:r w:rsidRPr="00621CBF">
        <w:rPr>
          <w:rFonts w:ascii="Arial" w:hAnsi="Arial" w:cs="Arial"/>
        </w:rPr>
        <w:t xml:space="preserve">Fitzgerald TW, </w:t>
      </w:r>
      <w:proofErr w:type="spellStart"/>
      <w:r w:rsidRPr="00621CBF">
        <w:rPr>
          <w:rFonts w:ascii="Arial" w:hAnsi="Arial" w:cs="Arial"/>
        </w:rPr>
        <w:t>Gerety</w:t>
      </w:r>
      <w:proofErr w:type="spellEnd"/>
      <w:r w:rsidRPr="00621CBF">
        <w:rPr>
          <w:rFonts w:ascii="Arial" w:hAnsi="Arial" w:cs="Arial"/>
        </w:rPr>
        <w:t xml:space="preserve"> SS, Jones WD, van </w:t>
      </w:r>
      <w:proofErr w:type="spellStart"/>
      <w:r w:rsidRPr="00621CBF">
        <w:rPr>
          <w:rFonts w:ascii="Arial" w:hAnsi="Arial" w:cs="Arial"/>
        </w:rPr>
        <w:t>Kogelenberg</w:t>
      </w:r>
      <w:proofErr w:type="spellEnd"/>
      <w:r w:rsidRPr="00621CBF">
        <w:rPr>
          <w:rFonts w:ascii="Arial" w:hAnsi="Arial" w:cs="Arial"/>
        </w:rPr>
        <w:t xml:space="preserve"> M, </w:t>
      </w:r>
      <w:r w:rsidRPr="00621CBF">
        <w:rPr>
          <w:rFonts w:ascii="Arial" w:hAnsi="Arial" w:cs="Arial"/>
          <w:i/>
        </w:rPr>
        <w:t>et al</w:t>
      </w:r>
      <w:r w:rsidRPr="00621CBF">
        <w:rPr>
          <w:rFonts w:ascii="Arial" w:hAnsi="Arial" w:cs="Arial"/>
        </w:rPr>
        <w:t xml:space="preserve">. (2015). </w:t>
      </w:r>
      <w:r w:rsidRPr="00621CBF">
        <w:rPr>
          <w:rFonts w:ascii="Arial" w:hAnsi="Arial" w:cs="Arial"/>
          <w:bCs/>
        </w:rPr>
        <w:t>Large-scale discovery of novel genetic causes of developmental disorders.</w:t>
      </w:r>
      <w:r w:rsidRPr="00621CBF">
        <w:rPr>
          <w:rFonts w:ascii="Arial" w:hAnsi="Arial" w:cs="Arial"/>
        </w:rPr>
        <w:t xml:space="preserve"> </w:t>
      </w:r>
      <w:r w:rsidRPr="00621CBF">
        <w:rPr>
          <w:rFonts w:ascii="Arial" w:hAnsi="Arial" w:cs="Arial"/>
          <w:i/>
        </w:rPr>
        <w:t>Nature</w:t>
      </w:r>
      <w:r w:rsidRPr="00621CBF">
        <w:rPr>
          <w:rFonts w:ascii="Arial" w:hAnsi="Arial" w:cs="Arial"/>
        </w:rPr>
        <w:t xml:space="preserve">. </w:t>
      </w:r>
      <w:proofErr w:type="gramStart"/>
      <w:r w:rsidRPr="00621CBF">
        <w:rPr>
          <w:rFonts w:ascii="Arial" w:hAnsi="Arial" w:cs="Arial"/>
        </w:rPr>
        <w:t>519</w:t>
      </w:r>
      <w:proofErr w:type="gramEnd"/>
      <w:r w:rsidRPr="00621CBF">
        <w:rPr>
          <w:rFonts w:ascii="Arial" w:hAnsi="Arial" w:cs="Arial"/>
        </w:rPr>
        <w:t>: 223–228.</w:t>
      </w:r>
      <w:r w:rsidR="00C6194B" w:rsidRPr="00621CBF">
        <w:rPr>
          <w:rFonts w:ascii="Arial" w:hAnsi="Arial" w:cs="Arial"/>
        </w:rPr>
        <w:t xml:space="preserve"> </w:t>
      </w:r>
      <w:proofErr w:type="spellStart"/>
      <w:proofErr w:type="gramStart"/>
      <w:r w:rsidR="00C6194B" w:rsidRPr="00621CBF">
        <w:rPr>
          <w:rFonts w:ascii="Arial" w:hAnsi="Arial" w:cs="Arial"/>
          <w:shd w:val="clear" w:color="auto" w:fill="FFFFFF"/>
        </w:rPr>
        <w:t>doi</w:t>
      </w:r>
      <w:proofErr w:type="spellEnd"/>
      <w:proofErr w:type="gramEnd"/>
      <w:r w:rsidR="00C6194B" w:rsidRPr="00621CBF">
        <w:rPr>
          <w:rFonts w:ascii="Arial" w:hAnsi="Arial" w:cs="Arial"/>
          <w:shd w:val="clear" w:color="auto" w:fill="FFFFFF"/>
        </w:rPr>
        <w:t>: 10.1038/nature14135.</w:t>
      </w:r>
    </w:p>
    <w:p w14:paraId="4D33B469" w14:textId="77777777" w:rsidR="00701E53" w:rsidRPr="00621CBF" w:rsidRDefault="00701E53" w:rsidP="00621CBF">
      <w:pPr>
        <w:pStyle w:val="publication"/>
        <w:spacing w:before="0" w:beforeAutospacing="0" w:after="0" w:afterAutospacing="0"/>
        <w:ind w:left="142" w:right="300"/>
        <w:textAlignment w:val="baseline"/>
        <w:rPr>
          <w:rFonts w:ascii="Arial" w:hAnsi="Arial" w:cs="Arial"/>
        </w:rPr>
      </w:pPr>
    </w:p>
    <w:p w14:paraId="7310E503" w14:textId="15BA37DC" w:rsidR="00701E53" w:rsidRPr="00621CBF" w:rsidRDefault="00701E53" w:rsidP="00621CBF">
      <w:pPr>
        <w:ind w:left="142"/>
        <w:rPr>
          <w:rFonts w:ascii="Arial" w:hAnsi="Arial" w:cs="Arial"/>
          <w:shd w:val="clear" w:color="auto" w:fill="FFFFFF"/>
        </w:rPr>
      </w:pPr>
      <w:proofErr w:type="spellStart"/>
      <w:r w:rsidRPr="00621CBF">
        <w:rPr>
          <w:rFonts w:ascii="Arial" w:hAnsi="Arial" w:cs="Arial"/>
          <w:shd w:val="clear" w:color="auto" w:fill="FFFFFF"/>
        </w:rPr>
        <w:t>Hedrich</w:t>
      </w:r>
      <w:proofErr w:type="spellEnd"/>
      <w:r w:rsidRPr="00621CBF">
        <w:rPr>
          <w:rFonts w:ascii="Arial" w:hAnsi="Arial" w:cs="Arial"/>
          <w:shd w:val="clear" w:color="auto" w:fill="FFFFFF"/>
        </w:rPr>
        <w:t xml:space="preserve"> UBS, </w:t>
      </w:r>
      <w:proofErr w:type="spellStart"/>
      <w:r w:rsidRPr="00621CBF">
        <w:rPr>
          <w:rFonts w:ascii="Arial" w:hAnsi="Arial" w:cs="Arial"/>
          <w:shd w:val="clear" w:color="auto" w:fill="FFFFFF"/>
        </w:rPr>
        <w:t>Lauxmann</w:t>
      </w:r>
      <w:proofErr w:type="spellEnd"/>
      <w:r w:rsidRPr="00621CBF">
        <w:rPr>
          <w:rFonts w:ascii="Arial" w:hAnsi="Arial" w:cs="Arial"/>
          <w:shd w:val="clear" w:color="auto" w:fill="FFFFFF"/>
        </w:rPr>
        <w:t xml:space="preserve"> S, Lerche H. </w:t>
      </w:r>
      <w:r w:rsidRPr="00621CBF">
        <w:rPr>
          <w:rFonts w:ascii="Arial" w:hAnsi="Arial" w:cs="Arial"/>
          <w:i/>
          <w:shd w:val="clear" w:color="auto" w:fill="FFFFFF"/>
        </w:rPr>
        <w:t>SCN2A</w:t>
      </w:r>
      <w:r w:rsidRPr="00621CBF">
        <w:rPr>
          <w:rFonts w:ascii="Arial" w:hAnsi="Arial" w:cs="Arial"/>
          <w:shd w:val="clear" w:color="auto" w:fill="FFFFFF"/>
        </w:rPr>
        <w:t xml:space="preserve"> </w:t>
      </w:r>
      <w:proofErr w:type="spellStart"/>
      <w:r w:rsidRPr="00621CBF">
        <w:rPr>
          <w:rFonts w:ascii="Arial" w:hAnsi="Arial" w:cs="Arial"/>
          <w:shd w:val="clear" w:color="auto" w:fill="FFFFFF"/>
        </w:rPr>
        <w:t>channelopathies</w:t>
      </w:r>
      <w:proofErr w:type="spellEnd"/>
      <w:r w:rsidRPr="00621CBF">
        <w:rPr>
          <w:rFonts w:ascii="Arial" w:hAnsi="Arial" w:cs="Arial"/>
          <w:shd w:val="clear" w:color="auto" w:fill="FFFFFF"/>
        </w:rPr>
        <w:t xml:space="preserve">: Mechanisms and models. (2019) </w:t>
      </w:r>
      <w:proofErr w:type="spellStart"/>
      <w:r w:rsidRPr="00621CBF">
        <w:rPr>
          <w:rFonts w:ascii="Arial" w:hAnsi="Arial" w:cs="Arial"/>
          <w:i/>
          <w:shd w:val="clear" w:color="auto" w:fill="FFFFFF"/>
        </w:rPr>
        <w:t>Epilepsia</w:t>
      </w:r>
      <w:proofErr w:type="spellEnd"/>
      <w:r w:rsidRPr="00621CBF">
        <w:rPr>
          <w:rFonts w:ascii="Arial" w:hAnsi="Arial" w:cs="Arial"/>
          <w:shd w:val="clear" w:color="auto" w:fill="FFFFFF"/>
        </w:rPr>
        <w:t xml:space="preserve">. </w:t>
      </w:r>
      <w:proofErr w:type="gramStart"/>
      <w:r w:rsidRPr="00621CBF">
        <w:rPr>
          <w:rFonts w:ascii="Arial" w:hAnsi="Arial" w:cs="Arial"/>
          <w:shd w:val="clear" w:color="auto" w:fill="FFFFFF"/>
        </w:rPr>
        <w:t>60</w:t>
      </w:r>
      <w:proofErr w:type="gramEnd"/>
      <w:r w:rsidRPr="00621CBF">
        <w:rPr>
          <w:rFonts w:ascii="Arial" w:hAnsi="Arial" w:cs="Arial"/>
          <w:shd w:val="clear" w:color="auto" w:fill="FFFFFF"/>
        </w:rPr>
        <w:t xml:space="preserve"> </w:t>
      </w:r>
      <w:proofErr w:type="spellStart"/>
      <w:r w:rsidRPr="00621CBF">
        <w:rPr>
          <w:rFonts w:ascii="Arial" w:hAnsi="Arial" w:cs="Arial"/>
          <w:shd w:val="clear" w:color="auto" w:fill="FFFFFF"/>
        </w:rPr>
        <w:t>Suppl</w:t>
      </w:r>
      <w:proofErr w:type="spellEnd"/>
      <w:r w:rsidRPr="00621CBF">
        <w:rPr>
          <w:rFonts w:ascii="Arial" w:hAnsi="Arial" w:cs="Arial"/>
          <w:shd w:val="clear" w:color="auto" w:fill="FFFFFF"/>
        </w:rPr>
        <w:t xml:space="preserve"> 3:S68-S76. </w:t>
      </w:r>
      <w:proofErr w:type="spellStart"/>
      <w:proofErr w:type="gramStart"/>
      <w:r w:rsidR="00C6194B" w:rsidRPr="00621CBF">
        <w:rPr>
          <w:rFonts w:ascii="Arial" w:hAnsi="Arial" w:cs="Arial"/>
          <w:shd w:val="clear" w:color="auto" w:fill="FFFFFF"/>
        </w:rPr>
        <w:t>doi</w:t>
      </w:r>
      <w:proofErr w:type="spellEnd"/>
      <w:proofErr w:type="gramEnd"/>
      <w:r w:rsidR="00C6194B" w:rsidRPr="00621CBF">
        <w:rPr>
          <w:rFonts w:ascii="Arial" w:hAnsi="Arial" w:cs="Arial"/>
          <w:shd w:val="clear" w:color="auto" w:fill="FFFFFF"/>
        </w:rPr>
        <w:t>: 10.1111/epi.14731. </w:t>
      </w:r>
    </w:p>
    <w:p w14:paraId="7800F65A" w14:textId="3DD0B8F0" w:rsidR="00E52213" w:rsidRPr="00621CBF" w:rsidRDefault="00E52213" w:rsidP="00621CBF">
      <w:pPr>
        <w:ind w:left="142"/>
        <w:rPr>
          <w:rFonts w:ascii="Arial" w:hAnsi="Arial" w:cs="Arial"/>
          <w:shd w:val="clear" w:color="auto" w:fill="FFFFFF"/>
        </w:rPr>
      </w:pPr>
    </w:p>
    <w:p w14:paraId="221B33A4" w14:textId="2D67890F" w:rsidR="00E52213" w:rsidRPr="00621CBF" w:rsidRDefault="00E52213" w:rsidP="00621CBF">
      <w:pPr>
        <w:pStyle w:val="Heading1"/>
        <w:spacing w:before="0" w:after="0" w:line="240" w:lineRule="auto"/>
        <w:ind w:left="142"/>
        <w:rPr>
          <w:color w:val="auto"/>
          <w:sz w:val="24"/>
          <w:szCs w:val="24"/>
        </w:rPr>
      </w:pPr>
      <w:r w:rsidRPr="00621CBF">
        <w:rPr>
          <w:color w:val="auto"/>
          <w:sz w:val="24"/>
          <w:szCs w:val="24"/>
          <w:shd w:val="clear" w:color="auto" w:fill="FFFFFF"/>
        </w:rPr>
        <w:t xml:space="preserve">Heyne HO, Baez-Nieto D, Iqbal S, Palmer DS, </w:t>
      </w:r>
      <w:r w:rsidRPr="00621CBF">
        <w:rPr>
          <w:i/>
          <w:color w:val="auto"/>
          <w:sz w:val="24"/>
          <w:szCs w:val="24"/>
          <w:shd w:val="clear" w:color="auto" w:fill="FFFFFF"/>
        </w:rPr>
        <w:t>et al</w:t>
      </w:r>
      <w:r w:rsidRPr="00621CBF">
        <w:rPr>
          <w:color w:val="auto"/>
          <w:sz w:val="24"/>
          <w:szCs w:val="24"/>
          <w:shd w:val="clear" w:color="auto" w:fill="FFFFFF"/>
        </w:rPr>
        <w:t xml:space="preserve"> (2020) Predicting functional effects of missense variants in voltage-gated sodium and calcium channels. </w:t>
      </w:r>
      <w:r w:rsidRPr="00621CBF">
        <w:rPr>
          <w:i/>
          <w:color w:val="auto"/>
          <w:sz w:val="24"/>
          <w:szCs w:val="24"/>
          <w:shd w:val="clear" w:color="auto" w:fill="FFFFFF"/>
        </w:rPr>
        <w:t>Sci Transl Med</w:t>
      </w:r>
      <w:r w:rsidRPr="00621CBF">
        <w:rPr>
          <w:color w:val="auto"/>
          <w:sz w:val="24"/>
          <w:szCs w:val="24"/>
          <w:shd w:val="clear" w:color="auto" w:fill="FFFFFF"/>
        </w:rPr>
        <w:t xml:space="preserve">. 12(556):eaay6848. </w:t>
      </w:r>
      <w:r w:rsidR="00C6194B" w:rsidRPr="00621CBF">
        <w:rPr>
          <w:color w:val="auto"/>
          <w:sz w:val="24"/>
          <w:szCs w:val="24"/>
          <w:shd w:val="clear" w:color="auto" w:fill="FFFFFF"/>
        </w:rPr>
        <w:t>doi: 10.1126/scitranslmed.aay6848. </w:t>
      </w:r>
    </w:p>
    <w:p w14:paraId="0B539F84" w14:textId="77777777" w:rsidR="00E52213" w:rsidRPr="00621CBF" w:rsidRDefault="00E52213" w:rsidP="00621CBF">
      <w:pPr>
        <w:rPr>
          <w:rFonts w:ascii="Arial" w:hAnsi="Arial" w:cs="Arial"/>
          <w:shd w:val="clear" w:color="auto" w:fill="FFFFFF"/>
        </w:rPr>
      </w:pPr>
    </w:p>
    <w:p w14:paraId="1649D07F" w14:textId="0875E05E" w:rsidR="00E52213" w:rsidRPr="00621CBF" w:rsidRDefault="00E52213" w:rsidP="00621CBF">
      <w:pPr>
        <w:autoSpaceDE w:val="0"/>
        <w:autoSpaceDN w:val="0"/>
        <w:adjustRightInd w:val="0"/>
        <w:ind w:left="142"/>
        <w:rPr>
          <w:rFonts w:ascii="Arial" w:hAnsi="Arial" w:cs="Arial"/>
          <w:shd w:val="clear" w:color="auto" w:fill="FFFFFF"/>
        </w:rPr>
      </w:pPr>
      <w:r w:rsidRPr="00621CBF">
        <w:rPr>
          <w:rFonts w:ascii="Arial" w:hAnsi="Arial" w:cs="Arial"/>
          <w:shd w:val="clear" w:color="auto" w:fill="FFFFFF"/>
        </w:rPr>
        <w:t xml:space="preserve">Howell, K.B., McMahon, J.M., </w:t>
      </w:r>
      <w:proofErr w:type="spellStart"/>
      <w:r w:rsidRPr="00621CBF">
        <w:rPr>
          <w:rFonts w:ascii="Arial" w:hAnsi="Arial" w:cs="Arial"/>
          <w:shd w:val="clear" w:color="auto" w:fill="FFFFFF"/>
        </w:rPr>
        <w:t>Carvill</w:t>
      </w:r>
      <w:proofErr w:type="spellEnd"/>
      <w:r w:rsidRPr="00621CBF">
        <w:rPr>
          <w:rFonts w:ascii="Arial" w:hAnsi="Arial" w:cs="Arial"/>
          <w:shd w:val="clear" w:color="auto" w:fill="FFFFFF"/>
        </w:rPr>
        <w:t xml:space="preserve">, G.L., </w:t>
      </w:r>
      <w:proofErr w:type="spellStart"/>
      <w:proofErr w:type="gramStart"/>
      <w:r w:rsidRPr="00621CBF">
        <w:rPr>
          <w:rFonts w:ascii="Arial" w:hAnsi="Arial" w:cs="Arial"/>
          <w:shd w:val="clear" w:color="auto" w:fill="FFFFFF"/>
        </w:rPr>
        <w:t>Tambunan</w:t>
      </w:r>
      <w:proofErr w:type="spellEnd"/>
      <w:proofErr w:type="gramEnd"/>
      <w:r w:rsidRPr="00621CBF">
        <w:rPr>
          <w:rFonts w:ascii="Arial" w:hAnsi="Arial" w:cs="Arial"/>
          <w:shd w:val="clear" w:color="auto" w:fill="FFFFFF"/>
        </w:rPr>
        <w:t xml:space="preserve">, D. </w:t>
      </w:r>
      <w:r w:rsidRPr="00621CBF">
        <w:rPr>
          <w:rFonts w:ascii="Arial" w:hAnsi="Arial" w:cs="Arial"/>
          <w:i/>
          <w:shd w:val="clear" w:color="auto" w:fill="FFFFFF"/>
        </w:rPr>
        <w:t>et al</w:t>
      </w:r>
      <w:r w:rsidRPr="00621CBF">
        <w:rPr>
          <w:rFonts w:ascii="Arial" w:hAnsi="Arial" w:cs="Arial"/>
          <w:shd w:val="clear" w:color="auto" w:fill="FFFFFF"/>
        </w:rPr>
        <w:t xml:space="preserve">. (2015) SCN2A encephalopathy: A major cause of epilepsy of infancy with migrating focal seizures. </w:t>
      </w:r>
      <w:r w:rsidRPr="00621CBF">
        <w:rPr>
          <w:rFonts w:ascii="Arial" w:hAnsi="Arial" w:cs="Arial"/>
          <w:i/>
          <w:shd w:val="clear" w:color="auto" w:fill="FFFFFF"/>
        </w:rPr>
        <w:t>Neurology</w:t>
      </w:r>
      <w:r w:rsidRPr="00621CBF">
        <w:rPr>
          <w:rFonts w:ascii="Arial" w:hAnsi="Arial" w:cs="Arial"/>
          <w:shd w:val="clear" w:color="auto" w:fill="FFFFFF"/>
        </w:rPr>
        <w:t xml:space="preserve">. </w:t>
      </w:r>
      <w:proofErr w:type="gramStart"/>
      <w:r w:rsidRPr="00621CBF">
        <w:rPr>
          <w:rFonts w:ascii="Arial" w:hAnsi="Arial" w:cs="Arial"/>
          <w:shd w:val="clear" w:color="auto" w:fill="FFFFFF"/>
        </w:rPr>
        <w:t>85</w:t>
      </w:r>
      <w:proofErr w:type="gramEnd"/>
      <w:r w:rsidRPr="00621CBF">
        <w:rPr>
          <w:rFonts w:ascii="Arial" w:hAnsi="Arial" w:cs="Arial"/>
          <w:shd w:val="clear" w:color="auto" w:fill="FFFFFF"/>
        </w:rPr>
        <w:t xml:space="preserve">:958-966. </w:t>
      </w:r>
      <w:proofErr w:type="spellStart"/>
      <w:r w:rsidR="00C6194B" w:rsidRPr="00621CBF">
        <w:rPr>
          <w:rFonts w:ascii="Arial" w:hAnsi="Arial" w:cs="Arial"/>
          <w:shd w:val="clear" w:color="auto" w:fill="FFFFFF"/>
        </w:rPr>
        <w:t>doi</w:t>
      </w:r>
      <w:proofErr w:type="spellEnd"/>
      <w:r w:rsidR="00C6194B" w:rsidRPr="00621CBF">
        <w:rPr>
          <w:rFonts w:ascii="Arial" w:hAnsi="Arial" w:cs="Arial"/>
          <w:shd w:val="clear" w:color="auto" w:fill="FFFFFF"/>
        </w:rPr>
        <w:t>: 10.1212/WNL.0000000000001926.</w:t>
      </w:r>
    </w:p>
    <w:p w14:paraId="59A1265E" w14:textId="3B768A2F" w:rsidR="00E52213" w:rsidRPr="00621CBF" w:rsidRDefault="00E52213" w:rsidP="00621CBF">
      <w:pPr>
        <w:ind w:left="142"/>
        <w:rPr>
          <w:rFonts w:ascii="Arial" w:hAnsi="Arial" w:cs="Arial"/>
          <w:shd w:val="clear" w:color="auto" w:fill="FFFFFF"/>
        </w:rPr>
      </w:pPr>
    </w:p>
    <w:p w14:paraId="4D9FFA06" w14:textId="14D5EE62" w:rsidR="00621CBF" w:rsidRPr="00621CBF" w:rsidRDefault="00621CBF" w:rsidP="00621CBF">
      <w:pPr>
        <w:ind w:left="142"/>
        <w:rPr>
          <w:rFonts w:ascii="Arial" w:hAnsi="Arial" w:cs="Arial"/>
          <w:shd w:val="clear" w:color="auto" w:fill="FFFFFF"/>
        </w:rPr>
      </w:pPr>
      <w:proofErr w:type="spellStart"/>
      <w:r w:rsidRPr="00621CBF">
        <w:rPr>
          <w:rFonts w:ascii="Arial" w:hAnsi="Arial" w:cs="Arial"/>
          <w:shd w:val="clear" w:color="auto" w:fill="FFFFFF"/>
        </w:rPr>
        <w:t>Köhler</w:t>
      </w:r>
      <w:proofErr w:type="spellEnd"/>
      <w:r w:rsidRPr="00621CBF">
        <w:rPr>
          <w:rFonts w:ascii="Arial" w:hAnsi="Arial" w:cs="Arial"/>
          <w:shd w:val="clear" w:color="auto" w:fill="FFFFFF"/>
        </w:rPr>
        <w:t xml:space="preserve"> S, Gargano M, </w:t>
      </w:r>
      <w:proofErr w:type="spellStart"/>
      <w:r w:rsidRPr="00621CBF">
        <w:rPr>
          <w:rFonts w:ascii="Arial" w:hAnsi="Arial" w:cs="Arial"/>
          <w:shd w:val="clear" w:color="auto" w:fill="FFFFFF"/>
        </w:rPr>
        <w:t>Matentzoglu</w:t>
      </w:r>
      <w:proofErr w:type="spellEnd"/>
      <w:r w:rsidRPr="00621CBF">
        <w:rPr>
          <w:rFonts w:ascii="Arial" w:hAnsi="Arial" w:cs="Arial"/>
          <w:shd w:val="clear" w:color="auto" w:fill="FFFFFF"/>
        </w:rPr>
        <w:t xml:space="preserve"> N, </w:t>
      </w:r>
      <w:proofErr w:type="spellStart"/>
      <w:r w:rsidRPr="00621CBF">
        <w:rPr>
          <w:rFonts w:ascii="Arial" w:hAnsi="Arial" w:cs="Arial"/>
          <w:shd w:val="clear" w:color="auto" w:fill="FFFFFF"/>
        </w:rPr>
        <w:t>Carmody</w:t>
      </w:r>
      <w:proofErr w:type="spellEnd"/>
      <w:r w:rsidRPr="00621CBF">
        <w:rPr>
          <w:rFonts w:ascii="Arial" w:hAnsi="Arial" w:cs="Arial"/>
          <w:shd w:val="clear" w:color="auto" w:fill="FFFFFF"/>
        </w:rPr>
        <w:t xml:space="preserve"> LC, </w:t>
      </w:r>
      <w:r w:rsidRPr="00621CBF">
        <w:rPr>
          <w:rFonts w:ascii="Arial" w:hAnsi="Arial" w:cs="Arial"/>
          <w:i/>
          <w:shd w:val="clear" w:color="auto" w:fill="FFFFFF"/>
        </w:rPr>
        <w:t>et al</w:t>
      </w:r>
      <w:r w:rsidRPr="00621CBF">
        <w:rPr>
          <w:rFonts w:ascii="Arial" w:hAnsi="Arial" w:cs="Arial"/>
          <w:shd w:val="clear" w:color="auto" w:fill="FFFFFF"/>
        </w:rPr>
        <w:t xml:space="preserve">. (2021) </w:t>
      </w:r>
      <w:proofErr w:type="gramStart"/>
      <w:r w:rsidRPr="00621CBF">
        <w:rPr>
          <w:rFonts w:ascii="Arial" w:hAnsi="Arial" w:cs="Arial"/>
          <w:shd w:val="clear" w:color="auto" w:fill="FFFFFF"/>
        </w:rPr>
        <w:t>The</w:t>
      </w:r>
      <w:proofErr w:type="gramEnd"/>
      <w:r w:rsidRPr="00621CBF">
        <w:rPr>
          <w:rFonts w:ascii="Arial" w:hAnsi="Arial" w:cs="Arial"/>
          <w:shd w:val="clear" w:color="auto" w:fill="FFFFFF"/>
        </w:rPr>
        <w:t xml:space="preserve"> Human Phenotype Ontology in 2021. Nucleic Acids Res. 49(D1):D1207-D1217. </w:t>
      </w:r>
      <w:proofErr w:type="spellStart"/>
      <w:proofErr w:type="gramStart"/>
      <w:r w:rsidRPr="00621CBF">
        <w:rPr>
          <w:rFonts w:ascii="Arial" w:hAnsi="Arial" w:cs="Arial"/>
          <w:shd w:val="clear" w:color="auto" w:fill="FFFFFF"/>
        </w:rPr>
        <w:t>doi</w:t>
      </w:r>
      <w:proofErr w:type="spellEnd"/>
      <w:proofErr w:type="gramEnd"/>
      <w:r w:rsidRPr="00621CBF">
        <w:rPr>
          <w:rFonts w:ascii="Arial" w:hAnsi="Arial" w:cs="Arial"/>
          <w:shd w:val="clear" w:color="auto" w:fill="FFFFFF"/>
        </w:rPr>
        <w:t>: 10.1093/</w:t>
      </w:r>
      <w:proofErr w:type="spellStart"/>
      <w:r w:rsidRPr="00621CBF">
        <w:rPr>
          <w:rFonts w:ascii="Arial" w:hAnsi="Arial" w:cs="Arial"/>
          <w:shd w:val="clear" w:color="auto" w:fill="FFFFFF"/>
        </w:rPr>
        <w:t>nar</w:t>
      </w:r>
      <w:proofErr w:type="spellEnd"/>
      <w:r w:rsidRPr="00621CBF">
        <w:rPr>
          <w:rFonts w:ascii="Arial" w:hAnsi="Arial" w:cs="Arial"/>
          <w:shd w:val="clear" w:color="auto" w:fill="FFFFFF"/>
        </w:rPr>
        <w:t xml:space="preserve">/gkaa1043. </w:t>
      </w:r>
    </w:p>
    <w:p w14:paraId="10DB9769" w14:textId="77777777" w:rsidR="00621CBF" w:rsidRPr="00621CBF" w:rsidRDefault="00621CBF" w:rsidP="00621CBF">
      <w:pPr>
        <w:ind w:left="142"/>
        <w:rPr>
          <w:rFonts w:ascii="Arial" w:hAnsi="Arial" w:cs="Arial"/>
          <w:shd w:val="clear" w:color="auto" w:fill="FFFFFF"/>
        </w:rPr>
      </w:pPr>
    </w:p>
    <w:p w14:paraId="35F19443" w14:textId="60669BFB" w:rsidR="00701E53" w:rsidRPr="00621CBF" w:rsidRDefault="00701E53" w:rsidP="00621CBF">
      <w:pPr>
        <w:autoSpaceDE w:val="0"/>
        <w:autoSpaceDN w:val="0"/>
        <w:adjustRightInd w:val="0"/>
        <w:ind w:left="142"/>
        <w:rPr>
          <w:rFonts w:ascii="Arial" w:hAnsi="Arial" w:cs="Arial"/>
        </w:rPr>
      </w:pPr>
      <w:proofErr w:type="spellStart"/>
      <w:r w:rsidRPr="00621CBF">
        <w:rPr>
          <w:rFonts w:ascii="Arial" w:hAnsi="Arial" w:cs="Arial"/>
          <w:bCs/>
        </w:rPr>
        <w:t>Kamiya</w:t>
      </w:r>
      <w:proofErr w:type="spellEnd"/>
      <w:r w:rsidRPr="00621CBF">
        <w:rPr>
          <w:rFonts w:ascii="Arial" w:hAnsi="Arial" w:cs="Arial"/>
        </w:rPr>
        <w:t xml:space="preserve">. K,   </w:t>
      </w:r>
      <w:r w:rsidRPr="00621CBF">
        <w:rPr>
          <w:rFonts w:ascii="Arial" w:hAnsi="Arial" w:cs="Arial"/>
          <w:bCs/>
        </w:rPr>
        <w:t>Kaneda</w:t>
      </w:r>
      <w:r w:rsidRPr="00621CBF">
        <w:rPr>
          <w:rFonts w:ascii="Arial" w:hAnsi="Arial" w:cs="Arial"/>
        </w:rPr>
        <w:t xml:space="preserve"> M</w:t>
      </w:r>
      <w:proofErr w:type="gramStart"/>
      <w:r w:rsidRPr="00621CBF">
        <w:rPr>
          <w:rFonts w:ascii="Arial" w:hAnsi="Arial" w:cs="Arial"/>
        </w:rPr>
        <w:t xml:space="preserve">,  </w:t>
      </w:r>
      <w:r w:rsidRPr="00621CBF">
        <w:rPr>
          <w:rFonts w:ascii="Arial" w:hAnsi="Arial" w:cs="Arial"/>
          <w:bCs/>
        </w:rPr>
        <w:t>Sugawara</w:t>
      </w:r>
      <w:proofErr w:type="gramEnd"/>
      <w:r w:rsidRPr="00621CBF">
        <w:rPr>
          <w:rFonts w:ascii="Arial" w:hAnsi="Arial" w:cs="Arial"/>
        </w:rPr>
        <w:t xml:space="preserve"> T,  </w:t>
      </w:r>
      <w:proofErr w:type="spellStart"/>
      <w:r w:rsidRPr="00621CBF">
        <w:rPr>
          <w:rFonts w:ascii="Arial" w:hAnsi="Arial" w:cs="Arial"/>
          <w:bCs/>
        </w:rPr>
        <w:t>Mazaki</w:t>
      </w:r>
      <w:proofErr w:type="spellEnd"/>
      <w:r w:rsidRPr="00621CBF">
        <w:rPr>
          <w:rFonts w:ascii="Arial" w:hAnsi="Arial" w:cs="Arial"/>
        </w:rPr>
        <w:t xml:space="preserve"> E, </w:t>
      </w:r>
      <w:r w:rsidRPr="00621CBF">
        <w:rPr>
          <w:rFonts w:ascii="Arial" w:hAnsi="Arial" w:cs="Arial"/>
          <w:i/>
        </w:rPr>
        <w:t>et al</w:t>
      </w:r>
      <w:r w:rsidRPr="00621CBF">
        <w:rPr>
          <w:rFonts w:ascii="Arial" w:hAnsi="Arial" w:cs="Arial"/>
        </w:rPr>
        <w:t xml:space="preserve"> (2004). </w:t>
      </w:r>
      <w:r w:rsidRPr="00621CBF">
        <w:rPr>
          <w:rFonts w:ascii="Arial" w:hAnsi="Arial" w:cs="Arial"/>
          <w:bCs/>
        </w:rPr>
        <w:t xml:space="preserve">A Nonsense Mutation of the Sodium Channel Gene </w:t>
      </w:r>
      <w:r w:rsidRPr="00621CBF">
        <w:rPr>
          <w:rFonts w:ascii="Arial" w:hAnsi="Arial" w:cs="Arial"/>
          <w:bCs/>
          <w:iCs/>
        </w:rPr>
        <w:t xml:space="preserve">SCN2A </w:t>
      </w:r>
      <w:r w:rsidRPr="00621CBF">
        <w:rPr>
          <w:rFonts w:ascii="Arial" w:hAnsi="Arial" w:cs="Arial"/>
          <w:bCs/>
        </w:rPr>
        <w:t>in</w:t>
      </w:r>
      <w:r w:rsidRPr="00621CBF">
        <w:rPr>
          <w:rFonts w:ascii="Arial" w:hAnsi="Arial" w:cs="Arial"/>
        </w:rPr>
        <w:t xml:space="preserve"> </w:t>
      </w:r>
      <w:r w:rsidRPr="00621CBF">
        <w:rPr>
          <w:rFonts w:ascii="Arial" w:hAnsi="Arial" w:cs="Arial"/>
          <w:bCs/>
        </w:rPr>
        <w:t>a Patient with Intractable Epilepsy and Mental Decline</w:t>
      </w:r>
      <w:r w:rsidRPr="00621CBF">
        <w:rPr>
          <w:rFonts w:ascii="Arial" w:hAnsi="Arial" w:cs="Arial"/>
        </w:rPr>
        <w:t xml:space="preserve"> </w:t>
      </w:r>
      <w:proofErr w:type="gramStart"/>
      <w:r w:rsidRPr="00621CBF">
        <w:rPr>
          <w:rFonts w:ascii="Arial" w:hAnsi="Arial" w:cs="Arial"/>
          <w:i/>
        </w:rPr>
        <w:t>The</w:t>
      </w:r>
      <w:proofErr w:type="gramEnd"/>
      <w:r w:rsidRPr="00621CBF">
        <w:rPr>
          <w:rFonts w:ascii="Arial" w:hAnsi="Arial" w:cs="Arial"/>
          <w:i/>
        </w:rPr>
        <w:t xml:space="preserve"> Journal of Neuroscience</w:t>
      </w:r>
      <w:r w:rsidRPr="00621CBF">
        <w:rPr>
          <w:rFonts w:ascii="Arial" w:hAnsi="Arial" w:cs="Arial"/>
        </w:rPr>
        <w:t>. 24:2690 –2698</w:t>
      </w:r>
      <w:r w:rsidR="00C6194B" w:rsidRPr="00621CBF">
        <w:rPr>
          <w:rFonts w:ascii="Arial" w:hAnsi="Arial" w:cs="Arial"/>
        </w:rPr>
        <w:t xml:space="preserve">. </w:t>
      </w:r>
      <w:proofErr w:type="spellStart"/>
      <w:proofErr w:type="gramStart"/>
      <w:r w:rsidR="00C6194B" w:rsidRPr="00621CBF">
        <w:rPr>
          <w:rFonts w:ascii="Arial" w:hAnsi="Arial" w:cs="Arial"/>
          <w:shd w:val="clear" w:color="auto" w:fill="FFFFFF"/>
        </w:rPr>
        <w:t>doi</w:t>
      </w:r>
      <w:proofErr w:type="spellEnd"/>
      <w:proofErr w:type="gramEnd"/>
      <w:r w:rsidR="00C6194B" w:rsidRPr="00621CBF">
        <w:rPr>
          <w:rFonts w:ascii="Arial" w:hAnsi="Arial" w:cs="Arial"/>
          <w:shd w:val="clear" w:color="auto" w:fill="FFFFFF"/>
        </w:rPr>
        <w:t>: 10.1523/JNEUROSCI.3089-03.2004. </w:t>
      </w:r>
    </w:p>
    <w:p w14:paraId="0E92EF43" w14:textId="77777777" w:rsidR="00701E53" w:rsidRPr="00621CBF" w:rsidRDefault="00701E53" w:rsidP="00621CBF">
      <w:pPr>
        <w:autoSpaceDE w:val="0"/>
        <w:autoSpaceDN w:val="0"/>
        <w:adjustRightInd w:val="0"/>
        <w:ind w:left="142"/>
        <w:rPr>
          <w:rFonts w:ascii="Arial" w:hAnsi="Arial" w:cs="Arial"/>
          <w:shd w:val="clear" w:color="auto" w:fill="FFFFFF"/>
        </w:rPr>
      </w:pPr>
    </w:p>
    <w:p w14:paraId="470B2B28" w14:textId="3B360A19" w:rsidR="00701E53" w:rsidRPr="00621CBF" w:rsidRDefault="00701E53" w:rsidP="00621CBF">
      <w:pPr>
        <w:autoSpaceDE w:val="0"/>
        <w:autoSpaceDN w:val="0"/>
        <w:adjustRightInd w:val="0"/>
        <w:ind w:left="142"/>
        <w:rPr>
          <w:rFonts w:ascii="Arial" w:hAnsi="Arial" w:cs="Arial"/>
        </w:rPr>
      </w:pPr>
      <w:r w:rsidRPr="00621CBF">
        <w:rPr>
          <w:rFonts w:ascii="Arial" w:hAnsi="Arial" w:cs="Arial"/>
          <w:shd w:val="clear" w:color="auto" w:fill="FFFFFF"/>
        </w:rPr>
        <w:t xml:space="preserve">Kong Y, Yan K, Hu L, Wang M, </w:t>
      </w:r>
      <w:r w:rsidRPr="00621CBF">
        <w:rPr>
          <w:rFonts w:ascii="Arial" w:hAnsi="Arial" w:cs="Arial"/>
          <w:i/>
          <w:shd w:val="clear" w:color="auto" w:fill="FFFFFF"/>
        </w:rPr>
        <w:t>et al</w:t>
      </w:r>
      <w:r w:rsidRPr="00621CBF">
        <w:rPr>
          <w:rFonts w:ascii="Arial" w:hAnsi="Arial" w:cs="Arial"/>
          <w:shd w:val="clear" w:color="auto" w:fill="FFFFFF"/>
        </w:rPr>
        <w:t xml:space="preserve"> (2018). Data on mutations and Clinical features in </w:t>
      </w:r>
      <w:r w:rsidRPr="00621CBF">
        <w:rPr>
          <w:rFonts w:ascii="Arial" w:hAnsi="Arial" w:cs="Arial"/>
          <w:i/>
          <w:shd w:val="clear" w:color="auto" w:fill="FFFFFF"/>
        </w:rPr>
        <w:t>SCN1A</w:t>
      </w:r>
      <w:r w:rsidRPr="00621CBF">
        <w:rPr>
          <w:rFonts w:ascii="Arial" w:hAnsi="Arial" w:cs="Arial"/>
          <w:shd w:val="clear" w:color="auto" w:fill="FFFFFF"/>
        </w:rPr>
        <w:t xml:space="preserve"> or </w:t>
      </w:r>
      <w:r w:rsidRPr="00621CBF">
        <w:rPr>
          <w:rFonts w:ascii="Arial" w:hAnsi="Arial" w:cs="Arial"/>
          <w:i/>
          <w:shd w:val="clear" w:color="auto" w:fill="FFFFFF"/>
        </w:rPr>
        <w:t>SCN2A</w:t>
      </w:r>
      <w:r w:rsidRPr="00621CBF">
        <w:rPr>
          <w:rFonts w:ascii="Arial" w:hAnsi="Arial" w:cs="Arial"/>
          <w:shd w:val="clear" w:color="auto" w:fill="FFFFFF"/>
        </w:rPr>
        <w:t xml:space="preserve"> gene. </w:t>
      </w:r>
      <w:r w:rsidRPr="00621CBF">
        <w:rPr>
          <w:rFonts w:ascii="Arial" w:hAnsi="Arial" w:cs="Arial"/>
          <w:i/>
          <w:shd w:val="clear" w:color="auto" w:fill="FFFFFF"/>
        </w:rPr>
        <w:t>Data Brief</w:t>
      </w:r>
      <w:r w:rsidRPr="00621CBF">
        <w:rPr>
          <w:rFonts w:ascii="Arial" w:hAnsi="Arial" w:cs="Arial"/>
          <w:shd w:val="clear" w:color="auto" w:fill="FFFFFF"/>
        </w:rPr>
        <w:t>. 30</w:t>
      </w:r>
      <w:proofErr w:type="gramStart"/>
      <w:r w:rsidRPr="00621CBF">
        <w:rPr>
          <w:rFonts w:ascii="Arial" w:hAnsi="Arial" w:cs="Arial"/>
          <w:shd w:val="clear" w:color="auto" w:fill="FFFFFF"/>
        </w:rPr>
        <w:t>;22:492</w:t>
      </w:r>
      <w:proofErr w:type="gramEnd"/>
      <w:r w:rsidRPr="00621CBF">
        <w:rPr>
          <w:rFonts w:ascii="Arial" w:hAnsi="Arial" w:cs="Arial"/>
          <w:shd w:val="clear" w:color="auto" w:fill="FFFFFF"/>
        </w:rPr>
        <w:t>-501.</w:t>
      </w:r>
      <w:r w:rsidR="0078370F" w:rsidRPr="00621CBF">
        <w:rPr>
          <w:rFonts w:ascii="Arial" w:hAnsi="Arial" w:cs="Arial"/>
          <w:shd w:val="clear" w:color="auto" w:fill="FFFFFF"/>
        </w:rPr>
        <w:t>doi: 10.1016/j.dib.2018.08.122. </w:t>
      </w:r>
    </w:p>
    <w:p w14:paraId="3A2F638F" w14:textId="77777777" w:rsidR="00701E53" w:rsidRPr="00621CBF" w:rsidRDefault="00701E53" w:rsidP="00621CBF">
      <w:pPr>
        <w:autoSpaceDE w:val="0"/>
        <w:autoSpaceDN w:val="0"/>
        <w:adjustRightInd w:val="0"/>
        <w:ind w:left="142"/>
        <w:rPr>
          <w:rFonts w:ascii="Arial" w:hAnsi="Arial" w:cs="Arial"/>
        </w:rPr>
      </w:pPr>
    </w:p>
    <w:p w14:paraId="7392DBD4" w14:textId="0D1BAA6D" w:rsidR="00701E53" w:rsidRPr="00621CBF" w:rsidRDefault="00701E53" w:rsidP="00621CBF">
      <w:pPr>
        <w:autoSpaceDE w:val="0"/>
        <w:autoSpaceDN w:val="0"/>
        <w:adjustRightInd w:val="0"/>
        <w:ind w:left="142"/>
        <w:rPr>
          <w:rFonts w:ascii="Arial" w:hAnsi="Arial" w:cs="Arial"/>
        </w:rPr>
      </w:pPr>
      <w:proofErr w:type="spellStart"/>
      <w:r w:rsidRPr="00621CBF">
        <w:rPr>
          <w:rFonts w:ascii="Arial" w:hAnsi="Arial" w:cs="Arial"/>
        </w:rPr>
        <w:t>Kosmicki</w:t>
      </w:r>
      <w:proofErr w:type="spellEnd"/>
      <w:r w:rsidRPr="00621CBF">
        <w:rPr>
          <w:rFonts w:ascii="Arial" w:hAnsi="Arial" w:cs="Arial"/>
        </w:rPr>
        <w:t xml:space="preserve"> JA, </w:t>
      </w:r>
      <w:proofErr w:type="spellStart"/>
      <w:r w:rsidRPr="00621CBF">
        <w:rPr>
          <w:rFonts w:ascii="Arial" w:hAnsi="Arial" w:cs="Arial"/>
        </w:rPr>
        <w:t>Samocha</w:t>
      </w:r>
      <w:proofErr w:type="spellEnd"/>
      <w:r w:rsidRPr="00621CBF">
        <w:rPr>
          <w:rFonts w:ascii="Arial" w:hAnsi="Arial" w:cs="Arial"/>
        </w:rPr>
        <w:t xml:space="preserve"> KE, </w:t>
      </w:r>
      <w:proofErr w:type="spellStart"/>
      <w:r w:rsidRPr="00621CBF">
        <w:rPr>
          <w:rFonts w:ascii="Arial" w:hAnsi="Arial" w:cs="Arial"/>
        </w:rPr>
        <w:t>Howrigan</w:t>
      </w:r>
      <w:proofErr w:type="spellEnd"/>
      <w:r w:rsidRPr="00621CBF">
        <w:rPr>
          <w:rFonts w:ascii="Arial" w:hAnsi="Arial" w:cs="Arial"/>
        </w:rPr>
        <w:t xml:space="preserve"> DP, Sanders SJ, </w:t>
      </w:r>
      <w:r w:rsidRPr="00621CBF">
        <w:rPr>
          <w:rFonts w:ascii="Arial" w:hAnsi="Arial" w:cs="Arial"/>
          <w:i/>
        </w:rPr>
        <w:t>et al</w:t>
      </w:r>
      <w:r w:rsidRPr="00621CBF">
        <w:rPr>
          <w:rFonts w:ascii="Arial" w:hAnsi="Arial" w:cs="Arial"/>
        </w:rPr>
        <w:t xml:space="preserve">. (2017). </w:t>
      </w:r>
      <w:r w:rsidRPr="00621CBF">
        <w:rPr>
          <w:rFonts w:ascii="Arial" w:hAnsi="Arial" w:cs="Arial"/>
          <w:bCs/>
        </w:rPr>
        <w:t xml:space="preserve">Refining the role of </w:t>
      </w:r>
      <w:r w:rsidRPr="00621CBF">
        <w:rPr>
          <w:rFonts w:ascii="Arial" w:hAnsi="Arial" w:cs="Arial"/>
          <w:bCs/>
          <w:i/>
          <w:iCs/>
        </w:rPr>
        <w:t xml:space="preserve">de novo </w:t>
      </w:r>
      <w:r w:rsidRPr="00621CBF">
        <w:rPr>
          <w:rFonts w:ascii="Arial" w:hAnsi="Arial" w:cs="Arial"/>
          <w:bCs/>
        </w:rPr>
        <w:t>protein truncating variants in neurodevelopmental disorders using population reference samples</w:t>
      </w:r>
      <w:r w:rsidRPr="00621CBF">
        <w:rPr>
          <w:rFonts w:ascii="Arial" w:hAnsi="Arial" w:cs="Arial"/>
        </w:rPr>
        <w:t xml:space="preserve">. </w:t>
      </w:r>
      <w:r w:rsidRPr="00621CBF">
        <w:rPr>
          <w:rFonts w:ascii="Arial" w:hAnsi="Arial" w:cs="Arial"/>
          <w:i/>
        </w:rPr>
        <w:t>Nat Genet</w:t>
      </w:r>
      <w:r w:rsidRPr="00621CBF">
        <w:rPr>
          <w:rFonts w:ascii="Arial" w:hAnsi="Arial" w:cs="Arial"/>
        </w:rPr>
        <w:t xml:space="preserve">. </w:t>
      </w:r>
      <w:proofErr w:type="gramStart"/>
      <w:r w:rsidRPr="00621CBF">
        <w:rPr>
          <w:rFonts w:ascii="Arial" w:hAnsi="Arial" w:cs="Arial"/>
        </w:rPr>
        <w:t>April ;</w:t>
      </w:r>
      <w:proofErr w:type="gramEnd"/>
      <w:r w:rsidRPr="00621CBF">
        <w:rPr>
          <w:rFonts w:ascii="Arial" w:hAnsi="Arial" w:cs="Arial"/>
        </w:rPr>
        <w:t xml:space="preserve"> 49: 504–510. </w:t>
      </w:r>
      <w:proofErr w:type="spellStart"/>
      <w:proofErr w:type="gramStart"/>
      <w:r w:rsidR="0078370F" w:rsidRPr="00621CBF">
        <w:rPr>
          <w:rFonts w:ascii="Arial" w:hAnsi="Arial" w:cs="Arial"/>
          <w:shd w:val="clear" w:color="auto" w:fill="FFFFFF"/>
        </w:rPr>
        <w:t>doi</w:t>
      </w:r>
      <w:proofErr w:type="spellEnd"/>
      <w:proofErr w:type="gramEnd"/>
      <w:r w:rsidR="0078370F" w:rsidRPr="00621CBF">
        <w:rPr>
          <w:rFonts w:ascii="Arial" w:hAnsi="Arial" w:cs="Arial"/>
          <w:shd w:val="clear" w:color="auto" w:fill="FFFFFF"/>
        </w:rPr>
        <w:t>: 10.1038/ng.3789. </w:t>
      </w:r>
    </w:p>
    <w:p w14:paraId="6BFA1209" w14:textId="77777777" w:rsidR="00701E53" w:rsidRPr="00621CBF" w:rsidRDefault="00701E53" w:rsidP="00621CBF">
      <w:pPr>
        <w:autoSpaceDE w:val="0"/>
        <w:autoSpaceDN w:val="0"/>
        <w:adjustRightInd w:val="0"/>
        <w:ind w:left="142"/>
        <w:rPr>
          <w:rStyle w:val="author"/>
          <w:rFonts w:ascii="Arial" w:hAnsi="Arial" w:cs="Arial"/>
          <w:shd w:val="clear" w:color="auto" w:fill="FFFFFF"/>
        </w:rPr>
      </w:pPr>
    </w:p>
    <w:p w14:paraId="78630D48" w14:textId="6ED1368C" w:rsidR="00701E53" w:rsidRPr="00621CBF" w:rsidRDefault="00701E53" w:rsidP="00621CBF">
      <w:pPr>
        <w:autoSpaceDE w:val="0"/>
        <w:autoSpaceDN w:val="0"/>
        <w:adjustRightInd w:val="0"/>
        <w:ind w:left="142"/>
        <w:rPr>
          <w:rFonts w:ascii="Arial" w:eastAsia="Arial" w:hAnsi="Arial" w:cs="Arial"/>
          <w:lang w:eastAsia="nl-NL"/>
        </w:rPr>
      </w:pPr>
      <w:proofErr w:type="spellStart"/>
      <w:r w:rsidRPr="00621CBF">
        <w:rPr>
          <w:rStyle w:val="author"/>
          <w:rFonts w:ascii="Arial" w:hAnsi="Arial" w:cs="Arial"/>
          <w:shd w:val="clear" w:color="auto" w:fill="FFFFFF"/>
        </w:rPr>
        <w:t>Lauxmann</w:t>
      </w:r>
      <w:proofErr w:type="spellEnd"/>
      <w:r w:rsidRPr="00621CBF">
        <w:rPr>
          <w:rStyle w:val="author"/>
          <w:rFonts w:ascii="Arial" w:hAnsi="Arial" w:cs="Arial"/>
          <w:shd w:val="clear" w:color="auto" w:fill="FFFFFF"/>
        </w:rPr>
        <w:t xml:space="preserve">, S, </w:t>
      </w:r>
      <w:proofErr w:type="spellStart"/>
      <w:r w:rsidRPr="00621CBF">
        <w:rPr>
          <w:rStyle w:val="author"/>
          <w:rFonts w:ascii="Arial" w:hAnsi="Arial" w:cs="Arial"/>
          <w:shd w:val="clear" w:color="auto" w:fill="FFFFFF"/>
        </w:rPr>
        <w:t>Verbeek</w:t>
      </w:r>
      <w:proofErr w:type="spellEnd"/>
      <w:r w:rsidRPr="00621CBF">
        <w:rPr>
          <w:rStyle w:val="author"/>
          <w:rFonts w:ascii="Arial" w:hAnsi="Arial" w:cs="Arial"/>
          <w:shd w:val="clear" w:color="auto" w:fill="FFFFFF"/>
        </w:rPr>
        <w:t xml:space="preserve"> NE</w:t>
      </w:r>
      <w:r w:rsidRPr="00621CBF">
        <w:rPr>
          <w:rFonts w:ascii="Arial" w:hAnsi="Arial" w:cs="Arial"/>
          <w:shd w:val="clear" w:color="auto" w:fill="FFFFFF"/>
        </w:rPr>
        <w:t xml:space="preserve">, </w:t>
      </w:r>
      <w:r w:rsidRPr="00621CBF">
        <w:rPr>
          <w:rStyle w:val="author"/>
          <w:rFonts w:ascii="Arial" w:hAnsi="Arial" w:cs="Arial"/>
          <w:shd w:val="clear" w:color="auto" w:fill="FFFFFF"/>
        </w:rPr>
        <w:t>Liu Y</w:t>
      </w:r>
      <w:r w:rsidRPr="00621CBF">
        <w:rPr>
          <w:rFonts w:ascii="Arial" w:hAnsi="Arial" w:cs="Arial"/>
          <w:shd w:val="clear" w:color="auto" w:fill="FFFFFF"/>
        </w:rPr>
        <w:t xml:space="preserve">, </w:t>
      </w:r>
      <w:r w:rsidRPr="00621CBF">
        <w:rPr>
          <w:rFonts w:ascii="Arial" w:hAnsi="Arial" w:cs="Arial"/>
          <w:i/>
          <w:shd w:val="clear" w:color="auto" w:fill="FFFFFF"/>
        </w:rPr>
        <w:t>et al</w:t>
      </w:r>
      <w:proofErr w:type="gramStart"/>
      <w:r w:rsidRPr="00621CBF">
        <w:rPr>
          <w:rFonts w:ascii="Arial" w:hAnsi="Arial" w:cs="Arial"/>
          <w:i/>
          <w:shd w:val="clear" w:color="auto" w:fill="FFFFFF"/>
        </w:rPr>
        <w:t>.</w:t>
      </w:r>
      <w:r w:rsidRPr="00621CBF">
        <w:rPr>
          <w:rFonts w:ascii="Arial" w:hAnsi="Arial" w:cs="Arial"/>
          <w:shd w:val="clear" w:color="auto" w:fill="FFFFFF"/>
        </w:rPr>
        <w:t>(</w:t>
      </w:r>
      <w:proofErr w:type="gramEnd"/>
      <w:r w:rsidRPr="00621CBF">
        <w:rPr>
          <w:rFonts w:ascii="Arial" w:hAnsi="Arial" w:cs="Arial"/>
          <w:shd w:val="clear" w:color="auto" w:fill="FFFFFF"/>
        </w:rPr>
        <w:t xml:space="preserve">2018) </w:t>
      </w:r>
      <w:r w:rsidRPr="00621CBF">
        <w:rPr>
          <w:rStyle w:val="articletitle"/>
          <w:rFonts w:ascii="Arial" w:hAnsi="Arial" w:cs="Arial"/>
          <w:shd w:val="clear" w:color="auto" w:fill="FFFFFF"/>
        </w:rPr>
        <w:t xml:space="preserve">Relationship of electrophysiological dysfunction and clinical severity in </w:t>
      </w:r>
      <w:r w:rsidRPr="00621CBF">
        <w:rPr>
          <w:rStyle w:val="articletitle"/>
          <w:rFonts w:ascii="Arial" w:hAnsi="Arial" w:cs="Arial"/>
          <w:i/>
          <w:iCs/>
          <w:shd w:val="clear" w:color="auto" w:fill="FFFFFF"/>
        </w:rPr>
        <w:t>SCN2A</w:t>
      </w:r>
      <w:r w:rsidRPr="00621CBF">
        <w:rPr>
          <w:rStyle w:val="articletitle"/>
          <w:rFonts w:ascii="Cambria Math" w:hAnsi="Cambria Math" w:cs="Cambria Math"/>
          <w:shd w:val="clear" w:color="auto" w:fill="FFFFFF"/>
        </w:rPr>
        <w:t>‐</w:t>
      </w:r>
      <w:r w:rsidRPr="00621CBF">
        <w:rPr>
          <w:rStyle w:val="articletitle"/>
          <w:rFonts w:ascii="Arial" w:hAnsi="Arial" w:cs="Arial"/>
          <w:shd w:val="clear" w:color="auto" w:fill="FFFFFF"/>
        </w:rPr>
        <w:t>related epilepsies</w:t>
      </w:r>
      <w:r w:rsidRPr="00621CBF">
        <w:rPr>
          <w:rFonts w:ascii="Arial" w:hAnsi="Arial" w:cs="Arial"/>
          <w:shd w:val="clear" w:color="auto" w:fill="FFFFFF"/>
        </w:rPr>
        <w:t xml:space="preserve">. </w:t>
      </w:r>
      <w:r w:rsidRPr="00621CBF">
        <w:rPr>
          <w:rFonts w:ascii="Arial" w:hAnsi="Arial" w:cs="Arial"/>
          <w:i/>
          <w:iCs/>
          <w:shd w:val="clear" w:color="auto" w:fill="FFFFFF"/>
        </w:rPr>
        <w:t>Human Mutation</w:t>
      </w:r>
      <w:r w:rsidRPr="00621CBF">
        <w:rPr>
          <w:rFonts w:ascii="Arial" w:hAnsi="Arial" w:cs="Arial"/>
          <w:shd w:val="clear" w:color="auto" w:fill="FFFFFF"/>
        </w:rPr>
        <w:t>.</w:t>
      </w:r>
      <w:r w:rsidRPr="00621CBF">
        <w:rPr>
          <w:rStyle w:val="vol"/>
          <w:rFonts w:ascii="Arial" w:hAnsi="Arial" w:cs="Arial"/>
          <w:shd w:val="clear" w:color="auto" w:fill="FFFFFF"/>
        </w:rPr>
        <w:t>39</w:t>
      </w:r>
      <w:r w:rsidRPr="00621CBF">
        <w:rPr>
          <w:rFonts w:ascii="Arial" w:hAnsi="Arial" w:cs="Arial"/>
          <w:shd w:val="clear" w:color="auto" w:fill="FFFFFF"/>
        </w:rPr>
        <w:t>:</w:t>
      </w:r>
      <w:r w:rsidRPr="00621CBF">
        <w:rPr>
          <w:rStyle w:val="pagefirst"/>
          <w:rFonts w:ascii="Arial" w:hAnsi="Arial" w:cs="Arial"/>
          <w:shd w:val="clear" w:color="auto" w:fill="FFFFFF"/>
        </w:rPr>
        <w:t>1942</w:t>
      </w:r>
      <w:r w:rsidRPr="00621CBF">
        <w:rPr>
          <w:rFonts w:ascii="Arial" w:hAnsi="Arial" w:cs="Arial"/>
          <w:shd w:val="clear" w:color="auto" w:fill="FFFFFF"/>
        </w:rPr>
        <w:t>–</w:t>
      </w:r>
      <w:r w:rsidRPr="00621CBF">
        <w:rPr>
          <w:rStyle w:val="pagelast"/>
          <w:rFonts w:ascii="Arial" w:hAnsi="Arial" w:cs="Arial"/>
          <w:shd w:val="clear" w:color="auto" w:fill="FFFFFF"/>
        </w:rPr>
        <w:t>1956</w:t>
      </w:r>
      <w:r w:rsidRPr="00621CBF">
        <w:rPr>
          <w:rFonts w:ascii="Arial" w:hAnsi="Arial" w:cs="Arial"/>
          <w:shd w:val="clear" w:color="auto" w:fill="FFFFFF"/>
        </w:rPr>
        <w:t>.</w:t>
      </w:r>
      <w:r w:rsidRPr="00621CBF">
        <w:rPr>
          <w:rFonts w:ascii="Arial" w:eastAsia="Arial" w:hAnsi="Arial" w:cs="Arial"/>
          <w:lang w:eastAsia="nl-NL"/>
        </w:rPr>
        <w:t xml:space="preserve"> </w:t>
      </w:r>
      <w:proofErr w:type="spellStart"/>
      <w:proofErr w:type="gramStart"/>
      <w:r w:rsidR="0078370F" w:rsidRPr="00621CBF">
        <w:rPr>
          <w:rFonts w:ascii="Arial" w:hAnsi="Arial" w:cs="Arial"/>
          <w:shd w:val="clear" w:color="auto" w:fill="FFFFFF"/>
        </w:rPr>
        <w:t>doi</w:t>
      </w:r>
      <w:proofErr w:type="spellEnd"/>
      <w:proofErr w:type="gramEnd"/>
      <w:r w:rsidR="0078370F" w:rsidRPr="00621CBF">
        <w:rPr>
          <w:rFonts w:ascii="Arial" w:hAnsi="Arial" w:cs="Arial"/>
          <w:shd w:val="clear" w:color="auto" w:fill="FFFFFF"/>
        </w:rPr>
        <w:t>: 10.1002/humu.23619.</w:t>
      </w:r>
    </w:p>
    <w:p w14:paraId="5346752D" w14:textId="77777777" w:rsidR="0078370F" w:rsidRPr="00621CBF" w:rsidRDefault="0078370F" w:rsidP="00621CBF">
      <w:pPr>
        <w:autoSpaceDE w:val="0"/>
        <w:autoSpaceDN w:val="0"/>
        <w:adjustRightInd w:val="0"/>
        <w:ind w:left="142"/>
        <w:rPr>
          <w:rFonts w:ascii="Arial" w:eastAsia="Arial" w:hAnsi="Arial" w:cs="Arial"/>
          <w:lang w:eastAsia="nl-NL"/>
        </w:rPr>
      </w:pPr>
    </w:p>
    <w:p w14:paraId="3976F20F" w14:textId="6B26952A" w:rsidR="00701E53" w:rsidRPr="00621CBF" w:rsidRDefault="00701E53" w:rsidP="00621CBF">
      <w:pPr>
        <w:autoSpaceDE w:val="0"/>
        <w:autoSpaceDN w:val="0"/>
        <w:adjustRightInd w:val="0"/>
        <w:ind w:left="142"/>
        <w:rPr>
          <w:rFonts w:ascii="Arial" w:hAnsi="Arial" w:cs="Arial"/>
        </w:rPr>
      </w:pPr>
      <w:r w:rsidRPr="00621CBF">
        <w:rPr>
          <w:rFonts w:ascii="Arial" w:hAnsi="Arial" w:cs="Arial"/>
        </w:rPr>
        <w:t xml:space="preserve">Law S, (2017). </w:t>
      </w:r>
      <w:r w:rsidRPr="00621CBF">
        <w:rPr>
          <w:rFonts w:ascii="Arial" w:hAnsi="Arial" w:cs="Arial"/>
          <w:shd w:val="clear" w:color="auto" w:fill="FFFFFF"/>
        </w:rPr>
        <w:t xml:space="preserve">SCN2A Variant </w:t>
      </w:r>
      <w:proofErr w:type="spellStart"/>
      <w:r w:rsidRPr="00621CBF">
        <w:rPr>
          <w:rFonts w:ascii="Arial" w:hAnsi="Arial" w:cs="Arial"/>
          <w:shd w:val="clear" w:color="auto" w:fill="FFFFFF"/>
        </w:rPr>
        <w:t>Viz</w:t>
      </w:r>
      <w:proofErr w:type="spellEnd"/>
      <w:r w:rsidRPr="00621CBF">
        <w:rPr>
          <w:rFonts w:ascii="Arial" w:hAnsi="Arial" w:cs="Arial"/>
          <w:shd w:val="clear" w:color="auto" w:fill="FFFFFF"/>
        </w:rPr>
        <w:t xml:space="preserve"> 6.0 </w:t>
      </w:r>
      <w:hyperlink r:id="rId10" w:anchor="!/vizhome/SCN2AVariantViz6_0/Dashboard1" w:history="1">
        <w:r w:rsidRPr="00621CBF">
          <w:rPr>
            <w:rStyle w:val="Hyperlink"/>
            <w:rFonts w:ascii="Arial" w:hAnsi="Arial" w:cs="Arial"/>
            <w:color w:val="auto"/>
            <w:u w:val="none"/>
          </w:rPr>
          <w:t>https://public.tableau.com/profile/sindy.law#!/vizhome/SCN2AVariantViz6_0/Dashboard1</w:t>
        </w:r>
      </w:hyperlink>
      <w:r w:rsidRPr="00621CBF">
        <w:rPr>
          <w:rStyle w:val="Hyperlink"/>
          <w:rFonts w:ascii="Arial" w:hAnsi="Arial" w:cs="Arial"/>
          <w:color w:val="auto"/>
          <w:u w:val="none"/>
        </w:rPr>
        <w:t xml:space="preserve"> </w:t>
      </w:r>
      <w:r w:rsidRPr="00621CBF">
        <w:rPr>
          <w:rFonts w:ascii="Arial" w:hAnsi="Arial" w:cs="Arial"/>
        </w:rPr>
        <w:t>(accessed 1/05/2020)</w:t>
      </w:r>
    </w:p>
    <w:p w14:paraId="42355349" w14:textId="77777777" w:rsidR="0078370F" w:rsidRPr="00621CBF" w:rsidRDefault="0078370F" w:rsidP="00621CBF">
      <w:pPr>
        <w:autoSpaceDE w:val="0"/>
        <w:autoSpaceDN w:val="0"/>
        <w:adjustRightInd w:val="0"/>
        <w:ind w:left="142"/>
        <w:rPr>
          <w:rFonts w:ascii="Arial" w:hAnsi="Arial" w:cs="Arial"/>
        </w:rPr>
      </w:pPr>
    </w:p>
    <w:p w14:paraId="0E4853B0" w14:textId="7965C573" w:rsidR="00701E53" w:rsidRPr="00621CBF" w:rsidRDefault="00701E53" w:rsidP="00621CBF">
      <w:pPr>
        <w:autoSpaceDE w:val="0"/>
        <w:autoSpaceDN w:val="0"/>
        <w:adjustRightInd w:val="0"/>
        <w:ind w:left="142"/>
        <w:rPr>
          <w:rFonts w:ascii="Arial" w:eastAsia="Arial" w:hAnsi="Arial" w:cs="Arial"/>
          <w:lang w:eastAsia="nl-NL"/>
        </w:rPr>
      </w:pPr>
      <w:r w:rsidRPr="00621CBF">
        <w:rPr>
          <w:rFonts w:ascii="Arial" w:eastAsia="Arial" w:hAnsi="Arial" w:cs="Arial"/>
          <w:lang w:eastAsia="nl-NL"/>
        </w:rPr>
        <w:t xml:space="preserve">Leach EL, van </w:t>
      </w:r>
      <w:proofErr w:type="spellStart"/>
      <w:r w:rsidRPr="00621CBF">
        <w:rPr>
          <w:rFonts w:ascii="Arial" w:eastAsia="Arial" w:hAnsi="Arial" w:cs="Arial"/>
          <w:lang w:eastAsia="nl-NL"/>
        </w:rPr>
        <w:t>Karnebeek</w:t>
      </w:r>
      <w:proofErr w:type="spellEnd"/>
      <w:r w:rsidRPr="00621CBF">
        <w:rPr>
          <w:rFonts w:ascii="Arial" w:eastAsia="Arial" w:hAnsi="Arial" w:cs="Arial"/>
          <w:lang w:eastAsia="nl-NL"/>
        </w:rPr>
        <w:t xml:space="preserve"> CDM, Townsend KN, </w:t>
      </w:r>
      <w:proofErr w:type="spellStart"/>
      <w:r w:rsidRPr="00621CBF">
        <w:rPr>
          <w:rFonts w:ascii="Arial" w:eastAsia="Arial" w:hAnsi="Arial" w:cs="Arial"/>
          <w:lang w:eastAsia="nl-NL"/>
        </w:rPr>
        <w:t>Tarailo-Graovac</w:t>
      </w:r>
      <w:proofErr w:type="spellEnd"/>
      <w:r w:rsidRPr="00621CBF">
        <w:rPr>
          <w:rFonts w:ascii="Arial" w:eastAsia="Arial" w:hAnsi="Arial" w:cs="Arial"/>
          <w:lang w:eastAsia="nl-NL"/>
        </w:rPr>
        <w:t xml:space="preserve"> M, </w:t>
      </w:r>
      <w:proofErr w:type="spellStart"/>
      <w:r w:rsidRPr="00621CBF">
        <w:rPr>
          <w:rFonts w:ascii="Arial" w:eastAsia="Arial" w:hAnsi="Arial" w:cs="Arial"/>
          <w:lang w:eastAsia="nl-NL"/>
        </w:rPr>
        <w:t>Hukin</w:t>
      </w:r>
      <w:proofErr w:type="spellEnd"/>
      <w:r w:rsidRPr="00621CBF">
        <w:rPr>
          <w:rFonts w:ascii="Arial" w:eastAsia="Arial" w:hAnsi="Arial" w:cs="Arial"/>
          <w:lang w:eastAsia="nl-NL"/>
        </w:rPr>
        <w:t xml:space="preserve"> J, Gibson WT. (2016) </w:t>
      </w:r>
      <w:proofErr w:type="gramStart"/>
      <w:r w:rsidRPr="00621CBF">
        <w:rPr>
          <w:rFonts w:ascii="Arial" w:eastAsia="Arial" w:hAnsi="Arial" w:cs="Arial"/>
          <w:lang w:eastAsia="nl-NL"/>
        </w:rPr>
        <w:t>Episodic</w:t>
      </w:r>
      <w:proofErr w:type="gramEnd"/>
      <w:r w:rsidRPr="00621CBF">
        <w:rPr>
          <w:rFonts w:ascii="Arial" w:eastAsia="Arial" w:hAnsi="Arial" w:cs="Arial"/>
          <w:lang w:eastAsia="nl-NL"/>
        </w:rPr>
        <w:t xml:space="preserve"> ataxia associated with a </w:t>
      </w:r>
      <w:r w:rsidRPr="00621CBF">
        <w:rPr>
          <w:rFonts w:ascii="Arial" w:eastAsia="Arial" w:hAnsi="Arial" w:cs="Arial"/>
          <w:i/>
          <w:lang w:eastAsia="nl-NL"/>
        </w:rPr>
        <w:t>de novo SCN2A</w:t>
      </w:r>
      <w:r w:rsidRPr="00621CBF">
        <w:rPr>
          <w:rFonts w:ascii="Arial" w:eastAsia="Arial" w:hAnsi="Arial" w:cs="Arial"/>
          <w:lang w:eastAsia="nl-NL"/>
        </w:rPr>
        <w:t xml:space="preserve"> mutation. </w:t>
      </w:r>
      <w:r w:rsidRPr="00621CBF">
        <w:rPr>
          <w:rFonts w:ascii="Arial" w:eastAsia="Arial" w:hAnsi="Arial" w:cs="Arial"/>
          <w:i/>
          <w:lang w:eastAsia="nl-NL"/>
        </w:rPr>
        <w:t xml:space="preserve">Eur. J. </w:t>
      </w:r>
      <w:proofErr w:type="spellStart"/>
      <w:r w:rsidRPr="00621CBF">
        <w:rPr>
          <w:rFonts w:ascii="Arial" w:eastAsia="Arial" w:hAnsi="Arial" w:cs="Arial"/>
          <w:i/>
          <w:lang w:eastAsia="nl-NL"/>
        </w:rPr>
        <w:t>Paed</w:t>
      </w:r>
      <w:proofErr w:type="spellEnd"/>
      <w:r w:rsidRPr="00621CBF">
        <w:rPr>
          <w:rFonts w:ascii="Arial" w:eastAsia="Arial" w:hAnsi="Arial" w:cs="Arial"/>
          <w:i/>
          <w:lang w:eastAsia="nl-NL"/>
        </w:rPr>
        <w:t>. Neurol.</w:t>
      </w:r>
      <w:r w:rsidRPr="00621CBF">
        <w:rPr>
          <w:rFonts w:ascii="Arial" w:eastAsia="Arial" w:hAnsi="Arial" w:cs="Arial"/>
          <w:lang w:eastAsia="nl-NL"/>
        </w:rPr>
        <w:t xml:space="preserve"> 20. 772-776. </w:t>
      </w:r>
      <w:proofErr w:type="spellStart"/>
      <w:r w:rsidR="0078370F" w:rsidRPr="00621CBF">
        <w:rPr>
          <w:rFonts w:ascii="Arial" w:hAnsi="Arial" w:cs="Arial"/>
          <w:shd w:val="clear" w:color="auto" w:fill="FFFFFF"/>
        </w:rPr>
        <w:t>doi</w:t>
      </w:r>
      <w:proofErr w:type="spellEnd"/>
      <w:r w:rsidR="0078370F" w:rsidRPr="00621CBF">
        <w:rPr>
          <w:rFonts w:ascii="Arial" w:hAnsi="Arial" w:cs="Arial"/>
          <w:shd w:val="clear" w:color="auto" w:fill="FFFFFF"/>
        </w:rPr>
        <w:t>: 10.1016/j.ejpn.2016.05.020. </w:t>
      </w:r>
    </w:p>
    <w:p w14:paraId="407BB821" w14:textId="77777777" w:rsidR="0078370F" w:rsidRPr="00621CBF" w:rsidRDefault="0078370F" w:rsidP="00621CBF">
      <w:pPr>
        <w:autoSpaceDE w:val="0"/>
        <w:autoSpaceDN w:val="0"/>
        <w:adjustRightInd w:val="0"/>
        <w:ind w:left="142"/>
        <w:rPr>
          <w:rFonts w:ascii="Arial" w:eastAsia="Arial" w:hAnsi="Arial" w:cs="Arial"/>
          <w:lang w:eastAsia="nl-NL"/>
        </w:rPr>
      </w:pPr>
    </w:p>
    <w:p w14:paraId="1F5C9335" w14:textId="5054D346" w:rsidR="00701E53" w:rsidRPr="00621CBF" w:rsidRDefault="00701E53" w:rsidP="00621CBF">
      <w:pPr>
        <w:autoSpaceDE w:val="0"/>
        <w:autoSpaceDN w:val="0"/>
        <w:adjustRightInd w:val="0"/>
        <w:ind w:left="142"/>
        <w:rPr>
          <w:rFonts w:ascii="Arial" w:hAnsi="Arial" w:cs="Arial"/>
          <w:shd w:val="clear" w:color="auto" w:fill="FFFFFF"/>
        </w:rPr>
      </w:pPr>
      <w:r w:rsidRPr="00621CBF">
        <w:rPr>
          <w:rFonts w:ascii="Arial" w:hAnsi="Arial" w:cs="Arial"/>
        </w:rPr>
        <w:lastRenderedPageBreak/>
        <w:t xml:space="preserve">Liang JS, Lin LJ, Yang MT, Wang JS, Lu JF. (2017) </w:t>
      </w:r>
      <w:proofErr w:type="gramStart"/>
      <w:r w:rsidRPr="00621CBF">
        <w:rPr>
          <w:rFonts w:ascii="Arial" w:hAnsi="Arial" w:cs="Arial"/>
        </w:rPr>
        <w:t>The</w:t>
      </w:r>
      <w:proofErr w:type="gramEnd"/>
      <w:r w:rsidRPr="00621CBF">
        <w:rPr>
          <w:rFonts w:ascii="Arial" w:hAnsi="Arial" w:cs="Arial"/>
        </w:rPr>
        <w:t xml:space="preserve"> therapeutic implication of a novel </w:t>
      </w:r>
      <w:r w:rsidRPr="00621CBF">
        <w:rPr>
          <w:rFonts w:ascii="Arial" w:hAnsi="Arial" w:cs="Arial"/>
          <w:i/>
        </w:rPr>
        <w:t>SCN2A</w:t>
      </w:r>
      <w:r w:rsidRPr="00621CBF">
        <w:rPr>
          <w:rFonts w:ascii="Arial" w:hAnsi="Arial" w:cs="Arial"/>
        </w:rPr>
        <w:t xml:space="preserve"> mutation associated early-onset epileptic encephalopathy with </w:t>
      </w:r>
      <w:proofErr w:type="spellStart"/>
      <w:r w:rsidRPr="00621CBF">
        <w:rPr>
          <w:rFonts w:ascii="Arial" w:hAnsi="Arial" w:cs="Arial"/>
        </w:rPr>
        <w:t>Rett</w:t>
      </w:r>
      <w:proofErr w:type="spellEnd"/>
      <w:r w:rsidRPr="00621CBF">
        <w:rPr>
          <w:rFonts w:ascii="Arial" w:hAnsi="Arial" w:cs="Arial"/>
        </w:rPr>
        <w:t xml:space="preserve">-like features. </w:t>
      </w:r>
      <w:r w:rsidRPr="00621CBF">
        <w:rPr>
          <w:rFonts w:ascii="Arial" w:hAnsi="Arial" w:cs="Arial"/>
          <w:i/>
          <w:iCs/>
        </w:rPr>
        <w:t>Brain Dev</w:t>
      </w:r>
      <w:r w:rsidRPr="00621CBF">
        <w:rPr>
          <w:rFonts w:ascii="Arial" w:hAnsi="Arial" w:cs="Arial"/>
        </w:rPr>
        <w:t>. 39:877–881.</w:t>
      </w:r>
      <w:r w:rsidR="0078370F" w:rsidRPr="00621CBF">
        <w:rPr>
          <w:rFonts w:ascii="Arial" w:hAnsi="Arial" w:cs="Arial"/>
          <w:shd w:val="clear" w:color="auto" w:fill="FFFFFF"/>
        </w:rPr>
        <w:t>doi: 10.1016/j.braindev.2017.06.003.</w:t>
      </w:r>
    </w:p>
    <w:p w14:paraId="05C923F1" w14:textId="77777777" w:rsidR="00701E53" w:rsidRPr="00621CBF" w:rsidRDefault="00701E53" w:rsidP="00621CBF">
      <w:pPr>
        <w:autoSpaceDE w:val="0"/>
        <w:autoSpaceDN w:val="0"/>
        <w:adjustRightInd w:val="0"/>
        <w:ind w:left="142"/>
        <w:rPr>
          <w:rFonts w:ascii="Arial" w:hAnsi="Arial" w:cs="Arial"/>
        </w:rPr>
      </w:pPr>
    </w:p>
    <w:p w14:paraId="3CD60EEE" w14:textId="622B0F6C" w:rsidR="00701E53" w:rsidRPr="00621CBF" w:rsidRDefault="00701E53" w:rsidP="00621CBF">
      <w:pPr>
        <w:shd w:val="clear" w:color="auto" w:fill="FFFFFF"/>
        <w:ind w:left="142"/>
        <w:rPr>
          <w:rFonts w:ascii="Arial" w:hAnsi="Arial" w:cs="Arial"/>
        </w:rPr>
      </w:pPr>
      <w:r w:rsidRPr="00621CBF">
        <w:rPr>
          <w:rFonts w:ascii="Arial" w:hAnsi="Arial" w:cs="Arial"/>
        </w:rPr>
        <w:t xml:space="preserve">Lindy AS, </w:t>
      </w:r>
      <w:proofErr w:type="spellStart"/>
      <w:r w:rsidRPr="00621CBF">
        <w:rPr>
          <w:rFonts w:ascii="Arial" w:hAnsi="Arial" w:cs="Arial"/>
        </w:rPr>
        <w:t>Stosser</w:t>
      </w:r>
      <w:proofErr w:type="spellEnd"/>
      <w:r w:rsidRPr="00621CBF">
        <w:rPr>
          <w:rFonts w:ascii="Arial" w:hAnsi="Arial" w:cs="Arial"/>
        </w:rPr>
        <w:t xml:space="preserve"> MB, Butler E, </w:t>
      </w:r>
      <w:proofErr w:type="spellStart"/>
      <w:r w:rsidRPr="00621CBF">
        <w:rPr>
          <w:rFonts w:ascii="Arial" w:hAnsi="Arial" w:cs="Arial"/>
        </w:rPr>
        <w:t>Downtain-Pickersgill</w:t>
      </w:r>
      <w:proofErr w:type="spellEnd"/>
      <w:r w:rsidRPr="00621CBF">
        <w:rPr>
          <w:rFonts w:ascii="Arial" w:hAnsi="Arial" w:cs="Arial"/>
        </w:rPr>
        <w:t xml:space="preserve"> C, </w:t>
      </w:r>
      <w:r w:rsidRPr="00621CBF">
        <w:rPr>
          <w:rFonts w:ascii="Arial" w:hAnsi="Arial" w:cs="Arial"/>
          <w:i/>
        </w:rPr>
        <w:t>et al.</w:t>
      </w:r>
      <w:r w:rsidRPr="00621CBF">
        <w:rPr>
          <w:rFonts w:ascii="Arial" w:hAnsi="Arial" w:cs="Arial"/>
        </w:rPr>
        <w:t xml:space="preserve"> (2018). </w:t>
      </w:r>
      <w:r w:rsidRPr="00621CBF">
        <w:rPr>
          <w:rFonts w:ascii="Arial" w:hAnsi="Arial" w:cs="Arial"/>
          <w:bCs/>
          <w:kern w:val="36"/>
        </w:rPr>
        <w:t xml:space="preserve">Diagnostic outcomes for genetic testing of 70 genes in 8565 patients with epilepsy and neurodevelopmental disorders. </w:t>
      </w:r>
      <w:r w:rsidRPr="00621CBF">
        <w:rPr>
          <w:rFonts w:ascii="Arial" w:hAnsi="Arial" w:cs="Arial"/>
          <w:i/>
        </w:rPr>
        <w:t>Epilepsia</w:t>
      </w:r>
      <w:r w:rsidRPr="00621CBF">
        <w:rPr>
          <w:rFonts w:ascii="Arial" w:hAnsi="Arial" w:cs="Arial"/>
        </w:rPr>
        <w:t>.59:1062-1071.</w:t>
      </w:r>
      <w:r w:rsidR="0078370F" w:rsidRPr="00621CBF">
        <w:rPr>
          <w:rFonts w:ascii="Arial" w:hAnsi="Arial" w:cs="Arial"/>
          <w:shd w:val="clear" w:color="auto" w:fill="FFFFFF"/>
        </w:rPr>
        <w:t xml:space="preserve"> </w:t>
      </w:r>
      <w:proofErr w:type="spellStart"/>
      <w:proofErr w:type="gramStart"/>
      <w:r w:rsidR="0078370F" w:rsidRPr="00621CBF">
        <w:rPr>
          <w:rFonts w:ascii="Arial" w:hAnsi="Arial" w:cs="Arial"/>
          <w:shd w:val="clear" w:color="auto" w:fill="FFFFFF"/>
        </w:rPr>
        <w:t>doi</w:t>
      </w:r>
      <w:proofErr w:type="spellEnd"/>
      <w:proofErr w:type="gramEnd"/>
      <w:r w:rsidR="0078370F" w:rsidRPr="00621CBF">
        <w:rPr>
          <w:rFonts w:ascii="Arial" w:hAnsi="Arial" w:cs="Arial"/>
          <w:shd w:val="clear" w:color="auto" w:fill="FFFFFF"/>
        </w:rPr>
        <w:t>: 10.1111/epi.14074.</w:t>
      </w:r>
    </w:p>
    <w:p w14:paraId="5F2C2D63" w14:textId="77777777" w:rsidR="00701E53" w:rsidRPr="00621CBF" w:rsidRDefault="00701E53" w:rsidP="00621CBF">
      <w:pPr>
        <w:autoSpaceDE w:val="0"/>
        <w:autoSpaceDN w:val="0"/>
        <w:adjustRightInd w:val="0"/>
        <w:ind w:left="142"/>
        <w:rPr>
          <w:rFonts w:ascii="Arial" w:hAnsi="Arial" w:cs="Arial"/>
        </w:rPr>
      </w:pPr>
    </w:p>
    <w:p w14:paraId="6C4B3A66" w14:textId="694CCA9E" w:rsidR="00701E53" w:rsidRPr="00621CBF" w:rsidRDefault="00701E53" w:rsidP="00621CBF">
      <w:pPr>
        <w:autoSpaceDE w:val="0"/>
        <w:autoSpaceDN w:val="0"/>
        <w:adjustRightInd w:val="0"/>
        <w:ind w:left="142"/>
        <w:rPr>
          <w:rFonts w:ascii="Arial" w:hAnsi="Arial" w:cs="Arial"/>
        </w:rPr>
      </w:pPr>
      <w:r w:rsidRPr="00621CBF">
        <w:rPr>
          <w:rFonts w:ascii="Arial" w:hAnsi="Arial" w:cs="Arial"/>
        </w:rPr>
        <w:t xml:space="preserve">Lord J, </w:t>
      </w:r>
      <w:proofErr w:type="spellStart"/>
      <w:r w:rsidRPr="00621CBF">
        <w:rPr>
          <w:rFonts w:ascii="Arial" w:hAnsi="Arial" w:cs="Arial"/>
        </w:rPr>
        <w:t>Gallone</w:t>
      </w:r>
      <w:proofErr w:type="spellEnd"/>
      <w:r w:rsidRPr="00621CBF">
        <w:rPr>
          <w:rFonts w:ascii="Arial" w:hAnsi="Arial" w:cs="Arial"/>
        </w:rPr>
        <w:t xml:space="preserve"> G, Short PJ, McRae JF, </w:t>
      </w:r>
      <w:r w:rsidRPr="00621CBF">
        <w:rPr>
          <w:rFonts w:ascii="Arial" w:hAnsi="Arial" w:cs="Arial"/>
          <w:i/>
        </w:rPr>
        <w:t>et al</w:t>
      </w:r>
      <w:r w:rsidRPr="00621CBF">
        <w:rPr>
          <w:rFonts w:ascii="Arial" w:hAnsi="Arial" w:cs="Arial"/>
        </w:rPr>
        <w:t xml:space="preserve">. (2019) Pathogenicity and selective constraint on variation near splice sites. </w:t>
      </w:r>
      <w:r w:rsidRPr="00621CBF">
        <w:rPr>
          <w:rFonts w:ascii="Arial" w:hAnsi="Arial" w:cs="Arial"/>
          <w:i/>
          <w:iCs/>
        </w:rPr>
        <w:t xml:space="preserve">Genome Res. </w:t>
      </w:r>
      <w:r w:rsidRPr="00621CBF">
        <w:rPr>
          <w:rFonts w:ascii="Arial" w:hAnsi="Arial" w:cs="Arial"/>
        </w:rPr>
        <w:t>29: 159-170</w:t>
      </w:r>
      <w:r w:rsidR="0078370F" w:rsidRPr="00621CBF">
        <w:rPr>
          <w:rFonts w:ascii="Arial" w:hAnsi="Arial" w:cs="Arial"/>
        </w:rPr>
        <w:t xml:space="preserve">. </w:t>
      </w:r>
      <w:proofErr w:type="spellStart"/>
      <w:proofErr w:type="gramStart"/>
      <w:r w:rsidR="0078370F" w:rsidRPr="00621CBF">
        <w:rPr>
          <w:rFonts w:ascii="Arial" w:hAnsi="Arial" w:cs="Arial"/>
          <w:shd w:val="clear" w:color="auto" w:fill="FFFFFF"/>
        </w:rPr>
        <w:t>doi</w:t>
      </w:r>
      <w:proofErr w:type="spellEnd"/>
      <w:proofErr w:type="gramEnd"/>
      <w:r w:rsidR="0078370F" w:rsidRPr="00621CBF">
        <w:rPr>
          <w:rFonts w:ascii="Arial" w:hAnsi="Arial" w:cs="Arial"/>
          <w:shd w:val="clear" w:color="auto" w:fill="FFFFFF"/>
        </w:rPr>
        <w:t>: 10.1101/gr.238444.118. </w:t>
      </w:r>
    </w:p>
    <w:p w14:paraId="05DF9A0C" w14:textId="77777777" w:rsidR="0078370F" w:rsidRPr="00621CBF" w:rsidRDefault="0078370F" w:rsidP="00621CBF">
      <w:pPr>
        <w:autoSpaceDE w:val="0"/>
        <w:autoSpaceDN w:val="0"/>
        <w:adjustRightInd w:val="0"/>
        <w:ind w:left="142"/>
        <w:rPr>
          <w:rFonts w:ascii="Arial" w:hAnsi="Arial" w:cs="Arial"/>
        </w:rPr>
      </w:pPr>
    </w:p>
    <w:p w14:paraId="2DA99227" w14:textId="2A02E84F" w:rsidR="00701E53" w:rsidRPr="00621CBF" w:rsidRDefault="00701E53" w:rsidP="00621CBF">
      <w:pPr>
        <w:autoSpaceDE w:val="0"/>
        <w:autoSpaceDN w:val="0"/>
        <w:adjustRightInd w:val="0"/>
        <w:ind w:left="142"/>
        <w:rPr>
          <w:rFonts w:ascii="Arial" w:hAnsi="Arial" w:cs="Arial"/>
        </w:rPr>
      </w:pPr>
      <w:r w:rsidRPr="00621CBF">
        <w:rPr>
          <w:rFonts w:ascii="Arial" w:hAnsi="Arial" w:cs="Arial"/>
          <w:bCs/>
        </w:rPr>
        <w:t xml:space="preserve">Monies D, </w:t>
      </w:r>
      <w:proofErr w:type="spellStart"/>
      <w:r w:rsidRPr="00621CBF">
        <w:rPr>
          <w:rFonts w:ascii="Arial" w:hAnsi="Arial" w:cs="Arial"/>
          <w:bCs/>
        </w:rPr>
        <w:t>Abouelhoda</w:t>
      </w:r>
      <w:proofErr w:type="spellEnd"/>
      <w:r w:rsidRPr="00621CBF">
        <w:rPr>
          <w:rFonts w:ascii="Arial" w:hAnsi="Arial" w:cs="Arial"/>
          <w:bCs/>
        </w:rPr>
        <w:t xml:space="preserve"> M, </w:t>
      </w:r>
      <w:proofErr w:type="spellStart"/>
      <w:r w:rsidRPr="00621CBF">
        <w:rPr>
          <w:rFonts w:ascii="Arial" w:hAnsi="Arial" w:cs="Arial"/>
          <w:bCs/>
        </w:rPr>
        <w:t>AlSayed</w:t>
      </w:r>
      <w:proofErr w:type="spellEnd"/>
      <w:r w:rsidRPr="00621CBF">
        <w:rPr>
          <w:rFonts w:ascii="Arial" w:hAnsi="Arial" w:cs="Arial"/>
          <w:bCs/>
        </w:rPr>
        <w:t xml:space="preserve"> M</w:t>
      </w:r>
      <w:proofErr w:type="gramStart"/>
      <w:r w:rsidRPr="00621CBF">
        <w:rPr>
          <w:rFonts w:ascii="Arial" w:hAnsi="Arial" w:cs="Arial"/>
          <w:bCs/>
        </w:rPr>
        <w:t xml:space="preserve">,  </w:t>
      </w:r>
      <w:proofErr w:type="spellStart"/>
      <w:r w:rsidRPr="00621CBF">
        <w:rPr>
          <w:rFonts w:ascii="Arial" w:hAnsi="Arial" w:cs="Arial"/>
          <w:bCs/>
        </w:rPr>
        <w:t>Alhassnan</w:t>
      </w:r>
      <w:proofErr w:type="spellEnd"/>
      <w:proofErr w:type="gramEnd"/>
      <w:r w:rsidRPr="00621CBF">
        <w:rPr>
          <w:rFonts w:ascii="Arial" w:hAnsi="Arial" w:cs="Arial"/>
          <w:bCs/>
        </w:rPr>
        <w:t xml:space="preserve"> Z, </w:t>
      </w:r>
      <w:r w:rsidRPr="00621CBF">
        <w:rPr>
          <w:rFonts w:ascii="Arial" w:hAnsi="Arial" w:cs="Arial"/>
          <w:bCs/>
          <w:i/>
        </w:rPr>
        <w:t>et al</w:t>
      </w:r>
      <w:r w:rsidRPr="00621CBF">
        <w:rPr>
          <w:rFonts w:ascii="Arial" w:hAnsi="Arial" w:cs="Arial"/>
          <w:bCs/>
        </w:rPr>
        <w:t xml:space="preserve">. (2017).The landscape of genetic diseases in Saudi Arabia based on the first 1000 diagnostic panels and </w:t>
      </w:r>
      <w:proofErr w:type="spellStart"/>
      <w:r w:rsidRPr="00621CBF">
        <w:rPr>
          <w:rFonts w:ascii="Arial" w:hAnsi="Arial" w:cs="Arial"/>
          <w:bCs/>
        </w:rPr>
        <w:t>exomes.</w:t>
      </w:r>
      <w:r w:rsidRPr="00621CBF">
        <w:rPr>
          <w:rFonts w:ascii="Arial" w:hAnsi="Arial" w:cs="Arial"/>
          <w:i/>
        </w:rPr>
        <w:t>Hum</w:t>
      </w:r>
      <w:proofErr w:type="spellEnd"/>
      <w:r w:rsidRPr="00621CBF">
        <w:rPr>
          <w:rFonts w:ascii="Arial" w:hAnsi="Arial" w:cs="Arial"/>
          <w:i/>
        </w:rPr>
        <w:t xml:space="preserve"> Genet</w:t>
      </w:r>
      <w:r w:rsidRPr="00621CBF">
        <w:rPr>
          <w:rFonts w:ascii="Arial" w:hAnsi="Arial" w:cs="Arial"/>
        </w:rPr>
        <w:t>.136:921–939</w:t>
      </w:r>
      <w:r w:rsidR="0078370F" w:rsidRPr="00621CBF">
        <w:rPr>
          <w:rFonts w:ascii="Arial" w:hAnsi="Arial" w:cs="Arial"/>
        </w:rPr>
        <w:t xml:space="preserve">. </w:t>
      </w:r>
      <w:proofErr w:type="spellStart"/>
      <w:proofErr w:type="gramStart"/>
      <w:r w:rsidR="0078370F" w:rsidRPr="00621CBF">
        <w:rPr>
          <w:rFonts w:ascii="Arial" w:hAnsi="Arial" w:cs="Arial"/>
          <w:shd w:val="clear" w:color="auto" w:fill="FFFFFF"/>
        </w:rPr>
        <w:t>doi</w:t>
      </w:r>
      <w:proofErr w:type="spellEnd"/>
      <w:proofErr w:type="gramEnd"/>
      <w:r w:rsidR="0078370F" w:rsidRPr="00621CBF">
        <w:rPr>
          <w:rFonts w:ascii="Arial" w:hAnsi="Arial" w:cs="Arial"/>
          <w:shd w:val="clear" w:color="auto" w:fill="FFFFFF"/>
        </w:rPr>
        <w:t>: 10.1007/s00439-017-1821-8. </w:t>
      </w:r>
    </w:p>
    <w:p w14:paraId="2C4984CE" w14:textId="1B78A3B0" w:rsidR="00E52213" w:rsidRPr="00621CBF" w:rsidRDefault="00E52213" w:rsidP="00621CBF">
      <w:pPr>
        <w:autoSpaceDE w:val="0"/>
        <w:autoSpaceDN w:val="0"/>
        <w:adjustRightInd w:val="0"/>
        <w:ind w:left="142"/>
        <w:rPr>
          <w:rFonts w:ascii="Arial" w:hAnsi="Arial" w:cs="Arial"/>
        </w:rPr>
      </w:pPr>
    </w:p>
    <w:p w14:paraId="042136D5" w14:textId="5E3ABD50" w:rsidR="00E52213" w:rsidRPr="00621CBF" w:rsidRDefault="00E52213" w:rsidP="00621CBF">
      <w:pPr>
        <w:autoSpaceDE w:val="0"/>
        <w:autoSpaceDN w:val="0"/>
        <w:adjustRightInd w:val="0"/>
        <w:ind w:left="142"/>
        <w:rPr>
          <w:rFonts w:ascii="Arial" w:hAnsi="Arial" w:cs="Arial"/>
        </w:rPr>
      </w:pPr>
      <w:proofErr w:type="spellStart"/>
      <w:r w:rsidRPr="00621CBF">
        <w:rPr>
          <w:rFonts w:ascii="Arial" w:hAnsi="Arial" w:cs="Arial"/>
        </w:rPr>
        <w:t>Ogiwara</w:t>
      </w:r>
      <w:proofErr w:type="spellEnd"/>
      <w:r w:rsidRPr="00621CBF">
        <w:rPr>
          <w:rFonts w:ascii="Arial" w:hAnsi="Arial" w:cs="Arial"/>
        </w:rPr>
        <w:t xml:space="preserve"> I, Ito K, </w:t>
      </w:r>
      <w:proofErr w:type="spellStart"/>
      <w:r w:rsidRPr="00621CBF">
        <w:rPr>
          <w:rFonts w:ascii="Arial" w:hAnsi="Arial" w:cs="Arial"/>
        </w:rPr>
        <w:t>Sawaishi</w:t>
      </w:r>
      <w:proofErr w:type="spellEnd"/>
      <w:r w:rsidRPr="00621CBF">
        <w:rPr>
          <w:rFonts w:ascii="Arial" w:hAnsi="Arial" w:cs="Arial"/>
        </w:rPr>
        <w:t xml:space="preserve"> Y, Osaka, H. </w:t>
      </w:r>
      <w:r w:rsidRPr="00621CBF">
        <w:rPr>
          <w:rFonts w:ascii="Arial" w:hAnsi="Arial" w:cs="Arial"/>
          <w:i/>
        </w:rPr>
        <w:t>et al.</w:t>
      </w:r>
      <w:r w:rsidRPr="00621CBF">
        <w:rPr>
          <w:rFonts w:ascii="Arial" w:hAnsi="Arial" w:cs="Arial"/>
        </w:rPr>
        <w:t xml:space="preserve"> (2009) </w:t>
      </w:r>
      <w:r w:rsidRPr="00621CBF">
        <w:rPr>
          <w:rFonts w:ascii="Arial" w:hAnsi="Arial" w:cs="Arial"/>
          <w:i/>
        </w:rPr>
        <w:t>De novo</w:t>
      </w:r>
      <w:r w:rsidRPr="00621CBF">
        <w:rPr>
          <w:rFonts w:ascii="Arial" w:hAnsi="Arial" w:cs="Arial"/>
        </w:rPr>
        <w:t xml:space="preserve"> mutations of voltage-gated sodium channel alpha II gene </w:t>
      </w:r>
      <w:r w:rsidRPr="00621CBF">
        <w:rPr>
          <w:rFonts w:ascii="Arial" w:hAnsi="Arial" w:cs="Arial"/>
          <w:i/>
        </w:rPr>
        <w:t>SCN2A</w:t>
      </w:r>
      <w:r w:rsidRPr="00621CBF">
        <w:rPr>
          <w:rFonts w:ascii="Arial" w:hAnsi="Arial" w:cs="Arial"/>
        </w:rPr>
        <w:t xml:space="preserve"> in intractable epilepsies. </w:t>
      </w:r>
      <w:r w:rsidRPr="00621CBF">
        <w:rPr>
          <w:rFonts w:ascii="Arial" w:hAnsi="Arial" w:cs="Arial"/>
          <w:i/>
          <w:iCs/>
        </w:rPr>
        <w:t>Neurology</w:t>
      </w:r>
      <w:r w:rsidRPr="00621CBF">
        <w:rPr>
          <w:rFonts w:ascii="Arial" w:hAnsi="Arial" w:cs="Arial"/>
        </w:rPr>
        <w:t>.</w:t>
      </w:r>
      <w:proofErr w:type="gramStart"/>
      <w:r w:rsidRPr="00621CBF">
        <w:rPr>
          <w:rFonts w:ascii="Arial" w:hAnsi="Arial" w:cs="Arial"/>
        </w:rPr>
        <w:t>;73:1046</w:t>
      </w:r>
      <w:proofErr w:type="gramEnd"/>
      <w:r w:rsidRPr="00621CBF">
        <w:rPr>
          <w:rFonts w:ascii="Arial" w:hAnsi="Arial" w:cs="Arial"/>
        </w:rPr>
        <w:t xml:space="preserve">–1053. </w:t>
      </w:r>
      <w:proofErr w:type="spellStart"/>
      <w:proofErr w:type="gramStart"/>
      <w:r w:rsidR="0078370F" w:rsidRPr="00621CBF">
        <w:rPr>
          <w:rFonts w:ascii="Arial" w:hAnsi="Arial" w:cs="Arial"/>
          <w:shd w:val="clear" w:color="auto" w:fill="FFFFFF"/>
        </w:rPr>
        <w:t>doi</w:t>
      </w:r>
      <w:proofErr w:type="spellEnd"/>
      <w:proofErr w:type="gramEnd"/>
      <w:r w:rsidR="0078370F" w:rsidRPr="00621CBF">
        <w:rPr>
          <w:rFonts w:ascii="Arial" w:hAnsi="Arial" w:cs="Arial"/>
          <w:shd w:val="clear" w:color="auto" w:fill="FFFFFF"/>
        </w:rPr>
        <w:t>: 10.1212/WNL.0b013e3181b9cebc.</w:t>
      </w:r>
    </w:p>
    <w:p w14:paraId="409341AC" w14:textId="77777777" w:rsidR="00701E53" w:rsidRPr="00621CBF" w:rsidRDefault="00701E53" w:rsidP="00621CBF">
      <w:pPr>
        <w:rPr>
          <w:rFonts w:ascii="Arial" w:hAnsi="Arial" w:cs="Arial"/>
          <w:shd w:val="clear" w:color="auto" w:fill="FFFFFF"/>
        </w:rPr>
      </w:pPr>
    </w:p>
    <w:p w14:paraId="39184F84" w14:textId="0E7D99FB" w:rsidR="00E636FB" w:rsidRPr="00621CBF" w:rsidRDefault="00E636FB" w:rsidP="00621CBF">
      <w:pPr>
        <w:ind w:left="142"/>
        <w:rPr>
          <w:rStyle w:val="Hyperlink"/>
          <w:rFonts w:ascii="Arial" w:hAnsi="Arial" w:cs="Arial"/>
          <w:color w:val="auto"/>
          <w:u w:val="none"/>
          <w:shd w:val="clear" w:color="auto" w:fill="FFFFFF"/>
        </w:rPr>
      </w:pPr>
      <w:r w:rsidRPr="00621CBF">
        <w:rPr>
          <w:rFonts w:ascii="Arial" w:hAnsi="Arial" w:cs="Arial"/>
          <w:shd w:val="clear" w:color="auto" w:fill="FFFFFF"/>
        </w:rPr>
        <w:t>Online Mendelian Inheritance in Man, OMIM</w:t>
      </w:r>
      <w:r w:rsidRPr="00621CBF">
        <w:rPr>
          <w:rFonts w:ascii="Arial" w:hAnsi="Arial" w:cs="Arial"/>
          <w:shd w:val="clear" w:color="auto" w:fill="FFFFFF"/>
          <w:vertAlign w:val="superscript"/>
        </w:rPr>
        <w:t>®</w:t>
      </w:r>
      <w:r w:rsidRPr="00621CBF">
        <w:rPr>
          <w:rFonts w:ascii="Arial" w:hAnsi="Arial" w:cs="Arial"/>
          <w:shd w:val="clear" w:color="auto" w:fill="FFFFFF"/>
        </w:rPr>
        <w:t xml:space="preserve">. Johns Hopkins University, Baltimore, MD. MIM Number: </w:t>
      </w:r>
      <w:proofErr w:type="gramStart"/>
      <w:r w:rsidRPr="00621CBF">
        <w:rPr>
          <w:rFonts w:ascii="Arial" w:hAnsi="Arial" w:cs="Arial"/>
          <w:shd w:val="clear" w:color="auto" w:fill="FFFFFF"/>
        </w:rPr>
        <w:t>182390 :</w:t>
      </w:r>
      <w:proofErr w:type="gramEnd"/>
      <w:r w:rsidRPr="00621CBF">
        <w:rPr>
          <w:rFonts w:ascii="Arial" w:hAnsi="Arial" w:cs="Arial"/>
          <w:shd w:val="clear" w:color="auto" w:fill="FFFFFF"/>
        </w:rPr>
        <w:t xml:space="preserve">  09/01/2020: URL: </w:t>
      </w:r>
      <w:hyperlink r:id="rId11" w:history="1">
        <w:r w:rsidRPr="00621CBF">
          <w:rPr>
            <w:rStyle w:val="Hyperlink"/>
            <w:rFonts w:ascii="Arial" w:hAnsi="Arial" w:cs="Arial"/>
            <w:color w:val="auto"/>
            <w:u w:val="none"/>
            <w:shd w:val="clear" w:color="auto" w:fill="FFFFFF"/>
          </w:rPr>
          <w:t>https://omim.org/</w:t>
        </w:r>
      </w:hyperlink>
    </w:p>
    <w:p w14:paraId="0388E597" w14:textId="77777777" w:rsidR="0078370F" w:rsidRPr="00621CBF" w:rsidRDefault="0078370F" w:rsidP="00621CBF">
      <w:pPr>
        <w:ind w:left="142"/>
        <w:rPr>
          <w:rFonts w:ascii="Arial" w:hAnsi="Arial" w:cs="Arial"/>
        </w:rPr>
      </w:pPr>
    </w:p>
    <w:p w14:paraId="09014BC4" w14:textId="5190CDDA" w:rsidR="00E636FB" w:rsidRPr="00621CBF" w:rsidRDefault="00E636FB" w:rsidP="00621CBF">
      <w:pPr>
        <w:ind w:left="142"/>
        <w:rPr>
          <w:rFonts w:ascii="Arial" w:hAnsi="Arial" w:cs="Arial"/>
        </w:rPr>
      </w:pPr>
      <w:r w:rsidRPr="00621CBF">
        <w:rPr>
          <w:rFonts w:ascii="Arial" w:hAnsi="Arial" w:cs="Arial"/>
        </w:rPr>
        <w:t xml:space="preserve">Reynolds C., King MD., and Gorman KM. (2020). The phenotypic spectrum of </w:t>
      </w:r>
      <w:r w:rsidRPr="00621CBF">
        <w:rPr>
          <w:rFonts w:ascii="Arial" w:hAnsi="Arial" w:cs="Arial"/>
          <w:i/>
        </w:rPr>
        <w:t>SCN2A</w:t>
      </w:r>
      <w:r w:rsidRPr="00621CBF">
        <w:rPr>
          <w:rFonts w:ascii="Arial" w:hAnsi="Arial" w:cs="Arial"/>
        </w:rPr>
        <w:t xml:space="preserve">-related epilepsy. Eur. </w:t>
      </w:r>
      <w:proofErr w:type="spellStart"/>
      <w:r w:rsidRPr="00621CBF">
        <w:rPr>
          <w:rFonts w:ascii="Arial" w:hAnsi="Arial" w:cs="Arial"/>
        </w:rPr>
        <w:t>J.Paed.c</w:t>
      </w:r>
      <w:proofErr w:type="spellEnd"/>
      <w:r w:rsidRPr="00621CBF">
        <w:rPr>
          <w:rFonts w:ascii="Arial" w:hAnsi="Arial" w:cs="Arial"/>
        </w:rPr>
        <w:t xml:space="preserve"> Neurol. 24 117-122</w:t>
      </w:r>
      <w:r w:rsidR="0078370F" w:rsidRPr="00621CBF">
        <w:rPr>
          <w:rFonts w:ascii="Arial" w:hAnsi="Arial" w:cs="Arial"/>
        </w:rPr>
        <w:t>.</w:t>
      </w:r>
      <w:r w:rsidR="0078370F" w:rsidRPr="00621CBF">
        <w:rPr>
          <w:rFonts w:ascii="Arial" w:hAnsi="Arial" w:cs="Arial"/>
          <w:shd w:val="clear" w:color="auto" w:fill="FFFFFF"/>
        </w:rPr>
        <w:t>doi: 10.1016/j.ejpn.2019.12.016.</w:t>
      </w:r>
    </w:p>
    <w:p w14:paraId="65AF39AC" w14:textId="77777777" w:rsidR="0078370F" w:rsidRPr="00621CBF" w:rsidRDefault="0078370F" w:rsidP="00621CBF">
      <w:pPr>
        <w:ind w:left="142"/>
        <w:rPr>
          <w:rFonts w:ascii="Arial" w:hAnsi="Arial" w:cs="Arial"/>
        </w:rPr>
      </w:pPr>
    </w:p>
    <w:p w14:paraId="123DA1B2" w14:textId="3240A3FD" w:rsidR="00701E53" w:rsidRPr="00621CBF" w:rsidRDefault="00701E53" w:rsidP="00621CBF">
      <w:pPr>
        <w:autoSpaceDE w:val="0"/>
        <w:autoSpaceDN w:val="0"/>
        <w:adjustRightInd w:val="0"/>
        <w:ind w:left="142"/>
        <w:rPr>
          <w:rFonts w:ascii="Arial" w:hAnsi="Arial" w:cs="Arial"/>
        </w:rPr>
      </w:pPr>
      <w:r w:rsidRPr="00621CBF">
        <w:rPr>
          <w:rFonts w:ascii="Arial" w:hAnsi="Arial" w:cs="Arial"/>
        </w:rPr>
        <w:t xml:space="preserve">Richards, S., Aziz, N., Bale, S., Bick, D. et al. (2015). </w:t>
      </w:r>
      <w:r w:rsidRPr="00621CBF">
        <w:rPr>
          <w:rFonts w:ascii="Arial" w:hAnsi="Arial" w:cs="Arial"/>
          <w:bCs/>
          <w:kern w:val="36"/>
        </w:rPr>
        <w:t xml:space="preserve">Standards and guidelines for the interpretation of sequence variants: a joint consensus recommendation of the American College of Medical Genetics and Genomics and the Association for Molecular Pathology. </w:t>
      </w:r>
      <w:r w:rsidRPr="00621CBF">
        <w:rPr>
          <w:rFonts w:ascii="Arial" w:hAnsi="Arial" w:cs="Arial"/>
          <w:i/>
        </w:rPr>
        <w:t>Genetic Med.</w:t>
      </w:r>
      <w:r w:rsidRPr="00621CBF">
        <w:rPr>
          <w:rFonts w:ascii="Arial" w:hAnsi="Arial" w:cs="Arial"/>
        </w:rPr>
        <w:t xml:space="preserve"> </w:t>
      </w:r>
      <w:proofErr w:type="gramStart"/>
      <w:r w:rsidRPr="00621CBF">
        <w:rPr>
          <w:rFonts w:ascii="Arial" w:hAnsi="Arial" w:cs="Arial"/>
        </w:rPr>
        <w:t>17 :</w:t>
      </w:r>
      <w:proofErr w:type="gramEnd"/>
      <w:r w:rsidRPr="00621CBF">
        <w:rPr>
          <w:rFonts w:ascii="Arial" w:hAnsi="Arial" w:cs="Arial"/>
        </w:rPr>
        <w:t>405-24</w:t>
      </w:r>
      <w:r w:rsidR="004368DF" w:rsidRPr="00621CBF">
        <w:rPr>
          <w:rFonts w:ascii="Arial" w:hAnsi="Arial" w:cs="Arial"/>
        </w:rPr>
        <w:t xml:space="preserve">. </w:t>
      </w:r>
      <w:proofErr w:type="spellStart"/>
      <w:proofErr w:type="gramStart"/>
      <w:r w:rsidR="004368DF" w:rsidRPr="00621CBF">
        <w:rPr>
          <w:rFonts w:ascii="Arial" w:hAnsi="Arial" w:cs="Arial"/>
          <w:shd w:val="clear" w:color="auto" w:fill="FFFFFF"/>
        </w:rPr>
        <w:t>doi</w:t>
      </w:r>
      <w:proofErr w:type="spellEnd"/>
      <w:proofErr w:type="gramEnd"/>
      <w:r w:rsidR="004368DF" w:rsidRPr="00621CBF">
        <w:rPr>
          <w:rFonts w:ascii="Arial" w:hAnsi="Arial" w:cs="Arial"/>
          <w:shd w:val="clear" w:color="auto" w:fill="FFFFFF"/>
        </w:rPr>
        <w:t>: 10.1038/gim.2015.30. </w:t>
      </w:r>
    </w:p>
    <w:p w14:paraId="015E1AFA" w14:textId="77777777" w:rsidR="00701E53" w:rsidRPr="00621CBF" w:rsidRDefault="00701E53" w:rsidP="00621CBF">
      <w:pPr>
        <w:autoSpaceDE w:val="0"/>
        <w:autoSpaceDN w:val="0"/>
        <w:adjustRightInd w:val="0"/>
        <w:ind w:left="142"/>
        <w:rPr>
          <w:rFonts w:ascii="Arial" w:hAnsi="Arial" w:cs="Arial"/>
        </w:rPr>
      </w:pPr>
    </w:p>
    <w:p w14:paraId="39D7BCD3" w14:textId="21CC8BAE" w:rsidR="00701E53" w:rsidRPr="00621CBF" w:rsidRDefault="00701E53" w:rsidP="00621CBF">
      <w:pPr>
        <w:autoSpaceDE w:val="0"/>
        <w:autoSpaceDN w:val="0"/>
        <w:adjustRightInd w:val="0"/>
        <w:ind w:left="142"/>
        <w:rPr>
          <w:rFonts w:ascii="Arial" w:hAnsi="Arial" w:cs="Arial"/>
          <w:shd w:val="clear" w:color="auto" w:fill="FFFFFF"/>
        </w:rPr>
      </w:pPr>
      <w:r w:rsidRPr="00621CBF">
        <w:rPr>
          <w:rFonts w:ascii="Arial" w:hAnsi="Arial" w:cs="Arial"/>
        </w:rPr>
        <w:t xml:space="preserve">Sanders SJ, Campbell AF, Cottrell JR, Moller RS </w:t>
      </w:r>
      <w:r w:rsidRPr="00621CBF">
        <w:rPr>
          <w:rFonts w:ascii="Arial" w:hAnsi="Arial" w:cs="Arial"/>
          <w:i/>
        </w:rPr>
        <w:t>et al.</w:t>
      </w:r>
      <w:r w:rsidRPr="00621CBF">
        <w:rPr>
          <w:rFonts w:ascii="Arial" w:hAnsi="Arial" w:cs="Arial"/>
        </w:rPr>
        <w:t xml:space="preserve"> (2018).</w:t>
      </w:r>
      <w:r w:rsidRPr="00621CBF">
        <w:rPr>
          <w:rFonts w:ascii="Arial" w:hAnsi="Arial" w:cs="Arial"/>
          <w:bCs/>
        </w:rPr>
        <w:t xml:space="preserve"> Progress in understanding and treating </w:t>
      </w:r>
      <w:r w:rsidRPr="00621CBF">
        <w:rPr>
          <w:rFonts w:ascii="Arial" w:hAnsi="Arial" w:cs="Arial"/>
          <w:bCs/>
          <w:i/>
          <w:iCs/>
        </w:rPr>
        <w:t>SCN2A</w:t>
      </w:r>
      <w:r w:rsidRPr="00621CBF">
        <w:rPr>
          <w:rFonts w:ascii="Arial" w:hAnsi="Arial" w:cs="Arial"/>
          <w:bCs/>
        </w:rPr>
        <w:t xml:space="preserve">-mediated disorders. </w:t>
      </w:r>
      <w:r w:rsidRPr="00621CBF">
        <w:rPr>
          <w:rFonts w:ascii="Arial" w:hAnsi="Arial" w:cs="Arial"/>
          <w:i/>
        </w:rPr>
        <w:t xml:space="preserve">Trends </w:t>
      </w:r>
      <w:proofErr w:type="spellStart"/>
      <w:proofErr w:type="gramStart"/>
      <w:r w:rsidRPr="00621CBF">
        <w:rPr>
          <w:rFonts w:ascii="Arial" w:hAnsi="Arial" w:cs="Arial"/>
          <w:i/>
        </w:rPr>
        <w:t>Neurosci</w:t>
      </w:r>
      <w:proofErr w:type="spellEnd"/>
      <w:r w:rsidRPr="00621CBF">
        <w:rPr>
          <w:rFonts w:ascii="Arial" w:hAnsi="Arial" w:cs="Arial"/>
        </w:rPr>
        <w:t>.;</w:t>
      </w:r>
      <w:proofErr w:type="gramEnd"/>
      <w:r w:rsidRPr="00621CBF">
        <w:rPr>
          <w:rFonts w:ascii="Arial" w:hAnsi="Arial" w:cs="Arial"/>
        </w:rPr>
        <w:t xml:space="preserve"> 41: 442–456. </w:t>
      </w:r>
      <w:proofErr w:type="spellStart"/>
      <w:proofErr w:type="gramStart"/>
      <w:r w:rsidR="004368DF" w:rsidRPr="00621CBF">
        <w:rPr>
          <w:rFonts w:ascii="Arial" w:hAnsi="Arial" w:cs="Arial"/>
          <w:shd w:val="clear" w:color="auto" w:fill="FFFFFF"/>
        </w:rPr>
        <w:t>doi</w:t>
      </w:r>
      <w:proofErr w:type="spellEnd"/>
      <w:proofErr w:type="gramEnd"/>
      <w:r w:rsidR="004368DF" w:rsidRPr="00621CBF">
        <w:rPr>
          <w:rFonts w:ascii="Arial" w:hAnsi="Arial" w:cs="Arial"/>
          <w:shd w:val="clear" w:color="auto" w:fill="FFFFFF"/>
        </w:rPr>
        <w:t>: 10.1016/j.tins.2018.03.011. </w:t>
      </w:r>
    </w:p>
    <w:p w14:paraId="3F175ABE" w14:textId="7E00FE44" w:rsidR="00621CBF" w:rsidRPr="00621CBF" w:rsidRDefault="00621CBF" w:rsidP="00621CBF">
      <w:pPr>
        <w:autoSpaceDE w:val="0"/>
        <w:autoSpaceDN w:val="0"/>
        <w:adjustRightInd w:val="0"/>
        <w:ind w:left="142"/>
        <w:rPr>
          <w:rFonts w:ascii="Arial" w:hAnsi="Arial" w:cs="Arial"/>
          <w:shd w:val="clear" w:color="auto" w:fill="FFFFFF"/>
        </w:rPr>
      </w:pPr>
    </w:p>
    <w:p w14:paraId="07276F57" w14:textId="1CA6EE95" w:rsidR="00621CBF" w:rsidRPr="00621CBF" w:rsidRDefault="00621CBF" w:rsidP="00621CBF">
      <w:pPr>
        <w:autoSpaceDE w:val="0"/>
        <w:autoSpaceDN w:val="0"/>
        <w:adjustRightInd w:val="0"/>
        <w:ind w:left="142"/>
        <w:rPr>
          <w:rFonts w:ascii="Arial" w:hAnsi="Arial" w:cs="Arial"/>
        </w:rPr>
      </w:pPr>
      <w:proofErr w:type="spellStart"/>
      <w:r w:rsidRPr="00621CBF">
        <w:rPr>
          <w:rFonts w:ascii="Arial" w:hAnsi="Arial" w:cs="Arial"/>
          <w:shd w:val="clear" w:color="auto" w:fill="FFFFFF"/>
        </w:rPr>
        <w:t>Scheffer</w:t>
      </w:r>
      <w:proofErr w:type="spellEnd"/>
      <w:r w:rsidRPr="00621CBF">
        <w:rPr>
          <w:rFonts w:ascii="Arial" w:hAnsi="Arial" w:cs="Arial"/>
          <w:shd w:val="clear" w:color="auto" w:fill="FFFFFF"/>
        </w:rPr>
        <w:t xml:space="preserve"> IE, </w:t>
      </w:r>
      <w:proofErr w:type="spellStart"/>
      <w:r w:rsidRPr="00621CBF">
        <w:rPr>
          <w:rFonts w:ascii="Arial" w:hAnsi="Arial" w:cs="Arial"/>
          <w:shd w:val="clear" w:color="auto" w:fill="FFFFFF"/>
        </w:rPr>
        <w:t>Berkovic</w:t>
      </w:r>
      <w:proofErr w:type="spellEnd"/>
      <w:r w:rsidRPr="00621CBF">
        <w:rPr>
          <w:rFonts w:ascii="Arial" w:hAnsi="Arial" w:cs="Arial"/>
          <w:shd w:val="clear" w:color="auto" w:fill="FFFFFF"/>
        </w:rPr>
        <w:t xml:space="preserve"> S, </w:t>
      </w:r>
      <w:proofErr w:type="spellStart"/>
      <w:r w:rsidRPr="00621CBF">
        <w:rPr>
          <w:rFonts w:ascii="Arial" w:hAnsi="Arial" w:cs="Arial"/>
          <w:shd w:val="clear" w:color="auto" w:fill="FFFFFF"/>
        </w:rPr>
        <w:t>Capovilla</w:t>
      </w:r>
      <w:proofErr w:type="spellEnd"/>
      <w:r w:rsidRPr="00621CBF">
        <w:rPr>
          <w:rFonts w:ascii="Arial" w:hAnsi="Arial" w:cs="Arial"/>
          <w:shd w:val="clear" w:color="auto" w:fill="FFFFFF"/>
        </w:rPr>
        <w:t xml:space="preserve"> G, Connolly MB </w:t>
      </w:r>
      <w:r w:rsidRPr="00621CBF">
        <w:rPr>
          <w:rFonts w:ascii="Arial" w:hAnsi="Arial" w:cs="Arial"/>
          <w:i/>
          <w:shd w:val="clear" w:color="auto" w:fill="FFFFFF"/>
        </w:rPr>
        <w:t>et al</w:t>
      </w:r>
      <w:r w:rsidRPr="00621CBF">
        <w:rPr>
          <w:rFonts w:ascii="Arial" w:hAnsi="Arial" w:cs="Arial"/>
          <w:shd w:val="clear" w:color="auto" w:fill="FFFFFF"/>
        </w:rPr>
        <w:t>. (2017) ILAE classification of the epilepsies: Position paper of the ILAE Commission for Classification and Terminology. Epilepsia.</w:t>
      </w:r>
      <w:proofErr w:type="gramStart"/>
      <w:r w:rsidRPr="00621CBF">
        <w:rPr>
          <w:rFonts w:ascii="Arial" w:hAnsi="Arial" w:cs="Arial"/>
          <w:shd w:val="clear" w:color="auto" w:fill="FFFFFF"/>
        </w:rPr>
        <w:t>;58:512</w:t>
      </w:r>
      <w:proofErr w:type="gramEnd"/>
      <w:r w:rsidRPr="00621CBF">
        <w:rPr>
          <w:rFonts w:ascii="Arial" w:hAnsi="Arial" w:cs="Arial"/>
          <w:shd w:val="clear" w:color="auto" w:fill="FFFFFF"/>
        </w:rPr>
        <w:t xml:space="preserve">-521. </w:t>
      </w:r>
      <w:proofErr w:type="spellStart"/>
      <w:proofErr w:type="gramStart"/>
      <w:r w:rsidRPr="00621CBF">
        <w:rPr>
          <w:rFonts w:ascii="Arial" w:hAnsi="Arial" w:cs="Arial"/>
          <w:shd w:val="clear" w:color="auto" w:fill="FFFFFF"/>
        </w:rPr>
        <w:t>doi</w:t>
      </w:r>
      <w:proofErr w:type="spellEnd"/>
      <w:proofErr w:type="gramEnd"/>
      <w:r w:rsidRPr="00621CBF">
        <w:rPr>
          <w:rFonts w:ascii="Arial" w:hAnsi="Arial" w:cs="Arial"/>
          <w:shd w:val="clear" w:color="auto" w:fill="FFFFFF"/>
        </w:rPr>
        <w:t>: 10.1111/epi.13709. </w:t>
      </w:r>
    </w:p>
    <w:p w14:paraId="68595CE0" w14:textId="474CE17B" w:rsidR="00E52213" w:rsidRPr="00621CBF" w:rsidRDefault="00E52213" w:rsidP="00621CBF">
      <w:pPr>
        <w:autoSpaceDE w:val="0"/>
        <w:autoSpaceDN w:val="0"/>
        <w:adjustRightInd w:val="0"/>
        <w:ind w:left="142"/>
        <w:rPr>
          <w:rFonts w:ascii="Arial" w:hAnsi="Arial" w:cs="Arial"/>
        </w:rPr>
      </w:pPr>
    </w:p>
    <w:p w14:paraId="34C4CD14" w14:textId="029258E4" w:rsidR="00E52213" w:rsidRPr="00621CBF" w:rsidRDefault="00E52213" w:rsidP="00621CBF">
      <w:pPr>
        <w:ind w:left="142"/>
        <w:rPr>
          <w:rFonts w:ascii="Arial" w:hAnsi="Arial" w:cs="Arial"/>
        </w:rPr>
      </w:pPr>
      <w:r w:rsidRPr="00621CBF">
        <w:rPr>
          <w:rFonts w:ascii="Arial" w:eastAsia="Arial" w:hAnsi="Arial" w:cs="Arial"/>
          <w:lang w:eastAsia="nl-NL"/>
        </w:rPr>
        <w:t xml:space="preserve">Schwarz N, </w:t>
      </w:r>
      <w:proofErr w:type="spellStart"/>
      <w:r w:rsidRPr="00621CBF">
        <w:rPr>
          <w:rFonts w:ascii="Arial" w:eastAsia="Arial" w:hAnsi="Arial" w:cs="Arial"/>
          <w:lang w:eastAsia="nl-NL"/>
        </w:rPr>
        <w:t>Bast</w:t>
      </w:r>
      <w:proofErr w:type="spellEnd"/>
      <w:r w:rsidRPr="00621CBF">
        <w:rPr>
          <w:rFonts w:ascii="Arial" w:eastAsia="Arial" w:hAnsi="Arial" w:cs="Arial"/>
          <w:lang w:eastAsia="nl-NL"/>
        </w:rPr>
        <w:t xml:space="preserve"> T, Gaily E,  </w:t>
      </w:r>
      <w:proofErr w:type="spellStart"/>
      <w:r w:rsidRPr="00621CBF">
        <w:rPr>
          <w:rFonts w:ascii="Arial" w:eastAsia="Arial" w:hAnsi="Arial" w:cs="Arial"/>
          <w:lang w:eastAsia="nl-NL"/>
        </w:rPr>
        <w:t>Golla</w:t>
      </w:r>
      <w:proofErr w:type="spellEnd"/>
      <w:r w:rsidRPr="00621CBF">
        <w:rPr>
          <w:rFonts w:ascii="Arial" w:eastAsia="Arial" w:hAnsi="Arial" w:cs="Arial"/>
          <w:lang w:eastAsia="nl-NL"/>
        </w:rPr>
        <w:t xml:space="preserve"> G, </w:t>
      </w:r>
      <w:r w:rsidRPr="00621CBF">
        <w:rPr>
          <w:rFonts w:ascii="Arial" w:eastAsia="Arial" w:hAnsi="Arial" w:cs="Arial"/>
          <w:i/>
          <w:lang w:eastAsia="nl-NL"/>
        </w:rPr>
        <w:t>et al</w:t>
      </w:r>
      <w:r w:rsidRPr="00621CBF">
        <w:rPr>
          <w:rFonts w:ascii="Arial" w:eastAsia="Arial" w:hAnsi="Arial" w:cs="Arial"/>
          <w:lang w:eastAsia="nl-NL"/>
        </w:rPr>
        <w:t xml:space="preserve">.,(2019) Clinical and genetic spectrum of </w:t>
      </w:r>
      <w:r w:rsidRPr="00621CBF">
        <w:rPr>
          <w:rFonts w:ascii="Arial" w:eastAsia="Arial" w:hAnsi="Arial" w:cs="Arial"/>
          <w:i/>
          <w:lang w:eastAsia="nl-NL"/>
        </w:rPr>
        <w:t>SCN2A</w:t>
      </w:r>
      <w:r w:rsidRPr="00621CBF">
        <w:rPr>
          <w:rFonts w:ascii="Arial" w:eastAsia="Arial" w:hAnsi="Arial" w:cs="Arial"/>
          <w:lang w:eastAsia="nl-NL"/>
        </w:rPr>
        <w:t xml:space="preserve">-associated episodic ataxia. </w:t>
      </w:r>
      <w:proofErr w:type="spellStart"/>
      <w:r w:rsidRPr="00621CBF">
        <w:rPr>
          <w:rFonts w:ascii="Arial" w:hAnsi="Arial" w:cs="Arial"/>
          <w:i/>
        </w:rPr>
        <w:t>Eur</w:t>
      </w:r>
      <w:proofErr w:type="spellEnd"/>
      <w:r w:rsidRPr="00621CBF">
        <w:rPr>
          <w:rFonts w:ascii="Arial" w:hAnsi="Arial" w:cs="Arial"/>
          <w:i/>
        </w:rPr>
        <w:t xml:space="preserve"> J </w:t>
      </w:r>
      <w:proofErr w:type="spellStart"/>
      <w:r w:rsidRPr="00621CBF">
        <w:rPr>
          <w:rFonts w:ascii="Arial" w:hAnsi="Arial" w:cs="Arial"/>
          <w:i/>
        </w:rPr>
        <w:t>Paediatr</w:t>
      </w:r>
      <w:proofErr w:type="spellEnd"/>
      <w:r w:rsidRPr="00621CBF">
        <w:rPr>
          <w:rFonts w:ascii="Arial" w:hAnsi="Arial" w:cs="Arial"/>
          <w:i/>
        </w:rPr>
        <w:t xml:space="preserve"> Neurol</w:t>
      </w:r>
      <w:r w:rsidRPr="00621CBF">
        <w:rPr>
          <w:rFonts w:ascii="Arial" w:hAnsi="Arial" w:cs="Arial"/>
        </w:rPr>
        <w:t xml:space="preserve">. </w:t>
      </w:r>
      <w:r w:rsidRPr="00621CBF">
        <w:rPr>
          <w:rFonts w:ascii="Arial" w:hAnsi="Arial" w:cs="Arial"/>
          <w:shd w:val="clear" w:color="auto" w:fill="FFFFFF"/>
        </w:rPr>
        <w:t>23:438-447.</w:t>
      </w:r>
      <w:r w:rsidRPr="00621CBF">
        <w:rPr>
          <w:rFonts w:ascii="Arial" w:hAnsi="Arial" w:cs="Arial"/>
        </w:rPr>
        <w:t xml:space="preserve"> </w:t>
      </w:r>
      <w:proofErr w:type="spellStart"/>
      <w:proofErr w:type="gramStart"/>
      <w:r w:rsidR="004368DF" w:rsidRPr="00621CBF">
        <w:rPr>
          <w:rFonts w:ascii="Arial" w:hAnsi="Arial" w:cs="Arial"/>
          <w:shd w:val="clear" w:color="auto" w:fill="FFFFFF"/>
        </w:rPr>
        <w:t>doi</w:t>
      </w:r>
      <w:proofErr w:type="spellEnd"/>
      <w:proofErr w:type="gramEnd"/>
      <w:r w:rsidR="004368DF" w:rsidRPr="00621CBF">
        <w:rPr>
          <w:rFonts w:ascii="Arial" w:hAnsi="Arial" w:cs="Arial"/>
          <w:shd w:val="clear" w:color="auto" w:fill="FFFFFF"/>
        </w:rPr>
        <w:t>: 10.1016/j.ejpn.2019.03.001. </w:t>
      </w:r>
    </w:p>
    <w:p w14:paraId="6B72F8EF" w14:textId="1175D01C" w:rsidR="00E52213" w:rsidRPr="00621CBF" w:rsidRDefault="00E52213" w:rsidP="00621CBF">
      <w:pPr>
        <w:autoSpaceDE w:val="0"/>
        <w:autoSpaceDN w:val="0"/>
        <w:adjustRightInd w:val="0"/>
        <w:ind w:left="142"/>
        <w:rPr>
          <w:rFonts w:ascii="Arial" w:hAnsi="Arial" w:cs="Arial"/>
          <w:bCs/>
        </w:rPr>
      </w:pPr>
    </w:p>
    <w:p w14:paraId="516B7D95" w14:textId="428A1ED4" w:rsidR="00E52213" w:rsidRPr="00621CBF" w:rsidRDefault="00E52213" w:rsidP="00621CBF">
      <w:pPr>
        <w:ind w:left="142"/>
        <w:rPr>
          <w:rFonts w:ascii="Arial" w:eastAsia="Arial" w:hAnsi="Arial" w:cs="Arial"/>
          <w:lang w:eastAsia="nl-NL"/>
        </w:rPr>
      </w:pPr>
      <w:r w:rsidRPr="00621CBF">
        <w:rPr>
          <w:rFonts w:ascii="Arial" w:hAnsi="Arial" w:cs="Arial"/>
        </w:rPr>
        <w:t xml:space="preserve">Stahl EA, Breen G, </w:t>
      </w:r>
      <w:proofErr w:type="spellStart"/>
      <w:r w:rsidRPr="00621CBF">
        <w:rPr>
          <w:rFonts w:ascii="Arial" w:hAnsi="Arial" w:cs="Arial"/>
        </w:rPr>
        <w:t>Forstner</w:t>
      </w:r>
      <w:proofErr w:type="spellEnd"/>
      <w:r w:rsidRPr="00621CBF">
        <w:rPr>
          <w:rFonts w:ascii="Arial" w:hAnsi="Arial" w:cs="Arial"/>
        </w:rPr>
        <w:t xml:space="preserve"> AJ, </w:t>
      </w:r>
      <w:proofErr w:type="spellStart"/>
      <w:r w:rsidRPr="00621CBF">
        <w:rPr>
          <w:rFonts w:ascii="Arial" w:hAnsi="Arial" w:cs="Arial"/>
        </w:rPr>
        <w:t>McQuillin</w:t>
      </w:r>
      <w:proofErr w:type="spellEnd"/>
      <w:r w:rsidRPr="00621CBF">
        <w:rPr>
          <w:rFonts w:ascii="Arial" w:hAnsi="Arial" w:cs="Arial"/>
        </w:rPr>
        <w:t xml:space="preserve"> A, </w:t>
      </w:r>
      <w:r w:rsidRPr="00621CBF">
        <w:rPr>
          <w:rFonts w:ascii="Arial" w:hAnsi="Arial" w:cs="Arial"/>
          <w:i/>
        </w:rPr>
        <w:t>et al</w:t>
      </w:r>
      <w:r w:rsidRPr="00621CBF">
        <w:rPr>
          <w:rFonts w:ascii="Arial" w:hAnsi="Arial" w:cs="Arial"/>
        </w:rPr>
        <w:t xml:space="preserve">.  Genome-wide association study identifies 30 loci associated with bipolar disorders. </w:t>
      </w:r>
      <w:hyperlink r:id="rId12" w:tgtFrame="_blank" w:history="1">
        <w:r w:rsidRPr="00621CBF">
          <w:rPr>
            <w:rStyle w:val="cit"/>
            <w:rFonts w:ascii="Arial" w:hAnsi="Arial" w:cs="Arial"/>
            <w:i/>
            <w:shd w:val="clear" w:color="auto" w:fill="FFFFFF"/>
          </w:rPr>
          <w:t>Nat Genet</w:t>
        </w:r>
        <w:r w:rsidRPr="00621CBF">
          <w:rPr>
            <w:rStyle w:val="cit"/>
            <w:rFonts w:ascii="Arial" w:hAnsi="Arial" w:cs="Arial"/>
            <w:shd w:val="clear" w:color="auto" w:fill="FFFFFF"/>
          </w:rPr>
          <w:t>. 2019 May; 51: 793–803.</w:t>
        </w:r>
      </w:hyperlink>
      <w:r w:rsidR="004368DF" w:rsidRPr="00621CBF">
        <w:rPr>
          <w:rFonts w:ascii="Arial" w:hAnsi="Arial" w:cs="Arial"/>
          <w:shd w:val="clear" w:color="auto" w:fill="FFFFFF"/>
        </w:rPr>
        <w:t xml:space="preserve"> </w:t>
      </w:r>
      <w:proofErr w:type="spellStart"/>
      <w:proofErr w:type="gramStart"/>
      <w:r w:rsidR="004368DF" w:rsidRPr="00621CBF">
        <w:rPr>
          <w:rFonts w:ascii="Arial" w:hAnsi="Arial" w:cs="Arial"/>
          <w:shd w:val="clear" w:color="auto" w:fill="FFFFFF"/>
        </w:rPr>
        <w:t>doi</w:t>
      </w:r>
      <w:proofErr w:type="spellEnd"/>
      <w:proofErr w:type="gramEnd"/>
      <w:r w:rsidR="004368DF" w:rsidRPr="00621CBF">
        <w:rPr>
          <w:rFonts w:ascii="Arial" w:hAnsi="Arial" w:cs="Arial"/>
          <w:shd w:val="clear" w:color="auto" w:fill="FFFFFF"/>
        </w:rPr>
        <w:t>: 10.1038/s41588-019-0397-8. </w:t>
      </w:r>
    </w:p>
    <w:p w14:paraId="6FBD6F80" w14:textId="77777777" w:rsidR="00E52213" w:rsidRPr="00621CBF" w:rsidRDefault="00E52213" w:rsidP="00621CBF">
      <w:pPr>
        <w:autoSpaceDE w:val="0"/>
        <w:autoSpaceDN w:val="0"/>
        <w:adjustRightInd w:val="0"/>
        <w:ind w:left="142"/>
        <w:rPr>
          <w:rFonts w:ascii="Arial" w:hAnsi="Arial" w:cs="Arial"/>
          <w:bCs/>
        </w:rPr>
      </w:pPr>
    </w:p>
    <w:p w14:paraId="5E6280FC" w14:textId="50F1B741" w:rsidR="00701E53" w:rsidRPr="00621CBF" w:rsidRDefault="00701E53" w:rsidP="00621CBF">
      <w:pPr>
        <w:autoSpaceDE w:val="0"/>
        <w:autoSpaceDN w:val="0"/>
        <w:adjustRightInd w:val="0"/>
        <w:ind w:left="142"/>
        <w:rPr>
          <w:rFonts w:ascii="Arial" w:hAnsi="Arial" w:cs="Arial"/>
        </w:rPr>
      </w:pPr>
      <w:proofErr w:type="spellStart"/>
      <w:r w:rsidRPr="00621CBF">
        <w:rPr>
          <w:rFonts w:ascii="Arial" w:hAnsi="Arial" w:cs="Arial"/>
        </w:rPr>
        <w:t>Staněk</w:t>
      </w:r>
      <w:proofErr w:type="spellEnd"/>
      <w:r w:rsidRPr="00621CBF">
        <w:rPr>
          <w:rFonts w:ascii="Arial" w:hAnsi="Arial" w:cs="Arial"/>
        </w:rPr>
        <w:t xml:space="preserve"> D, </w:t>
      </w:r>
      <w:proofErr w:type="spellStart"/>
      <w:r w:rsidRPr="00621CBF">
        <w:rPr>
          <w:rFonts w:ascii="Arial" w:hAnsi="Arial" w:cs="Arial"/>
        </w:rPr>
        <w:t>Laššuthová</w:t>
      </w:r>
      <w:proofErr w:type="spellEnd"/>
      <w:r w:rsidRPr="00621CBF">
        <w:rPr>
          <w:rFonts w:ascii="Arial" w:hAnsi="Arial" w:cs="Arial"/>
        </w:rPr>
        <w:t xml:space="preserve"> P, </w:t>
      </w:r>
      <w:proofErr w:type="spellStart"/>
      <w:r w:rsidRPr="00621CBF">
        <w:rPr>
          <w:rFonts w:ascii="Arial" w:hAnsi="Arial" w:cs="Arial"/>
        </w:rPr>
        <w:t>Štěrbová</w:t>
      </w:r>
      <w:proofErr w:type="spellEnd"/>
      <w:r w:rsidRPr="00621CBF">
        <w:rPr>
          <w:rFonts w:ascii="Arial" w:hAnsi="Arial" w:cs="Arial"/>
        </w:rPr>
        <w:t xml:space="preserve"> K, </w:t>
      </w:r>
      <w:proofErr w:type="spellStart"/>
      <w:r w:rsidRPr="00621CBF">
        <w:rPr>
          <w:rFonts w:ascii="Arial" w:hAnsi="Arial" w:cs="Arial"/>
        </w:rPr>
        <w:t>Vlčková</w:t>
      </w:r>
      <w:proofErr w:type="spellEnd"/>
      <w:r w:rsidRPr="00621CBF">
        <w:rPr>
          <w:rFonts w:ascii="Arial" w:hAnsi="Arial" w:cs="Arial"/>
        </w:rPr>
        <w:t xml:space="preserve"> M. </w:t>
      </w:r>
      <w:r w:rsidRPr="00621CBF">
        <w:rPr>
          <w:rFonts w:ascii="Arial" w:hAnsi="Arial" w:cs="Arial"/>
          <w:i/>
        </w:rPr>
        <w:t>et al</w:t>
      </w:r>
      <w:r w:rsidRPr="00621CBF">
        <w:rPr>
          <w:rFonts w:ascii="Arial" w:hAnsi="Arial" w:cs="Arial"/>
        </w:rPr>
        <w:t xml:space="preserve">. (2018). Detection rate of causal variants in severe childhood epilepsy is highest in patients with seizure </w:t>
      </w:r>
      <w:r w:rsidRPr="00621CBF">
        <w:rPr>
          <w:rFonts w:ascii="Arial" w:hAnsi="Arial" w:cs="Arial"/>
        </w:rPr>
        <w:lastRenderedPageBreak/>
        <w:t xml:space="preserve">onset within the first four weeks of life. </w:t>
      </w:r>
      <w:proofErr w:type="spellStart"/>
      <w:r w:rsidRPr="00621CBF">
        <w:rPr>
          <w:rFonts w:ascii="Arial" w:hAnsi="Arial" w:cs="Arial"/>
          <w:i/>
        </w:rPr>
        <w:t>Orphanet</w:t>
      </w:r>
      <w:proofErr w:type="spellEnd"/>
      <w:r w:rsidRPr="00621CBF">
        <w:rPr>
          <w:rFonts w:ascii="Arial" w:hAnsi="Arial" w:cs="Arial"/>
          <w:i/>
        </w:rPr>
        <w:t xml:space="preserve"> Journal of Rare Diseases</w:t>
      </w:r>
      <w:r w:rsidRPr="00621CBF">
        <w:rPr>
          <w:rFonts w:ascii="Arial" w:hAnsi="Arial" w:cs="Arial"/>
        </w:rPr>
        <w:t xml:space="preserve">. </w:t>
      </w:r>
      <w:proofErr w:type="gramStart"/>
      <w:r w:rsidRPr="00621CBF">
        <w:rPr>
          <w:rFonts w:ascii="Arial" w:hAnsi="Arial" w:cs="Arial"/>
        </w:rPr>
        <w:t>13</w:t>
      </w:r>
      <w:proofErr w:type="gramEnd"/>
      <w:r w:rsidRPr="00621CBF">
        <w:rPr>
          <w:rFonts w:ascii="Arial" w:hAnsi="Arial" w:cs="Arial"/>
        </w:rPr>
        <w:t>:71</w:t>
      </w:r>
      <w:r w:rsidR="004368DF" w:rsidRPr="00621CBF">
        <w:rPr>
          <w:rFonts w:ascii="Arial" w:hAnsi="Arial" w:cs="Arial"/>
        </w:rPr>
        <w:t xml:space="preserve">. </w:t>
      </w:r>
      <w:proofErr w:type="spellStart"/>
      <w:r w:rsidR="004368DF" w:rsidRPr="00621CBF">
        <w:rPr>
          <w:rFonts w:ascii="Arial" w:hAnsi="Arial" w:cs="Arial"/>
          <w:shd w:val="clear" w:color="auto" w:fill="FFFFFF"/>
        </w:rPr>
        <w:t>doi</w:t>
      </w:r>
      <w:proofErr w:type="spellEnd"/>
      <w:r w:rsidR="004368DF" w:rsidRPr="00621CBF">
        <w:rPr>
          <w:rFonts w:ascii="Arial" w:hAnsi="Arial" w:cs="Arial"/>
          <w:shd w:val="clear" w:color="auto" w:fill="FFFFFF"/>
        </w:rPr>
        <w:t>: 10.1186/s13023-018-0812-8.</w:t>
      </w:r>
    </w:p>
    <w:p w14:paraId="085F892C" w14:textId="541E13E8" w:rsidR="00E52213" w:rsidRPr="00621CBF" w:rsidRDefault="00E52213" w:rsidP="00621CBF">
      <w:pPr>
        <w:autoSpaceDE w:val="0"/>
        <w:autoSpaceDN w:val="0"/>
        <w:adjustRightInd w:val="0"/>
        <w:ind w:left="142"/>
        <w:rPr>
          <w:rFonts w:ascii="Arial" w:hAnsi="Arial" w:cs="Arial"/>
        </w:rPr>
      </w:pPr>
    </w:p>
    <w:p w14:paraId="7A479E7D" w14:textId="6C441351" w:rsidR="00E52213" w:rsidRPr="00621CBF" w:rsidRDefault="00E52213" w:rsidP="00621CBF">
      <w:pPr>
        <w:autoSpaceDE w:val="0"/>
        <w:autoSpaceDN w:val="0"/>
        <w:adjustRightInd w:val="0"/>
        <w:ind w:left="142"/>
        <w:rPr>
          <w:rFonts w:ascii="Arial" w:hAnsi="Arial" w:cs="Arial"/>
          <w:shd w:val="clear" w:color="auto" w:fill="FFFFFF"/>
        </w:rPr>
      </w:pPr>
      <w:proofErr w:type="spellStart"/>
      <w:r w:rsidRPr="00621CBF">
        <w:rPr>
          <w:rFonts w:ascii="Arial" w:hAnsi="Arial" w:cs="Arial"/>
        </w:rPr>
        <w:t>Stosser</w:t>
      </w:r>
      <w:proofErr w:type="spellEnd"/>
      <w:r w:rsidRPr="00621CBF">
        <w:rPr>
          <w:rFonts w:ascii="Arial" w:hAnsi="Arial" w:cs="Arial"/>
        </w:rPr>
        <w:t xml:space="preserve"> MB</w:t>
      </w:r>
      <w:proofErr w:type="gramStart"/>
      <w:r w:rsidRPr="00621CBF">
        <w:rPr>
          <w:rFonts w:ascii="Arial" w:hAnsi="Arial" w:cs="Arial"/>
        </w:rPr>
        <w:t>,  Lindy</w:t>
      </w:r>
      <w:proofErr w:type="gramEnd"/>
      <w:r w:rsidRPr="00621CBF">
        <w:rPr>
          <w:rFonts w:ascii="Arial" w:hAnsi="Arial" w:cs="Arial"/>
        </w:rPr>
        <w:t xml:space="preserve"> AS, Butler E, </w:t>
      </w:r>
      <w:proofErr w:type="spellStart"/>
      <w:r w:rsidRPr="00621CBF">
        <w:rPr>
          <w:rFonts w:ascii="Arial" w:hAnsi="Arial" w:cs="Arial"/>
        </w:rPr>
        <w:t>Retterer</w:t>
      </w:r>
      <w:proofErr w:type="spellEnd"/>
      <w:r w:rsidRPr="00621CBF">
        <w:rPr>
          <w:rFonts w:ascii="Arial" w:hAnsi="Arial" w:cs="Arial"/>
        </w:rPr>
        <w:t xml:space="preserve"> K, </w:t>
      </w:r>
      <w:r w:rsidRPr="00621CBF">
        <w:rPr>
          <w:rFonts w:ascii="Arial" w:hAnsi="Arial" w:cs="Arial"/>
          <w:i/>
        </w:rPr>
        <w:t>et al</w:t>
      </w:r>
      <w:r w:rsidRPr="00621CBF">
        <w:rPr>
          <w:rFonts w:ascii="Arial" w:hAnsi="Arial" w:cs="Arial"/>
        </w:rPr>
        <w:t xml:space="preserve">.,(2018). High frequency of mosaic pathogenic variants in genes causing epilepsy-related neurodevelopmental disorders. </w:t>
      </w:r>
      <w:r w:rsidRPr="00621CBF">
        <w:rPr>
          <w:rFonts w:ascii="Arial" w:hAnsi="Arial" w:cs="Arial"/>
          <w:i/>
        </w:rPr>
        <w:t>Genet. Med.</w:t>
      </w:r>
      <w:r w:rsidRPr="00621CBF">
        <w:rPr>
          <w:rFonts w:ascii="Arial" w:hAnsi="Arial" w:cs="Arial"/>
        </w:rPr>
        <w:t xml:space="preserve"> </w:t>
      </w:r>
      <w:proofErr w:type="gramStart"/>
      <w:r w:rsidRPr="00621CBF">
        <w:rPr>
          <w:rFonts w:ascii="Arial" w:hAnsi="Arial" w:cs="Arial"/>
        </w:rPr>
        <w:t>20.</w:t>
      </w:r>
      <w:r w:rsidRPr="00621CBF">
        <w:rPr>
          <w:rFonts w:ascii="Arial" w:hAnsi="Arial" w:cs="Arial"/>
          <w:shd w:val="clear" w:color="auto" w:fill="FFFFFF"/>
        </w:rPr>
        <w:t>:403</w:t>
      </w:r>
      <w:proofErr w:type="gramEnd"/>
      <w:r w:rsidRPr="00621CBF">
        <w:rPr>
          <w:rFonts w:ascii="Arial" w:hAnsi="Arial" w:cs="Arial"/>
          <w:shd w:val="clear" w:color="auto" w:fill="FFFFFF"/>
        </w:rPr>
        <w:t>-410</w:t>
      </w:r>
      <w:r w:rsidR="00D803AB" w:rsidRPr="00621CBF">
        <w:rPr>
          <w:rFonts w:ascii="Arial" w:hAnsi="Arial" w:cs="Arial"/>
          <w:shd w:val="clear" w:color="auto" w:fill="FFFFFF"/>
        </w:rPr>
        <w:t>doi: 10.1038/gim.2017.114. </w:t>
      </w:r>
    </w:p>
    <w:p w14:paraId="12E7B6F5" w14:textId="77777777" w:rsidR="00701E53" w:rsidRPr="00621CBF" w:rsidRDefault="00701E53" w:rsidP="00621CBF">
      <w:pPr>
        <w:autoSpaceDE w:val="0"/>
        <w:autoSpaceDN w:val="0"/>
        <w:adjustRightInd w:val="0"/>
        <w:rPr>
          <w:rFonts w:ascii="Arial" w:hAnsi="Arial" w:cs="Arial"/>
        </w:rPr>
      </w:pPr>
    </w:p>
    <w:p w14:paraId="5F99C04A" w14:textId="47E87356" w:rsidR="00701E53" w:rsidRPr="00621CBF" w:rsidRDefault="00701E53" w:rsidP="00621CBF">
      <w:pPr>
        <w:autoSpaceDE w:val="0"/>
        <w:autoSpaceDN w:val="0"/>
        <w:adjustRightInd w:val="0"/>
        <w:ind w:left="142"/>
        <w:rPr>
          <w:rFonts w:ascii="Arial" w:hAnsi="Arial" w:cs="Arial"/>
        </w:rPr>
      </w:pPr>
      <w:proofErr w:type="spellStart"/>
      <w:r w:rsidRPr="00621CBF">
        <w:rPr>
          <w:rFonts w:ascii="Arial" w:hAnsi="Arial" w:cs="Arial"/>
        </w:rPr>
        <w:t>Suddaby</w:t>
      </w:r>
      <w:proofErr w:type="spellEnd"/>
      <w:r w:rsidRPr="00621CBF">
        <w:rPr>
          <w:rFonts w:ascii="Arial" w:hAnsi="Arial" w:cs="Arial"/>
        </w:rPr>
        <w:t xml:space="preserve">, JS, Silver J and So J. (2019), </w:t>
      </w:r>
      <w:r w:rsidRPr="00621CBF">
        <w:rPr>
          <w:rFonts w:ascii="Arial" w:hAnsi="Arial" w:cs="Arial"/>
          <w:bCs/>
        </w:rPr>
        <w:t xml:space="preserve">Understanding the schizophrenia phenotype in the first </w:t>
      </w:r>
      <w:r w:rsidRPr="00621CBF">
        <w:rPr>
          <w:rFonts w:ascii="Arial" w:hAnsi="Arial" w:cs="Arial"/>
        </w:rPr>
        <w:t xml:space="preserve">patient with the full </w:t>
      </w:r>
      <w:r w:rsidRPr="00621CBF">
        <w:rPr>
          <w:rFonts w:ascii="Arial" w:hAnsi="Arial" w:cs="Arial"/>
          <w:i/>
        </w:rPr>
        <w:t>SCN2A</w:t>
      </w:r>
      <w:r w:rsidRPr="00621CBF">
        <w:rPr>
          <w:rFonts w:ascii="Arial" w:hAnsi="Arial" w:cs="Arial"/>
        </w:rPr>
        <w:t xml:space="preserve"> phenotypic spectrum. </w:t>
      </w:r>
      <w:r w:rsidRPr="00621CBF">
        <w:rPr>
          <w:rFonts w:ascii="Arial" w:hAnsi="Arial" w:cs="Arial"/>
          <w:i/>
        </w:rPr>
        <w:t>Psychiatric Genetics</w:t>
      </w:r>
      <w:r w:rsidRPr="00621CBF">
        <w:rPr>
          <w:rFonts w:ascii="Arial" w:hAnsi="Arial" w:cs="Arial"/>
        </w:rPr>
        <w:t>, 29:91–94</w:t>
      </w:r>
      <w:r w:rsidR="00D803AB" w:rsidRPr="00621CBF">
        <w:rPr>
          <w:rFonts w:ascii="Arial" w:hAnsi="Arial" w:cs="Arial"/>
        </w:rPr>
        <w:t xml:space="preserve">. </w:t>
      </w:r>
      <w:proofErr w:type="spellStart"/>
      <w:proofErr w:type="gramStart"/>
      <w:r w:rsidR="00D803AB" w:rsidRPr="00621CBF">
        <w:rPr>
          <w:rFonts w:ascii="Arial" w:hAnsi="Arial" w:cs="Arial"/>
          <w:shd w:val="clear" w:color="auto" w:fill="FFFFFF"/>
        </w:rPr>
        <w:t>doi</w:t>
      </w:r>
      <w:proofErr w:type="spellEnd"/>
      <w:proofErr w:type="gramEnd"/>
      <w:r w:rsidR="00D803AB" w:rsidRPr="00621CBF">
        <w:rPr>
          <w:rFonts w:ascii="Arial" w:hAnsi="Arial" w:cs="Arial"/>
          <w:shd w:val="clear" w:color="auto" w:fill="FFFFFF"/>
        </w:rPr>
        <w:t>: 10.1097/YPG.0000000000000219. </w:t>
      </w:r>
    </w:p>
    <w:p w14:paraId="1F2A7DBD" w14:textId="77777777" w:rsidR="00D803AB" w:rsidRPr="00621CBF" w:rsidRDefault="00D803AB" w:rsidP="00621CBF">
      <w:pPr>
        <w:autoSpaceDE w:val="0"/>
        <w:autoSpaceDN w:val="0"/>
        <w:adjustRightInd w:val="0"/>
        <w:ind w:left="142"/>
        <w:rPr>
          <w:rFonts w:ascii="Arial" w:hAnsi="Arial" w:cs="Arial"/>
        </w:rPr>
      </w:pPr>
    </w:p>
    <w:p w14:paraId="44E7DF97" w14:textId="1E90D8A2" w:rsidR="005A0DAE" w:rsidRPr="00621CBF" w:rsidRDefault="005A0DAE" w:rsidP="00621CBF">
      <w:pPr>
        <w:autoSpaceDE w:val="0"/>
        <w:autoSpaceDN w:val="0"/>
        <w:adjustRightInd w:val="0"/>
        <w:ind w:left="142"/>
        <w:rPr>
          <w:rFonts w:ascii="Arial" w:hAnsi="Arial" w:cs="Arial"/>
        </w:rPr>
      </w:pPr>
      <w:r w:rsidRPr="00621CBF">
        <w:rPr>
          <w:rFonts w:ascii="Arial" w:hAnsi="Arial" w:cs="Arial"/>
        </w:rPr>
        <w:t xml:space="preserve">Sundaram SK, </w:t>
      </w:r>
      <w:proofErr w:type="spellStart"/>
      <w:r w:rsidRPr="00621CBF">
        <w:rPr>
          <w:rFonts w:ascii="Arial" w:hAnsi="Arial" w:cs="Arial"/>
        </w:rPr>
        <w:t>C</w:t>
      </w:r>
      <w:r w:rsidR="006736C3" w:rsidRPr="00621CBF">
        <w:rPr>
          <w:rFonts w:ascii="Arial" w:hAnsi="Arial" w:cs="Arial"/>
        </w:rPr>
        <w:t>h</w:t>
      </w:r>
      <w:r w:rsidRPr="00621CBF">
        <w:rPr>
          <w:rFonts w:ascii="Arial" w:hAnsi="Arial" w:cs="Arial"/>
        </w:rPr>
        <w:t>ugani</w:t>
      </w:r>
      <w:proofErr w:type="spellEnd"/>
      <w:r w:rsidRPr="00621CBF">
        <w:rPr>
          <w:rFonts w:ascii="Arial" w:hAnsi="Arial" w:cs="Arial"/>
        </w:rPr>
        <w:t xml:space="preserve"> HT, Tiwari VN, </w:t>
      </w:r>
      <w:proofErr w:type="spellStart"/>
      <w:r w:rsidRPr="00621CBF">
        <w:rPr>
          <w:rFonts w:ascii="Arial" w:hAnsi="Arial" w:cs="Arial"/>
        </w:rPr>
        <w:t>Huq</w:t>
      </w:r>
      <w:proofErr w:type="spellEnd"/>
      <w:r w:rsidRPr="00621CBF">
        <w:rPr>
          <w:rFonts w:ascii="Arial" w:hAnsi="Arial" w:cs="Arial"/>
        </w:rPr>
        <w:t xml:space="preserve"> AH</w:t>
      </w:r>
      <w:r w:rsidR="006736C3" w:rsidRPr="00621CBF">
        <w:rPr>
          <w:rFonts w:ascii="Arial" w:hAnsi="Arial" w:cs="Arial"/>
        </w:rPr>
        <w:t>.</w:t>
      </w:r>
      <w:r w:rsidRPr="00621CBF">
        <w:rPr>
          <w:rFonts w:ascii="Arial" w:hAnsi="Arial" w:cs="Arial"/>
        </w:rPr>
        <w:t xml:space="preserve"> (2013) </w:t>
      </w:r>
      <w:r w:rsidRPr="00621CBF">
        <w:rPr>
          <w:rFonts w:ascii="Arial" w:hAnsi="Arial" w:cs="Arial"/>
          <w:i/>
        </w:rPr>
        <w:t>SCN2A</w:t>
      </w:r>
      <w:r w:rsidRPr="00621CBF">
        <w:rPr>
          <w:rFonts w:ascii="Arial" w:hAnsi="Arial" w:cs="Arial"/>
        </w:rPr>
        <w:t xml:space="preserve"> mutation is associated with infantile spasms and </w:t>
      </w:r>
      <w:proofErr w:type="spellStart"/>
      <w:r w:rsidRPr="00621CBF">
        <w:rPr>
          <w:rFonts w:ascii="Arial" w:hAnsi="Arial" w:cs="Arial"/>
        </w:rPr>
        <w:t>bitemporal</w:t>
      </w:r>
      <w:proofErr w:type="spellEnd"/>
      <w:r w:rsidRPr="00621CBF">
        <w:rPr>
          <w:rFonts w:ascii="Arial" w:hAnsi="Arial" w:cs="Arial"/>
        </w:rPr>
        <w:t xml:space="preserve"> glucose </w:t>
      </w:r>
      <w:proofErr w:type="spellStart"/>
      <w:r w:rsidRPr="00621CBF">
        <w:rPr>
          <w:rFonts w:ascii="Arial" w:hAnsi="Arial" w:cs="Arial"/>
        </w:rPr>
        <w:t>hypometabolism</w:t>
      </w:r>
      <w:proofErr w:type="spellEnd"/>
      <w:r w:rsidRPr="00621CBF">
        <w:rPr>
          <w:rFonts w:ascii="Arial" w:hAnsi="Arial" w:cs="Arial"/>
        </w:rPr>
        <w:t xml:space="preserve">. </w:t>
      </w:r>
      <w:proofErr w:type="spellStart"/>
      <w:r w:rsidRPr="00621CBF">
        <w:rPr>
          <w:rFonts w:ascii="Arial" w:hAnsi="Arial" w:cs="Arial"/>
          <w:i/>
        </w:rPr>
        <w:t>Pediatr</w:t>
      </w:r>
      <w:proofErr w:type="spellEnd"/>
      <w:r w:rsidRPr="00621CBF">
        <w:rPr>
          <w:rFonts w:ascii="Arial" w:hAnsi="Arial" w:cs="Arial"/>
          <w:i/>
        </w:rPr>
        <w:t xml:space="preserve"> Neurol</w:t>
      </w:r>
      <w:r w:rsidRPr="00621CBF">
        <w:rPr>
          <w:rFonts w:ascii="Arial" w:hAnsi="Arial" w:cs="Arial"/>
        </w:rPr>
        <w:t>. 49:46–49</w:t>
      </w:r>
      <w:r w:rsidR="00D803AB" w:rsidRPr="00621CBF">
        <w:rPr>
          <w:rFonts w:ascii="Arial" w:hAnsi="Arial" w:cs="Arial"/>
        </w:rPr>
        <w:t xml:space="preserve">. </w:t>
      </w:r>
      <w:proofErr w:type="spellStart"/>
      <w:proofErr w:type="gramStart"/>
      <w:r w:rsidR="00D803AB" w:rsidRPr="00621CBF">
        <w:rPr>
          <w:rFonts w:ascii="Arial" w:hAnsi="Arial" w:cs="Arial"/>
          <w:shd w:val="clear" w:color="auto" w:fill="FFFFFF"/>
        </w:rPr>
        <w:t>doi</w:t>
      </w:r>
      <w:proofErr w:type="spellEnd"/>
      <w:proofErr w:type="gramEnd"/>
      <w:r w:rsidR="00D803AB" w:rsidRPr="00621CBF">
        <w:rPr>
          <w:rFonts w:ascii="Arial" w:hAnsi="Arial" w:cs="Arial"/>
          <w:shd w:val="clear" w:color="auto" w:fill="FFFFFF"/>
        </w:rPr>
        <w:t>: 10.1016/j.pediatrneurol.2013.03.002. </w:t>
      </w:r>
    </w:p>
    <w:p w14:paraId="56D1ADFA" w14:textId="450C23BD" w:rsidR="00E52213" w:rsidRPr="00621CBF" w:rsidRDefault="00E52213" w:rsidP="00621CBF">
      <w:pPr>
        <w:autoSpaceDE w:val="0"/>
        <w:autoSpaceDN w:val="0"/>
        <w:adjustRightInd w:val="0"/>
        <w:ind w:left="142"/>
        <w:rPr>
          <w:rFonts w:ascii="Arial" w:hAnsi="Arial" w:cs="Arial"/>
        </w:rPr>
      </w:pPr>
    </w:p>
    <w:p w14:paraId="617F5A33" w14:textId="35AB2D13" w:rsidR="00E52213" w:rsidRPr="00621CBF" w:rsidRDefault="00E52213" w:rsidP="00621CBF">
      <w:pPr>
        <w:autoSpaceDE w:val="0"/>
        <w:autoSpaceDN w:val="0"/>
        <w:adjustRightInd w:val="0"/>
        <w:ind w:left="142"/>
        <w:rPr>
          <w:rFonts w:ascii="Arial" w:hAnsi="Arial" w:cs="Arial"/>
        </w:rPr>
      </w:pPr>
      <w:proofErr w:type="spellStart"/>
      <w:r w:rsidRPr="00621CBF">
        <w:rPr>
          <w:rFonts w:ascii="Arial" w:hAnsi="Arial" w:cs="Arial"/>
        </w:rPr>
        <w:t>Takezawa</w:t>
      </w:r>
      <w:proofErr w:type="spellEnd"/>
      <w:r w:rsidRPr="00621CBF">
        <w:rPr>
          <w:rFonts w:ascii="Arial" w:hAnsi="Arial" w:cs="Arial"/>
        </w:rPr>
        <w:t xml:space="preserve"> Y, Kikuchi A, </w:t>
      </w:r>
      <w:proofErr w:type="spellStart"/>
      <w:r w:rsidRPr="00621CBF">
        <w:rPr>
          <w:rFonts w:ascii="Arial" w:hAnsi="Arial" w:cs="Arial"/>
        </w:rPr>
        <w:t>Haginoya</w:t>
      </w:r>
      <w:proofErr w:type="spellEnd"/>
      <w:r w:rsidRPr="00621CBF">
        <w:rPr>
          <w:rFonts w:ascii="Arial" w:hAnsi="Arial" w:cs="Arial"/>
        </w:rPr>
        <w:t xml:space="preserve"> K, </w:t>
      </w:r>
      <w:proofErr w:type="spellStart"/>
      <w:r w:rsidRPr="00621CBF">
        <w:rPr>
          <w:rFonts w:ascii="Arial" w:hAnsi="Arial" w:cs="Arial"/>
        </w:rPr>
        <w:t>Niihori</w:t>
      </w:r>
      <w:proofErr w:type="spellEnd"/>
      <w:r w:rsidRPr="00621CBF">
        <w:rPr>
          <w:rFonts w:ascii="Arial" w:hAnsi="Arial" w:cs="Arial"/>
        </w:rPr>
        <w:t xml:space="preserve"> T. </w:t>
      </w:r>
      <w:r w:rsidRPr="00621CBF">
        <w:rPr>
          <w:rFonts w:ascii="Arial" w:hAnsi="Arial" w:cs="Arial"/>
          <w:i/>
        </w:rPr>
        <w:t>et al</w:t>
      </w:r>
      <w:r w:rsidRPr="00621CBF">
        <w:rPr>
          <w:rFonts w:ascii="Arial" w:hAnsi="Arial" w:cs="Arial"/>
        </w:rPr>
        <w:t xml:space="preserve">. (2018) Genomic analysis identifies </w:t>
      </w:r>
      <w:proofErr w:type="spellStart"/>
      <w:r w:rsidRPr="00621CBF">
        <w:rPr>
          <w:rFonts w:ascii="Arial" w:hAnsi="Arial" w:cs="Arial"/>
        </w:rPr>
        <w:t>masqueraders</w:t>
      </w:r>
      <w:proofErr w:type="spellEnd"/>
      <w:r w:rsidRPr="00621CBF">
        <w:rPr>
          <w:rFonts w:ascii="Arial" w:hAnsi="Arial" w:cs="Arial"/>
        </w:rPr>
        <w:t xml:space="preserve"> of full-term cerebral palsy. </w:t>
      </w:r>
      <w:r w:rsidRPr="00621CBF">
        <w:rPr>
          <w:rFonts w:ascii="Arial" w:hAnsi="Arial" w:cs="Arial"/>
          <w:i/>
          <w:iCs/>
        </w:rPr>
        <w:t xml:space="preserve">Ann </w:t>
      </w:r>
      <w:proofErr w:type="spellStart"/>
      <w:r w:rsidRPr="00621CBF">
        <w:rPr>
          <w:rFonts w:ascii="Arial" w:hAnsi="Arial" w:cs="Arial"/>
          <w:i/>
          <w:iCs/>
        </w:rPr>
        <w:t>Clin</w:t>
      </w:r>
      <w:proofErr w:type="spellEnd"/>
      <w:r w:rsidRPr="00621CBF">
        <w:rPr>
          <w:rFonts w:ascii="Arial" w:hAnsi="Arial" w:cs="Arial"/>
          <w:i/>
          <w:iCs/>
        </w:rPr>
        <w:t xml:space="preserve"> </w:t>
      </w:r>
      <w:proofErr w:type="spellStart"/>
      <w:r w:rsidRPr="00621CBF">
        <w:rPr>
          <w:rFonts w:ascii="Arial" w:hAnsi="Arial" w:cs="Arial"/>
          <w:i/>
          <w:iCs/>
        </w:rPr>
        <w:t>Transl</w:t>
      </w:r>
      <w:proofErr w:type="spellEnd"/>
      <w:r w:rsidRPr="00621CBF">
        <w:rPr>
          <w:rFonts w:ascii="Arial" w:hAnsi="Arial" w:cs="Arial"/>
          <w:i/>
          <w:iCs/>
        </w:rPr>
        <w:t xml:space="preserve"> Neurol</w:t>
      </w:r>
      <w:r w:rsidRPr="00621CBF">
        <w:rPr>
          <w:rFonts w:ascii="Arial" w:hAnsi="Arial" w:cs="Arial"/>
        </w:rPr>
        <w:t>.5:538–551.</w:t>
      </w:r>
      <w:r w:rsidR="00D803AB" w:rsidRPr="00621CBF">
        <w:rPr>
          <w:rFonts w:ascii="Arial" w:hAnsi="Arial" w:cs="Arial"/>
          <w:shd w:val="clear" w:color="auto" w:fill="FFFFFF"/>
        </w:rPr>
        <w:t xml:space="preserve"> </w:t>
      </w:r>
      <w:proofErr w:type="spellStart"/>
      <w:proofErr w:type="gramStart"/>
      <w:r w:rsidR="00D803AB" w:rsidRPr="00621CBF">
        <w:rPr>
          <w:rFonts w:ascii="Arial" w:hAnsi="Arial" w:cs="Arial"/>
          <w:shd w:val="clear" w:color="auto" w:fill="FFFFFF"/>
        </w:rPr>
        <w:t>doi</w:t>
      </w:r>
      <w:proofErr w:type="spellEnd"/>
      <w:proofErr w:type="gramEnd"/>
      <w:r w:rsidR="00D803AB" w:rsidRPr="00621CBF">
        <w:rPr>
          <w:rFonts w:ascii="Arial" w:hAnsi="Arial" w:cs="Arial"/>
          <w:shd w:val="clear" w:color="auto" w:fill="FFFFFF"/>
        </w:rPr>
        <w:t>: 10.1002/acn3.551.</w:t>
      </w:r>
    </w:p>
    <w:p w14:paraId="7DC3F448" w14:textId="77777777" w:rsidR="00E52213" w:rsidRPr="00621CBF" w:rsidRDefault="00E52213" w:rsidP="00621CBF">
      <w:pPr>
        <w:autoSpaceDE w:val="0"/>
        <w:autoSpaceDN w:val="0"/>
        <w:adjustRightInd w:val="0"/>
        <w:ind w:left="142"/>
        <w:rPr>
          <w:rFonts w:ascii="Arial" w:hAnsi="Arial" w:cs="Arial"/>
        </w:rPr>
      </w:pPr>
    </w:p>
    <w:p w14:paraId="7F4C5C5C" w14:textId="22920E24" w:rsidR="00701E53" w:rsidRPr="00621CBF" w:rsidRDefault="00701E53" w:rsidP="00621CBF">
      <w:pPr>
        <w:autoSpaceDE w:val="0"/>
        <w:autoSpaceDN w:val="0"/>
        <w:adjustRightInd w:val="0"/>
        <w:ind w:left="142"/>
        <w:rPr>
          <w:rFonts w:ascii="Arial" w:hAnsi="Arial" w:cs="Arial"/>
        </w:rPr>
      </w:pPr>
      <w:r w:rsidRPr="00621CBF">
        <w:rPr>
          <w:rFonts w:ascii="Arial" w:hAnsi="Arial" w:cs="Arial"/>
        </w:rPr>
        <w:t xml:space="preserve">Wang T, </w:t>
      </w:r>
      <w:proofErr w:type="spellStart"/>
      <w:r w:rsidRPr="00621CBF">
        <w:rPr>
          <w:rFonts w:ascii="Arial" w:hAnsi="Arial" w:cs="Arial"/>
        </w:rPr>
        <w:t>Guo</w:t>
      </w:r>
      <w:proofErr w:type="spellEnd"/>
      <w:r w:rsidRPr="00621CBF">
        <w:rPr>
          <w:rFonts w:ascii="Arial" w:hAnsi="Arial" w:cs="Arial"/>
        </w:rPr>
        <w:t xml:space="preserve"> H, </w:t>
      </w:r>
      <w:proofErr w:type="spellStart"/>
      <w:r w:rsidRPr="00621CBF">
        <w:rPr>
          <w:rFonts w:ascii="Arial" w:hAnsi="Arial" w:cs="Arial"/>
        </w:rPr>
        <w:t>Xiong</w:t>
      </w:r>
      <w:proofErr w:type="spellEnd"/>
      <w:r w:rsidRPr="00621CBF">
        <w:rPr>
          <w:rFonts w:ascii="Arial" w:hAnsi="Arial" w:cs="Arial"/>
        </w:rPr>
        <w:t xml:space="preserve"> B, </w:t>
      </w:r>
      <w:proofErr w:type="spellStart"/>
      <w:r w:rsidRPr="00621CBF">
        <w:rPr>
          <w:rFonts w:ascii="Arial" w:hAnsi="Arial" w:cs="Arial"/>
        </w:rPr>
        <w:t>Stessman</w:t>
      </w:r>
      <w:proofErr w:type="spellEnd"/>
      <w:r w:rsidRPr="00621CBF">
        <w:rPr>
          <w:rFonts w:ascii="Arial" w:hAnsi="Arial" w:cs="Arial"/>
        </w:rPr>
        <w:t xml:space="preserve"> HAF, </w:t>
      </w:r>
      <w:r w:rsidRPr="00621CBF">
        <w:rPr>
          <w:rFonts w:ascii="Arial" w:hAnsi="Arial" w:cs="Arial"/>
          <w:i/>
        </w:rPr>
        <w:t>et al</w:t>
      </w:r>
      <w:r w:rsidRPr="00621CBF">
        <w:rPr>
          <w:rFonts w:ascii="Arial" w:hAnsi="Arial" w:cs="Arial"/>
        </w:rPr>
        <w:t xml:space="preserve">, (2016). </w:t>
      </w:r>
      <w:r w:rsidRPr="00621CBF">
        <w:rPr>
          <w:rFonts w:ascii="Arial" w:hAnsi="Arial" w:cs="Arial"/>
          <w:i/>
        </w:rPr>
        <w:t>De novo</w:t>
      </w:r>
      <w:r w:rsidRPr="00621CBF">
        <w:rPr>
          <w:rFonts w:ascii="Arial" w:hAnsi="Arial" w:cs="Arial"/>
        </w:rPr>
        <w:t xml:space="preserve"> genetic mutations among a Chinese autism spectrum disorder cohort. </w:t>
      </w:r>
      <w:r w:rsidRPr="00621CBF">
        <w:rPr>
          <w:rFonts w:ascii="Arial" w:hAnsi="Arial" w:cs="Arial"/>
          <w:i/>
        </w:rPr>
        <w:t>Nature Communications.</w:t>
      </w:r>
      <w:r w:rsidRPr="00621CBF">
        <w:rPr>
          <w:rFonts w:ascii="Arial" w:hAnsi="Arial" w:cs="Arial"/>
        </w:rPr>
        <w:t xml:space="preserve"> </w:t>
      </w:r>
      <w:proofErr w:type="gramStart"/>
      <w:r w:rsidRPr="00621CBF">
        <w:rPr>
          <w:rFonts w:ascii="Arial" w:hAnsi="Arial" w:cs="Arial"/>
        </w:rPr>
        <w:t>7:</w:t>
      </w:r>
      <w:proofErr w:type="gramEnd"/>
      <w:r w:rsidRPr="00621CBF">
        <w:rPr>
          <w:rFonts w:ascii="Arial" w:hAnsi="Arial" w:cs="Arial"/>
        </w:rPr>
        <w:t>13316.</w:t>
      </w:r>
      <w:r w:rsidR="00D803AB" w:rsidRPr="00621CBF">
        <w:rPr>
          <w:rFonts w:ascii="Arial" w:hAnsi="Arial" w:cs="Arial"/>
          <w:shd w:val="clear" w:color="auto" w:fill="FFFFFF"/>
        </w:rPr>
        <w:t xml:space="preserve"> </w:t>
      </w:r>
      <w:proofErr w:type="spellStart"/>
      <w:r w:rsidR="00D803AB" w:rsidRPr="00621CBF">
        <w:rPr>
          <w:rFonts w:ascii="Arial" w:hAnsi="Arial" w:cs="Arial"/>
          <w:shd w:val="clear" w:color="auto" w:fill="FFFFFF"/>
        </w:rPr>
        <w:t>doi</w:t>
      </w:r>
      <w:proofErr w:type="spellEnd"/>
      <w:r w:rsidR="00D803AB" w:rsidRPr="00621CBF">
        <w:rPr>
          <w:rFonts w:ascii="Arial" w:hAnsi="Arial" w:cs="Arial"/>
          <w:shd w:val="clear" w:color="auto" w:fill="FFFFFF"/>
        </w:rPr>
        <w:t>: 10.1038/ncomms13316. </w:t>
      </w:r>
    </w:p>
    <w:p w14:paraId="59A09870" w14:textId="77777777" w:rsidR="00D803AB" w:rsidRPr="00621CBF" w:rsidRDefault="00D803AB" w:rsidP="00621CBF">
      <w:pPr>
        <w:autoSpaceDE w:val="0"/>
        <w:autoSpaceDN w:val="0"/>
        <w:adjustRightInd w:val="0"/>
        <w:ind w:left="142"/>
        <w:rPr>
          <w:rFonts w:ascii="Arial" w:hAnsi="Arial" w:cs="Arial"/>
        </w:rPr>
      </w:pPr>
    </w:p>
    <w:p w14:paraId="1FC9D0DB" w14:textId="7EB978CB" w:rsidR="00701E53" w:rsidRPr="00621CBF" w:rsidRDefault="00701E53" w:rsidP="00621CBF">
      <w:pPr>
        <w:ind w:left="142"/>
        <w:rPr>
          <w:rFonts w:ascii="Arial" w:hAnsi="Arial" w:cs="Arial"/>
        </w:rPr>
      </w:pPr>
      <w:r w:rsidRPr="00621CBF">
        <w:rPr>
          <w:rFonts w:ascii="Arial" w:hAnsi="Arial" w:cs="Arial"/>
          <w:shd w:val="clear" w:color="auto" w:fill="FFFFFF"/>
        </w:rPr>
        <w:t xml:space="preserve">Wei CM, Xia GZ, Ren RN. (2018) [Gene mutations in unexplained infantile epileptic encephalopathy: an analysis of 47 cases]. </w:t>
      </w:r>
      <w:proofErr w:type="spellStart"/>
      <w:r w:rsidRPr="00621CBF">
        <w:rPr>
          <w:rFonts w:ascii="Arial" w:hAnsi="Arial" w:cs="Arial"/>
          <w:shd w:val="clear" w:color="auto" w:fill="FFFFFF"/>
        </w:rPr>
        <w:t>Zhongguo</w:t>
      </w:r>
      <w:proofErr w:type="spellEnd"/>
      <w:r w:rsidRPr="00621CBF">
        <w:rPr>
          <w:rFonts w:ascii="Arial" w:hAnsi="Arial" w:cs="Arial"/>
          <w:shd w:val="clear" w:color="auto" w:fill="FFFFFF"/>
        </w:rPr>
        <w:t xml:space="preserve"> Dang Dai </w:t>
      </w:r>
      <w:proofErr w:type="spellStart"/>
      <w:r w:rsidRPr="00621CBF">
        <w:rPr>
          <w:rFonts w:ascii="Arial" w:hAnsi="Arial" w:cs="Arial"/>
          <w:shd w:val="clear" w:color="auto" w:fill="FFFFFF"/>
        </w:rPr>
        <w:t>Er</w:t>
      </w:r>
      <w:proofErr w:type="spellEnd"/>
      <w:r w:rsidRPr="00621CBF">
        <w:rPr>
          <w:rFonts w:ascii="Arial" w:hAnsi="Arial" w:cs="Arial"/>
          <w:shd w:val="clear" w:color="auto" w:fill="FFFFFF"/>
        </w:rPr>
        <w:t xml:space="preserve"> </w:t>
      </w:r>
      <w:proofErr w:type="spellStart"/>
      <w:r w:rsidRPr="00621CBF">
        <w:rPr>
          <w:rFonts w:ascii="Arial" w:hAnsi="Arial" w:cs="Arial"/>
          <w:shd w:val="clear" w:color="auto" w:fill="FFFFFF"/>
        </w:rPr>
        <w:t>Ke</w:t>
      </w:r>
      <w:proofErr w:type="spellEnd"/>
      <w:r w:rsidRPr="00621CBF">
        <w:rPr>
          <w:rFonts w:ascii="Arial" w:hAnsi="Arial" w:cs="Arial"/>
          <w:shd w:val="clear" w:color="auto" w:fill="FFFFFF"/>
        </w:rPr>
        <w:t xml:space="preserve"> </w:t>
      </w:r>
      <w:proofErr w:type="spellStart"/>
      <w:r w:rsidRPr="00621CBF">
        <w:rPr>
          <w:rFonts w:ascii="Arial" w:hAnsi="Arial" w:cs="Arial"/>
          <w:shd w:val="clear" w:color="auto" w:fill="FFFFFF"/>
        </w:rPr>
        <w:t>Za</w:t>
      </w:r>
      <w:proofErr w:type="spellEnd"/>
      <w:r w:rsidRPr="00621CBF">
        <w:rPr>
          <w:rFonts w:ascii="Arial" w:hAnsi="Arial" w:cs="Arial"/>
          <w:shd w:val="clear" w:color="auto" w:fill="FFFFFF"/>
        </w:rPr>
        <w:t xml:space="preserve"> </w:t>
      </w:r>
      <w:proofErr w:type="spellStart"/>
      <w:r w:rsidRPr="00621CBF">
        <w:rPr>
          <w:rFonts w:ascii="Arial" w:hAnsi="Arial" w:cs="Arial"/>
          <w:shd w:val="clear" w:color="auto" w:fill="FFFFFF"/>
        </w:rPr>
        <w:t>Zhi</w:t>
      </w:r>
      <w:proofErr w:type="spellEnd"/>
      <w:r w:rsidRPr="00621CBF">
        <w:rPr>
          <w:rFonts w:ascii="Arial" w:hAnsi="Arial" w:cs="Arial"/>
          <w:shd w:val="clear" w:color="auto" w:fill="FFFFFF"/>
        </w:rPr>
        <w:t xml:space="preserve">. </w:t>
      </w:r>
      <w:proofErr w:type="gramStart"/>
      <w:r w:rsidRPr="00621CBF">
        <w:rPr>
          <w:rFonts w:ascii="Arial" w:hAnsi="Arial" w:cs="Arial"/>
          <w:shd w:val="clear" w:color="auto" w:fill="FFFFFF"/>
        </w:rPr>
        <w:t>20</w:t>
      </w:r>
      <w:proofErr w:type="gramEnd"/>
      <w:r w:rsidRPr="00621CBF">
        <w:rPr>
          <w:rFonts w:ascii="Arial" w:hAnsi="Arial" w:cs="Arial"/>
          <w:shd w:val="clear" w:color="auto" w:fill="FFFFFF"/>
        </w:rPr>
        <w:t>:125-129. Chinese. (</w:t>
      </w:r>
      <w:proofErr w:type="gramStart"/>
      <w:r w:rsidRPr="00621CBF">
        <w:rPr>
          <w:rFonts w:ascii="Arial" w:hAnsi="Arial" w:cs="Arial"/>
          <w:shd w:val="clear" w:color="auto" w:fill="FFFFFF"/>
        </w:rPr>
        <w:t>abstract</w:t>
      </w:r>
      <w:proofErr w:type="gramEnd"/>
      <w:r w:rsidRPr="00621CBF">
        <w:rPr>
          <w:rFonts w:ascii="Arial" w:hAnsi="Arial" w:cs="Arial"/>
          <w:shd w:val="clear" w:color="auto" w:fill="FFFFFF"/>
        </w:rPr>
        <w:t xml:space="preserve"> in English). </w:t>
      </w:r>
      <w:proofErr w:type="spellStart"/>
      <w:proofErr w:type="gramStart"/>
      <w:r w:rsidR="00D803AB" w:rsidRPr="00621CBF">
        <w:rPr>
          <w:rFonts w:ascii="Arial" w:hAnsi="Arial" w:cs="Arial"/>
          <w:shd w:val="clear" w:color="auto" w:fill="FFFFFF"/>
        </w:rPr>
        <w:t>doi</w:t>
      </w:r>
      <w:proofErr w:type="spellEnd"/>
      <w:proofErr w:type="gramEnd"/>
      <w:r w:rsidR="00D803AB" w:rsidRPr="00621CBF">
        <w:rPr>
          <w:rFonts w:ascii="Arial" w:hAnsi="Arial" w:cs="Arial"/>
          <w:shd w:val="clear" w:color="auto" w:fill="FFFFFF"/>
        </w:rPr>
        <w:t>: 10.7499/j.issn.1008-8830.2018.02.009.</w:t>
      </w:r>
    </w:p>
    <w:p w14:paraId="46D1F261" w14:textId="77777777" w:rsidR="00701E53" w:rsidRPr="00621CBF" w:rsidRDefault="00701E53" w:rsidP="00621CBF">
      <w:pPr>
        <w:shd w:val="clear" w:color="auto" w:fill="FFFFFF"/>
        <w:ind w:left="142"/>
        <w:rPr>
          <w:rFonts w:ascii="Arial" w:hAnsi="Arial" w:cs="Arial"/>
        </w:rPr>
      </w:pPr>
    </w:p>
    <w:p w14:paraId="42C7355A" w14:textId="59EC9C42" w:rsidR="005A0DAE" w:rsidRPr="00621CBF" w:rsidRDefault="003E19B8" w:rsidP="00621CBF">
      <w:pPr>
        <w:shd w:val="clear" w:color="auto" w:fill="FFFFFF"/>
        <w:ind w:left="142"/>
        <w:rPr>
          <w:rFonts w:ascii="Arial" w:hAnsi="Arial" w:cs="Arial"/>
          <w:bdr w:val="none" w:sz="0" w:space="0" w:color="auto" w:frame="1"/>
          <w:shd w:val="clear" w:color="auto" w:fill="FFFFFF"/>
        </w:rPr>
      </w:pPr>
      <w:hyperlink r:id="rId13" w:history="1">
        <w:r w:rsidR="005A0DAE" w:rsidRPr="00621CBF">
          <w:rPr>
            <w:rFonts w:ascii="Arial" w:hAnsi="Arial" w:cs="Arial"/>
            <w:bdr w:val="none" w:sz="0" w:space="0" w:color="auto" w:frame="1"/>
            <w:shd w:val="clear" w:color="auto" w:fill="FFFFFF"/>
          </w:rPr>
          <w:t>Wolff</w:t>
        </w:r>
      </w:hyperlink>
      <w:r w:rsidR="005A0DAE" w:rsidRPr="00621CBF">
        <w:rPr>
          <w:rFonts w:ascii="Arial" w:hAnsi="Arial" w:cs="Arial"/>
          <w:bdr w:val="none" w:sz="0" w:space="0" w:color="auto" w:frame="1"/>
          <w:shd w:val="clear" w:color="auto" w:fill="FFFFFF"/>
        </w:rPr>
        <w:t>, M,</w:t>
      </w:r>
      <w:r w:rsidR="006736C3" w:rsidRPr="00621CBF">
        <w:rPr>
          <w:rFonts w:ascii="Arial" w:hAnsi="Arial" w:cs="Arial"/>
          <w:shd w:val="clear" w:color="auto" w:fill="FFFFFF"/>
        </w:rPr>
        <w:t xml:space="preserve"> </w:t>
      </w:r>
      <w:hyperlink r:id="rId14" w:history="1">
        <w:proofErr w:type="spellStart"/>
        <w:r w:rsidR="005A0DAE" w:rsidRPr="00621CBF">
          <w:rPr>
            <w:rFonts w:ascii="Arial" w:hAnsi="Arial" w:cs="Arial"/>
            <w:bdr w:val="none" w:sz="0" w:space="0" w:color="auto" w:frame="1"/>
            <w:shd w:val="clear" w:color="auto" w:fill="FFFFFF"/>
          </w:rPr>
          <w:t>Johannesen</w:t>
        </w:r>
        <w:proofErr w:type="spellEnd"/>
      </w:hyperlink>
      <w:r w:rsidR="005A0DAE" w:rsidRPr="00621CBF">
        <w:rPr>
          <w:rFonts w:ascii="Arial" w:hAnsi="Arial" w:cs="Arial"/>
          <w:bdr w:val="none" w:sz="0" w:space="0" w:color="auto" w:frame="1"/>
          <w:shd w:val="clear" w:color="auto" w:fill="FFFFFF"/>
        </w:rPr>
        <w:t>, KM,</w:t>
      </w:r>
      <w:r w:rsidR="006736C3" w:rsidRPr="00621CBF">
        <w:rPr>
          <w:rFonts w:ascii="Arial" w:hAnsi="Arial" w:cs="Arial"/>
          <w:shd w:val="clear" w:color="auto" w:fill="FFFFFF"/>
        </w:rPr>
        <w:t xml:space="preserve"> </w:t>
      </w:r>
      <w:hyperlink r:id="rId15" w:history="1">
        <w:proofErr w:type="spellStart"/>
        <w:r w:rsidR="005A0DAE" w:rsidRPr="00621CBF">
          <w:rPr>
            <w:rFonts w:ascii="Arial" w:hAnsi="Arial" w:cs="Arial"/>
            <w:bdr w:val="none" w:sz="0" w:space="0" w:color="auto" w:frame="1"/>
            <w:shd w:val="clear" w:color="auto" w:fill="FFFFFF"/>
          </w:rPr>
          <w:t>Hedrich</w:t>
        </w:r>
        <w:proofErr w:type="spellEnd"/>
      </w:hyperlink>
      <w:r w:rsidR="005A0DAE" w:rsidRPr="00621CBF">
        <w:rPr>
          <w:rFonts w:ascii="Arial" w:hAnsi="Arial" w:cs="Arial"/>
          <w:bdr w:val="none" w:sz="0" w:space="0" w:color="auto" w:frame="1"/>
          <w:shd w:val="clear" w:color="auto" w:fill="FFFFFF"/>
        </w:rPr>
        <w:t xml:space="preserve"> UBS,</w:t>
      </w:r>
      <w:hyperlink r:id="rId16" w:history="1">
        <w:r w:rsidR="005A0DAE" w:rsidRPr="00621CBF">
          <w:rPr>
            <w:rFonts w:ascii="Arial" w:hAnsi="Arial" w:cs="Arial"/>
            <w:bdr w:val="none" w:sz="0" w:space="0" w:color="auto" w:frame="1"/>
            <w:shd w:val="clear" w:color="auto" w:fill="FFFFFF"/>
          </w:rPr>
          <w:t xml:space="preserve"> </w:t>
        </w:r>
        <w:proofErr w:type="spellStart"/>
        <w:r w:rsidR="005A0DAE" w:rsidRPr="00621CBF">
          <w:rPr>
            <w:rFonts w:ascii="Arial" w:hAnsi="Arial" w:cs="Arial"/>
            <w:bdr w:val="none" w:sz="0" w:space="0" w:color="auto" w:frame="1"/>
            <w:shd w:val="clear" w:color="auto" w:fill="FFFFFF"/>
          </w:rPr>
          <w:t>Masnada</w:t>
        </w:r>
        <w:proofErr w:type="spellEnd"/>
      </w:hyperlink>
      <w:r w:rsidR="005A0DAE" w:rsidRPr="00621CBF">
        <w:rPr>
          <w:rFonts w:ascii="Arial" w:hAnsi="Arial" w:cs="Arial"/>
          <w:bdr w:val="none" w:sz="0" w:space="0" w:color="auto" w:frame="1"/>
          <w:shd w:val="clear" w:color="auto" w:fill="FFFFFF"/>
        </w:rPr>
        <w:t xml:space="preserve"> S. </w:t>
      </w:r>
      <w:r w:rsidR="005A0DAE" w:rsidRPr="00621CBF">
        <w:rPr>
          <w:rFonts w:ascii="Arial" w:hAnsi="Arial" w:cs="Arial"/>
          <w:i/>
          <w:bdr w:val="none" w:sz="0" w:space="0" w:color="auto" w:frame="1"/>
          <w:shd w:val="clear" w:color="auto" w:fill="FFFFFF"/>
        </w:rPr>
        <w:t>et al.</w:t>
      </w:r>
      <w:r w:rsidR="005A0DAE" w:rsidRPr="00621CBF">
        <w:rPr>
          <w:rFonts w:ascii="Arial" w:hAnsi="Arial" w:cs="Arial"/>
          <w:bdr w:val="none" w:sz="0" w:space="0" w:color="auto" w:frame="1"/>
          <w:shd w:val="clear" w:color="auto" w:fill="FFFFFF"/>
        </w:rPr>
        <w:t xml:space="preserve"> (2017) Genetic and </w:t>
      </w:r>
      <w:r w:rsidR="00247628" w:rsidRPr="00621CBF">
        <w:rPr>
          <w:rFonts w:ascii="Arial" w:hAnsi="Arial" w:cs="Arial"/>
          <w:bdr w:val="none" w:sz="0" w:space="0" w:color="auto" w:frame="1"/>
          <w:shd w:val="clear" w:color="auto" w:fill="FFFFFF"/>
        </w:rPr>
        <w:t>phenotypic</w:t>
      </w:r>
      <w:r w:rsidR="005A0DAE" w:rsidRPr="00621CBF">
        <w:rPr>
          <w:rFonts w:ascii="Arial" w:hAnsi="Arial" w:cs="Arial"/>
          <w:bdr w:val="none" w:sz="0" w:space="0" w:color="auto" w:frame="1"/>
          <w:shd w:val="clear" w:color="auto" w:fill="FFFFFF"/>
        </w:rPr>
        <w:t xml:space="preserve"> heterogeneity suggest therapeutic implications in </w:t>
      </w:r>
      <w:r w:rsidR="005A0DAE" w:rsidRPr="00621CBF">
        <w:rPr>
          <w:rFonts w:ascii="Arial" w:hAnsi="Arial" w:cs="Arial"/>
          <w:i/>
          <w:bdr w:val="none" w:sz="0" w:space="0" w:color="auto" w:frame="1"/>
          <w:shd w:val="clear" w:color="auto" w:fill="FFFFFF"/>
        </w:rPr>
        <w:t>SCN2A</w:t>
      </w:r>
      <w:r w:rsidR="005A0DAE" w:rsidRPr="00621CBF">
        <w:rPr>
          <w:rFonts w:ascii="Arial" w:hAnsi="Arial" w:cs="Arial"/>
          <w:bdr w:val="none" w:sz="0" w:space="0" w:color="auto" w:frame="1"/>
          <w:shd w:val="clear" w:color="auto" w:fill="FFFFFF"/>
        </w:rPr>
        <w:t xml:space="preserve">-related disorders. </w:t>
      </w:r>
      <w:r w:rsidR="005A0DAE" w:rsidRPr="00621CBF">
        <w:rPr>
          <w:rFonts w:ascii="Arial" w:hAnsi="Arial" w:cs="Arial"/>
          <w:i/>
          <w:bdr w:val="none" w:sz="0" w:space="0" w:color="auto" w:frame="1"/>
          <w:shd w:val="clear" w:color="auto" w:fill="FFFFFF"/>
        </w:rPr>
        <w:t>Brain</w:t>
      </w:r>
      <w:r w:rsidR="005A0DAE" w:rsidRPr="00621CBF">
        <w:rPr>
          <w:rFonts w:ascii="Arial" w:hAnsi="Arial" w:cs="Arial"/>
          <w:bdr w:val="none" w:sz="0" w:space="0" w:color="auto" w:frame="1"/>
          <w:shd w:val="clear" w:color="auto" w:fill="FFFFFF"/>
        </w:rPr>
        <w:t xml:space="preserve">. </w:t>
      </w:r>
      <w:proofErr w:type="gramStart"/>
      <w:r w:rsidR="005A0DAE" w:rsidRPr="00621CBF">
        <w:rPr>
          <w:rFonts w:ascii="Arial" w:hAnsi="Arial" w:cs="Arial"/>
          <w:bdr w:val="none" w:sz="0" w:space="0" w:color="auto" w:frame="1"/>
          <w:shd w:val="clear" w:color="auto" w:fill="FFFFFF"/>
        </w:rPr>
        <w:t>140</w:t>
      </w:r>
      <w:proofErr w:type="gramEnd"/>
      <w:r w:rsidR="005A0DAE" w:rsidRPr="00621CBF">
        <w:rPr>
          <w:rFonts w:ascii="Arial" w:hAnsi="Arial" w:cs="Arial"/>
          <w:bdr w:val="none" w:sz="0" w:space="0" w:color="auto" w:frame="1"/>
          <w:shd w:val="clear" w:color="auto" w:fill="FFFFFF"/>
        </w:rPr>
        <w:t xml:space="preserve">: 1316-36. </w:t>
      </w:r>
      <w:proofErr w:type="spellStart"/>
      <w:proofErr w:type="gramStart"/>
      <w:r w:rsidR="00596767" w:rsidRPr="00621CBF">
        <w:rPr>
          <w:rFonts w:ascii="Arial" w:hAnsi="Arial" w:cs="Arial"/>
          <w:shd w:val="clear" w:color="auto" w:fill="FFFFFF"/>
        </w:rPr>
        <w:t>doi</w:t>
      </w:r>
      <w:proofErr w:type="spellEnd"/>
      <w:proofErr w:type="gramEnd"/>
      <w:r w:rsidR="00596767" w:rsidRPr="00621CBF">
        <w:rPr>
          <w:rFonts w:ascii="Arial" w:hAnsi="Arial" w:cs="Arial"/>
          <w:shd w:val="clear" w:color="auto" w:fill="FFFFFF"/>
        </w:rPr>
        <w:t>: 10.1093/brain/awx054. </w:t>
      </w:r>
    </w:p>
    <w:p w14:paraId="6643EA38" w14:textId="77777777" w:rsidR="00D803AB" w:rsidRPr="00621CBF" w:rsidRDefault="00D803AB" w:rsidP="00621CBF">
      <w:pPr>
        <w:shd w:val="clear" w:color="auto" w:fill="FFFFFF"/>
        <w:ind w:left="142"/>
        <w:rPr>
          <w:rFonts w:ascii="Arial" w:hAnsi="Arial" w:cs="Arial"/>
          <w:bdr w:val="none" w:sz="0" w:space="0" w:color="auto" w:frame="1"/>
          <w:shd w:val="clear" w:color="auto" w:fill="FFFFFF"/>
        </w:rPr>
      </w:pPr>
    </w:p>
    <w:p w14:paraId="480BBB52" w14:textId="0BE9ED20" w:rsidR="00701E53" w:rsidRPr="00621CBF" w:rsidRDefault="00701E53" w:rsidP="00621CBF">
      <w:pPr>
        <w:shd w:val="clear" w:color="auto" w:fill="FFFFFF"/>
        <w:ind w:left="142"/>
        <w:rPr>
          <w:rFonts w:ascii="Arial" w:hAnsi="Arial" w:cs="Arial"/>
          <w:shd w:val="clear" w:color="auto" w:fill="FFFFFF"/>
        </w:rPr>
      </w:pPr>
      <w:r w:rsidRPr="00621CBF">
        <w:rPr>
          <w:rStyle w:val="author"/>
          <w:rFonts w:ascii="Arial" w:hAnsi="Arial" w:cs="Arial"/>
          <w:shd w:val="clear" w:color="auto" w:fill="FFFFFF"/>
        </w:rPr>
        <w:t>Wolff M</w:t>
      </w:r>
      <w:r w:rsidRPr="00621CBF">
        <w:rPr>
          <w:rFonts w:ascii="Arial" w:hAnsi="Arial" w:cs="Arial"/>
          <w:shd w:val="clear" w:color="auto" w:fill="FFFFFF"/>
        </w:rPr>
        <w:t xml:space="preserve">, </w:t>
      </w:r>
      <w:proofErr w:type="spellStart"/>
      <w:r w:rsidRPr="00621CBF">
        <w:rPr>
          <w:rStyle w:val="author"/>
          <w:rFonts w:ascii="Arial" w:hAnsi="Arial" w:cs="Arial"/>
          <w:shd w:val="clear" w:color="auto" w:fill="FFFFFF"/>
        </w:rPr>
        <w:t>Brunklaus</w:t>
      </w:r>
      <w:proofErr w:type="spellEnd"/>
      <w:r w:rsidRPr="00621CBF">
        <w:rPr>
          <w:rStyle w:val="author"/>
          <w:rFonts w:ascii="Arial" w:hAnsi="Arial" w:cs="Arial"/>
          <w:shd w:val="clear" w:color="auto" w:fill="FFFFFF"/>
        </w:rPr>
        <w:t xml:space="preserve"> A</w:t>
      </w:r>
      <w:r w:rsidRPr="00621CBF">
        <w:rPr>
          <w:rFonts w:ascii="Arial" w:hAnsi="Arial" w:cs="Arial"/>
          <w:shd w:val="clear" w:color="auto" w:fill="FFFFFF"/>
        </w:rPr>
        <w:t xml:space="preserve">, </w:t>
      </w:r>
      <w:proofErr w:type="spellStart"/>
      <w:r w:rsidRPr="00621CBF">
        <w:rPr>
          <w:rStyle w:val="author"/>
          <w:rFonts w:ascii="Arial" w:hAnsi="Arial" w:cs="Arial"/>
          <w:shd w:val="clear" w:color="auto" w:fill="FFFFFF"/>
        </w:rPr>
        <w:t>Zuberi</w:t>
      </w:r>
      <w:proofErr w:type="spellEnd"/>
      <w:r w:rsidRPr="00621CBF">
        <w:rPr>
          <w:rStyle w:val="author"/>
          <w:rFonts w:ascii="Arial" w:hAnsi="Arial" w:cs="Arial"/>
          <w:shd w:val="clear" w:color="auto" w:fill="FFFFFF"/>
        </w:rPr>
        <w:t xml:space="preserve"> SM</w:t>
      </w:r>
      <w:r w:rsidRPr="00621CBF">
        <w:rPr>
          <w:rFonts w:ascii="Arial" w:hAnsi="Arial" w:cs="Arial"/>
          <w:shd w:val="clear" w:color="auto" w:fill="FFFFFF"/>
        </w:rPr>
        <w:t>.(</w:t>
      </w:r>
      <w:r w:rsidRPr="00621CBF">
        <w:rPr>
          <w:rStyle w:val="pubyear"/>
          <w:rFonts w:ascii="Arial" w:hAnsi="Arial" w:cs="Arial"/>
          <w:shd w:val="clear" w:color="auto" w:fill="FFFFFF"/>
        </w:rPr>
        <w:t xml:space="preserve">2019) </w:t>
      </w:r>
      <w:r w:rsidRPr="00621CBF">
        <w:rPr>
          <w:rStyle w:val="articletitle"/>
          <w:rFonts w:ascii="Arial" w:hAnsi="Arial" w:cs="Arial"/>
          <w:shd w:val="clear" w:color="auto" w:fill="FFFFFF"/>
        </w:rPr>
        <w:t xml:space="preserve">Phenotypic spectrum and genetics of </w:t>
      </w:r>
      <w:r w:rsidRPr="00621CBF">
        <w:rPr>
          <w:rStyle w:val="articletitle"/>
          <w:rFonts w:ascii="Arial" w:hAnsi="Arial" w:cs="Arial"/>
          <w:i/>
          <w:iCs/>
          <w:shd w:val="clear" w:color="auto" w:fill="FFFFFF"/>
        </w:rPr>
        <w:t xml:space="preserve">SCN2A </w:t>
      </w:r>
      <w:r w:rsidRPr="00621CBF">
        <w:rPr>
          <w:rStyle w:val="articletitle"/>
          <w:rFonts w:ascii="Arial" w:hAnsi="Arial" w:cs="Arial"/>
          <w:shd w:val="clear" w:color="auto" w:fill="FFFFFF"/>
        </w:rPr>
        <w:t>related disorders, treatment options, and outcomes in epilepsy and</w:t>
      </w:r>
      <w:r w:rsidR="00596767" w:rsidRPr="00621CBF">
        <w:rPr>
          <w:rStyle w:val="articletitle"/>
          <w:rFonts w:ascii="Arial" w:hAnsi="Arial" w:cs="Arial"/>
          <w:shd w:val="clear" w:color="auto" w:fill="FFFFFF"/>
        </w:rPr>
        <w:t xml:space="preserve"> </w:t>
      </w:r>
      <w:r w:rsidRPr="00621CBF">
        <w:rPr>
          <w:rStyle w:val="articletitle"/>
          <w:rFonts w:ascii="Arial" w:hAnsi="Arial" w:cs="Arial"/>
          <w:shd w:val="clear" w:color="auto" w:fill="FFFFFF"/>
        </w:rPr>
        <w:t>beyond</w:t>
      </w:r>
      <w:r w:rsidRPr="00621CBF">
        <w:rPr>
          <w:rFonts w:ascii="Arial" w:hAnsi="Arial" w:cs="Arial"/>
          <w:shd w:val="clear" w:color="auto" w:fill="FFFFFF"/>
        </w:rPr>
        <w:t>.</w:t>
      </w:r>
      <w:r w:rsidRPr="00621CBF">
        <w:rPr>
          <w:rFonts w:ascii="Arial" w:hAnsi="Arial" w:cs="Arial"/>
          <w:i/>
          <w:iCs/>
          <w:shd w:val="clear" w:color="auto" w:fill="FFFFFF"/>
        </w:rPr>
        <w:t>Epilepsia</w:t>
      </w:r>
      <w:r w:rsidRPr="00621CBF">
        <w:rPr>
          <w:rFonts w:ascii="Arial" w:hAnsi="Arial" w:cs="Arial"/>
          <w:shd w:val="clear" w:color="auto" w:fill="FFFFFF"/>
        </w:rPr>
        <w:t>.;</w:t>
      </w:r>
      <w:r w:rsidRPr="00621CBF">
        <w:rPr>
          <w:rStyle w:val="vol"/>
          <w:rFonts w:ascii="Arial" w:hAnsi="Arial" w:cs="Arial"/>
          <w:shd w:val="clear" w:color="auto" w:fill="FFFFFF"/>
        </w:rPr>
        <w:t>60(S3)</w:t>
      </w:r>
      <w:r w:rsidRPr="00621CBF">
        <w:rPr>
          <w:rFonts w:ascii="Arial" w:hAnsi="Arial" w:cs="Arial"/>
          <w:shd w:val="clear" w:color="auto" w:fill="FFFFFF"/>
        </w:rPr>
        <w:t>:</w:t>
      </w:r>
      <w:r w:rsidRPr="00621CBF">
        <w:rPr>
          <w:rStyle w:val="pagefirst"/>
          <w:rFonts w:ascii="Arial" w:hAnsi="Arial" w:cs="Arial"/>
          <w:shd w:val="clear" w:color="auto" w:fill="FFFFFF"/>
        </w:rPr>
        <w:t>S59</w:t>
      </w:r>
      <w:r w:rsidRPr="00621CBF">
        <w:rPr>
          <w:rFonts w:ascii="Arial" w:hAnsi="Arial" w:cs="Arial"/>
          <w:shd w:val="clear" w:color="auto" w:fill="FFFFFF"/>
        </w:rPr>
        <w:t>–</w:t>
      </w:r>
      <w:r w:rsidRPr="00621CBF">
        <w:rPr>
          <w:rStyle w:val="pagelast"/>
          <w:rFonts w:ascii="Arial" w:hAnsi="Arial" w:cs="Arial"/>
          <w:shd w:val="clear" w:color="auto" w:fill="FFFFFF"/>
        </w:rPr>
        <w:t>S67</w:t>
      </w:r>
      <w:r w:rsidRPr="00621CBF">
        <w:rPr>
          <w:rFonts w:ascii="Arial" w:hAnsi="Arial" w:cs="Arial"/>
          <w:shd w:val="clear" w:color="auto" w:fill="FFFFFF"/>
        </w:rPr>
        <w:t>.</w:t>
      </w:r>
      <w:r w:rsidRPr="00621CBF" w:rsidDel="00314900">
        <w:rPr>
          <w:rFonts w:ascii="Arial" w:hAnsi="Arial" w:cs="Arial"/>
        </w:rPr>
        <w:t xml:space="preserve"> </w:t>
      </w:r>
      <w:proofErr w:type="spellStart"/>
      <w:proofErr w:type="gramStart"/>
      <w:r w:rsidR="00596767" w:rsidRPr="00621CBF">
        <w:rPr>
          <w:rFonts w:ascii="Arial" w:hAnsi="Arial" w:cs="Arial"/>
          <w:shd w:val="clear" w:color="auto" w:fill="FFFFFF"/>
        </w:rPr>
        <w:t>doi</w:t>
      </w:r>
      <w:proofErr w:type="spellEnd"/>
      <w:proofErr w:type="gramEnd"/>
      <w:r w:rsidR="00596767" w:rsidRPr="00621CBF">
        <w:rPr>
          <w:rFonts w:ascii="Arial" w:hAnsi="Arial" w:cs="Arial"/>
          <w:shd w:val="clear" w:color="auto" w:fill="FFFFFF"/>
        </w:rPr>
        <w:t>: 10.1111/epi.14935.</w:t>
      </w:r>
    </w:p>
    <w:p w14:paraId="69D9151C" w14:textId="77777777" w:rsidR="00701E53" w:rsidRPr="00621CBF" w:rsidRDefault="00701E53" w:rsidP="00621CBF">
      <w:pPr>
        <w:shd w:val="clear" w:color="auto" w:fill="FFFFFF"/>
        <w:ind w:left="142"/>
        <w:rPr>
          <w:rFonts w:ascii="Arial" w:hAnsi="Arial" w:cs="Arial"/>
          <w:bdr w:val="none" w:sz="0" w:space="0" w:color="auto" w:frame="1"/>
          <w:shd w:val="clear" w:color="auto" w:fill="FFFFFF"/>
        </w:rPr>
      </w:pPr>
    </w:p>
    <w:p w14:paraId="08941DB9" w14:textId="1648CB5F" w:rsidR="005A0DAE" w:rsidRPr="00621CBF" w:rsidRDefault="005A0DAE" w:rsidP="00621CBF">
      <w:pPr>
        <w:pStyle w:val="Heading4"/>
        <w:keepNext w:val="0"/>
        <w:keepLines w:val="0"/>
        <w:pBdr>
          <w:top w:val="none" w:sz="0" w:space="0" w:color="auto"/>
          <w:left w:val="none" w:sz="0" w:space="0" w:color="auto"/>
          <w:bottom w:val="none" w:sz="0" w:space="0" w:color="auto"/>
          <w:right w:val="none" w:sz="0" w:space="0" w:color="auto"/>
          <w:between w:val="none" w:sz="0" w:space="0" w:color="auto"/>
        </w:pBdr>
        <w:spacing w:before="0" w:after="0" w:line="240" w:lineRule="auto"/>
        <w:ind w:left="142" w:right="150"/>
        <w:textAlignment w:val="baseline"/>
        <w:rPr>
          <w:color w:val="auto"/>
          <w:shd w:val="clear" w:color="auto" w:fill="FFFFFF"/>
        </w:rPr>
      </w:pPr>
      <w:r w:rsidRPr="00621CBF">
        <w:rPr>
          <w:rStyle w:val="author"/>
          <w:color w:val="auto"/>
          <w:bdr w:val="none" w:sz="0" w:space="0" w:color="auto" w:frame="1"/>
        </w:rPr>
        <w:t>Wright CF</w:t>
      </w:r>
      <w:r w:rsidRPr="00621CBF">
        <w:rPr>
          <w:color w:val="auto"/>
        </w:rPr>
        <w:t>,</w:t>
      </w:r>
      <w:r w:rsidR="006736C3" w:rsidRPr="00621CBF">
        <w:rPr>
          <w:color w:val="auto"/>
        </w:rPr>
        <w:t xml:space="preserve"> </w:t>
      </w:r>
      <w:r w:rsidRPr="00621CBF">
        <w:rPr>
          <w:rStyle w:val="author"/>
          <w:color w:val="auto"/>
          <w:bdr w:val="none" w:sz="0" w:space="0" w:color="auto" w:frame="1"/>
        </w:rPr>
        <w:t>Fitzgerald TW</w:t>
      </w:r>
      <w:r w:rsidRPr="00621CBF">
        <w:rPr>
          <w:color w:val="auto"/>
        </w:rPr>
        <w:t>,</w:t>
      </w:r>
      <w:r w:rsidR="006736C3" w:rsidRPr="00621CBF">
        <w:rPr>
          <w:color w:val="auto"/>
        </w:rPr>
        <w:t xml:space="preserve"> </w:t>
      </w:r>
      <w:r w:rsidRPr="00621CBF">
        <w:rPr>
          <w:rStyle w:val="author"/>
          <w:color w:val="auto"/>
          <w:bdr w:val="none" w:sz="0" w:space="0" w:color="auto" w:frame="1"/>
        </w:rPr>
        <w:t>Jones WD</w:t>
      </w:r>
      <w:r w:rsidRPr="00621CBF">
        <w:rPr>
          <w:color w:val="auto"/>
        </w:rPr>
        <w:t>,</w:t>
      </w:r>
      <w:r w:rsidR="006736C3" w:rsidRPr="00621CBF">
        <w:rPr>
          <w:color w:val="auto"/>
        </w:rPr>
        <w:t xml:space="preserve"> </w:t>
      </w:r>
      <w:r w:rsidRPr="00621CBF">
        <w:rPr>
          <w:rStyle w:val="author"/>
          <w:color w:val="auto"/>
          <w:bdr w:val="none" w:sz="0" w:space="0" w:color="auto" w:frame="1"/>
        </w:rPr>
        <w:t>Clayton S</w:t>
      </w:r>
      <w:r w:rsidRPr="00621CBF">
        <w:rPr>
          <w:color w:val="auto"/>
        </w:rPr>
        <w:t>,</w:t>
      </w:r>
      <w:r w:rsidR="006736C3" w:rsidRPr="00621CBF">
        <w:rPr>
          <w:color w:val="auto"/>
        </w:rPr>
        <w:t xml:space="preserve"> </w:t>
      </w:r>
      <w:r w:rsidRPr="00621CBF">
        <w:rPr>
          <w:i/>
          <w:color w:val="auto"/>
        </w:rPr>
        <w:t>et al</w:t>
      </w:r>
      <w:r w:rsidRPr="00621CBF">
        <w:rPr>
          <w:color w:val="auto"/>
        </w:rPr>
        <w:t xml:space="preserve">., (2014).Genetic diagnosis of developmental disorders in the DDD study: a scalable analysis of genome-wide research data. </w:t>
      </w:r>
      <w:r w:rsidRPr="00621CBF">
        <w:rPr>
          <w:rStyle w:val="Title1"/>
          <w:i/>
          <w:color w:val="auto"/>
          <w:bdr w:val="none" w:sz="0" w:space="0" w:color="auto" w:frame="1"/>
        </w:rPr>
        <w:t>Lancet</w:t>
      </w:r>
      <w:r w:rsidRPr="00621CBF">
        <w:rPr>
          <w:rStyle w:val="Title1"/>
          <w:color w:val="auto"/>
          <w:bdr w:val="none" w:sz="0" w:space="0" w:color="auto" w:frame="1"/>
        </w:rPr>
        <w:t xml:space="preserve"> (London, England)</w:t>
      </w:r>
      <w:r w:rsidRPr="00621CBF">
        <w:rPr>
          <w:rStyle w:val="volume"/>
          <w:color w:val="auto"/>
          <w:bdr w:val="none" w:sz="0" w:space="0" w:color="auto" w:frame="1"/>
        </w:rPr>
        <w:t xml:space="preserve"> 385</w:t>
      </w:r>
      <w:r w:rsidRPr="00621CBF">
        <w:rPr>
          <w:color w:val="auto"/>
        </w:rPr>
        <w:t>;</w:t>
      </w:r>
      <w:r w:rsidRPr="00621CBF">
        <w:rPr>
          <w:rStyle w:val="number"/>
          <w:color w:val="auto"/>
          <w:bdr w:val="none" w:sz="0" w:space="0" w:color="auto" w:frame="1"/>
        </w:rPr>
        <w:t>9975</w:t>
      </w:r>
      <w:r w:rsidRPr="00621CBF">
        <w:rPr>
          <w:color w:val="auto"/>
        </w:rPr>
        <w:t>;</w:t>
      </w:r>
      <w:r w:rsidRPr="00621CBF">
        <w:rPr>
          <w:rStyle w:val="pagerange"/>
          <w:color w:val="auto"/>
          <w:bdr w:val="none" w:sz="0" w:space="0" w:color="auto" w:frame="1"/>
        </w:rPr>
        <w:t>1305-14</w:t>
      </w:r>
      <w:r w:rsidR="00596767" w:rsidRPr="00621CBF">
        <w:rPr>
          <w:rStyle w:val="pagerange"/>
          <w:color w:val="auto"/>
          <w:bdr w:val="none" w:sz="0" w:space="0" w:color="auto" w:frame="1"/>
        </w:rPr>
        <w:t xml:space="preserve">. </w:t>
      </w:r>
      <w:r w:rsidR="00596767" w:rsidRPr="00621CBF">
        <w:rPr>
          <w:color w:val="auto"/>
          <w:shd w:val="clear" w:color="auto" w:fill="FFFFFF"/>
        </w:rPr>
        <w:t>doi: 10.1016/S0140-6736(14)61705-0. </w:t>
      </w:r>
    </w:p>
    <w:p w14:paraId="45EA27B5" w14:textId="77777777" w:rsidR="00701E53" w:rsidRPr="00621CBF" w:rsidRDefault="00701E53" w:rsidP="00621CBF">
      <w:pPr>
        <w:autoSpaceDE w:val="0"/>
        <w:autoSpaceDN w:val="0"/>
        <w:adjustRightInd w:val="0"/>
        <w:ind w:left="142"/>
        <w:rPr>
          <w:rFonts w:ascii="Arial" w:hAnsi="Arial" w:cs="Arial"/>
        </w:rPr>
      </w:pPr>
    </w:p>
    <w:p w14:paraId="3D9E9EA6" w14:textId="1C44D740" w:rsidR="002921A3" w:rsidRPr="00621CBF" w:rsidRDefault="00A007CD" w:rsidP="00621CBF">
      <w:pPr>
        <w:shd w:val="clear" w:color="auto" w:fill="FFFFFF"/>
        <w:ind w:left="142"/>
        <w:outlineLvl w:val="0"/>
        <w:rPr>
          <w:rFonts w:ascii="Arial" w:hAnsi="Arial" w:cs="Arial"/>
        </w:rPr>
      </w:pPr>
      <w:r w:rsidRPr="00621CBF">
        <w:rPr>
          <w:rFonts w:ascii="Arial" w:hAnsi="Arial" w:cs="Arial"/>
        </w:rPr>
        <w:t xml:space="preserve">Zeng Q, Yang X, Zhang J, Liu A, </w:t>
      </w:r>
      <w:r w:rsidRPr="00621CBF">
        <w:rPr>
          <w:rFonts w:ascii="Arial" w:hAnsi="Arial" w:cs="Arial"/>
          <w:i/>
        </w:rPr>
        <w:t>et al</w:t>
      </w:r>
      <w:r w:rsidRPr="00621CBF">
        <w:rPr>
          <w:rFonts w:ascii="Arial" w:hAnsi="Arial" w:cs="Arial"/>
        </w:rPr>
        <w:t xml:space="preserve">. (2018). </w:t>
      </w:r>
      <w:r w:rsidRPr="00621CBF">
        <w:rPr>
          <w:rFonts w:ascii="Arial" w:hAnsi="Arial" w:cs="Arial"/>
          <w:bCs/>
          <w:kern w:val="36"/>
        </w:rPr>
        <w:t>Genetic analysis of benign familial epilepsies in the first year of life in a Chinese cohort.</w:t>
      </w:r>
      <w:r w:rsidRPr="00621CBF">
        <w:rPr>
          <w:rFonts w:ascii="Arial" w:hAnsi="Arial" w:cs="Arial"/>
        </w:rPr>
        <w:t xml:space="preserve"> </w:t>
      </w:r>
      <w:r w:rsidRPr="00621CBF">
        <w:rPr>
          <w:rFonts w:ascii="Arial" w:hAnsi="Arial" w:cs="Arial"/>
          <w:i/>
        </w:rPr>
        <w:t>J Hum Genet.</w:t>
      </w:r>
      <w:r w:rsidRPr="00621CBF">
        <w:rPr>
          <w:rFonts w:ascii="Arial" w:hAnsi="Arial" w:cs="Arial"/>
        </w:rPr>
        <w:t xml:space="preserve"> </w:t>
      </w:r>
      <w:proofErr w:type="gramStart"/>
      <w:r w:rsidRPr="00621CBF">
        <w:rPr>
          <w:rFonts w:ascii="Arial" w:hAnsi="Arial" w:cs="Arial"/>
        </w:rPr>
        <w:t>63</w:t>
      </w:r>
      <w:proofErr w:type="gramEnd"/>
      <w:r w:rsidRPr="00621CBF">
        <w:rPr>
          <w:rFonts w:ascii="Arial" w:hAnsi="Arial" w:cs="Arial"/>
        </w:rPr>
        <w:t>:9-18.</w:t>
      </w:r>
      <w:r w:rsidR="00596767" w:rsidRPr="00621CBF">
        <w:rPr>
          <w:rFonts w:ascii="Arial" w:hAnsi="Arial" w:cs="Arial"/>
        </w:rPr>
        <w:t xml:space="preserve"> </w:t>
      </w:r>
      <w:proofErr w:type="spellStart"/>
      <w:r w:rsidR="00596767" w:rsidRPr="00621CBF">
        <w:rPr>
          <w:rFonts w:ascii="Arial" w:hAnsi="Arial" w:cs="Arial"/>
          <w:shd w:val="clear" w:color="auto" w:fill="FFFFFF"/>
        </w:rPr>
        <w:t>doi</w:t>
      </w:r>
      <w:proofErr w:type="spellEnd"/>
      <w:r w:rsidR="00596767" w:rsidRPr="00621CBF">
        <w:rPr>
          <w:rFonts w:ascii="Arial" w:hAnsi="Arial" w:cs="Arial"/>
          <w:shd w:val="clear" w:color="auto" w:fill="FFFFFF"/>
        </w:rPr>
        <w:t>: 10.1038/s10038-017-0359-x. </w:t>
      </w:r>
    </w:p>
    <w:p w14:paraId="6419E0BF" w14:textId="24EF4CA7" w:rsidR="00701E53" w:rsidRPr="00621CBF" w:rsidRDefault="00701E53" w:rsidP="00621CBF">
      <w:pPr>
        <w:shd w:val="clear" w:color="auto" w:fill="FFFFFF"/>
        <w:ind w:left="142"/>
        <w:textAlignment w:val="top"/>
        <w:rPr>
          <w:rFonts w:ascii="Arial" w:hAnsi="Arial" w:cs="Arial"/>
          <w:shd w:val="clear" w:color="auto" w:fill="FFFFFF"/>
        </w:rPr>
      </w:pPr>
    </w:p>
    <w:p w14:paraId="7366D852" w14:textId="30DBF5D4" w:rsidR="00E52213" w:rsidRPr="00621CBF" w:rsidRDefault="00E52213" w:rsidP="00621CBF">
      <w:pPr>
        <w:autoSpaceDE w:val="0"/>
        <w:autoSpaceDN w:val="0"/>
        <w:adjustRightInd w:val="0"/>
        <w:ind w:left="142"/>
        <w:rPr>
          <w:rFonts w:ascii="Arial" w:hAnsi="Arial" w:cs="Arial"/>
        </w:rPr>
      </w:pPr>
      <w:proofErr w:type="spellStart"/>
      <w:r w:rsidRPr="00621CBF">
        <w:rPr>
          <w:rFonts w:ascii="Arial" w:hAnsi="Arial" w:cs="Arial"/>
        </w:rPr>
        <w:t>Zerem</w:t>
      </w:r>
      <w:proofErr w:type="spellEnd"/>
      <w:r w:rsidRPr="00621CBF">
        <w:rPr>
          <w:rFonts w:ascii="Arial" w:hAnsi="Arial" w:cs="Arial"/>
        </w:rPr>
        <w:t xml:space="preserve"> A, Lev D, </w:t>
      </w:r>
      <w:proofErr w:type="spellStart"/>
      <w:r w:rsidRPr="00621CBF">
        <w:rPr>
          <w:rFonts w:ascii="Arial" w:hAnsi="Arial" w:cs="Arial"/>
        </w:rPr>
        <w:t>Blumkin</w:t>
      </w:r>
      <w:proofErr w:type="spellEnd"/>
      <w:r w:rsidRPr="00621CBF">
        <w:rPr>
          <w:rFonts w:ascii="Arial" w:hAnsi="Arial" w:cs="Arial"/>
        </w:rPr>
        <w:t xml:space="preserve"> L, Goldberg-Stern H. </w:t>
      </w:r>
      <w:r w:rsidRPr="00621CBF">
        <w:rPr>
          <w:rFonts w:ascii="Arial" w:hAnsi="Arial" w:cs="Arial"/>
          <w:i/>
        </w:rPr>
        <w:t>et al.</w:t>
      </w:r>
      <w:r w:rsidRPr="00621CBF">
        <w:rPr>
          <w:rFonts w:ascii="Arial" w:hAnsi="Arial" w:cs="Arial"/>
        </w:rPr>
        <w:t xml:space="preserve"> (2014). </w:t>
      </w:r>
      <w:r w:rsidRPr="00621CBF">
        <w:rPr>
          <w:rStyle w:val="title-text"/>
          <w:rFonts w:ascii="Arial" w:hAnsi="Arial" w:cs="Arial"/>
        </w:rPr>
        <w:t xml:space="preserve">Paternal germline mosaicism of a </w:t>
      </w:r>
      <w:r w:rsidRPr="00621CBF">
        <w:rPr>
          <w:rStyle w:val="Emphasis"/>
          <w:rFonts w:ascii="Arial" w:hAnsi="Arial" w:cs="Arial"/>
        </w:rPr>
        <w:t>SCN2A</w:t>
      </w:r>
      <w:r w:rsidRPr="00621CBF">
        <w:rPr>
          <w:rStyle w:val="title-text"/>
          <w:rFonts w:ascii="Arial" w:hAnsi="Arial" w:cs="Arial"/>
        </w:rPr>
        <w:t xml:space="preserve"> mutation results in </w:t>
      </w:r>
      <w:proofErr w:type="spellStart"/>
      <w:r w:rsidRPr="00621CBF">
        <w:rPr>
          <w:rStyle w:val="title-text"/>
          <w:rFonts w:ascii="Arial" w:hAnsi="Arial" w:cs="Arial"/>
        </w:rPr>
        <w:t>Ohtahara</w:t>
      </w:r>
      <w:proofErr w:type="spellEnd"/>
      <w:r w:rsidRPr="00621CBF">
        <w:rPr>
          <w:rStyle w:val="title-text"/>
          <w:rFonts w:ascii="Arial" w:hAnsi="Arial" w:cs="Arial"/>
        </w:rPr>
        <w:t xml:space="preserve"> syndrome in half siblings. </w:t>
      </w:r>
      <w:r w:rsidRPr="00621CBF">
        <w:rPr>
          <w:rFonts w:ascii="Arial" w:hAnsi="Arial" w:cs="Arial"/>
        </w:rPr>
        <w:t xml:space="preserve">Eur. J. </w:t>
      </w:r>
      <w:proofErr w:type="spellStart"/>
      <w:r w:rsidRPr="00621CBF">
        <w:rPr>
          <w:rFonts w:ascii="Arial" w:hAnsi="Arial" w:cs="Arial"/>
        </w:rPr>
        <w:t>Paed.Neurol</w:t>
      </w:r>
      <w:proofErr w:type="spellEnd"/>
      <w:r w:rsidRPr="00621CBF">
        <w:rPr>
          <w:rFonts w:ascii="Arial" w:hAnsi="Arial" w:cs="Arial"/>
        </w:rPr>
        <w:t>. 18. 567-571.</w:t>
      </w:r>
      <w:r w:rsidR="00596767" w:rsidRPr="00621CBF">
        <w:rPr>
          <w:rFonts w:ascii="Arial" w:hAnsi="Arial" w:cs="Arial"/>
        </w:rPr>
        <w:t xml:space="preserve"> </w:t>
      </w:r>
      <w:proofErr w:type="spellStart"/>
      <w:proofErr w:type="gramStart"/>
      <w:r w:rsidR="00596767" w:rsidRPr="00621CBF">
        <w:rPr>
          <w:rFonts w:ascii="Arial" w:hAnsi="Arial" w:cs="Arial"/>
          <w:shd w:val="clear" w:color="auto" w:fill="FFFFFF"/>
        </w:rPr>
        <w:t>doi</w:t>
      </w:r>
      <w:proofErr w:type="spellEnd"/>
      <w:proofErr w:type="gramEnd"/>
      <w:r w:rsidR="00596767" w:rsidRPr="00621CBF">
        <w:rPr>
          <w:rFonts w:ascii="Arial" w:hAnsi="Arial" w:cs="Arial"/>
          <w:shd w:val="clear" w:color="auto" w:fill="FFFFFF"/>
        </w:rPr>
        <w:t>: 10.1016/j.ejpn.2014.04.008. </w:t>
      </w:r>
    </w:p>
    <w:p w14:paraId="0B5C6A4E" w14:textId="77777777" w:rsidR="00E52213" w:rsidRPr="00621CBF" w:rsidRDefault="00E52213" w:rsidP="00621CBF">
      <w:pPr>
        <w:shd w:val="clear" w:color="auto" w:fill="FFFFFF"/>
        <w:ind w:left="142"/>
        <w:textAlignment w:val="top"/>
        <w:rPr>
          <w:rFonts w:ascii="Arial" w:hAnsi="Arial" w:cs="Arial"/>
          <w:shd w:val="clear" w:color="auto" w:fill="FFFFFF"/>
        </w:rPr>
      </w:pPr>
    </w:p>
    <w:p w14:paraId="34822723" w14:textId="0F3B07BE" w:rsidR="00D2755C" w:rsidRPr="00621CBF" w:rsidRDefault="00D2755C" w:rsidP="006C2244">
      <w:pPr>
        <w:pStyle w:val="Normal1"/>
        <w:spacing w:line="480" w:lineRule="auto"/>
        <w:rPr>
          <w:color w:val="auto"/>
          <w:sz w:val="24"/>
          <w:szCs w:val="24"/>
          <w:lang w:val="en-GB"/>
        </w:rPr>
      </w:pPr>
    </w:p>
    <w:sectPr w:rsidR="00D2755C" w:rsidRPr="00621CBF" w:rsidSect="00992356">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014"/>
    <w:multiLevelType w:val="hybridMultilevel"/>
    <w:tmpl w:val="CC52E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32AEB"/>
    <w:multiLevelType w:val="hybridMultilevel"/>
    <w:tmpl w:val="7E0AB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335F88"/>
    <w:multiLevelType w:val="multilevel"/>
    <w:tmpl w:val="6734B4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A3782E"/>
    <w:multiLevelType w:val="multilevel"/>
    <w:tmpl w:val="7E783B1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D1F1898"/>
    <w:multiLevelType w:val="hybridMultilevel"/>
    <w:tmpl w:val="358A7F96"/>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D85ED8"/>
    <w:multiLevelType w:val="hybridMultilevel"/>
    <w:tmpl w:val="26A88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16D4A"/>
    <w:multiLevelType w:val="hybridMultilevel"/>
    <w:tmpl w:val="07EAEDDA"/>
    <w:lvl w:ilvl="0" w:tplc="563244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677C39"/>
    <w:multiLevelType w:val="hybridMultilevel"/>
    <w:tmpl w:val="4192E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209F8"/>
    <w:multiLevelType w:val="hybridMultilevel"/>
    <w:tmpl w:val="3A2E6480"/>
    <w:lvl w:ilvl="0" w:tplc="563244D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D42545"/>
    <w:multiLevelType w:val="multilevel"/>
    <w:tmpl w:val="E5DCD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02631EC"/>
    <w:multiLevelType w:val="multilevel"/>
    <w:tmpl w:val="AB16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9"/>
  </w:num>
  <w:num w:numId="5">
    <w:abstractNumId w:val="2"/>
  </w:num>
  <w:num w:numId="6">
    <w:abstractNumId w:val="3"/>
  </w:num>
  <w:num w:numId="7">
    <w:abstractNumId w:val="6"/>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CC998A2-3010-46DB-B0F5-F1CC91E7892A}"/>
    <w:docVar w:name="dgnword-eventsink" w:val="305065976"/>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fadz2rksaeewe99v5vdrs3ffvtz0eterta&quot;&gt;SIN3A endnote-Saved&lt;record-ids&gt;&lt;item&gt;27&lt;/item&gt;&lt;item&gt;31&lt;/item&gt;&lt;item&gt;45&lt;/item&gt;&lt;item&gt;46&lt;/item&gt;&lt;item&gt;50&lt;/item&gt;&lt;item&gt;51&lt;/item&gt;&lt;item&gt;55&lt;/item&gt;&lt;item&gt;56&lt;/item&gt;&lt;item&gt;59&lt;/item&gt;&lt;item&gt;60&lt;/item&gt;&lt;/record-ids&gt;&lt;/item&gt;&lt;/Libraries&gt;"/>
  </w:docVars>
  <w:rsids>
    <w:rsidRoot w:val="00992356"/>
    <w:rsid w:val="00002A4C"/>
    <w:rsid w:val="00006702"/>
    <w:rsid w:val="00007130"/>
    <w:rsid w:val="00012F2A"/>
    <w:rsid w:val="0001379E"/>
    <w:rsid w:val="00014F82"/>
    <w:rsid w:val="00016ED8"/>
    <w:rsid w:val="000173F9"/>
    <w:rsid w:val="00023E71"/>
    <w:rsid w:val="00026475"/>
    <w:rsid w:val="00027701"/>
    <w:rsid w:val="0003113D"/>
    <w:rsid w:val="00031F6F"/>
    <w:rsid w:val="00033B5F"/>
    <w:rsid w:val="00035977"/>
    <w:rsid w:val="000411A9"/>
    <w:rsid w:val="000413E1"/>
    <w:rsid w:val="000439BD"/>
    <w:rsid w:val="00045BA7"/>
    <w:rsid w:val="000533F9"/>
    <w:rsid w:val="00057C3C"/>
    <w:rsid w:val="000620E4"/>
    <w:rsid w:val="00062180"/>
    <w:rsid w:val="00063384"/>
    <w:rsid w:val="000658ED"/>
    <w:rsid w:val="000664AA"/>
    <w:rsid w:val="00071065"/>
    <w:rsid w:val="00071E9D"/>
    <w:rsid w:val="00071FBB"/>
    <w:rsid w:val="00074753"/>
    <w:rsid w:val="000803D3"/>
    <w:rsid w:val="000912AD"/>
    <w:rsid w:val="0009199C"/>
    <w:rsid w:val="00094811"/>
    <w:rsid w:val="000973A4"/>
    <w:rsid w:val="000976E7"/>
    <w:rsid w:val="000A20A5"/>
    <w:rsid w:val="000A4B20"/>
    <w:rsid w:val="000A627A"/>
    <w:rsid w:val="000A7DEC"/>
    <w:rsid w:val="000B33D8"/>
    <w:rsid w:val="000B5912"/>
    <w:rsid w:val="000C009A"/>
    <w:rsid w:val="000C4DEE"/>
    <w:rsid w:val="000D1F7A"/>
    <w:rsid w:val="000D250F"/>
    <w:rsid w:val="000D4B5A"/>
    <w:rsid w:val="000E071E"/>
    <w:rsid w:val="000E25DE"/>
    <w:rsid w:val="000E365F"/>
    <w:rsid w:val="000E4901"/>
    <w:rsid w:val="000E6806"/>
    <w:rsid w:val="000F0FA3"/>
    <w:rsid w:val="000F2289"/>
    <w:rsid w:val="000F2B30"/>
    <w:rsid w:val="000F320E"/>
    <w:rsid w:val="000F3C85"/>
    <w:rsid w:val="000F5417"/>
    <w:rsid w:val="000F57B8"/>
    <w:rsid w:val="00100589"/>
    <w:rsid w:val="0010071C"/>
    <w:rsid w:val="00101570"/>
    <w:rsid w:val="001023CE"/>
    <w:rsid w:val="0010559A"/>
    <w:rsid w:val="00105A37"/>
    <w:rsid w:val="00105C49"/>
    <w:rsid w:val="00106C87"/>
    <w:rsid w:val="00107E28"/>
    <w:rsid w:val="00111A19"/>
    <w:rsid w:val="00112B8A"/>
    <w:rsid w:val="00114957"/>
    <w:rsid w:val="00114CEA"/>
    <w:rsid w:val="00116159"/>
    <w:rsid w:val="00116541"/>
    <w:rsid w:val="001202FD"/>
    <w:rsid w:val="00122F3F"/>
    <w:rsid w:val="0013230E"/>
    <w:rsid w:val="00132AF0"/>
    <w:rsid w:val="00135906"/>
    <w:rsid w:val="00135C7F"/>
    <w:rsid w:val="00136B25"/>
    <w:rsid w:val="00140927"/>
    <w:rsid w:val="00141523"/>
    <w:rsid w:val="0014302E"/>
    <w:rsid w:val="00157103"/>
    <w:rsid w:val="00157B3B"/>
    <w:rsid w:val="00161CDB"/>
    <w:rsid w:val="001647A4"/>
    <w:rsid w:val="00164DC0"/>
    <w:rsid w:val="00165927"/>
    <w:rsid w:val="001704AC"/>
    <w:rsid w:val="001730BE"/>
    <w:rsid w:val="00175E11"/>
    <w:rsid w:val="00176CFC"/>
    <w:rsid w:val="00176FDF"/>
    <w:rsid w:val="001838C2"/>
    <w:rsid w:val="00190FBC"/>
    <w:rsid w:val="0019501F"/>
    <w:rsid w:val="00195EBC"/>
    <w:rsid w:val="00197C7F"/>
    <w:rsid w:val="001A12A5"/>
    <w:rsid w:val="001A4DBE"/>
    <w:rsid w:val="001A5965"/>
    <w:rsid w:val="001B1544"/>
    <w:rsid w:val="001B266A"/>
    <w:rsid w:val="001B63A2"/>
    <w:rsid w:val="001B697B"/>
    <w:rsid w:val="001D0FDC"/>
    <w:rsid w:val="001D1CE7"/>
    <w:rsid w:val="001D3003"/>
    <w:rsid w:val="001D3B60"/>
    <w:rsid w:val="001D55A3"/>
    <w:rsid w:val="001E1123"/>
    <w:rsid w:val="001E1148"/>
    <w:rsid w:val="001E3058"/>
    <w:rsid w:val="001E5275"/>
    <w:rsid w:val="001E5726"/>
    <w:rsid w:val="001F0C7C"/>
    <w:rsid w:val="001F152B"/>
    <w:rsid w:val="001F47C3"/>
    <w:rsid w:val="001F50B8"/>
    <w:rsid w:val="001F589C"/>
    <w:rsid w:val="001F67F7"/>
    <w:rsid w:val="002010BA"/>
    <w:rsid w:val="002020D8"/>
    <w:rsid w:val="00207DF1"/>
    <w:rsid w:val="00210418"/>
    <w:rsid w:val="00210685"/>
    <w:rsid w:val="00212626"/>
    <w:rsid w:val="002144E8"/>
    <w:rsid w:val="00216D63"/>
    <w:rsid w:val="00216F58"/>
    <w:rsid w:val="002171CA"/>
    <w:rsid w:val="002203CC"/>
    <w:rsid w:val="002207CE"/>
    <w:rsid w:val="002234E4"/>
    <w:rsid w:val="00224E8C"/>
    <w:rsid w:val="00225213"/>
    <w:rsid w:val="00225F96"/>
    <w:rsid w:val="002261B0"/>
    <w:rsid w:val="00226579"/>
    <w:rsid w:val="0023093E"/>
    <w:rsid w:val="00230975"/>
    <w:rsid w:val="002334D3"/>
    <w:rsid w:val="0023472F"/>
    <w:rsid w:val="00235626"/>
    <w:rsid w:val="00241E47"/>
    <w:rsid w:val="00244FFF"/>
    <w:rsid w:val="00245058"/>
    <w:rsid w:val="002456DA"/>
    <w:rsid w:val="00246A20"/>
    <w:rsid w:val="00246D01"/>
    <w:rsid w:val="00247628"/>
    <w:rsid w:val="0025330B"/>
    <w:rsid w:val="00262C0F"/>
    <w:rsid w:val="00271189"/>
    <w:rsid w:val="002714F1"/>
    <w:rsid w:val="00272249"/>
    <w:rsid w:val="00276975"/>
    <w:rsid w:val="00284BE5"/>
    <w:rsid w:val="00285A5F"/>
    <w:rsid w:val="00286F75"/>
    <w:rsid w:val="00287116"/>
    <w:rsid w:val="002909D4"/>
    <w:rsid w:val="002921A3"/>
    <w:rsid w:val="002944AE"/>
    <w:rsid w:val="002954A9"/>
    <w:rsid w:val="002970C0"/>
    <w:rsid w:val="00297399"/>
    <w:rsid w:val="002A140F"/>
    <w:rsid w:val="002A5DAF"/>
    <w:rsid w:val="002B07F8"/>
    <w:rsid w:val="002B2F63"/>
    <w:rsid w:val="002B74AD"/>
    <w:rsid w:val="002B7F43"/>
    <w:rsid w:val="002C0778"/>
    <w:rsid w:val="002C239C"/>
    <w:rsid w:val="002C5861"/>
    <w:rsid w:val="002D06B4"/>
    <w:rsid w:val="002D088C"/>
    <w:rsid w:val="002D33E8"/>
    <w:rsid w:val="002D7024"/>
    <w:rsid w:val="002E0F4E"/>
    <w:rsid w:val="002E493E"/>
    <w:rsid w:val="002E73DB"/>
    <w:rsid w:val="002F718D"/>
    <w:rsid w:val="0030091A"/>
    <w:rsid w:val="00306F84"/>
    <w:rsid w:val="003071ED"/>
    <w:rsid w:val="00307992"/>
    <w:rsid w:val="00312A66"/>
    <w:rsid w:val="00317C73"/>
    <w:rsid w:val="003202BE"/>
    <w:rsid w:val="003207EA"/>
    <w:rsid w:val="003357E0"/>
    <w:rsid w:val="00341B5B"/>
    <w:rsid w:val="00345BA4"/>
    <w:rsid w:val="003519E0"/>
    <w:rsid w:val="00354F93"/>
    <w:rsid w:val="00361D3E"/>
    <w:rsid w:val="003661C3"/>
    <w:rsid w:val="003709BE"/>
    <w:rsid w:val="0037127F"/>
    <w:rsid w:val="00371597"/>
    <w:rsid w:val="00372A84"/>
    <w:rsid w:val="00373457"/>
    <w:rsid w:val="00381A8A"/>
    <w:rsid w:val="003837CD"/>
    <w:rsid w:val="00390430"/>
    <w:rsid w:val="003A233A"/>
    <w:rsid w:val="003A4265"/>
    <w:rsid w:val="003B0BE7"/>
    <w:rsid w:val="003B0EA7"/>
    <w:rsid w:val="003B24A1"/>
    <w:rsid w:val="003B4D9C"/>
    <w:rsid w:val="003B4EFC"/>
    <w:rsid w:val="003C01A6"/>
    <w:rsid w:val="003C17F6"/>
    <w:rsid w:val="003D38C2"/>
    <w:rsid w:val="003D4CFA"/>
    <w:rsid w:val="003D5F8C"/>
    <w:rsid w:val="003E1996"/>
    <w:rsid w:val="003E19B8"/>
    <w:rsid w:val="003E2F51"/>
    <w:rsid w:val="003E421A"/>
    <w:rsid w:val="003E4E7A"/>
    <w:rsid w:val="003E5233"/>
    <w:rsid w:val="003E6AB4"/>
    <w:rsid w:val="003E7A98"/>
    <w:rsid w:val="003F300E"/>
    <w:rsid w:val="00403D71"/>
    <w:rsid w:val="00404EC2"/>
    <w:rsid w:val="0040697B"/>
    <w:rsid w:val="00407C41"/>
    <w:rsid w:val="00407DAF"/>
    <w:rsid w:val="00410214"/>
    <w:rsid w:val="00412E93"/>
    <w:rsid w:val="00412F2D"/>
    <w:rsid w:val="004130C6"/>
    <w:rsid w:val="00413925"/>
    <w:rsid w:val="004141BA"/>
    <w:rsid w:val="00414204"/>
    <w:rsid w:val="00414B62"/>
    <w:rsid w:val="00420609"/>
    <w:rsid w:val="00424C0F"/>
    <w:rsid w:val="00425B71"/>
    <w:rsid w:val="00427CBF"/>
    <w:rsid w:val="00430B66"/>
    <w:rsid w:val="004368DF"/>
    <w:rsid w:val="00436960"/>
    <w:rsid w:val="00436EB3"/>
    <w:rsid w:val="00444F07"/>
    <w:rsid w:val="004453DE"/>
    <w:rsid w:val="0044612F"/>
    <w:rsid w:val="00450022"/>
    <w:rsid w:val="00450DA8"/>
    <w:rsid w:val="004515A3"/>
    <w:rsid w:val="00451613"/>
    <w:rsid w:val="0045170B"/>
    <w:rsid w:val="00452B5F"/>
    <w:rsid w:val="00452DB5"/>
    <w:rsid w:val="00456057"/>
    <w:rsid w:val="00457128"/>
    <w:rsid w:val="00460A2D"/>
    <w:rsid w:val="00463BBF"/>
    <w:rsid w:val="00464096"/>
    <w:rsid w:val="00474223"/>
    <w:rsid w:val="00476C66"/>
    <w:rsid w:val="00480AEA"/>
    <w:rsid w:val="004909FA"/>
    <w:rsid w:val="00490C2D"/>
    <w:rsid w:val="00492B9C"/>
    <w:rsid w:val="0049568F"/>
    <w:rsid w:val="004A08EE"/>
    <w:rsid w:val="004A1C57"/>
    <w:rsid w:val="004A4299"/>
    <w:rsid w:val="004A620C"/>
    <w:rsid w:val="004B5E2C"/>
    <w:rsid w:val="004C06ED"/>
    <w:rsid w:val="004C1A9E"/>
    <w:rsid w:val="004C4ECD"/>
    <w:rsid w:val="004C5270"/>
    <w:rsid w:val="004C5D1A"/>
    <w:rsid w:val="004C75BB"/>
    <w:rsid w:val="004C7B4F"/>
    <w:rsid w:val="004D0420"/>
    <w:rsid w:val="004D0729"/>
    <w:rsid w:val="004D195E"/>
    <w:rsid w:val="004D2094"/>
    <w:rsid w:val="004D2434"/>
    <w:rsid w:val="004D29C2"/>
    <w:rsid w:val="004D2BF5"/>
    <w:rsid w:val="004D6CFF"/>
    <w:rsid w:val="004D7840"/>
    <w:rsid w:val="004E1995"/>
    <w:rsid w:val="004E33B8"/>
    <w:rsid w:val="004E3595"/>
    <w:rsid w:val="004E3BE7"/>
    <w:rsid w:val="004E4EC0"/>
    <w:rsid w:val="004E6CB4"/>
    <w:rsid w:val="004E6DBB"/>
    <w:rsid w:val="004E7B74"/>
    <w:rsid w:val="004F2273"/>
    <w:rsid w:val="004F3773"/>
    <w:rsid w:val="004F611B"/>
    <w:rsid w:val="004F6A84"/>
    <w:rsid w:val="004F6FEF"/>
    <w:rsid w:val="0050365B"/>
    <w:rsid w:val="00504186"/>
    <w:rsid w:val="005043F5"/>
    <w:rsid w:val="00512B51"/>
    <w:rsid w:val="005165C4"/>
    <w:rsid w:val="005240F3"/>
    <w:rsid w:val="00532FDA"/>
    <w:rsid w:val="005362D6"/>
    <w:rsid w:val="0053632F"/>
    <w:rsid w:val="00540FC9"/>
    <w:rsid w:val="00541724"/>
    <w:rsid w:val="00544586"/>
    <w:rsid w:val="00545CDD"/>
    <w:rsid w:val="0054609E"/>
    <w:rsid w:val="005465D6"/>
    <w:rsid w:val="00551777"/>
    <w:rsid w:val="00552738"/>
    <w:rsid w:val="005527A7"/>
    <w:rsid w:val="005553F2"/>
    <w:rsid w:val="00565459"/>
    <w:rsid w:val="005659DE"/>
    <w:rsid w:val="005721A8"/>
    <w:rsid w:val="00573861"/>
    <w:rsid w:val="005741CE"/>
    <w:rsid w:val="00576A3D"/>
    <w:rsid w:val="005803DD"/>
    <w:rsid w:val="005809F7"/>
    <w:rsid w:val="00582508"/>
    <w:rsid w:val="00584B9B"/>
    <w:rsid w:val="00590F27"/>
    <w:rsid w:val="00591625"/>
    <w:rsid w:val="005936E1"/>
    <w:rsid w:val="00596767"/>
    <w:rsid w:val="005A0DAE"/>
    <w:rsid w:val="005A1DC6"/>
    <w:rsid w:val="005A29A8"/>
    <w:rsid w:val="005A5A3B"/>
    <w:rsid w:val="005B214B"/>
    <w:rsid w:val="005B2535"/>
    <w:rsid w:val="005B2EC2"/>
    <w:rsid w:val="005B5D58"/>
    <w:rsid w:val="005B7F01"/>
    <w:rsid w:val="005C360B"/>
    <w:rsid w:val="005C3AD6"/>
    <w:rsid w:val="005C3C95"/>
    <w:rsid w:val="005C436B"/>
    <w:rsid w:val="005C7274"/>
    <w:rsid w:val="005D2164"/>
    <w:rsid w:val="005D3913"/>
    <w:rsid w:val="005E12DD"/>
    <w:rsid w:val="005E28D2"/>
    <w:rsid w:val="005E591C"/>
    <w:rsid w:val="005E642F"/>
    <w:rsid w:val="005F1DE8"/>
    <w:rsid w:val="005F2C4B"/>
    <w:rsid w:val="005F31C4"/>
    <w:rsid w:val="005F3F02"/>
    <w:rsid w:val="005F6B96"/>
    <w:rsid w:val="005F7C0A"/>
    <w:rsid w:val="0060608C"/>
    <w:rsid w:val="00607CA5"/>
    <w:rsid w:val="00610A40"/>
    <w:rsid w:val="006119BC"/>
    <w:rsid w:val="00612852"/>
    <w:rsid w:val="00617C64"/>
    <w:rsid w:val="0062143E"/>
    <w:rsid w:val="00621CBF"/>
    <w:rsid w:val="00625EC0"/>
    <w:rsid w:val="00626186"/>
    <w:rsid w:val="006368EA"/>
    <w:rsid w:val="00637981"/>
    <w:rsid w:val="0064027D"/>
    <w:rsid w:val="00640C9A"/>
    <w:rsid w:val="00642054"/>
    <w:rsid w:val="0064309C"/>
    <w:rsid w:val="00643149"/>
    <w:rsid w:val="00644245"/>
    <w:rsid w:val="00650146"/>
    <w:rsid w:val="00651D37"/>
    <w:rsid w:val="00653233"/>
    <w:rsid w:val="0065377D"/>
    <w:rsid w:val="00654A6E"/>
    <w:rsid w:val="00654DC2"/>
    <w:rsid w:val="00655C66"/>
    <w:rsid w:val="0065656F"/>
    <w:rsid w:val="00657C81"/>
    <w:rsid w:val="006626A6"/>
    <w:rsid w:val="00663716"/>
    <w:rsid w:val="00663990"/>
    <w:rsid w:val="00666C41"/>
    <w:rsid w:val="006712A1"/>
    <w:rsid w:val="006736C3"/>
    <w:rsid w:val="00676F4B"/>
    <w:rsid w:val="00680428"/>
    <w:rsid w:val="006822CB"/>
    <w:rsid w:val="00682BEB"/>
    <w:rsid w:val="00686DF9"/>
    <w:rsid w:val="0069190B"/>
    <w:rsid w:val="00691A58"/>
    <w:rsid w:val="00693A96"/>
    <w:rsid w:val="00696D41"/>
    <w:rsid w:val="006B3516"/>
    <w:rsid w:val="006B4D06"/>
    <w:rsid w:val="006B5CFC"/>
    <w:rsid w:val="006B6461"/>
    <w:rsid w:val="006B751D"/>
    <w:rsid w:val="006C1594"/>
    <w:rsid w:val="006C2244"/>
    <w:rsid w:val="006C4392"/>
    <w:rsid w:val="006C46BB"/>
    <w:rsid w:val="006D1963"/>
    <w:rsid w:val="006D1B9C"/>
    <w:rsid w:val="006D3693"/>
    <w:rsid w:val="006D3AFF"/>
    <w:rsid w:val="006D7F89"/>
    <w:rsid w:val="006E44E2"/>
    <w:rsid w:val="006E6F2A"/>
    <w:rsid w:val="006F0A33"/>
    <w:rsid w:val="006F3113"/>
    <w:rsid w:val="006F6B7B"/>
    <w:rsid w:val="00700691"/>
    <w:rsid w:val="00701E53"/>
    <w:rsid w:val="00703990"/>
    <w:rsid w:val="007044B7"/>
    <w:rsid w:val="007056D0"/>
    <w:rsid w:val="007062F0"/>
    <w:rsid w:val="007072F6"/>
    <w:rsid w:val="007079CF"/>
    <w:rsid w:val="00710236"/>
    <w:rsid w:val="0071239E"/>
    <w:rsid w:val="007163EF"/>
    <w:rsid w:val="007170D1"/>
    <w:rsid w:val="00717D5F"/>
    <w:rsid w:val="0072074E"/>
    <w:rsid w:val="0072107D"/>
    <w:rsid w:val="007228CE"/>
    <w:rsid w:val="00724AC6"/>
    <w:rsid w:val="00724BCD"/>
    <w:rsid w:val="00727A7B"/>
    <w:rsid w:val="00733082"/>
    <w:rsid w:val="00733236"/>
    <w:rsid w:val="00734F90"/>
    <w:rsid w:val="0073560D"/>
    <w:rsid w:val="00737E68"/>
    <w:rsid w:val="007422EE"/>
    <w:rsid w:val="00744BCF"/>
    <w:rsid w:val="007466F5"/>
    <w:rsid w:val="0075076E"/>
    <w:rsid w:val="0075169B"/>
    <w:rsid w:val="007516B6"/>
    <w:rsid w:val="007545B5"/>
    <w:rsid w:val="0076479B"/>
    <w:rsid w:val="007700B6"/>
    <w:rsid w:val="00773B37"/>
    <w:rsid w:val="007802CD"/>
    <w:rsid w:val="0078169A"/>
    <w:rsid w:val="00781806"/>
    <w:rsid w:val="00781FCD"/>
    <w:rsid w:val="0078370F"/>
    <w:rsid w:val="00783A35"/>
    <w:rsid w:val="0078412D"/>
    <w:rsid w:val="007851D3"/>
    <w:rsid w:val="00785B5B"/>
    <w:rsid w:val="00791B21"/>
    <w:rsid w:val="00796224"/>
    <w:rsid w:val="007A2771"/>
    <w:rsid w:val="007A3080"/>
    <w:rsid w:val="007A3BBF"/>
    <w:rsid w:val="007A667E"/>
    <w:rsid w:val="007A77B2"/>
    <w:rsid w:val="007B0DEC"/>
    <w:rsid w:val="007B2179"/>
    <w:rsid w:val="007B278A"/>
    <w:rsid w:val="007B4AA7"/>
    <w:rsid w:val="007B632E"/>
    <w:rsid w:val="007C0677"/>
    <w:rsid w:val="007C22FF"/>
    <w:rsid w:val="007C4059"/>
    <w:rsid w:val="007C5088"/>
    <w:rsid w:val="007C5237"/>
    <w:rsid w:val="007C73F3"/>
    <w:rsid w:val="007D0591"/>
    <w:rsid w:val="007D1104"/>
    <w:rsid w:val="007D1917"/>
    <w:rsid w:val="007D1DA0"/>
    <w:rsid w:val="007D1F4C"/>
    <w:rsid w:val="007D4420"/>
    <w:rsid w:val="007E2FE1"/>
    <w:rsid w:val="007E47AA"/>
    <w:rsid w:val="007E5075"/>
    <w:rsid w:val="007F0A8D"/>
    <w:rsid w:val="007F129F"/>
    <w:rsid w:val="007F3EC0"/>
    <w:rsid w:val="008013F0"/>
    <w:rsid w:val="00801D06"/>
    <w:rsid w:val="0080597F"/>
    <w:rsid w:val="00806C1E"/>
    <w:rsid w:val="00806CCB"/>
    <w:rsid w:val="00811E3A"/>
    <w:rsid w:val="0081216E"/>
    <w:rsid w:val="00813841"/>
    <w:rsid w:val="00821794"/>
    <w:rsid w:val="00821909"/>
    <w:rsid w:val="0082296B"/>
    <w:rsid w:val="00825204"/>
    <w:rsid w:val="008269AE"/>
    <w:rsid w:val="008307BB"/>
    <w:rsid w:val="0083574D"/>
    <w:rsid w:val="00835FBA"/>
    <w:rsid w:val="00843C2D"/>
    <w:rsid w:val="0084426A"/>
    <w:rsid w:val="00847E7B"/>
    <w:rsid w:val="0085295D"/>
    <w:rsid w:val="0085335D"/>
    <w:rsid w:val="00857C2F"/>
    <w:rsid w:val="0086365D"/>
    <w:rsid w:val="00865770"/>
    <w:rsid w:val="00870078"/>
    <w:rsid w:val="00875897"/>
    <w:rsid w:val="0088202F"/>
    <w:rsid w:val="008820B5"/>
    <w:rsid w:val="00882790"/>
    <w:rsid w:val="00883130"/>
    <w:rsid w:val="00884A34"/>
    <w:rsid w:val="00893493"/>
    <w:rsid w:val="00895B24"/>
    <w:rsid w:val="00895DE4"/>
    <w:rsid w:val="008A31F4"/>
    <w:rsid w:val="008A3591"/>
    <w:rsid w:val="008A7A16"/>
    <w:rsid w:val="008B084A"/>
    <w:rsid w:val="008B6226"/>
    <w:rsid w:val="008B68F0"/>
    <w:rsid w:val="008C0EE3"/>
    <w:rsid w:val="008C2826"/>
    <w:rsid w:val="008C296D"/>
    <w:rsid w:val="008C2DE2"/>
    <w:rsid w:val="008C4551"/>
    <w:rsid w:val="008C4857"/>
    <w:rsid w:val="008D3EA1"/>
    <w:rsid w:val="008D6F38"/>
    <w:rsid w:val="008E0DEC"/>
    <w:rsid w:val="008E45CE"/>
    <w:rsid w:val="008E733C"/>
    <w:rsid w:val="008F29FA"/>
    <w:rsid w:val="008F6C00"/>
    <w:rsid w:val="008F7384"/>
    <w:rsid w:val="009046C8"/>
    <w:rsid w:val="0090586B"/>
    <w:rsid w:val="00916683"/>
    <w:rsid w:val="00917886"/>
    <w:rsid w:val="009178AE"/>
    <w:rsid w:val="00921889"/>
    <w:rsid w:val="009227C1"/>
    <w:rsid w:val="00925AD1"/>
    <w:rsid w:val="009264D5"/>
    <w:rsid w:val="00932712"/>
    <w:rsid w:val="00934C41"/>
    <w:rsid w:val="00936C8E"/>
    <w:rsid w:val="00941564"/>
    <w:rsid w:val="00953A81"/>
    <w:rsid w:val="009554A1"/>
    <w:rsid w:val="009571FB"/>
    <w:rsid w:val="009645D5"/>
    <w:rsid w:val="00973FFB"/>
    <w:rsid w:val="00975CAE"/>
    <w:rsid w:val="00977C23"/>
    <w:rsid w:val="00980556"/>
    <w:rsid w:val="009873D8"/>
    <w:rsid w:val="009878DC"/>
    <w:rsid w:val="00992356"/>
    <w:rsid w:val="00993927"/>
    <w:rsid w:val="00993EF4"/>
    <w:rsid w:val="009943F0"/>
    <w:rsid w:val="00994D06"/>
    <w:rsid w:val="009970FF"/>
    <w:rsid w:val="009B159A"/>
    <w:rsid w:val="009C1EC4"/>
    <w:rsid w:val="009C5662"/>
    <w:rsid w:val="009C751D"/>
    <w:rsid w:val="009D6A1D"/>
    <w:rsid w:val="009D6A30"/>
    <w:rsid w:val="009D7DDB"/>
    <w:rsid w:val="009E3039"/>
    <w:rsid w:val="009E558E"/>
    <w:rsid w:val="009F0154"/>
    <w:rsid w:val="009F0F4C"/>
    <w:rsid w:val="009F37D0"/>
    <w:rsid w:val="009F388C"/>
    <w:rsid w:val="009F72D3"/>
    <w:rsid w:val="00A007CD"/>
    <w:rsid w:val="00A04004"/>
    <w:rsid w:val="00A04CCB"/>
    <w:rsid w:val="00A05A37"/>
    <w:rsid w:val="00A069B4"/>
    <w:rsid w:val="00A072E5"/>
    <w:rsid w:val="00A10DB2"/>
    <w:rsid w:val="00A12001"/>
    <w:rsid w:val="00A13F2F"/>
    <w:rsid w:val="00A13F47"/>
    <w:rsid w:val="00A161C1"/>
    <w:rsid w:val="00A17041"/>
    <w:rsid w:val="00A22172"/>
    <w:rsid w:val="00A2417F"/>
    <w:rsid w:val="00A30473"/>
    <w:rsid w:val="00A30F5B"/>
    <w:rsid w:val="00A31647"/>
    <w:rsid w:val="00A3341E"/>
    <w:rsid w:val="00A334B1"/>
    <w:rsid w:val="00A37253"/>
    <w:rsid w:val="00A41224"/>
    <w:rsid w:val="00A42749"/>
    <w:rsid w:val="00A4304D"/>
    <w:rsid w:val="00A43321"/>
    <w:rsid w:val="00A44393"/>
    <w:rsid w:val="00A50FFB"/>
    <w:rsid w:val="00A517E5"/>
    <w:rsid w:val="00A51CBB"/>
    <w:rsid w:val="00A531F3"/>
    <w:rsid w:val="00A54BA6"/>
    <w:rsid w:val="00A606D9"/>
    <w:rsid w:val="00A61748"/>
    <w:rsid w:val="00A659F4"/>
    <w:rsid w:val="00A7412A"/>
    <w:rsid w:val="00A75A55"/>
    <w:rsid w:val="00A75F18"/>
    <w:rsid w:val="00A95A0A"/>
    <w:rsid w:val="00AA5141"/>
    <w:rsid w:val="00AA53E3"/>
    <w:rsid w:val="00AB074F"/>
    <w:rsid w:val="00AB10F9"/>
    <w:rsid w:val="00AB3F4A"/>
    <w:rsid w:val="00AC301A"/>
    <w:rsid w:val="00AC3EA9"/>
    <w:rsid w:val="00AC4B0F"/>
    <w:rsid w:val="00AC7188"/>
    <w:rsid w:val="00AD08F0"/>
    <w:rsid w:val="00AD0997"/>
    <w:rsid w:val="00AD5DF5"/>
    <w:rsid w:val="00AD605C"/>
    <w:rsid w:val="00AD618F"/>
    <w:rsid w:val="00AD7A5C"/>
    <w:rsid w:val="00AD7BA4"/>
    <w:rsid w:val="00AE1802"/>
    <w:rsid w:val="00AE3186"/>
    <w:rsid w:val="00AE33B5"/>
    <w:rsid w:val="00AF0301"/>
    <w:rsid w:val="00AF7741"/>
    <w:rsid w:val="00B00ADB"/>
    <w:rsid w:val="00B00C4F"/>
    <w:rsid w:val="00B01A78"/>
    <w:rsid w:val="00B05D4B"/>
    <w:rsid w:val="00B11CA7"/>
    <w:rsid w:val="00B22634"/>
    <w:rsid w:val="00B2285F"/>
    <w:rsid w:val="00B237C8"/>
    <w:rsid w:val="00B25304"/>
    <w:rsid w:val="00B26E38"/>
    <w:rsid w:val="00B27E3D"/>
    <w:rsid w:val="00B30CE3"/>
    <w:rsid w:val="00B31464"/>
    <w:rsid w:val="00B34B5F"/>
    <w:rsid w:val="00B40265"/>
    <w:rsid w:val="00B42D33"/>
    <w:rsid w:val="00B44749"/>
    <w:rsid w:val="00B457B8"/>
    <w:rsid w:val="00B50F18"/>
    <w:rsid w:val="00B5373F"/>
    <w:rsid w:val="00B55F54"/>
    <w:rsid w:val="00B57B09"/>
    <w:rsid w:val="00B57B61"/>
    <w:rsid w:val="00B64731"/>
    <w:rsid w:val="00B70E3B"/>
    <w:rsid w:val="00B715F2"/>
    <w:rsid w:val="00B72F8B"/>
    <w:rsid w:val="00B73A29"/>
    <w:rsid w:val="00B73B21"/>
    <w:rsid w:val="00B73D9B"/>
    <w:rsid w:val="00B82671"/>
    <w:rsid w:val="00B84910"/>
    <w:rsid w:val="00B87810"/>
    <w:rsid w:val="00B87EB9"/>
    <w:rsid w:val="00B90841"/>
    <w:rsid w:val="00B94E1F"/>
    <w:rsid w:val="00B95EEA"/>
    <w:rsid w:val="00B97780"/>
    <w:rsid w:val="00BA0169"/>
    <w:rsid w:val="00BA0DEF"/>
    <w:rsid w:val="00BA2E76"/>
    <w:rsid w:val="00BB0CD1"/>
    <w:rsid w:val="00BB7ED2"/>
    <w:rsid w:val="00BC4E2D"/>
    <w:rsid w:val="00BC57D9"/>
    <w:rsid w:val="00BC585D"/>
    <w:rsid w:val="00BC697D"/>
    <w:rsid w:val="00BC7D98"/>
    <w:rsid w:val="00BD2630"/>
    <w:rsid w:val="00BD3BF7"/>
    <w:rsid w:val="00BD731D"/>
    <w:rsid w:val="00BE21C6"/>
    <w:rsid w:val="00BE53CE"/>
    <w:rsid w:val="00BE597D"/>
    <w:rsid w:val="00BE7913"/>
    <w:rsid w:val="00BF0C60"/>
    <w:rsid w:val="00BF1283"/>
    <w:rsid w:val="00BF12B8"/>
    <w:rsid w:val="00C02496"/>
    <w:rsid w:val="00C062AF"/>
    <w:rsid w:val="00C06793"/>
    <w:rsid w:val="00C1058E"/>
    <w:rsid w:val="00C22BF0"/>
    <w:rsid w:val="00C265A3"/>
    <w:rsid w:val="00C31081"/>
    <w:rsid w:val="00C32EFD"/>
    <w:rsid w:val="00C34D62"/>
    <w:rsid w:val="00C3511D"/>
    <w:rsid w:val="00C35571"/>
    <w:rsid w:val="00C36BC9"/>
    <w:rsid w:val="00C3796B"/>
    <w:rsid w:val="00C4002A"/>
    <w:rsid w:val="00C40185"/>
    <w:rsid w:val="00C42FCB"/>
    <w:rsid w:val="00C52DA9"/>
    <w:rsid w:val="00C53943"/>
    <w:rsid w:val="00C55658"/>
    <w:rsid w:val="00C56A1D"/>
    <w:rsid w:val="00C56BB5"/>
    <w:rsid w:val="00C6194B"/>
    <w:rsid w:val="00C628E0"/>
    <w:rsid w:val="00C6447B"/>
    <w:rsid w:val="00C64E99"/>
    <w:rsid w:val="00C72331"/>
    <w:rsid w:val="00C731CF"/>
    <w:rsid w:val="00C73C39"/>
    <w:rsid w:val="00C75A6C"/>
    <w:rsid w:val="00C77FDA"/>
    <w:rsid w:val="00C8287E"/>
    <w:rsid w:val="00C82E6A"/>
    <w:rsid w:val="00C85DC8"/>
    <w:rsid w:val="00C94044"/>
    <w:rsid w:val="00C94176"/>
    <w:rsid w:val="00C95E53"/>
    <w:rsid w:val="00C9647B"/>
    <w:rsid w:val="00C97769"/>
    <w:rsid w:val="00C978E8"/>
    <w:rsid w:val="00CA0A14"/>
    <w:rsid w:val="00CA2F97"/>
    <w:rsid w:val="00CA33D3"/>
    <w:rsid w:val="00CA5AFC"/>
    <w:rsid w:val="00CA72CB"/>
    <w:rsid w:val="00CB058A"/>
    <w:rsid w:val="00CB0C55"/>
    <w:rsid w:val="00CB1721"/>
    <w:rsid w:val="00CB2FF6"/>
    <w:rsid w:val="00CB5340"/>
    <w:rsid w:val="00CB7C87"/>
    <w:rsid w:val="00CB7CC6"/>
    <w:rsid w:val="00CB7E21"/>
    <w:rsid w:val="00CC6C85"/>
    <w:rsid w:val="00CC7F8F"/>
    <w:rsid w:val="00CD063D"/>
    <w:rsid w:val="00CD1C19"/>
    <w:rsid w:val="00CD6468"/>
    <w:rsid w:val="00CE33FB"/>
    <w:rsid w:val="00CF1A8E"/>
    <w:rsid w:val="00CF2634"/>
    <w:rsid w:val="00CF2BF7"/>
    <w:rsid w:val="00CF3064"/>
    <w:rsid w:val="00D04CB6"/>
    <w:rsid w:val="00D07164"/>
    <w:rsid w:val="00D10A46"/>
    <w:rsid w:val="00D10DCA"/>
    <w:rsid w:val="00D118D3"/>
    <w:rsid w:val="00D11D44"/>
    <w:rsid w:val="00D13693"/>
    <w:rsid w:val="00D17456"/>
    <w:rsid w:val="00D20DF6"/>
    <w:rsid w:val="00D2266A"/>
    <w:rsid w:val="00D2755C"/>
    <w:rsid w:val="00D27896"/>
    <w:rsid w:val="00D31B2B"/>
    <w:rsid w:val="00D31C2D"/>
    <w:rsid w:val="00D36B6C"/>
    <w:rsid w:val="00D4006D"/>
    <w:rsid w:val="00D41627"/>
    <w:rsid w:val="00D419FA"/>
    <w:rsid w:val="00D4232F"/>
    <w:rsid w:val="00D44B6A"/>
    <w:rsid w:val="00D453EE"/>
    <w:rsid w:val="00D46972"/>
    <w:rsid w:val="00D47500"/>
    <w:rsid w:val="00D502D2"/>
    <w:rsid w:val="00D53ED7"/>
    <w:rsid w:val="00D5490B"/>
    <w:rsid w:val="00D54E3C"/>
    <w:rsid w:val="00D60E47"/>
    <w:rsid w:val="00D642DE"/>
    <w:rsid w:val="00D70815"/>
    <w:rsid w:val="00D709EF"/>
    <w:rsid w:val="00D71381"/>
    <w:rsid w:val="00D73D0D"/>
    <w:rsid w:val="00D7648B"/>
    <w:rsid w:val="00D80115"/>
    <w:rsid w:val="00D803AB"/>
    <w:rsid w:val="00D822C6"/>
    <w:rsid w:val="00D8313B"/>
    <w:rsid w:val="00D8734C"/>
    <w:rsid w:val="00D87B9B"/>
    <w:rsid w:val="00D91A78"/>
    <w:rsid w:val="00DA0D33"/>
    <w:rsid w:val="00DA2E01"/>
    <w:rsid w:val="00DA3408"/>
    <w:rsid w:val="00DA438F"/>
    <w:rsid w:val="00DA6FB3"/>
    <w:rsid w:val="00DA735A"/>
    <w:rsid w:val="00DB4587"/>
    <w:rsid w:val="00DB471C"/>
    <w:rsid w:val="00DB55F3"/>
    <w:rsid w:val="00DB5BF7"/>
    <w:rsid w:val="00DB7780"/>
    <w:rsid w:val="00DB7B13"/>
    <w:rsid w:val="00DC4E03"/>
    <w:rsid w:val="00DD63D6"/>
    <w:rsid w:val="00DD76CA"/>
    <w:rsid w:val="00DE008B"/>
    <w:rsid w:val="00DE6D5F"/>
    <w:rsid w:val="00E01B32"/>
    <w:rsid w:val="00E02BB6"/>
    <w:rsid w:val="00E05AEC"/>
    <w:rsid w:val="00E06BD8"/>
    <w:rsid w:val="00E0745B"/>
    <w:rsid w:val="00E0777E"/>
    <w:rsid w:val="00E104F4"/>
    <w:rsid w:val="00E11025"/>
    <w:rsid w:val="00E112F7"/>
    <w:rsid w:val="00E11566"/>
    <w:rsid w:val="00E12D6C"/>
    <w:rsid w:val="00E17E46"/>
    <w:rsid w:val="00E2208B"/>
    <w:rsid w:val="00E2486B"/>
    <w:rsid w:val="00E24C7A"/>
    <w:rsid w:val="00E24EDB"/>
    <w:rsid w:val="00E2644F"/>
    <w:rsid w:val="00E277DE"/>
    <w:rsid w:val="00E3120C"/>
    <w:rsid w:val="00E34CA2"/>
    <w:rsid w:val="00E441C1"/>
    <w:rsid w:val="00E45627"/>
    <w:rsid w:val="00E460E9"/>
    <w:rsid w:val="00E46803"/>
    <w:rsid w:val="00E51E0C"/>
    <w:rsid w:val="00E52213"/>
    <w:rsid w:val="00E53E68"/>
    <w:rsid w:val="00E636FB"/>
    <w:rsid w:val="00E64310"/>
    <w:rsid w:val="00E64DF0"/>
    <w:rsid w:val="00E64E27"/>
    <w:rsid w:val="00E64E7A"/>
    <w:rsid w:val="00E654F9"/>
    <w:rsid w:val="00E6612E"/>
    <w:rsid w:val="00E6692B"/>
    <w:rsid w:val="00E702C9"/>
    <w:rsid w:val="00E70518"/>
    <w:rsid w:val="00E7159C"/>
    <w:rsid w:val="00E8085F"/>
    <w:rsid w:val="00E87ACA"/>
    <w:rsid w:val="00E91B14"/>
    <w:rsid w:val="00E91F60"/>
    <w:rsid w:val="00E93E3F"/>
    <w:rsid w:val="00E93FF1"/>
    <w:rsid w:val="00E949E0"/>
    <w:rsid w:val="00E96049"/>
    <w:rsid w:val="00E96FF6"/>
    <w:rsid w:val="00EA0881"/>
    <w:rsid w:val="00EB240D"/>
    <w:rsid w:val="00EB2E82"/>
    <w:rsid w:val="00EB37E6"/>
    <w:rsid w:val="00EB3E19"/>
    <w:rsid w:val="00EB446C"/>
    <w:rsid w:val="00EC30A8"/>
    <w:rsid w:val="00EC3DDE"/>
    <w:rsid w:val="00EC4181"/>
    <w:rsid w:val="00EC6137"/>
    <w:rsid w:val="00EC7756"/>
    <w:rsid w:val="00ED0C98"/>
    <w:rsid w:val="00ED2E0D"/>
    <w:rsid w:val="00ED4439"/>
    <w:rsid w:val="00ED7108"/>
    <w:rsid w:val="00ED7CD8"/>
    <w:rsid w:val="00EE04C7"/>
    <w:rsid w:val="00EE088B"/>
    <w:rsid w:val="00EE3E20"/>
    <w:rsid w:val="00EE6C52"/>
    <w:rsid w:val="00EF1D74"/>
    <w:rsid w:val="00EF40BF"/>
    <w:rsid w:val="00EF5549"/>
    <w:rsid w:val="00EF655D"/>
    <w:rsid w:val="00EF6B0E"/>
    <w:rsid w:val="00EF7414"/>
    <w:rsid w:val="00F07726"/>
    <w:rsid w:val="00F15BC4"/>
    <w:rsid w:val="00F20400"/>
    <w:rsid w:val="00F23DCD"/>
    <w:rsid w:val="00F24830"/>
    <w:rsid w:val="00F3416F"/>
    <w:rsid w:val="00F347E8"/>
    <w:rsid w:val="00F37DF1"/>
    <w:rsid w:val="00F41D41"/>
    <w:rsid w:val="00F4755E"/>
    <w:rsid w:val="00F515F7"/>
    <w:rsid w:val="00F52CEE"/>
    <w:rsid w:val="00F567E6"/>
    <w:rsid w:val="00F62A3F"/>
    <w:rsid w:val="00F62A4D"/>
    <w:rsid w:val="00F63E63"/>
    <w:rsid w:val="00F677A5"/>
    <w:rsid w:val="00F67D5F"/>
    <w:rsid w:val="00F714CC"/>
    <w:rsid w:val="00F71529"/>
    <w:rsid w:val="00F71B81"/>
    <w:rsid w:val="00F7783C"/>
    <w:rsid w:val="00F81C24"/>
    <w:rsid w:val="00F83B08"/>
    <w:rsid w:val="00F863A3"/>
    <w:rsid w:val="00F91D4C"/>
    <w:rsid w:val="00F923D8"/>
    <w:rsid w:val="00F929BA"/>
    <w:rsid w:val="00F931DE"/>
    <w:rsid w:val="00F94EA9"/>
    <w:rsid w:val="00F95100"/>
    <w:rsid w:val="00F95D39"/>
    <w:rsid w:val="00F9723D"/>
    <w:rsid w:val="00FA37E2"/>
    <w:rsid w:val="00FA4246"/>
    <w:rsid w:val="00FA4E54"/>
    <w:rsid w:val="00FA72DD"/>
    <w:rsid w:val="00FA758A"/>
    <w:rsid w:val="00FB0994"/>
    <w:rsid w:val="00FB3686"/>
    <w:rsid w:val="00FB52E2"/>
    <w:rsid w:val="00FB7D16"/>
    <w:rsid w:val="00FC04E0"/>
    <w:rsid w:val="00FC0BA2"/>
    <w:rsid w:val="00FC1F67"/>
    <w:rsid w:val="00FC34F7"/>
    <w:rsid w:val="00FC4354"/>
    <w:rsid w:val="00FC44C4"/>
    <w:rsid w:val="00FC5A99"/>
    <w:rsid w:val="00FC6621"/>
    <w:rsid w:val="00FC72D6"/>
    <w:rsid w:val="00FD25A4"/>
    <w:rsid w:val="00FD3047"/>
    <w:rsid w:val="00FD3AF7"/>
    <w:rsid w:val="00FD6923"/>
    <w:rsid w:val="00FD77E3"/>
    <w:rsid w:val="00FE6822"/>
    <w:rsid w:val="00FF6C9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02DA29"/>
  <w15:docId w15:val="{50E0D66F-49A7-469F-B6F0-FFF7DD3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85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lang w:val="en-GB" w:eastAsia="en-GB"/>
    </w:rPr>
  </w:style>
  <w:style w:type="paragraph" w:styleId="Heading1">
    <w:name w:val="heading 1"/>
    <w:basedOn w:val="Normal1"/>
    <w:next w:val="Normal1"/>
    <w:link w:val="Heading1Char"/>
    <w:uiPriority w:val="9"/>
    <w:qFormat/>
    <w:rsid w:val="00992356"/>
    <w:pPr>
      <w:keepNext/>
      <w:keepLines/>
      <w:spacing w:before="400" w:after="120"/>
      <w:outlineLvl w:val="0"/>
    </w:pPr>
    <w:rPr>
      <w:sz w:val="40"/>
      <w:szCs w:val="40"/>
    </w:rPr>
  </w:style>
  <w:style w:type="paragraph" w:styleId="Heading2">
    <w:name w:val="heading 2"/>
    <w:basedOn w:val="Normal1"/>
    <w:next w:val="Normal1"/>
    <w:rsid w:val="00992356"/>
    <w:pPr>
      <w:keepNext/>
      <w:keepLines/>
      <w:spacing w:before="360" w:after="120"/>
      <w:outlineLvl w:val="1"/>
    </w:pPr>
    <w:rPr>
      <w:sz w:val="32"/>
      <w:szCs w:val="32"/>
    </w:rPr>
  </w:style>
  <w:style w:type="paragraph" w:styleId="Heading3">
    <w:name w:val="heading 3"/>
    <w:basedOn w:val="Normal1"/>
    <w:next w:val="Normal1"/>
    <w:rsid w:val="00992356"/>
    <w:pPr>
      <w:keepNext/>
      <w:keepLines/>
      <w:spacing w:before="320" w:after="80"/>
      <w:outlineLvl w:val="2"/>
    </w:pPr>
    <w:rPr>
      <w:color w:val="434343"/>
      <w:sz w:val="28"/>
      <w:szCs w:val="28"/>
    </w:rPr>
  </w:style>
  <w:style w:type="paragraph" w:styleId="Heading4">
    <w:name w:val="heading 4"/>
    <w:basedOn w:val="Normal1"/>
    <w:next w:val="Normal1"/>
    <w:rsid w:val="00992356"/>
    <w:pPr>
      <w:keepNext/>
      <w:keepLines/>
      <w:spacing w:before="280" w:after="80"/>
      <w:outlineLvl w:val="3"/>
    </w:pPr>
    <w:rPr>
      <w:color w:val="666666"/>
      <w:sz w:val="24"/>
      <w:szCs w:val="24"/>
    </w:rPr>
  </w:style>
  <w:style w:type="paragraph" w:styleId="Heading5">
    <w:name w:val="heading 5"/>
    <w:basedOn w:val="Normal1"/>
    <w:next w:val="Normal1"/>
    <w:rsid w:val="00992356"/>
    <w:pPr>
      <w:keepNext/>
      <w:keepLines/>
      <w:spacing w:before="240" w:after="80"/>
      <w:outlineLvl w:val="4"/>
    </w:pPr>
    <w:rPr>
      <w:color w:val="666666"/>
    </w:rPr>
  </w:style>
  <w:style w:type="paragraph" w:styleId="Heading6">
    <w:name w:val="heading 6"/>
    <w:basedOn w:val="Normal1"/>
    <w:next w:val="Normal1"/>
    <w:rsid w:val="00992356"/>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link w:val="normalChar"/>
    <w:rsid w:val="00992356"/>
  </w:style>
  <w:style w:type="table" w:customStyle="1" w:styleId="TableNormal1">
    <w:name w:val="Table Normal1"/>
    <w:rsid w:val="00992356"/>
    <w:tblPr>
      <w:tblCellMar>
        <w:top w:w="0" w:type="dxa"/>
        <w:left w:w="0" w:type="dxa"/>
        <w:bottom w:w="0" w:type="dxa"/>
        <w:right w:w="0" w:type="dxa"/>
      </w:tblCellMar>
    </w:tblPr>
  </w:style>
  <w:style w:type="paragraph" w:styleId="Title">
    <w:name w:val="Title"/>
    <w:basedOn w:val="Normal1"/>
    <w:next w:val="Normal1"/>
    <w:rsid w:val="00992356"/>
    <w:pPr>
      <w:keepNext/>
      <w:keepLines/>
      <w:spacing w:after="60"/>
    </w:pPr>
    <w:rPr>
      <w:sz w:val="52"/>
      <w:szCs w:val="52"/>
    </w:rPr>
  </w:style>
  <w:style w:type="paragraph" w:styleId="Subtitle">
    <w:name w:val="Subtitle"/>
    <w:basedOn w:val="Normal1"/>
    <w:next w:val="Normal1"/>
    <w:rsid w:val="00992356"/>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452DB5"/>
    <w:rPr>
      <w:sz w:val="16"/>
      <w:szCs w:val="16"/>
    </w:rPr>
  </w:style>
  <w:style w:type="paragraph" w:styleId="CommentText">
    <w:name w:val="annotation text"/>
    <w:basedOn w:val="Normal"/>
    <w:link w:val="CommentTextChar"/>
    <w:uiPriority w:val="99"/>
    <w:semiHidden/>
    <w:unhideWhenUsed/>
    <w:rsid w:val="00452DB5"/>
    <w:rPr>
      <w:sz w:val="20"/>
      <w:szCs w:val="20"/>
    </w:rPr>
  </w:style>
  <w:style w:type="character" w:customStyle="1" w:styleId="CommentTextChar">
    <w:name w:val="Comment Text Char"/>
    <w:basedOn w:val="DefaultParagraphFont"/>
    <w:link w:val="CommentText"/>
    <w:uiPriority w:val="99"/>
    <w:semiHidden/>
    <w:rsid w:val="00452DB5"/>
    <w:rPr>
      <w:sz w:val="20"/>
      <w:szCs w:val="20"/>
    </w:rPr>
  </w:style>
  <w:style w:type="paragraph" w:styleId="CommentSubject">
    <w:name w:val="annotation subject"/>
    <w:basedOn w:val="CommentText"/>
    <w:next w:val="CommentText"/>
    <w:link w:val="CommentSubjectChar"/>
    <w:uiPriority w:val="99"/>
    <w:semiHidden/>
    <w:unhideWhenUsed/>
    <w:rsid w:val="00452DB5"/>
    <w:rPr>
      <w:b/>
      <w:bCs/>
    </w:rPr>
  </w:style>
  <w:style w:type="character" w:customStyle="1" w:styleId="CommentSubjectChar">
    <w:name w:val="Comment Subject Char"/>
    <w:basedOn w:val="CommentTextChar"/>
    <w:link w:val="CommentSubject"/>
    <w:uiPriority w:val="99"/>
    <w:semiHidden/>
    <w:rsid w:val="00452DB5"/>
    <w:rPr>
      <w:b/>
      <w:bCs/>
      <w:sz w:val="20"/>
      <w:szCs w:val="20"/>
    </w:rPr>
  </w:style>
  <w:style w:type="paragraph" w:styleId="BalloonText">
    <w:name w:val="Balloon Text"/>
    <w:basedOn w:val="Normal"/>
    <w:link w:val="BalloonTextChar"/>
    <w:uiPriority w:val="99"/>
    <w:semiHidden/>
    <w:unhideWhenUsed/>
    <w:rsid w:val="00452DB5"/>
    <w:rPr>
      <w:rFonts w:ascii="Tahoma" w:hAnsi="Tahoma" w:cs="Tahoma"/>
      <w:sz w:val="16"/>
      <w:szCs w:val="16"/>
    </w:rPr>
  </w:style>
  <w:style w:type="character" w:customStyle="1" w:styleId="BalloonTextChar">
    <w:name w:val="Balloon Text Char"/>
    <w:basedOn w:val="DefaultParagraphFont"/>
    <w:link w:val="BalloonText"/>
    <w:uiPriority w:val="99"/>
    <w:semiHidden/>
    <w:rsid w:val="00452DB5"/>
    <w:rPr>
      <w:rFonts w:ascii="Tahoma" w:hAnsi="Tahoma" w:cs="Tahoma"/>
      <w:sz w:val="16"/>
      <w:szCs w:val="16"/>
    </w:rPr>
  </w:style>
  <w:style w:type="paragraph" w:customStyle="1" w:styleId="Corps">
    <w:name w:val="Corps"/>
    <w:rsid w:val="00452DB5"/>
    <w:pPr>
      <w:widowControl w:val="0"/>
      <w:pBdr>
        <w:bar w:val="nil"/>
      </w:pBdr>
      <w:spacing w:line="240" w:lineRule="auto"/>
    </w:pPr>
    <w:rPr>
      <w:rFonts w:ascii="Calibri" w:eastAsia="Calibri" w:hAnsi="Calibri" w:cs="Calibri"/>
      <w:u w:color="000000"/>
      <w:bdr w:val="nil"/>
      <w:lang w:val="nl-NL"/>
    </w:rPr>
  </w:style>
  <w:style w:type="paragraph" w:customStyle="1" w:styleId="EndNoteBibliographyTitle">
    <w:name w:val="EndNote Bibliography Title"/>
    <w:basedOn w:val="Normal"/>
    <w:link w:val="EndNoteBibliographyTitleChar"/>
    <w:rsid w:val="00EC7756"/>
    <w:pPr>
      <w:jc w:val="center"/>
    </w:pPr>
    <w:rPr>
      <w:noProof/>
      <w:lang w:val="nl-NL"/>
    </w:rPr>
  </w:style>
  <w:style w:type="character" w:customStyle="1" w:styleId="normalChar">
    <w:name w:val="normal Char"/>
    <w:basedOn w:val="DefaultParagraphFont"/>
    <w:link w:val="Normal1"/>
    <w:rsid w:val="00EC7756"/>
  </w:style>
  <w:style w:type="character" w:customStyle="1" w:styleId="EndNoteBibliographyTitleChar">
    <w:name w:val="EndNote Bibliography Title Char"/>
    <w:basedOn w:val="normalChar"/>
    <w:link w:val="EndNoteBibliographyTitle"/>
    <w:rsid w:val="00EC7756"/>
    <w:rPr>
      <w:noProof/>
      <w:lang w:val="nl-NL"/>
    </w:rPr>
  </w:style>
  <w:style w:type="paragraph" w:customStyle="1" w:styleId="EndNoteBibliography">
    <w:name w:val="EndNote Bibliography"/>
    <w:basedOn w:val="Normal"/>
    <w:link w:val="EndNoteBibliographyChar"/>
    <w:rsid w:val="00EC7756"/>
    <w:rPr>
      <w:noProof/>
      <w:lang w:val="nl-NL"/>
    </w:rPr>
  </w:style>
  <w:style w:type="character" w:customStyle="1" w:styleId="EndNoteBibliographyChar">
    <w:name w:val="EndNote Bibliography Char"/>
    <w:basedOn w:val="normalChar"/>
    <w:link w:val="EndNoteBibliography"/>
    <w:rsid w:val="00EC7756"/>
    <w:rPr>
      <w:noProof/>
      <w:lang w:val="nl-NL"/>
    </w:rPr>
  </w:style>
  <w:style w:type="character" w:styleId="Hyperlink">
    <w:name w:val="Hyperlink"/>
    <w:basedOn w:val="DefaultParagraphFont"/>
    <w:uiPriority w:val="99"/>
    <w:unhideWhenUsed/>
    <w:rsid w:val="00EC7756"/>
    <w:rPr>
      <w:color w:val="0000FF" w:themeColor="hyperlink"/>
      <w:u w:val="single"/>
    </w:rPr>
  </w:style>
  <w:style w:type="table" w:styleId="LightList-Accent1">
    <w:name w:val="Light List Accent 1"/>
    <w:basedOn w:val="TableNormal"/>
    <w:uiPriority w:val="61"/>
    <w:rsid w:val="002D33E8"/>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ibliography">
    <w:name w:val="Bibliography"/>
    <w:basedOn w:val="Normal"/>
    <w:next w:val="Normal"/>
    <w:uiPriority w:val="37"/>
    <w:semiHidden/>
    <w:unhideWhenUsed/>
    <w:rsid w:val="00D44B6A"/>
  </w:style>
  <w:style w:type="table" w:styleId="TableGrid">
    <w:name w:val="Table Grid"/>
    <w:basedOn w:val="TableNormal"/>
    <w:uiPriority w:val="59"/>
    <w:rsid w:val="005E5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172"/>
    <w:pPr>
      <w:spacing w:after="200"/>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7163EF"/>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NormalWeb">
    <w:name w:val="Normal (Web)"/>
    <w:basedOn w:val="Normal"/>
    <w:uiPriority w:val="99"/>
    <w:semiHidden/>
    <w:unhideWhenUsed/>
    <w:rsid w:val="005C3C95"/>
    <w:pPr>
      <w:spacing w:before="100" w:beforeAutospacing="1" w:after="100" w:afterAutospacing="1"/>
    </w:pPr>
  </w:style>
  <w:style w:type="character" w:styleId="FollowedHyperlink">
    <w:name w:val="FollowedHyperlink"/>
    <w:basedOn w:val="DefaultParagraphFont"/>
    <w:uiPriority w:val="99"/>
    <w:semiHidden/>
    <w:unhideWhenUsed/>
    <w:rsid w:val="00241E47"/>
    <w:rPr>
      <w:color w:val="800080" w:themeColor="followedHyperlink"/>
      <w:u w:val="single"/>
    </w:rPr>
  </w:style>
  <w:style w:type="paragraph" w:styleId="NoSpacing">
    <w:name w:val="No Spacing"/>
    <w:uiPriority w:val="1"/>
    <w:qFormat/>
    <w:rsid w:val="00CC7F8F"/>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Cs w:val="24"/>
      <w:lang w:val="nl-NL" w:eastAsia="en-US"/>
    </w:rPr>
  </w:style>
  <w:style w:type="character" w:customStyle="1" w:styleId="hiddenreadable">
    <w:name w:val="hiddenreadable"/>
    <w:basedOn w:val="DefaultParagraphFont"/>
    <w:rsid w:val="007422EE"/>
  </w:style>
  <w:style w:type="paragraph" w:customStyle="1" w:styleId="Default">
    <w:name w:val="Default"/>
    <w:rsid w:val="0088313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hAnsi="Times New Roman" w:cs="Times New Roman"/>
      <w:sz w:val="24"/>
      <w:szCs w:val="24"/>
      <w:lang w:val="en-GB"/>
    </w:rPr>
  </w:style>
  <w:style w:type="character" w:styleId="Strong">
    <w:name w:val="Strong"/>
    <w:basedOn w:val="DefaultParagraphFont"/>
    <w:uiPriority w:val="22"/>
    <w:qFormat/>
    <w:rsid w:val="00A3341E"/>
    <w:rPr>
      <w:b/>
      <w:bCs/>
    </w:rPr>
  </w:style>
  <w:style w:type="character" w:styleId="Emphasis">
    <w:name w:val="Emphasis"/>
    <w:basedOn w:val="DefaultParagraphFont"/>
    <w:uiPriority w:val="20"/>
    <w:qFormat/>
    <w:rsid w:val="00A3341E"/>
    <w:rPr>
      <w:i/>
      <w:iCs/>
    </w:rPr>
  </w:style>
  <w:style w:type="character" w:customStyle="1" w:styleId="mim-font">
    <w:name w:val="mim-font"/>
    <w:basedOn w:val="DefaultParagraphFont"/>
    <w:rsid w:val="00A3341E"/>
  </w:style>
  <w:style w:type="character" w:customStyle="1" w:styleId="articletitle">
    <w:name w:val="articletitle"/>
    <w:basedOn w:val="DefaultParagraphFont"/>
    <w:rsid w:val="00E3120C"/>
  </w:style>
  <w:style w:type="character" w:customStyle="1" w:styleId="pubyear">
    <w:name w:val="pubyear"/>
    <w:basedOn w:val="DefaultParagraphFont"/>
    <w:rsid w:val="00E3120C"/>
  </w:style>
  <w:style w:type="character" w:customStyle="1" w:styleId="vol">
    <w:name w:val="vol"/>
    <w:basedOn w:val="DefaultParagraphFont"/>
    <w:rsid w:val="00E3120C"/>
  </w:style>
  <w:style w:type="character" w:customStyle="1" w:styleId="pagefirst">
    <w:name w:val="pagefirst"/>
    <w:basedOn w:val="DefaultParagraphFont"/>
    <w:rsid w:val="00E3120C"/>
  </w:style>
  <w:style w:type="character" w:customStyle="1" w:styleId="pagelast">
    <w:name w:val="pagelast"/>
    <w:basedOn w:val="DefaultParagraphFont"/>
    <w:rsid w:val="00E3120C"/>
  </w:style>
  <w:style w:type="character" w:customStyle="1" w:styleId="author">
    <w:name w:val="author"/>
    <w:basedOn w:val="DefaultParagraphFont"/>
    <w:rsid w:val="00E3120C"/>
  </w:style>
  <w:style w:type="paragraph" w:customStyle="1" w:styleId="publication">
    <w:name w:val="publication"/>
    <w:basedOn w:val="Normal"/>
    <w:rsid w:val="00E3120C"/>
    <w:pPr>
      <w:spacing w:before="100" w:beforeAutospacing="1" w:after="100" w:afterAutospacing="1"/>
    </w:pPr>
  </w:style>
  <w:style w:type="character" w:customStyle="1" w:styleId="Title1">
    <w:name w:val="Title1"/>
    <w:basedOn w:val="DefaultParagraphFont"/>
    <w:rsid w:val="00E3120C"/>
  </w:style>
  <w:style w:type="character" w:customStyle="1" w:styleId="volume">
    <w:name w:val="volume"/>
    <w:basedOn w:val="DefaultParagraphFont"/>
    <w:rsid w:val="00E3120C"/>
  </w:style>
  <w:style w:type="character" w:customStyle="1" w:styleId="number">
    <w:name w:val="number"/>
    <w:basedOn w:val="DefaultParagraphFont"/>
    <w:rsid w:val="00E3120C"/>
  </w:style>
  <w:style w:type="character" w:customStyle="1" w:styleId="pagerange">
    <w:name w:val="pagerange"/>
    <w:basedOn w:val="DefaultParagraphFont"/>
    <w:rsid w:val="00E3120C"/>
  </w:style>
  <w:style w:type="character" w:customStyle="1" w:styleId="ref-journal">
    <w:name w:val="ref-journal"/>
    <w:basedOn w:val="DefaultParagraphFont"/>
    <w:rsid w:val="00E3120C"/>
  </w:style>
  <w:style w:type="character" w:customStyle="1" w:styleId="cit">
    <w:name w:val="cit"/>
    <w:basedOn w:val="DefaultParagraphFont"/>
    <w:rsid w:val="00E3120C"/>
  </w:style>
  <w:style w:type="character" w:customStyle="1" w:styleId="Heading1Char">
    <w:name w:val="Heading 1 Char"/>
    <w:basedOn w:val="DefaultParagraphFont"/>
    <w:link w:val="Heading1"/>
    <w:uiPriority w:val="9"/>
    <w:rsid w:val="00E3120C"/>
    <w:rPr>
      <w:sz w:val="40"/>
      <w:szCs w:val="40"/>
    </w:rPr>
  </w:style>
  <w:style w:type="character" w:customStyle="1" w:styleId="ref-vol">
    <w:name w:val="ref-vol"/>
    <w:basedOn w:val="DefaultParagraphFont"/>
    <w:rsid w:val="00E3120C"/>
  </w:style>
  <w:style w:type="character" w:customStyle="1" w:styleId="html-italic">
    <w:name w:val="html-italic"/>
    <w:basedOn w:val="DefaultParagraphFont"/>
    <w:rsid w:val="00E3120C"/>
  </w:style>
  <w:style w:type="character" w:customStyle="1" w:styleId="jrnl">
    <w:name w:val="jrnl"/>
    <w:basedOn w:val="DefaultParagraphFont"/>
    <w:rsid w:val="00E3120C"/>
  </w:style>
  <w:style w:type="character" w:customStyle="1" w:styleId="title-text">
    <w:name w:val="title-text"/>
    <w:basedOn w:val="DefaultParagraphFont"/>
    <w:rsid w:val="00425B71"/>
  </w:style>
  <w:style w:type="character" w:customStyle="1" w:styleId="authors-list-item">
    <w:name w:val="authors-list-item"/>
    <w:basedOn w:val="DefaultParagraphFont"/>
    <w:rsid w:val="00637981"/>
  </w:style>
  <w:style w:type="character" w:customStyle="1" w:styleId="author-sup-separator">
    <w:name w:val="author-sup-separator"/>
    <w:basedOn w:val="DefaultParagraphFont"/>
    <w:rsid w:val="00637981"/>
  </w:style>
  <w:style w:type="character" w:customStyle="1" w:styleId="comma">
    <w:name w:val="comma"/>
    <w:basedOn w:val="DefaultParagraphFont"/>
    <w:rsid w:val="00637981"/>
  </w:style>
  <w:style w:type="paragraph" w:styleId="PlainText">
    <w:name w:val="Plain Text"/>
    <w:basedOn w:val="Normal"/>
    <w:link w:val="PlainTextChar"/>
    <w:uiPriority w:val="99"/>
    <w:semiHidden/>
    <w:unhideWhenUsed/>
    <w:rsid w:val="00105C4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105C49"/>
    <w:rPr>
      <w:rFonts w:ascii="Calibri" w:eastAsiaTheme="minorHAnsi" w:hAnsi="Calibri" w:cstheme="minorBidi"/>
      <w:color w:val="auto"/>
      <w:szCs w:val="21"/>
      <w:lang w:val="en-GB" w:eastAsia="en-US"/>
    </w:rPr>
  </w:style>
  <w:style w:type="character" w:styleId="LineNumber">
    <w:name w:val="line number"/>
    <w:basedOn w:val="DefaultParagraphFont"/>
    <w:uiPriority w:val="99"/>
    <w:semiHidden/>
    <w:unhideWhenUsed/>
    <w:rsid w:val="009B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6415">
      <w:bodyDiv w:val="1"/>
      <w:marLeft w:val="0"/>
      <w:marRight w:val="0"/>
      <w:marTop w:val="0"/>
      <w:marBottom w:val="0"/>
      <w:divBdr>
        <w:top w:val="none" w:sz="0" w:space="0" w:color="auto"/>
        <w:left w:val="none" w:sz="0" w:space="0" w:color="auto"/>
        <w:bottom w:val="none" w:sz="0" w:space="0" w:color="auto"/>
        <w:right w:val="none" w:sz="0" w:space="0" w:color="auto"/>
      </w:divBdr>
    </w:div>
    <w:div w:id="139806189">
      <w:bodyDiv w:val="1"/>
      <w:marLeft w:val="0"/>
      <w:marRight w:val="0"/>
      <w:marTop w:val="0"/>
      <w:marBottom w:val="0"/>
      <w:divBdr>
        <w:top w:val="none" w:sz="0" w:space="0" w:color="auto"/>
        <w:left w:val="none" w:sz="0" w:space="0" w:color="auto"/>
        <w:bottom w:val="none" w:sz="0" w:space="0" w:color="auto"/>
        <w:right w:val="none" w:sz="0" w:space="0" w:color="auto"/>
      </w:divBdr>
    </w:div>
    <w:div w:id="160895495">
      <w:bodyDiv w:val="1"/>
      <w:marLeft w:val="0"/>
      <w:marRight w:val="0"/>
      <w:marTop w:val="0"/>
      <w:marBottom w:val="0"/>
      <w:divBdr>
        <w:top w:val="none" w:sz="0" w:space="0" w:color="auto"/>
        <w:left w:val="none" w:sz="0" w:space="0" w:color="auto"/>
        <w:bottom w:val="none" w:sz="0" w:space="0" w:color="auto"/>
        <w:right w:val="none" w:sz="0" w:space="0" w:color="auto"/>
      </w:divBdr>
    </w:div>
    <w:div w:id="170293164">
      <w:bodyDiv w:val="1"/>
      <w:marLeft w:val="0"/>
      <w:marRight w:val="0"/>
      <w:marTop w:val="0"/>
      <w:marBottom w:val="0"/>
      <w:divBdr>
        <w:top w:val="none" w:sz="0" w:space="0" w:color="auto"/>
        <w:left w:val="none" w:sz="0" w:space="0" w:color="auto"/>
        <w:bottom w:val="none" w:sz="0" w:space="0" w:color="auto"/>
        <w:right w:val="none" w:sz="0" w:space="0" w:color="auto"/>
      </w:divBdr>
    </w:div>
    <w:div w:id="173300889">
      <w:bodyDiv w:val="1"/>
      <w:marLeft w:val="0"/>
      <w:marRight w:val="0"/>
      <w:marTop w:val="0"/>
      <w:marBottom w:val="0"/>
      <w:divBdr>
        <w:top w:val="none" w:sz="0" w:space="0" w:color="auto"/>
        <w:left w:val="none" w:sz="0" w:space="0" w:color="auto"/>
        <w:bottom w:val="none" w:sz="0" w:space="0" w:color="auto"/>
        <w:right w:val="none" w:sz="0" w:space="0" w:color="auto"/>
      </w:divBdr>
    </w:div>
    <w:div w:id="200483789">
      <w:bodyDiv w:val="1"/>
      <w:marLeft w:val="0"/>
      <w:marRight w:val="0"/>
      <w:marTop w:val="0"/>
      <w:marBottom w:val="0"/>
      <w:divBdr>
        <w:top w:val="none" w:sz="0" w:space="0" w:color="auto"/>
        <w:left w:val="none" w:sz="0" w:space="0" w:color="auto"/>
        <w:bottom w:val="none" w:sz="0" w:space="0" w:color="auto"/>
        <w:right w:val="none" w:sz="0" w:space="0" w:color="auto"/>
      </w:divBdr>
    </w:div>
    <w:div w:id="204878803">
      <w:bodyDiv w:val="1"/>
      <w:marLeft w:val="0"/>
      <w:marRight w:val="0"/>
      <w:marTop w:val="0"/>
      <w:marBottom w:val="0"/>
      <w:divBdr>
        <w:top w:val="none" w:sz="0" w:space="0" w:color="auto"/>
        <w:left w:val="none" w:sz="0" w:space="0" w:color="auto"/>
        <w:bottom w:val="none" w:sz="0" w:space="0" w:color="auto"/>
        <w:right w:val="none" w:sz="0" w:space="0" w:color="auto"/>
      </w:divBdr>
    </w:div>
    <w:div w:id="263075274">
      <w:bodyDiv w:val="1"/>
      <w:marLeft w:val="0"/>
      <w:marRight w:val="0"/>
      <w:marTop w:val="0"/>
      <w:marBottom w:val="0"/>
      <w:divBdr>
        <w:top w:val="none" w:sz="0" w:space="0" w:color="auto"/>
        <w:left w:val="none" w:sz="0" w:space="0" w:color="auto"/>
        <w:bottom w:val="none" w:sz="0" w:space="0" w:color="auto"/>
        <w:right w:val="none" w:sz="0" w:space="0" w:color="auto"/>
      </w:divBdr>
    </w:div>
    <w:div w:id="321198882">
      <w:bodyDiv w:val="1"/>
      <w:marLeft w:val="0"/>
      <w:marRight w:val="0"/>
      <w:marTop w:val="0"/>
      <w:marBottom w:val="0"/>
      <w:divBdr>
        <w:top w:val="none" w:sz="0" w:space="0" w:color="auto"/>
        <w:left w:val="none" w:sz="0" w:space="0" w:color="auto"/>
        <w:bottom w:val="none" w:sz="0" w:space="0" w:color="auto"/>
        <w:right w:val="none" w:sz="0" w:space="0" w:color="auto"/>
      </w:divBdr>
    </w:div>
    <w:div w:id="361170508">
      <w:bodyDiv w:val="1"/>
      <w:marLeft w:val="0"/>
      <w:marRight w:val="0"/>
      <w:marTop w:val="0"/>
      <w:marBottom w:val="0"/>
      <w:divBdr>
        <w:top w:val="none" w:sz="0" w:space="0" w:color="auto"/>
        <w:left w:val="none" w:sz="0" w:space="0" w:color="auto"/>
        <w:bottom w:val="none" w:sz="0" w:space="0" w:color="auto"/>
        <w:right w:val="none" w:sz="0" w:space="0" w:color="auto"/>
      </w:divBdr>
    </w:div>
    <w:div w:id="395904734">
      <w:bodyDiv w:val="1"/>
      <w:marLeft w:val="0"/>
      <w:marRight w:val="0"/>
      <w:marTop w:val="0"/>
      <w:marBottom w:val="0"/>
      <w:divBdr>
        <w:top w:val="none" w:sz="0" w:space="0" w:color="auto"/>
        <w:left w:val="none" w:sz="0" w:space="0" w:color="auto"/>
        <w:bottom w:val="none" w:sz="0" w:space="0" w:color="auto"/>
        <w:right w:val="none" w:sz="0" w:space="0" w:color="auto"/>
      </w:divBdr>
    </w:div>
    <w:div w:id="422578097">
      <w:bodyDiv w:val="1"/>
      <w:marLeft w:val="0"/>
      <w:marRight w:val="0"/>
      <w:marTop w:val="0"/>
      <w:marBottom w:val="0"/>
      <w:divBdr>
        <w:top w:val="none" w:sz="0" w:space="0" w:color="auto"/>
        <w:left w:val="none" w:sz="0" w:space="0" w:color="auto"/>
        <w:bottom w:val="none" w:sz="0" w:space="0" w:color="auto"/>
        <w:right w:val="none" w:sz="0" w:space="0" w:color="auto"/>
      </w:divBdr>
    </w:div>
    <w:div w:id="474950707">
      <w:bodyDiv w:val="1"/>
      <w:marLeft w:val="0"/>
      <w:marRight w:val="0"/>
      <w:marTop w:val="0"/>
      <w:marBottom w:val="0"/>
      <w:divBdr>
        <w:top w:val="none" w:sz="0" w:space="0" w:color="auto"/>
        <w:left w:val="none" w:sz="0" w:space="0" w:color="auto"/>
        <w:bottom w:val="none" w:sz="0" w:space="0" w:color="auto"/>
        <w:right w:val="none" w:sz="0" w:space="0" w:color="auto"/>
      </w:divBdr>
    </w:div>
    <w:div w:id="481241945">
      <w:bodyDiv w:val="1"/>
      <w:marLeft w:val="0"/>
      <w:marRight w:val="0"/>
      <w:marTop w:val="0"/>
      <w:marBottom w:val="0"/>
      <w:divBdr>
        <w:top w:val="none" w:sz="0" w:space="0" w:color="auto"/>
        <w:left w:val="none" w:sz="0" w:space="0" w:color="auto"/>
        <w:bottom w:val="none" w:sz="0" w:space="0" w:color="auto"/>
        <w:right w:val="none" w:sz="0" w:space="0" w:color="auto"/>
      </w:divBdr>
    </w:div>
    <w:div w:id="525020657">
      <w:bodyDiv w:val="1"/>
      <w:marLeft w:val="0"/>
      <w:marRight w:val="0"/>
      <w:marTop w:val="0"/>
      <w:marBottom w:val="0"/>
      <w:divBdr>
        <w:top w:val="none" w:sz="0" w:space="0" w:color="auto"/>
        <w:left w:val="none" w:sz="0" w:space="0" w:color="auto"/>
        <w:bottom w:val="none" w:sz="0" w:space="0" w:color="auto"/>
        <w:right w:val="none" w:sz="0" w:space="0" w:color="auto"/>
      </w:divBdr>
    </w:div>
    <w:div w:id="552892492">
      <w:bodyDiv w:val="1"/>
      <w:marLeft w:val="0"/>
      <w:marRight w:val="0"/>
      <w:marTop w:val="0"/>
      <w:marBottom w:val="0"/>
      <w:divBdr>
        <w:top w:val="none" w:sz="0" w:space="0" w:color="auto"/>
        <w:left w:val="none" w:sz="0" w:space="0" w:color="auto"/>
        <w:bottom w:val="none" w:sz="0" w:space="0" w:color="auto"/>
        <w:right w:val="none" w:sz="0" w:space="0" w:color="auto"/>
      </w:divBdr>
    </w:div>
    <w:div w:id="584806641">
      <w:bodyDiv w:val="1"/>
      <w:marLeft w:val="0"/>
      <w:marRight w:val="0"/>
      <w:marTop w:val="0"/>
      <w:marBottom w:val="0"/>
      <w:divBdr>
        <w:top w:val="none" w:sz="0" w:space="0" w:color="auto"/>
        <w:left w:val="none" w:sz="0" w:space="0" w:color="auto"/>
        <w:bottom w:val="none" w:sz="0" w:space="0" w:color="auto"/>
        <w:right w:val="none" w:sz="0" w:space="0" w:color="auto"/>
      </w:divBdr>
    </w:div>
    <w:div w:id="592470530">
      <w:bodyDiv w:val="1"/>
      <w:marLeft w:val="0"/>
      <w:marRight w:val="0"/>
      <w:marTop w:val="0"/>
      <w:marBottom w:val="0"/>
      <w:divBdr>
        <w:top w:val="none" w:sz="0" w:space="0" w:color="auto"/>
        <w:left w:val="none" w:sz="0" w:space="0" w:color="auto"/>
        <w:bottom w:val="none" w:sz="0" w:space="0" w:color="auto"/>
        <w:right w:val="none" w:sz="0" w:space="0" w:color="auto"/>
      </w:divBdr>
    </w:div>
    <w:div w:id="625232535">
      <w:bodyDiv w:val="1"/>
      <w:marLeft w:val="0"/>
      <w:marRight w:val="0"/>
      <w:marTop w:val="0"/>
      <w:marBottom w:val="0"/>
      <w:divBdr>
        <w:top w:val="none" w:sz="0" w:space="0" w:color="auto"/>
        <w:left w:val="none" w:sz="0" w:space="0" w:color="auto"/>
        <w:bottom w:val="none" w:sz="0" w:space="0" w:color="auto"/>
        <w:right w:val="none" w:sz="0" w:space="0" w:color="auto"/>
      </w:divBdr>
    </w:div>
    <w:div w:id="744957505">
      <w:bodyDiv w:val="1"/>
      <w:marLeft w:val="0"/>
      <w:marRight w:val="0"/>
      <w:marTop w:val="0"/>
      <w:marBottom w:val="0"/>
      <w:divBdr>
        <w:top w:val="none" w:sz="0" w:space="0" w:color="auto"/>
        <w:left w:val="none" w:sz="0" w:space="0" w:color="auto"/>
        <w:bottom w:val="none" w:sz="0" w:space="0" w:color="auto"/>
        <w:right w:val="none" w:sz="0" w:space="0" w:color="auto"/>
      </w:divBdr>
    </w:div>
    <w:div w:id="834032745">
      <w:bodyDiv w:val="1"/>
      <w:marLeft w:val="0"/>
      <w:marRight w:val="0"/>
      <w:marTop w:val="0"/>
      <w:marBottom w:val="0"/>
      <w:divBdr>
        <w:top w:val="none" w:sz="0" w:space="0" w:color="auto"/>
        <w:left w:val="none" w:sz="0" w:space="0" w:color="auto"/>
        <w:bottom w:val="none" w:sz="0" w:space="0" w:color="auto"/>
        <w:right w:val="none" w:sz="0" w:space="0" w:color="auto"/>
      </w:divBdr>
    </w:div>
    <w:div w:id="845902884">
      <w:bodyDiv w:val="1"/>
      <w:marLeft w:val="0"/>
      <w:marRight w:val="0"/>
      <w:marTop w:val="0"/>
      <w:marBottom w:val="0"/>
      <w:divBdr>
        <w:top w:val="none" w:sz="0" w:space="0" w:color="auto"/>
        <w:left w:val="none" w:sz="0" w:space="0" w:color="auto"/>
        <w:bottom w:val="none" w:sz="0" w:space="0" w:color="auto"/>
        <w:right w:val="none" w:sz="0" w:space="0" w:color="auto"/>
      </w:divBdr>
    </w:div>
    <w:div w:id="845942813">
      <w:bodyDiv w:val="1"/>
      <w:marLeft w:val="0"/>
      <w:marRight w:val="0"/>
      <w:marTop w:val="0"/>
      <w:marBottom w:val="0"/>
      <w:divBdr>
        <w:top w:val="none" w:sz="0" w:space="0" w:color="auto"/>
        <w:left w:val="none" w:sz="0" w:space="0" w:color="auto"/>
        <w:bottom w:val="none" w:sz="0" w:space="0" w:color="auto"/>
        <w:right w:val="none" w:sz="0" w:space="0" w:color="auto"/>
      </w:divBdr>
    </w:div>
    <w:div w:id="846406158">
      <w:bodyDiv w:val="1"/>
      <w:marLeft w:val="0"/>
      <w:marRight w:val="0"/>
      <w:marTop w:val="0"/>
      <w:marBottom w:val="0"/>
      <w:divBdr>
        <w:top w:val="none" w:sz="0" w:space="0" w:color="auto"/>
        <w:left w:val="none" w:sz="0" w:space="0" w:color="auto"/>
        <w:bottom w:val="none" w:sz="0" w:space="0" w:color="auto"/>
        <w:right w:val="none" w:sz="0" w:space="0" w:color="auto"/>
      </w:divBdr>
    </w:div>
    <w:div w:id="927615282">
      <w:bodyDiv w:val="1"/>
      <w:marLeft w:val="0"/>
      <w:marRight w:val="0"/>
      <w:marTop w:val="0"/>
      <w:marBottom w:val="0"/>
      <w:divBdr>
        <w:top w:val="none" w:sz="0" w:space="0" w:color="auto"/>
        <w:left w:val="none" w:sz="0" w:space="0" w:color="auto"/>
        <w:bottom w:val="none" w:sz="0" w:space="0" w:color="auto"/>
        <w:right w:val="none" w:sz="0" w:space="0" w:color="auto"/>
      </w:divBdr>
    </w:div>
    <w:div w:id="976683754">
      <w:bodyDiv w:val="1"/>
      <w:marLeft w:val="0"/>
      <w:marRight w:val="0"/>
      <w:marTop w:val="0"/>
      <w:marBottom w:val="0"/>
      <w:divBdr>
        <w:top w:val="none" w:sz="0" w:space="0" w:color="auto"/>
        <w:left w:val="none" w:sz="0" w:space="0" w:color="auto"/>
        <w:bottom w:val="none" w:sz="0" w:space="0" w:color="auto"/>
        <w:right w:val="none" w:sz="0" w:space="0" w:color="auto"/>
      </w:divBdr>
    </w:div>
    <w:div w:id="1049718978">
      <w:bodyDiv w:val="1"/>
      <w:marLeft w:val="0"/>
      <w:marRight w:val="0"/>
      <w:marTop w:val="0"/>
      <w:marBottom w:val="0"/>
      <w:divBdr>
        <w:top w:val="none" w:sz="0" w:space="0" w:color="auto"/>
        <w:left w:val="none" w:sz="0" w:space="0" w:color="auto"/>
        <w:bottom w:val="none" w:sz="0" w:space="0" w:color="auto"/>
        <w:right w:val="none" w:sz="0" w:space="0" w:color="auto"/>
      </w:divBdr>
    </w:div>
    <w:div w:id="1110322864">
      <w:bodyDiv w:val="1"/>
      <w:marLeft w:val="0"/>
      <w:marRight w:val="0"/>
      <w:marTop w:val="0"/>
      <w:marBottom w:val="0"/>
      <w:divBdr>
        <w:top w:val="none" w:sz="0" w:space="0" w:color="auto"/>
        <w:left w:val="none" w:sz="0" w:space="0" w:color="auto"/>
        <w:bottom w:val="none" w:sz="0" w:space="0" w:color="auto"/>
        <w:right w:val="none" w:sz="0" w:space="0" w:color="auto"/>
      </w:divBdr>
    </w:div>
    <w:div w:id="1126505938">
      <w:bodyDiv w:val="1"/>
      <w:marLeft w:val="0"/>
      <w:marRight w:val="0"/>
      <w:marTop w:val="0"/>
      <w:marBottom w:val="0"/>
      <w:divBdr>
        <w:top w:val="none" w:sz="0" w:space="0" w:color="auto"/>
        <w:left w:val="none" w:sz="0" w:space="0" w:color="auto"/>
        <w:bottom w:val="none" w:sz="0" w:space="0" w:color="auto"/>
        <w:right w:val="none" w:sz="0" w:space="0" w:color="auto"/>
      </w:divBdr>
    </w:div>
    <w:div w:id="1136533494">
      <w:bodyDiv w:val="1"/>
      <w:marLeft w:val="0"/>
      <w:marRight w:val="0"/>
      <w:marTop w:val="0"/>
      <w:marBottom w:val="0"/>
      <w:divBdr>
        <w:top w:val="none" w:sz="0" w:space="0" w:color="auto"/>
        <w:left w:val="none" w:sz="0" w:space="0" w:color="auto"/>
        <w:bottom w:val="none" w:sz="0" w:space="0" w:color="auto"/>
        <w:right w:val="none" w:sz="0" w:space="0" w:color="auto"/>
      </w:divBdr>
    </w:div>
    <w:div w:id="1156340625">
      <w:bodyDiv w:val="1"/>
      <w:marLeft w:val="0"/>
      <w:marRight w:val="0"/>
      <w:marTop w:val="0"/>
      <w:marBottom w:val="0"/>
      <w:divBdr>
        <w:top w:val="none" w:sz="0" w:space="0" w:color="auto"/>
        <w:left w:val="none" w:sz="0" w:space="0" w:color="auto"/>
        <w:bottom w:val="none" w:sz="0" w:space="0" w:color="auto"/>
        <w:right w:val="none" w:sz="0" w:space="0" w:color="auto"/>
      </w:divBdr>
    </w:div>
    <w:div w:id="1160191292">
      <w:bodyDiv w:val="1"/>
      <w:marLeft w:val="0"/>
      <w:marRight w:val="0"/>
      <w:marTop w:val="0"/>
      <w:marBottom w:val="0"/>
      <w:divBdr>
        <w:top w:val="none" w:sz="0" w:space="0" w:color="auto"/>
        <w:left w:val="none" w:sz="0" w:space="0" w:color="auto"/>
        <w:bottom w:val="none" w:sz="0" w:space="0" w:color="auto"/>
        <w:right w:val="none" w:sz="0" w:space="0" w:color="auto"/>
      </w:divBdr>
    </w:div>
    <w:div w:id="1161199049">
      <w:bodyDiv w:val="1"/>
      <w:marLeft w:val="0"/>
      <w:marRight w:val="0"/>
      <w:marTop w:val="0"/>
      <w:marBottom w:val="0"/>
      <w:divBdr>
        <w:top w:val="none" w:sz="0" w:space="0" w:color="auto"/>
        <w:left w:val="none" w:sz="0" w:space="0" w:color="auto"/>
        <w:bottom w:val="none" w:sz="0" w:space="0" w:color="auto"/>
        <w:right w:val="none" w:sz="0" w:space="0" w:color="auto"/>
      </w:divBdr>
    </w:div>
    <w:div w:id="1194998668">
      <w:bodyDiv w:val="1"/>
      <w:marLeft w:val="0"/>
      <w:marRight w:val="0"/>
      <w:marTop w:val="0"/>
      <w:marBottom w:val="0"/>
      <w:divBdr>
        <w:top w:val="none" w:sz="0" w:space="0" w:color="auto"/>
        <w:left w:val="none" w:sz="0" w:space="0" w:color="auto"/>
        <w:bottom w:val="none" w:sz="0" w:space="0" w:color="auto"/>
        <w:right w:val="none" w:sz="0" w:space="0" w:color="auto"/>
      </w:divBdr>
    </w:div>
    <w:div w:id="1199705032">
      <w:bodyDiv w:val="1"/>
      <w:marLeft w:val="0"/>
      <w:marRight w:val="0"/>
      <w:marTop w:val="0"/>
      <w:marBottom w:val="0"/>
      <w:divBdr>
        <w:top w:val="none" w:sz="0" w:space="0" w:color="auto"/>
        <w:left w:val="none" w:sz="0" w:space="0" w:color="auto"/>
        <w:bottom w:val="none" w:sz="0" w:space="0" w:color="auto"/>
        <w:right w:val="none" w:sz="0" w:space="0" w:color="auto"/>
      </w:divBdr>
    </w:div>
    <w:div w:id="1215313845">
      <w:bodyDiv w:val="1"/>
      <w:marLeft w:val="0"/>
      <w:marRight w:val="0"/>
      <w:marTop w:val="0"/>
      <w:marBottom w:val="0"/>
      <w:divBdr>
        <w:top w:val="none" w:sz="0" w:space="0" w:color="auto"/>
        <w:left w:val="none" w:sz="0" w:space="0" w:color="auto"/>
        <w:bottom w:val="none" w:sz="0" w:space="0" w:color="auto"/>
        <w:right w:val="none" w:sz="0" w:space="0" w:color="auto"/>
      </w:divBdr>
    </w:div>
    <w:div w:id="1261645554">
      <w:bodyDiv w:val="1"/>
      <w:marLeft w:val="0"/>
      <w:marRight w:val="0"/>
      <w:marTop w:val="0"/>
      <w:marBottom w:val="0"/>
      <w:divBdr>
        <w:top w:val="none" w:sz="0" w:space="0" w:color="auto"/>
        <w:left w:val="none" w:sz="0" w:space="0" w:color="auto"/>
        <w:bottom w:val="none" w:sz="0" w:space="0" w:color="auto"/>
        <w:right w:val="none" w:sz="0" w:space="0" w:color="auto"/>
      </w:divBdr>
    </w:div>
    <w:div w:id="1262298514">
      <w:bodyDiv w:val="1"/>
      <w:marLeft w:val="0"/>
      <w:marRight w:val="0"/>
      <w:marTop w:val="0"/>
      <w:marBottom w:val="0"/>
      <w:divBdr>
        <w:top w:val="none" w:sz="0" w:space="0" w:color="auto"/>
        <w:left w:val="none" w:sz="0" w:space="0" w:color="auto"/>
        <w:bottom w:val="none" w:sz="0" w:space="0" w:color="auto"/>
        <w:right w:val="none" w:sz="0" w:space="0" w:color="auto"/>
      </w:divBdr>
    </w:div>
    <w:div w:id="1320772259">
      <w:bodyDiv w:val="1"/>
      <w:marLeft w:val="0"/>
      <w:marRight w:val="0"/>
      <w:marTop w:val="0"/>
      <w:marBottom w:val="0"/>
      <w:divBdr>
        <w:top w:val="none" w:sz="0" w:space="0" w:color="auto"/>
        <w:left w:val="none" w:sz="0" w:space="0" w:color="auto"/>
        <w:bottom w:val="none" w:sz="0" w:space="0" w:color="auto"/>
        <w:right w:val="none" w:sz="0" w:space="0" w:color="auto"/>
      </w:divBdr>
    </w:div>
    <w:div w:id="1331366327">
      <w:bodyDiv w:val="1"/>
      <w:marLeft w:val="0"/>
      <w:marRight w:val="0"/>
      <w:marTop w:val="0"/>
      <w:marBottom w:val="0"/>
      <w:divBdr>
        <w:top w:val="none" w:sz="0" w:space="0" w:color="auto"/>
        <w:left w:val="none" w:sz="0" w:space="0" w:color="auto"/>
        <w:bottom w:val="none" w:sz="0" w:space="0" w:color="auto"/>
        <w:right w:val="none" w:sz="0" w:space="0" w:color="auto"/>
      </w:divBdr>
    </w:div>
    <w:div w:id="1332101780">
      <w:bodyDiv w:val="1"/>
      <w:marLeft w:val="0"/>
      <w:marRight w:val="0"/>
      <w:marTop w:val="0"/>
      <w:marBottom w:val="0"/>
      <w:divBdr>
        <w:top w:val="none" w:sz="0" w:space="0" w:color="auto"/>
        <w:left w:val="none" w:sz="0" w:space="0" w:color="auto"/>
        <w:bottom w:val="none" w:sz="0" w:space="0" w:color="auto"/>
        <w:right w:val="none" w:sz="0" w:space="0" w:color="auto"/>
      </w:divBdr>
      <w:divsChild>
        <w:div w:id="1993362876">
          <w:marLeft w:val="0"/>
          <w:marRight w:val="0"/>
          <w:marTop w:val="0"/>
          <w:marBottom w:val="0"/>
          <w:divBdr>
            <w:top w:val="none" w:sz="0" w:space="0" w:color="auto"/>
            <w:left w:val="none" w:sz="0" w:space="0" w:color="auto"/>
            <w:bottom w:val="none" w:sz="0" w:space="0" w:color="auto"/>
            <w:right w:val="none" w:sz="0" w:space="0" w:color="auto"/>
          </w:divBdr>
        </w:div>
      </w:divsChild>
    </w:div>
    <w:div w:id="1363743152">
      <w:bodyDiv w:val="1"/>
      <w:marLeft w:val="0"/>
      <w:marRight w:val="0"/>
      <w:marTop w:val="0"/>
      <w:marBottom w:val="0"/>
      <w:divBdr>
        <w:top w:val="none" w:sz="0" w:space="0" w:color="auto"/>
        <w:left w:val="none" w:sz="0" w:space="0" w:color="auto"/>
        <w:bottom w:val="none" w:sz="0" w:space="0" w:color="auto"/>
        <w:right w:val="none" w:sz="0" w:space="0" w:color="auto"/>
      </w:divBdr>
    </w:div>
    <w:div w:id="1386639786">
      <w:bodyDiv w:val="1"/>
      <w:marLeft w:val="0"/>
      <w:marRight w:val="0"/>
      <w:marTop w:val="0"/>
      <w:marBottom w:val="0"/>
      <w:divBdr>
        <w:top w:val="none" w:sz="0" w:space="0" w:color="auto"/>
        <w:left w:val="none" w:sz="0" w:space="0" w:color="auto"/>
        <w:bottom w:val="none" w:sz="0" w:space="0" w:color="auto"/>
        <w:right w:val="none" w:sz="0" w:space="0" w:color="auto"/>
      </w:divBdr>
    </w:div>
    <w:div w:id="1387027426">
      <w:bodyDiv w:val="1"/>
      <w:marLeft w:val="0"/>
      <w:marRight w:val="0"/>
      <w:marTop w:val="0"/>
      <w:marBottom w:val="0"/>
      <w:divBdr>
        <w:top w:val="none" w:sz="0" w:space="0" w:color="auto"/>
        <w:left w:val="none" w:sz="0" w:space="0" w:color="auto"/>
        <w:bottom w:val="none" w:sz="0" w:space="0" w:color="auto"/>
        <w:right w:val="none" w:sz="0" w:space="0" w:color="auto"/>
      </w:divBdr>
    </w:div>
    <w:div w:id="1392996113">
      <w:bodyDiv w:val="1"/>
      <w:marLeft w:val="0"/>
      <w:marRight w:val="0"/>
      <w:marTop w:val="0"/>
      <w:marBottom w:val="0"/>
      <w:divBdr>
        <w:top w:val="none" w:sz="0" w:space="0" w:color="auto"/>
        <w:left w:val="none" w:sz="0" w:space="0" w:color="auto"/>
        <w:bottom w:val="none" w:sz="0" w:space="0" w:color="auto"/>
        <w:right w:val="none" w:sz="0" w:space="0" w:color="auto"/>
      </w:divBdr>
    </w:div>
    <w:div w:id="1412508733">
      <w:bodyDiv w:val="1"/>
      <w:marLeft w:val="0"/>
      <w:marRight w:val="0"/>
      <w:marTop w:val="0"/>
      <w:marBottom w:val="0"/>
      <w:divBdr>
        <w:top w:val="none" w:sz="0" w:space="0" w:color="auto"/>
        <w:left w:val="none" w:sz="0" w:space="0" w:color="auto"/>
        <w:bottom w:val="none" w:sz="0" w:space="0" w:color="auto"/>
        <w:right w:val="none" w:sz="0" w:space="0" w:color="auto"/>
      </w:divBdr>
    </w:div>
    <w:div w:id="1459452512">
      <w:bodyDiv w:val="1"/>
      <w:marLeft w:val="0"/>
      <w:marRight w:val="0"/>
      <w:marTop w:val="0"/>
      <w:marBottom w:val="0"/>
      <w:divBdr>
        <w:top w:val="none" w:sz="0" w:space="0" w:color="auto"/>
        <w:left w:val="none" w:sz="0" w:space="0" w:color="auto"/>
        <w:bottom w:val="none" w:sz="0" w:space="0" w:color="auto"/>
        <w:right w:val="none" w:sz="0" w:space="0" w:color="auto"/>
      </w:divBdr>
    </w:div>
    <w:div w:id="1462771665">
      <w:bodyDiv w:val="1"/>
      <w:marLeft w:val="0"/>
      <w:marRight w:val="0"/>
      <w:marTop w:val="0"/>
      <w:marBottom w:val="0"/>
      <w:divBdr>
        <w:top w:val="none" w:sz="0" w:space="0" w:color="auto"/>
        <w:left w:val="none" w:sz="0" w:space="0" w:color="auto"/>
        <w:bottom w:val="none" w:sz="0" w:space="0" w:color="auto"/>
        <w:right w:val="none" w:sz="0" w:space="0" w:color="auto"/>
      </w:divBdr>
    </w:div>
    <w:div w:id="1534147751">
      <w:bodyDiv w:val="1"/>
      <w:marLeft w:val="0"/>
      <w:marRight w:val="0"/>
      <w:marTop w:val="0"/>
      <w:marBottom w:val="0"/>
      <w:divBdr>
        <w:top w:val="none" w:sz="0" w:space="0" w:color="auto"/>
        <w:left w:val="none" w:sz="0" w:space="0" w:color="auto"/>
        <w:bottom w:val="none" w:sz="0" w:space="0" w:color="auto"/>
        <w:right w:val="none" w:sz="0" w:space="0" w:color="auto"/>
      </w:divBdr>
    </w:div>
    <w:div w:id="1559046179">
      <w:bodyDiv w:val="1"/>
      <w:marLeft w:val="0"/>
      <w:marRight w:val="0"/>
      <w:marTop w:val="0"/>
      <w:marBottom w:val="0"/>
      <w:divBdr>
        <w:top w:val="none" w:sz="0" w:space="0" w:color="auto"/>
        <w:left w:val="none" w:sz="0" w:space="0" w:color="auto"/>
        <w:bottom w:val="none" w:sz="0" w:space="0" w:color="auto"/>
        <w:right w:val="none" w:sz="0" w:space="0" w:color="auto"/>
      </w:divBdr>
    </w:div>
    <w:div w:id="1573003091">
      <w:bodyDiv w:val="1"/>
      <w:marLeft w:val="0"/>
      <w:marRight w:val="0"/>
      <w:marTop w:val="0"/>
      <w:marBottom w:val="0"/>
      <w:divBdr>
        <w:top w:val="none" w:sz="0" w:space="0" w:color="auto"/>
        <w:left w:val="none" w:sz="0" w:space="0" w:color="auto"/>
        <w:bottom w:val="none" w:sz="0" w:space="0" w:color="auto"/>
        <w:right w:val="none" w:sz="0" w:space="0" w:color="auto"/>
      </w:divBdr>
    </w:div>
    <w:div w:id="1586455398">
      <w:bodyDiv w:val="1"/>
      <w:marLeft w:val="0"/>
      <w:marRight w:val="0"/>
      <w:marTop w:val="0"/>
      <w:marBottom w:val="0"/>
      <w:divBdr>
        <w:top w:val="none" w:sz="0" w:space="0" w:color="auto"/>
        <w:left w:val="none" w:sz="0" w:space="0" w:color="auto"/>
        <w:bottom w:val="none" w:sz="0" w:space="0" w:color="auto"/>
        <w:right w:val="none" w:sz="0" w:space="0" w:color="auto"/>
      </w:divBdr>
    </w:div>
    <w:div w:id="1631017196">
      <w:bodyDiv w:val="1"/>
      <w:marLeft w:val="0"/>
      <w:marRight w:val="0"/>
      <w:marTop w:val="0"/>
      <w:marBottom w:val="0"/>
      <w:divBdr>
        <w:top w:val="none" w:sz="0" w:space="0" w:color="auto"/>
        <w:left w:val="none" w:sz="0" w:space="0" w:color="auto"/>
        <w:bottom w:val="none" w:sz="0" w:space="0" w:color="auto"/>
        <w:right w:val="none" w:sz="0" w:space="0" w:color="auto"/>
      </w:divBdr>
    </w:div>
    <w:div w:id="1663314821">
      <w:bodyDiv w:val="1"/>
      <w:marLeft w:val="0"/>
      <w:marRight w:val="0"/>
      <w:marTop w:val="0"/>
      <w:marBottom w:val="0"/>
      <w:divBdr>
        <w:top w:val="none" w:sz="0" w:space="0" w:color="auto"/>
        <w:left w:val="none" w:sz="0" w:space="0" w:color="auto"/>
        <w:bottom w:val="none" w:sz="0" w:space="0" w:color="auto"/>
        <w:right w:val="none" w:sz="0" w:space="0" w:color="auto"/>
      </w:divBdr>
    </w:div>
    <w:div w:id="1713263425">
      <w:bodyDiv w:val="1"/>
      <w:marLeft w:val="0"/>
      <w:marRight w:val="0"/>
      <w:marTop w:val="0"/>
      <w:marBottom w:val="0"/>
      <w:divBdr>
        <w:top w:val="none" w:sz="0" w:space="0" w:color="auto"/>
        <w:left w:val="none" w:sz="0" w:space="0" w:color="auto"/>
        <w:bottom w:val="none" w:sz="0" w:space="0" w:color="auto"/>
        <w:right w:val="none" w:sz="0" w:space="0" w:color="auto"/>
      </w:divBdr>
    </w:div>
    <w:div w:id="1772047430">
      <w:bodyDiv w:val="1"/>
      <w:marLeft w:val="0"/>
      <w:marRight w:val="0"/>
      <w:marTop w:val="0"/>
      <w:marBottom w:val="0"/>
      <w:divBdr>
        <w:top w:val="none" w:sz="0" w:space="0" w:color="auto"/>
        <w:left w:val="none" w:sz="0" w:space="0" w:color="auto"/>
        <w:bottom w:val="none" w:sz="0" w:space="0" w:color="auto"/>
        <w:right w:val="none" w:sz="0" w:space="0" w:color="auto"/>
      </w:divBdr>
    </w:div>
    <w:div w:id="1790274862">
      <w:bodyDiv w:val="1"/>
      <w:marLeft w:val="0"/>
      <w:marRight w:val="0"/>
      <w:marTop w:val="0"/>
      <w:marBottom w:val="0"/>
      <w:divBdr>
        <w:top w:val="none" w:sz="0" w:space="0" w:color="auto"/>
        <w:left w:val="none" w:sz="0" w:space="0" w:color="auto"/>
        <w:bottom w:val="none" w:sz="0" w:space="0" w:color="auto"/>
        <w:right w:val="none" w:sz="0" w:space="0" w:color="auto"/>
      </w:divBdr>
    </w:div>
    <w:div w:id="1883588802">
      <w:bodyDiv w:val="1"/>
      <w:marLeft w:val="0"/>
      <w:marRight w:val="0"/>
      <w:marTop w:val="0"/>
      <w:marBottom w:val="0"/>
      <w:divBdr>
        <w:top w:val="none" w:sz="0" w:space="0" w:color="auto"/>
        <w:left w:val="none" w:sz="0" w:space="0" w:color="auto"/>
        <w:bottom w:val="none" w:sz="0" w:space="0" w:color="auto"/>
        <w:right w:val="none" w:sz="0" w:space="0" w:color="auto"/>
      </w:divBdr>
    </w:div>
    <w:div w:id="1884293403">
      <w:bodyDiv w:val="1"/>
      <w:marLeft w:val="0"/>
      <w:marRight w:val="0"/>
      <w:marTop w:val="0"/>
      <w:marBottom w:val="0"/>
      <w:divBdr>
        <w:top w:val="none" w:sz="0" w:space="0" w:color="auto"/>
        <w:left w:val="none" w:sz="0" w:space="0" w:color="auto"/>
        <w:bottom w:val="none" w:sz="0" w:space="0" w:color="auto"/>
        <w:right w:val="none" w:sz="0" w:space="0" w:color="auto"/>
      </w:divBdr>
    </w:div>
    <w:div w:id="1897620452">
      <w:bodyDiv w:val="1"/>
      <w:marLeft w:val="0"/>
      <w:marRight w:val="0"/>
      <w:marTop w:val="0"/>
      <w:marBottom w:val="0"/>
      <w:divBdr>
        <w:top w:val="none" w:sz="0" w:space="0" w:color="auto"/>
        <w:left w:val="none" w:sz="0" w:space="0" w:color="auto"/>
        <w:bottom w:val="none" w:sz="0" w:space="0" w:color="auto"/>
        <w:right w:val="none" w:sz="0" w:space="0" w:color="auto"/>
      </w:divBdr>
    </w:div>
    <w:div w:id="1899591475">
      <w:bodyDiv w:val="1"/>
      <w:marLeft w:val="0"/>
      <w:marRight w:val="0"/>
      <w:marTop w:val="0"/>
      <w:marBottom w:val="0"/>
      <w:divBdr>
        <w:top w:val="none" w:sz="0" w:space="0" w:color="auto"/>
        <w:left w:val="none" w:sz="0" w:space="0" w:color="auto"/>
        <w:bottom w:val="none" w:sz="0" w:space="0" w:color="auto"/>
        <w:right w:val="none" w:sz="0" w:space="0" w:color="auto"/>
      </w:divBdr>
    </w:div>
    <w:div w:id="1904094738">
      <w:bodyDiv w:val="1"/>
      <w:marLeft w:val="0"/>
      <w:marRight w:val="0"/>
      <w:marTop w:val="0"/>
      <w:marBottom w:val="0"/>
      <w:divBdr>
        <w:top w:val="none" w:sz="0" w:space="0" w:color="auto"/>
        <w:left w:val="none" w:sz="0" w:space="0" w:color="auto"/>
        <w:bottom w:val="none" w:sz="0" w:space="0" w:color="auto"/>
        <w:right w:val="none" w:sz="0" w:space="0" w:color="auto"/>
      </w:divBdr>
    </w:div>
    <w:div w:id="1916162078">
      <w:bodyDiv w:val="1"/>
      <w:marLeft w:val="0"/>
      <w:marRight w:val="0"/>
      <w:marTop w:val="0"/>
      <w:marBottom w:val="0"/>
      <w:divBdr>
        <w:top w:val="none" w:sz="0" w:space="0" w:color="auto"/>
        <w:left w:val="none" w:sz="0" w:space="0" w:color="auto"/>
        <w:bottom w:val="none" w:sz="0" w:space="0" w:color="auto"/>
        <w:right w:val="none" w:sz="0" w:space="0" w:color="auto"/>
      </w:divBdr>
    </w:div>
    <w:div w:id="1935506534">
      <w:bodyDiv w:val="1"/>
      <w:marLeft w:val="0"/>
      <w:marRight w:val="0"/>
      <w:marTop w:val="0"/>
      <w:marBottom w:val="0"/>
      <w:divBdr>
        <w:top w:val="none" w:sz="0" w:space="0" w:color="auto"/>
        <w:left w:val="none" w:sz="0" w:space="0" w:color="auto"/>
        <w:bottom w:val="none" w:sz="0" w:space="0" w:color="auto"/>
        <w:right w:val="none" w:sz="0" w:space="0" w:color="auto"/>
      </w:divBdr>
    </w:div>
    <w:div w:id="1957175503">
      <w:bodyDiv w:val="1"/>
      <w:marLeft w:val="0"/>
      <w:marRight w:val="0"/>
      <w:marTop w:val="0"/>
      <w:marBottom w:val="0"/>
      <w:divBdr>
        <w:top w:val="none" w:sz="0" w:space="0" w:color="auto"/>
        <w:left w:val="none" w:sz="0" w:space="0" w:color="auto"/>
        <w:bottom w:val="none" w:sz="0" w:space="0" w:color="auto"/>
        <w:right w:val="none" w:sz="0" w:space="0" w:color="auto"/>
      </w:divBdr>
    </w:div>
    <w:div w:id="1979408117">
      <w:bodyDiv w:val="1"/>
      <w:marLeft w:val="0"/>
      <w:marRight w:val="0"/>
      <w:marTop w:val="0"/>
      <w:marBottom w:val="0"/>
      <w:divBdr>
        <w:top w:val="none" w:sz="0" w:space="0" w:color="auto"/>
        <w:left w:val="none" w:sz="0" w:space="0" w:color="auto"/>
        <w:bottom w:val="none" w:sz="0" w:space="0" w:color="auto"/>
        <w:right w:val="none" w:sz="0" w:space="0" w:color="auto"/>
      </w:divBdr>
    </w:div>
    <w:div w:id="2030452755">
      <w:bodyDiv w:val="1"/>
      <w:marLeft w:val="0"/>
      <w:marRight w:val="0"/>
      <w:marTop w:val="0"/>
      <w:marBottom w:val="0"/>
      <w:divBdr>
        <w:top w:val="none" w:sz="0" w:space="0" w:color="auto"/>
        <w:left w:val="none" w:sz="0" w:space="0" w:color="auto"/>
        <w:bottom w:val="none" w:sz="0" w:space="0" w:color="auto"/>
        <w:right w:val="none" w:sz="0" w:space="0" w:color="auto"/>
      </w:divBdr>
    </w:div>
    <w:div w:id="2032488982">
      <w:bodyDiv w:val="1"/>
      <w:marLeft w:val="0"/>
      <w:marRight w:val="0"/>
      <w:marTop w:val="0"/>
      <w:marBottom w:val="0"/>
      <w:divBdr>
        <w:top w:val="none" w:sz="0" w:space="0" w:color="auto"/>
        <w:left w:val="none" w:sz="0" w:space="0" w:color="auto"/>
        <w:bottom w:val="none" w:sz="0" w:space="0" w:color="auto"/>
        <w:right w:val="none" w:sz="0" w:space="0" w:color="auto"/>
      </w:divBdr>
    </w:div>
    <w:div w:id="2047562815">
      <w:bodyDiv w:val="1"/>
      <w:marLeft w:val="0"/>
      <w:marRight w:val="0"/>
      <w:marTop w:val="0"/>
      <w:marBottom w:val="0"/>
      <w:divBdr>
        <w:top w:val="none" w:sz="0" w:space="0" w:color="auto"/>
        <w:left w:val="none" w:sz="0" w:space="0" w:color="auto"/>
        <w:bottom w:val="none" w:sz="0" w:space="0" w:color="auto"/>
        <w:right w:val="none" w:sz="0" w:space="0" w:color="auto"/>
      </w:divBdr>
    </w:div>
    <w:div w:id="2047869135">
      <w:bodyDiv w:val="1"/>
      <w:marLeft w:val="0"/>
      <w:marRight w:val="0"/>
      <w:marTop w:val="0"/>
      <w:marBottom w:val="0"/>
      <w:divBdr>
        <w:top w:val="none" w:sz="0" w:space="0" w:color="auto"/>
        <w:left w:val="none" w:sz="0" w:space="0" w:color="auto"/>
        <w:bottom w:val="none" w:sz="0" w:space="0" w:color="auto"/>
        <w:right w:val="none" w:sz="0" w:space="0" w:color="auto"/>
      </w:divBdr>
    </w:div>
    <w:div w:id="2076665477">
      <w:bodyDiv w:val="1"/>
      <w:marLeft w:val="0"/>
      <w:marRight w:val="0"/>
      <w:marTop w:val="0"/>
      <w:marBottom w:val="0"/>
      <w:divBdr>
        <w:top w:val="none" w:sz="0" w:space="0" w:color="auto"/>
        <w:left w:val="none" w:sz="0" w:space="0" w:color="auto"/>
        <w:bottom w:val="none" w:sz="0" w:space="0" w:color="auto"/>
        <w:right w:val="none" w:sz="0" w:space="0" w:color="auto"/>
      </w:divBdr>
    </w:div>
    <w:div w:id="2113476511">
      <w:bodyDiv w:val="1"/>
      <w:marLeft w:val="0"/>
      <w:marRight w:val="0"/>
      <w:marTop w:val="0"/>
      <w:marBottom w:val="0"/>
      <w:divBdr>
        <w:top w:val="none" w:sz="0" w:space="0" w:color="auto"/>
        <w:left w:val="none" w:sz="0" w:space="0" w:color="auto"/>
        <w:bottom w:val="none" w:sz="0" w:space="0" w:color="auto"/>
        <w:right w:val="none" w:sz="0" w:space="0" w:color="auto"/>
      </w:divBdr>
    </w:div>
    <w:div w:id="2115395762">
      <w:bodyDiv w:val="1"/>
      <w:marLeft w:val="0"/>
      <w:marRight w:val="0"/>
      <w:marTop w:val="0"/>
      <w:marBottom w:val="0"/>
      <w:divBdr>
        <w:top w:val="none" w:sz="0" w:space="0" w:color="auto"/>
        <w:left w:val="none" w:sz="0" w:space="0" w:color="auto"/>
        <w:bottom w:val="none" w:sz="0" w:space="0" w:color="auto"/>
        <w:right w:val="none" w:sz="0" w:space="0" w:color="auto"/>
      </w:divBdr>
    </w:div>
    <w:div w:id="2134329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umc.nl/sub/4080/att/1768916" TargetMode="External"/><Relationship Id="rId13" Type="http://schemas.openxmlformats.org/officeDocument/2006/relationships/hyperlink" Target="javascri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javascript:;" TargetMode="External"/><Relationship Id="rId12" Type="http://schemas.openxmlformats.org/officeDocument/2006/relationships/hyperlink" Target="https://www.ncbi.nlm.nih.gov/entrez/eutils/elink.fcgi?dbfrom=pubmed&amp;retmode=ref&amp;cmd=prlinks&amp;id=310437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avascript:;" TargetMode="External"/><Relationship Id="rId1" Type="http://schemas.openxmlformats.org/officeDocument/2006/relationships/customXml" Target="../customXml/item1.xml"/><Relationship Id="rId6" Type="http://schemas.openxmlformats.org/officeDocument/2006/relationships/hyperlink" Target="https://decipher.sanger.ac.uk/" TargetMode="External"/><Relationship Id="rId11" Type="http://schemas.openxmlformats.org/officeDocument/2006/relationships/hyperlink" Target="https://omim.org/" TargetMode="External"/><Relationship Id="rId5" Type="http://schemas.openxmlformats.org/officeDocument/2006/relationships/webSettings" Target="webSettings.xml"/><Relationship Id="rId15" Type="http://schemas.openxmlformats.org/officeDocument/2006/relationships/hyperlink" Target="javascript:;" TargetMode="External"/><Relationship Id="rId10" Type="http://schemas.openxmlformats.org/officeDocument/2006/relationships/hyperlink" Target="https://public.tableau.com/profile/sindy.law" TargetMode="External"/><Relationship Id="rId4" Type="http://schemas.openxmlformats.org/officeDocument/2006/relationships/settings" Target="settings.xml"/><Relationship Id="rId9" Type="http://schemas.openxmlformats.org/officeDocument/2006/relationships/hyperlink" Target="https://decipher.sanger.ac.uk/"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1B282-B103-4044-9B7E-6566010D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22</Pages>
  <Words>5744</Words>
  <Characters>32747</Characters>
  <Application>Microsoft Office Word</Application>
  <DocSecurity>0</DocSecurity>
  <Lines>272</Lines>
  <Paragraphs>76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UMC St Radboud</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Kleefstra, Tjitske</dc:creator>
  <cp:keywords/>
  <dc:description/>
  <cp:lastModifiedBy>Richardson, Ruth</cp:lastModifiedBy>
  <cp:revision>6</cp:revision>
  <cp:lastPrinted>2021-09-24T10:34:00Z</cp:lastPrinted>
  <dcterms:created xsi:type="dcterms:W3CDTF">2021-09-24T11:38:00Z</dcterms:created>
  <dcterms:modified xsi:type="dcterms:W3CDTF">2021-09-25T09:43:00Z</dcterms:modified>
</cp:coreProperties>
</file>