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57871" w:rsidR="00E57871" w:rsidRDefault="00E57871" w14:paraId="53168AC0" w14:textId="1F9301FC">
      <w:pPr>
        <w:rPr>
          <w:b/>
          <w:bCs/>
          <w:sz w:val="24"/>
          <w:szCs w:val="24"/>
        </w:rPr>
      </w:pPr>
      <w:r w:rsidRPr="00E57871">
        <w:rPr>
          <w:b/>
          <w:bCs/>
          <w:sz w:val="24"/>
          <w:szCs w:val="24"/>
        </w:rPr>
        <w:t>ERS Congress September 2021</w:t>
      </w:r>
      <w:r w:rsidR="009642BE">
        <w:rPr>
          <w:b/>
          <w:bCs/>
          <w:sz w:val="24"/>
          <w:szCs w:val="24"/>
        </w:rPr>
        <w:t xml:space="preserve"> 17</w:t>
      </w:r>
      <w:r w:rsidRPr="009642BE" w:rsidR="009642BE">
        <w:rPr>
          <w:b/>
          <w:bCs/>
          <w:sz w:val="24"/>
          <w:szCs w:val="24"/>
          <w:vertAlign w:val="superscript"/>
        </w:rPr>
        <w:t>th</w:t>
      </w:r>
      <w:r w:rsidR="009642BE">
        <w:rPr>
          <w:b/>
          <w:bCs/>
          <w:sz w:val="24"/>
          <w:szCs w:val="24"/>
        </w:rPr>
        <w:t xml:space="preserve"> Feb</w:t>
      </w:r>
      <w:r w:rsidR="00075BB3">
        <w:rPr>
          <w:b/>
          <w:bCs/>
          <w:sz w:val="24"/>
          <w:szCs w:val="24"/>
        </w:rPr>
        <w:t xml:space="preserve">:    </w:t>
      </w:r>
      <w:r w:rsidRPr="00E57871">
        <w:rPr>
          <w:b/>
          <w:bCs/>
          <w:sz w:val="24"/>
          <w:szCs w:val="24"/>
        </w:rPr>
        <w:t xml:space="preserve">Abstract submission </w:t>
      </w:r>
    </w:p>
    <w:p w:rsidRPr="00E57871" w:rsidR="00E57871" w:rsidRDefault="00E57871" w14:paraId="479C553C" w14:textId="1506A829">
      <w:pPr>
        <w:rPr>
          <w:b/>
          <w:bCs/>
        </w:rPr>
      </w:pPr>
      <w:r w:rsidRPr="00E57871">
        <w:rPr>
          <w:b/>
          <w:bCs/>
        </w:rPr>
        <w:t>Authors institutions</w:t>
      </w:r>
    </w:p>
    <w:p w:rsidR="00FD707B" w:rsidP="00FD707B" w:rsidRDefault="00FD707B" w14:paraId="25FCD050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77BAB">
        <w:rPr>
          <w:rFonts w:eastAsia="Times New Roman" w:cstheme="minorHAnsi"/>
          <w:b/>
          <w:bCs/>
          <w:sz w:val="20"/>
          <w:szCs w:val="20"/>
          <w:lang w:eastAsia="en-GB"/>
        </w:rPr>
        <w:t>Dr Lindsay Welch</w:t>
      </w:r>
      <w:r>
        <w:rPr>
          <w:rFonts w:eastAsia="Times New Roman" w:cstheme="minorHAnsi"/>
          <w:sz w:val="20"/>
          <w:szCs w:val="20"/>
          <w:lang w:eastAsia="en-GB"/>
        </w:rPr>
        <w:t xml:space="preserve"> (Corresponding author)</w:t>
      </w:r>
    </w:p>
    <w:p w:rsidR="00FD707B" w:rsidP="00FD707B" w:rsidRDefault="00FD707B" w14:paraId="6ED04123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Faculty of Environmental and life sciences, </w:t>
      </w:r>
    </w:p>
    <w:p w:rsidR="00FD707B" w:rsidP="00FD707B" w:rsidRDefault="00FD707B" w14:paraId="465FBEC5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School of Health Sciences, </w:t>
      </w:r>
    </w:p>
    <w:p w:rsidR="00FD707B" w:rsidP="00FD707B" w:rsidRDefault="00FD707B" w14:paraId="62266A80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University of Southampton</w:t>
      </w:r>
    </w:p>
    <w:p w:rsidR="00FD707B" w:rsidP="00FD707B" w:rsidRDefault="00FD707B" w14:paraId="76D08FA8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Building 67. University Road</w:t>
      </w:r>
    </w:p>
    <w:p w:rsidR="00FD707B" w:rsidP="00FD707B" w:rsidRDefault="00FD707B" w14:paraId="3A241419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Southampton</w:t>
      </w:r>
    </w:p>
    <w:p w:rsidR="00FD707B" w:rsidP="00FD707B" w:rsidRDefault="00FD707B" w14:paraId="18360592" w14:textId="11A9AB8F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Email: </w:t>
      </w:r>
      <w:hyperlink w:history="1" r:id="rId4">
        <w:r>
          <w:rPr>
            <w:rStyle w:val="Hyperlink"/>
            <w:rFonts w:eastAsia="Times New Roman" w:cstheme="minorHAnsi"/>
            <w:sz w:val="20"/>
            <w:szCs w:val="20"/>
            <w:lang w:eastAsia="en-GB"/>
          </w:rPr>
          <w:t>lw13e14@soton.ac.uk</w:t>
        </w:r>
      </w:hyperlink>
      <w:r w:rsidR="00A77BAB">
        <w:rPr>
          <w:rFonts w:eastAsia="Times New Roman" w:cstheme="minorHAnsi"/>
          <w:sz w:val="20"/>
          <w:szCs w:val="20"/>
          <w:lang w:eastAsia="en-GB"/>
        </w:rPr>
        <w:t xml:space="preserve">     </w:t>
      </w:r>
      <w:r>
        <w:rPr>
          <w:rFonts w:eastAsia="Times New Roman" w:cstheme="minorHAnsi"/>
          <w:sz w:val="20"/>
          <w:szCs w:val="20"/>
          <w:lang w:eastAsia="en-GB"/>
        </w:rPr>
        <w:t>Twitter @LindsayICOPD</w:t>
      </w:r>
    </w:p>
    <w:p w:rsidR="00FD707B" w:rsidP="00FD707B" w:rsidRDefault="00FD707B" w14:paraId="7E8B9DD2" w14:textId="77777777">
      <w:pPr>
        <w:spacing w:line="240" w:lineRule="auto"/>
        <w:rPr>
          <w:rFonts w:eastAsia="Times New Roman" w:cstheme="minorHAnsi"/>
          <w:sz w:val="20"/>
          <w:szCs w:val="20"/>
          <w:vertAlign w:val="superscript"/>
          <w:lang w:eastAsia="en-GB"/>
        </w:rPr>
      </w:pPr>
      <w:r w:rsidRPr="00A77BAB">
        <w:rPr>
          <w:rFonts w:eastAsia="Times New Roman" w:cstheme="minorHAnsi"/>
          <w:b/>
          <w:bCs/>
          <w:sz w:val="20"/>
          <w:szCs w:val="20"/>
          <w:lang w:eastAsia="en-GB"/>
        </w:rPr>
        <w:t>Dr Nicola Roberts</w:t>
      </w:r>
      <w:r>
        <w:rPr>
          <w:rFonts w:eastAsia="Times New Roman" w:cstheme="minorHAnsi"/>
          <w:sz w:val="20"/>
          <w:szCs w:val="20"/>
          <w:lang w:eastAsia="en-GB"/>
        </w:rPr>
        <w:t xml:space="preserve"> (first author)</w:t>
      </w:r>
    </w:p>
    <w:p w:rsidR="00FD707B" w:rsidP="00FD707B" w:rsidRDefault="00FD707B" w14:paraId="4D328550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Nursing and Community health</w:t>
      </w:r>
    </w:p>
    <w:p w:rsidR="00FD707B" w:rsidP="00FD707B" w:rsidRDefault="00FD707B" w14:paraId="26312A00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School of Health and Life Science</w:t>
      </w:r>
    </w:p>
    <w:p w:rsidR="00FD707B" w:rsidP="00FD707B" w:rsidRDefault="00FD707B" w14:paraId="472516F8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Glasgow Caledonian University</w:t>
      </w:r>
    </w:p>
    <w:p w:rsidR="00FD707B" w:rsidP="00FD707B" w:rsidRDefault="00FD707B" w14:paraId="74EF012E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70 </w:t>
      </w:r>
      <w:proofErr w:type="spellStart"/>
      <w:r>
        <w:rPr>
          <w:rFonts w:eastAsia="Times New Roman" w:cstheme="minorHAnsi"/>
          <w:sz w:val="20"/>
          <w:szCs w:val="20"/>
          <w:lang w:eastAsia="en-GB"/>
        </w:rPr>
        <w:t>Cowcaddens</w:t>
      </w:r>
      <w:proofErr w:type="spellEnd"/>
      <w:r>
        <w:rPr>
          <w:rFonts w:eastAsia="Times New Roman" w:cstheme="minorHAnsi"/>
          <w:sz w:val="20"/>
          <w:szCs w:val="20"/>
          <w:lang w:eastAsia="en-GB"/>
        </w:rPr>
        <w:t xml:space="preserve"> Road, Glasgow G4 0BA</w:t>
      </w:r>
    </w:p>
    <w:p w:rsidRPr="00A77BAB" w:rsidR="00FD707B" w:rsidP="00FD707B" w:rsidRDefault="00FD707B" w14:paraId="030755C9" w14:textId="7FC6D971">
      <w:pPr>
        <w:spacing w:line="360" w:lineRule="auto"/>
      </w:pPr>
      <w:r>
        <w:rPr>
          <w:rFonts w:eastAsia="Times New Roman" w:cstheme="minorHAnsi"/>
          <w:sz w:val="20"/>
          <w:szCs w:val="20"/>
          <w:lang w:eastAsia="en-GB"/>
        </w:rPr>
        <w:t xml:space="preserve">Email:  </w:t>
      </w:r>
      <w:hyperlink w:history="1" r:id="rId5">
        <w:r>
          <w:rPr>
            <w:rStyle w:val="Hyperlink"/>
            <w:rFonts w:eastAsia="Times New Roman" w:cstheme="minorHAnsi"/>
            <w:color w:val="0000FF"/>
            <w:sz w:val="20"/>
            <w:szCs w:val="20"/>
            <w:lang w:eastAsia="en-GB"/>
          </w:rPr>
          <w:t>Nicola.roberts@gcu.ac.uk</w:t>
        </w:r>
      </w:hyperlink>
      <w:r w:rsidR="00A77BAB">
        <w:t xml:space="preserve">    </w:t>
      </w:r>
      <w:r>
        <w:rPr>
          <w:rFonts w:eastAsia="Times New Roman" w:cstheme="minorHAnsi"/>
          <w:color w:val="0000FF"/>
          <w:sz w:val="20"/>
          <w:szCs w:val="20"/>
          <w:u w:val="single"/>
          <w:lang w:eastAsia="en-GB"/>
        </w:rPr>
        <w:t>Twitter @DrNRoberts</w:t>
      </w:r>
    </w:p>
    <w:p w:rsidRPr="00A77BAB" w:rsidR="00FD707B" w:rsidP="00FD707B" w:rsidRDefault="00FD707B" w14:paraId="59B08C3D" w14:textId="77777777">
      <w:pPr>
        <w:spacing w:line="240" w:lineRule="auto"/>
        <w:rPr>
          <w:rFonts w:eastAsia="Times New Roman" w:cstheme="minorHAnsi"/>
          <w:b/>
          <w:bCs/>
          <w:sz w:val="20"/>
          <w:szCs w:val="20"/>
          <w:vertAlign w:val="superscript"/>
          <w:lang w:eastAsia="en-GB"/>
        </w:rPr>
      </w:pPr>
      <w:r w:rsidRPr="00A77BAB">
        <w:rPr>
          <w:rFonts w:eastAsia="Times New Roman" w:cstheme="minorHAnsi"/>
          <w:b/>
          <w:bCs/>
          <w:sz w:val="20"/>
          <w:szCs w:val="20"/>
          <w:lang w:eastAsia="en-GB"/>
        </w:rPr>
        <w:t>Dr Kate Lippiett</w:t>
      </w:r>
    </w:p>
    <w:p w:rsidR="00FD707B" w:rsidP="00FD707B" w:rsidRDefault="00FD707B" w14:paraId="6500E17D" w14:textId="77777777">
      <w:pPr>
        <w:spacing w:line="240" w:lineRule="auto"/>
        <w:rPr>
          <w:rFonts w:eastAsia="Times New Roman" w:cstheme="minorHAnsi"/>
          <w:sz w:val="20"/>
          <w:szCs w:val="20"/>
          <w:vertAlign w:val="superscript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Faculty of Environmental and life sciences, School of Health Sciences, University of Southampton</w:t>
      </w:r>
    </w:p>
    <w:p w:rsidR="00FD707B" w:rsidP="00FD707B" w:rsidRDefault="00FD707B" w14:paraId="36BCCAA4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Faculty of Environmental and life sciences, </w:t>
      </w:r>
    </w:p>
    <w:p w:rsidR="00FD707B" w:rsidP="00FD707B" w:rsidRDefault="00FD707B" w14:paraId="03B6C707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School of Health Sciences, </w:t>
      </w:r>
    </w:p>
    <w:p w:rsidR="00FD707B" w:rsidP="00FD707B" w:rsidRDefault="00FD707B" w14:paraId="15FE1C08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University of Southampton</w:t>
      </w:r>
    </w:p>
    <w:p w:rsidR="00FD707B" w:rsidP="00FD707B" w:rsidRDefault="00FD707B" w14:paraId="50861321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Building 67. University Road</w:t>
      </w:r>
    </w:p>
    <w:p w:rsidR="00FD707B" w:rsidP="00FD707B" w:rsidRDefault="00FD707B" w14:paraId="4298C9FB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 w:rsidRPr="22541977" w:rsidR="00FD707B">
        <w:rPr>
          <w:rFonts w:eastAsia="Times New Roman" w:cs="Calibri" w:cstheme="minorAscii"/>
          <w:sz w:val="20"/>
          <w:szCs w:val="20"/>
          <w:lang w:eastAsia="en-GB"/>
        </w:rPr>
        <w:t>Southampton</w:t>
      </w:r>
    </w:p>
    <w:p w:rsidR="4EB0ACE0" w:rsidP="22541977" w:rsidRDefault="4EB0ACE0" w14:paraId="3F25AD6C" w14:textId="6ED6B32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0"/>
          <w:szCs w:val="20"/>
        </w:rPr>
      </w:pPr>
      <w:r w:rsidRPr="22541977" w:rsidR="4EB0ACE0">
        <w:rPr>
          <w:b w:val="1"/>
          <w:bCs w:val="1"/>
          <w:sz w:val="20"/>
          <w:szCs w:val="20"/>
        </w:rPr>
        <w:t>Ms Emma Ray</w:t>
      </w:r>
      <w:r>
        <w:tab/>
      </w:r>
    </w:p>
    <w:p w:rsidRPr="00A77BAB" w:rsidR="00A77BAB" w:rsidRDefault="00A77BAB" w14:paraId="4BAEA008" w14:textId="77777777">
      <w:pPr>
        <w:rPr>
          <w:sz w:val="20"/>
          <w:szCs w:val="20"/>
        </w:rPr>
      </w:pPr>
      <w:r w:rsidRPr="00A77BAB">
        <w:rPr>
          <w:sz w:val="20"/>
          <w:szCs w:val="20"/>
        </w:rPr>
        <w:t xml:space="preserve">Respiratory Nurse Specialist and Research Fellow, </w:t>
      </w:r>
    </w:p>
    <w:p w:rsidRPr="00A77BAB" w:rsidR="00A77BAB" w:rsidRDefault="00A77BAB" w14:paraId="4001EDA2" w14:textId="7B33BC2B">
      <w:pPr>
        <w:rPr>
          <w:sz w:val="20"/>
          <w:szCs w:val="20"/>
        </w:rPr>
      </w:pPr>
      <w:r w:rsidRPr="00A77BAB">
        <w:rPr>
          <w:sz w:val="20"/>
          <w:szCs w:val="20"/>
        </w:rPr>
        <w:t xml:space="preserve">Sovereign Care Network, </w:t>
      </w:r>
    </w:p>
    <w:p w:rsidR="00A77BAB" w:rsidRDefault="00A77BAB" w14:paraId="35590141" w14:textId="4EE84C5E">
      <w:pPr>
        <w:rPr>
          <w:sz w:val="20"/>
          <w:szCs w:val="20"/>
        </w:rPr>
      </w:pPr>
      <w:r w:rsidRPr="00A77BAB">
        <w:rPr>
          <w:sz w:val="20"/>
          <w:szCs w:val="20"/>
        </w:rPr>
        <w:t>Honorary Contract with the University of Southampton</w:t>
      </w:r>
    </w:p>
    <w:p w:rsidRPr="00A77BAB" w:rsidR="00A77BAB" w:rsidP="00A77BAB" w:rsidRDefault="00A77BAB" w14:paraId="42397CAF" w14:textId="77777777">
      <w:pPr>
        <w:spacing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77BAB">
        <w:rPr>
          <w:rFonts w:eastAsia="Times New Roman" w:cstheme="minorHAnsi"/>
          <w:b/>
          <w:bCs/>
          <w:sz w:val="20"/>
          <w:szCs w:val="20"/>
          <w:lang w:eastAsia="en-GB"/>
        </w:rPr>
        <w:t>Dr Carol Kelly</w:t>
      </w:r>
    </w:p>
    <w:p w:rsidR="00A77BAB" w:rsidP="00A77BAB" w:rsidRDefault="00A77BAB" w14:paraId="70DB7596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Respiratory Research Centre, </w:t>
      </w:r>
    </w:p>
    <w:p w:rsidR="00A77BAB" w:rsidP="00A77BAB" w:rsidRDefault="00A77BAB" w14:paraId="253BCB6B" w14:textId="77777777">
      <w:pPr>
        <w:spacing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 xml:space="preserve">Edge Hill University, </w:t>
      </w:r>
    </w:p>
    <w:p w:rsidR="00075BB3" w:rsidP="00075BB3" w:rsidRDefault="00A77BAB" w14:paraId="4894A0A3" w14:textId="77777777">
      <w:pPr>
        <w:spacing w:line="240" w:lineRule="auto"/>
        <w:rPr>
          <w:rFonts w:eastAsia="Times New Roman" w:cstheme="minorHAnsi"/>
          <w:sz w:val="20"/>
          <w:szCs w:val="20"/>
          <w:vertAlign w:val="superscript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Lancashire</w:t>
      </w:r>
    </w:p>
    <w:p w:rsidRPr="00075BB3" w:rsidR="00FD57FB" w:rsidP="00075BB3" w:rsidRDefault="00E57871" w14:paraId="6556E19A" w14:textId="3935308F">
      <w:pPr>
        <w:spacing w:line="240" w:lineRule="auto"/>
        <w:rPr>
          <w:rFonts w:eastAsia="Times New Roman" w:cstheme="minorHAnsi"/>
          <w:sz w:val="20"/>
          <w:szCs w:val="20"/>
          <w:vertAlign w:val="superscript"/>
          <w:lang w:eastAsia="en-GB"/>
        </w:rPr>
      </w:pPr>
      <w:r w:rsidRPr="00E57871">
        <w:rPr>
          <w:b/>
          <w:bCs/>
        </w:rPr>
        <w:t>Groups/ Keywords</w:t>
      </w:r>
      <w:r w:rsidR="00FD57FB">
        <w:rPr>
          <w:b/>
          <w:bCs/>
        </w:rPr>
        <w:t xml:space="preserve">: </w:t>
      </w:r>
      <w:r w:rsidR="00FD57FB">
        <w:rPr>
          <w:i/>
          <w:iCs/>
        </w:rPr>
        <w:t xml:space="preserve">Respiratory </w:t>
      </w:r>
      <w:r w:rsidR="00747820">
        <w:rPr>
          <w:i/>
          <w:iCs/>
        </w:rPr>
        <w:t>procedures</w:t>
      </w:r>
      <w:r w:rsidR="00FD57FB">
        <w:rPr>
          <w:i/>
          <w:iCs/>
        </w:rPr>
        <w:t xml:space="preserve">, PPE, COVID-19, </w:t>
      </w:r>
      <w:r w:rsidR="00E63CE3">
        <w:rPr>
          <w:i/>
          <w:iCs/>
        </w:rPr>
        <w:t xml:space="preserve">international governance. </w:t>
      </w:r>
    </w:p>
    <w:p w:rsidRPr="00E57871" w:rsidR="00E57871" w:rsidRDefault="00E57871" w14:paraId="0AEDD128" w14:textId="4EDCBF94">
      <w:pPr>
        <w:rPr>
          <w:b/>
          <w:bCs/>
        </w:rPr>
      </w:pPr>
      <w:r w:rsidRPr="00E57871">
        <w:rPr>
          <w:b/>
          <w:bCs/>
        </w:rPr>
        <w:t>Presentations type</w:t>
      </w:r>
    </w:p>
    <w:p w:rsidR="00E57871" w:rsidRDefault="00E57871" w14:paraId="6E0F3871" w14:textId="4E44B780">
      <w:r>
        <w:t xml:space="preserve">Oral / </w:t>
      </w:r>
      <w:proofErr w:type="spellStart"/>
      <w:r>
        <w:t>ePoster</w:t>
      </w:r>
      <w:proofErr w:type="spellEnd"/>
      <w:r>
        <w:t xml:space="preserve"> </w:t>
      </w:r>
    </w:p>
    <w:p w:rsidRPr="00E57871" w:rsidR="00E57871" w:rsidRDefault="00E57871" w14:paraId="54D6A92B" w14:textId="44976214">
      <w:pPr>
        <w:rPr>
          <w:b/>
          <w:bCs/>
        </w:rPr>
      </w:pPr>
      <w:r w:rsidRPr="00E57871">
        <w:rPr>
          <w:b/>
          <w:bCs/>
        </w:rPr>
        <w:lastRenderedPageBreak/>
        <w:t>Grants</w:t>
      </w:r>
      <w:r w:rsidR="00075BB3">
        <w:rPr>
          <w:b/>
          <w:bCs/>
        </w:rPr>
        <w:t>.</w:t>
      </w:r>
      <w:r w:rsidRPr="00E57871">
        <w:rPr>
          <w:b/>
          <w:bCs/>
        </w:rPr>
        <w:t xml:space="preserve"> sponsorship</w:t>
      </w:r>
    </w:p>
    <w:p w:rsidR="00E57871" w:rsidRDefault="00991D6C" w14:paraId="1A4C94A3" w14:textId="518FB442">
      <w:r>
        <w:t xml:space="preserve">Nil </w:t>
      </w:r>
    </w:p>
    <w:p w:rsidRPr="00E57871" w:rsidR="00E57871" w:rsidRDefault="00E57871" w14:paraId="198B20A7" w14:textId="0CA102E5">
      <w:pPr>
        <w:rPr>
          <w:b/>
          <w:bCs/>
        </w:rPr>
      </w:pPr>
      <w:r w:rsidRPr="00E57871">
        <w:rPr>
          <w:b/>
          <w:bCs/>
        </w:rPr>
        <w:t>Conflict of interest</w:t>
      </w:r>
    </w:p>
    <w:p w:rsidRPr="00E57871" w:rsidR="00E57871" w:rsidRDefault="0082672E" w14:paraId="17F8CB42" w14:textId="2440B93C">
      <w:pPr>
        <w:rPr>
          <w:b/>
          <w:bCs/>
        </w:rPr>
      </w:pPr>
      <w:r>
        <w:rPr>
          <w:b/>
          <w:bCs/>
        </w:rPr>
        <w:t xml:space="preserve">Nil </w:t>
      </w:r>
    </w:p>
    <w:p w:rsidR="00E57871" w:rsidRDefault="00E57871" w14:paraId="43B0FDC4" w14:textId="01D07B2B">
      <w:r w:rsidRPr="00E57871" w:rsidR="00E57871">
        <w:rPr>
          <w:b w:val="1"/>
          <w:bCs w:val="1"/>
        </w:rPr>
        <w:t>Abstract content</w:t>
      </w:r>
      <w:r w:rsidR="00E57871">
        <w:rPr/>
        <w:t xml:space="preserve"> </w:t>
      </w:r>
      <w:proofErr w:type="gramStart"/>
      <w:r w:rsidR="00E57871">
        <w:rPr>
          <w:rStyle w:val="Strong"/>
          <w:rFonts w:ascii="Arial" w:hAnsi="Arial" w:cs="Arial"/>
          <w:color w:val="808080"/>
          <w:sz w:val="21"/>
          <w:szCs w:val="21"/>
          <w:shd w:val="clear" w:color="auto" w:fill="FFFFFF"/>
        </w:rPr>
        <w:t>The</w:t>
      </w:r>
      <w:proofErr w:type="gramEnd"/>
      <w:r w:rsidR="00E57871">
        <w:rPr>
          <w:rStyle w:val="Strong"/>
          <w:rFonts w:ascii="Arial" w:hAnsi="Arial" w:cs="Arial"/>
          <w:color w:val="808080"/>
          <w:sz w:val="21"/>
          <w:szCs w:val="21"/>
          <w:shd w:val="clear" w:color="auto" w:fill="FFFFFF"/>
        </w:rPr>
        <w:t xml:space="preserve"> size limit </w:t>
      </w:r>
      <w:r w:rsidR="00E57871">
        <w:rPr>
          <w:rStyle w:val="Strong"/>
          <w:rFonts w:ascii="Arial" w:hAnsi="Arial" w:cs="Arial"/>
          <w:color w:val="808080"/>
          <w:sz w:val="21"/>
          <w:szCs w:val="21"/>
          <w:shd w:val="clear" w:color="auto" w:fill="FFFFFF"/>
        </w:rPr>
        <w:t xml:space="preserve">(1810 characters) </w:t>
      </w:r>
      <w:r w:rsidR="00E57871">
        <w:rPr>
          <w:rStyle w:val="Strong"/>
          <w:rFonts w:ascii="Arial" w:hAnsi="Arial" w:cs="Arial"/>
          <w:color w:val="808080"/>
          <w:sz w:val="21"/>
          <w:szCs w:val="21"/>
          <w:shd w:val="clear" w:color="auto" w:fill="FFFFFF"/>
        </w:rPr>
        <w:t xml:space="preserve">2 references only </w:t>
      </w:r>
    </w:p>
    <w:p w:rsidRPr="000E1790" w:rsidR="00EE6012" w:rsidP="00EE6012" w:rsidRDefault="000E1790" w14:paraId="11C35565" w14:textId="38E7028C">
      <w:pPr>
        <w:rPr>
          <w:u w:val="single"/>
        </w:rPr>
      </w:pPr>
      <w:r w:rsidRPr="000E1790">
        <w:rPr>
          <w:u w:val="single"/>
        </w:rPr>
        <w:t>A</w:t>
      </w:r>
      <w:r w:rsidRPr="000E1790" w:rsidR="00EE6012">
        <w:rPr>
          <w:u w:val="single"/>
        </w:rPr>
        <w:t xml:space="preserve"> negotiation of </w:t>
      </w:r>
      <w:r w:rsidRPr="000E1790" w:rsidR="00243205">
        <w:rPr>
          <w:u w:val="single"/>
        </w:rPr>
        <w:t xml:space="preserve">respiratory risk in </w:t>
      </w:r>
      <w:r w:rsidR="00263694">
        <w:rPr>
          <w:u w:val="single"/>
        </w:rPr>
        <w:t>the first phas</w:t>
      </w:r>
      <w:r w:rsidRPr="000E1790">
        <w:rPr>
          <w:u w:val="single"/>
        </w:rPr>
        <w:t xml:space="preserve">e of the Covid-19 pandemic. </w:t>
      </w:r>
    </w:p>
    <w:p w:rsidR="0082672E" w:rsidRDefault="00CE3615" w14:paraId="3FF1BE8B" w14:textId="058A6990">
      <w:r>
        <w:t>D</w:t>
      </w:r>
      <w:r w:rsidR="000018A7">
        <w:t xml:space="preserve">uring the initial phase of the </w:t>
      </w:r>
      <w:r w:rsidR="006B787D">
        <w:t>Covid-19 pandemic</w:t>
      </w:r>
      <w:r>
        <w:t xml:space="preserve">, rapid clinical adaptations were required. </w:t>
      </w:r>
      <w:r w:rsidR="00872BFF">
        <w:t>P</w:t>
      </w:r>
      <w:r w:rsidR="001552F6">
        <w:t>olic</w:t>
      </w:r>
      <w:r>
        <w:t>y</w:t>
      </w:r>
      <w:r w:rsidR="001552F6">
        <w:t xml:space="preserve"> and guidance on pandemic infection control was scar</w:t>
      </w:r>
      <w:r w:rsidR="006829C1">
        <w:t>c</w:t>
      </w:r>
      <w:r w:rsidR="001552F6">
        <w:t xml:space="preserve">e </w:t>
      </w:r>
      <w:r w:rsidR="008006C5">
        <w:t xml:space="preserve">and evidence was </w:t>
      </w:r>
      <w:r w:rsidR="00263694">
        <w:t>developing</w:t>
      </w:r>
      <w:r w:rsidR="00273048">
        <w:t>.</w:t>
      </w:r>
      <w:r>
        <w:t xml:space="preserve"> </w:t>
      </w:r>
      <w:r w:rsidR="00FC162B">
        <w:t>C</w:t>
      </w:r>
      <w:r w:rsidR="00DC6758">
        <w:t>ount</w:t>
      </w:r>
      <w:r w:rsidR="006829C1">
        <w:t>r</w:t>
      </w:r>
      <w:r w:rsidR="00DC6758">
        <w:t xml:space="preserve">ies published </w:t>
      </w:r>
      <w:r w:rsidR="00715F66">
        <w:t>differing guidance</w:t>
      </w:r>
      <w:r w:rsidR="00140738">
        <w:t xml:space="preserve"> </w:t>
      </w:r>
      <w:r>
        <w:t xml:space="preserve">on </w:t>
      </w:r>
      <w:r w:rsidR="00140738">
        <w:t>infection control and use of Personal Protective Equipment</w:t>
      </w:r>
      <w:r w:rsidR="006829C1">
        <w:t xml:space="preserve"> (PPE)</w:t>
      </w:r>
      <w:r w:rsidR="001543E8">
        <w:t xml:space="preserve"> </w:t>
      </w:r>
      <w:r w:rsidR="001543E8">
        <w:fldChar w:fldCharType="begin"/>
      </w:r>
      <w:r w:rsidR="001543E8">
        <w:instrText xml:space="preserve"> ADDIN EN.CITE &lt;EndNote&gt;&lt;Cite&gt;&lt;Author&gt;Birgand&lt;/Author&gt;&lt;Year&gt;2020&lt;/Year&gt;&lt;RecNum&gt;1934&lt;/RecNum&gt;&lt;DisplayText&gt;(Birgand et al., 2020)&lt;/DisplayText&gt;&lt;record&gt;&lt;rec-number&gt;1934&lt;/rec-number&gt;&lt;foreign-keys&gt;&lt;key app="EN" db-id="9tawarawyx09viev9fkx0pssszwvxzv5tf2v" timestamp="1613338187"&gt;1934&lt;/key&gt;&lt;/foreign-keys&gt;&lt;ref-type name="Journal Article"&gt;17&lt;/ref-type&gt;&lt;contributors&gt;&lt;authors&gt;&lt;author&gt;Birgand, Gabriel&lt;/author&gt;&lt;author&gt;Mutters, Nico T.&lt;/author&gt;&lt;author&gt;Otter, Jonathan&lt;/author&gt;&lt;author&gt;Eichel, Vanessa M.&lt;/author&gt;&lt;author&gt;Lepelletier, Didier&lt;/author&gt;&lt;author&gt;Morgan, Daniel J.&lt;/author&gt;&lt;author&gt;Lucet, Jean-Christophe&lt;/author&gt;&lt;/authors&gt;&lt;/contributors&gt;&lt;titles&gt;&lt;title&gt;Analysis of national and international guidelines on respiratory protection equipment for COVID-19 in healthcare settings&lt;/title&gt;&lt;secondary-title&gt;medRxiv&lt;/secondary-title&gt;&lt;/titles&gt;&lt;periodical&gt;&lt;full-title&gt;medRxiv&lt;/full-title&gt;&lt;/periodical&gt;&lt;pages&gt;2020.04.23.20077230&lt;/pages&gt;&lt;dates&gt;&lt;year&gt;2020&lt;/year&gt;&lt;/dates&gt;&lt;urls&gt;&lt;related-urls&gt;&lt;url&gt;http://medrxiv.org/content/early/2020/04/29/2020.04.23.20077230.abstract&lt;/url&gt;&lt;/related-urls&gt;&lt;/urls&gt;&lt;electronic-resource-num&gt;10.1101/2020.04.23.20077230&lt;/electronic-resource-num&gt;&lt;/record&gt;&lt;/Cite&gt;&lt;/EndNote&gt;</w:instrText>
      </w:r>
      <w:r w:rsidR="001543E8">
        <w:fldChar w:fldCharType="separate"/>
      </w:r>
      <w:r w:rsidR="001543E8">
        <w:rPr>
          <w:noProof/>
        </w:rPr>
        <w:t>(Birgand et al., 2020)</w:t>
      </w:r>
      <w:r w:rsidR="001543E8">
        <w:fldChar w:fldCharType="end"/>
      </w:r>
      <w:r w:rsidR="001C1569">
        <w:t>. Th</w:t>
      </w:r>
      <w:r w:rsidR="001B1B76">
        <w:t>is</w:t>
      </w:r>
      <w:r w:rsidR="001C1569">
        <w:t xml:space="preserve"> </w:t>
      </w:r>
      <w:r w:rsidR="00C412DC">
        <w:t>shifting</w:t>
      </w:r>
      <w:r w:rsidR="001C1569">
        <w:t xml:space="preserve"> guidance led to clinical </w:t>
      </w:r>
      <w:r w:rsidR="009E3814">
        <w:t xml:space="preserve">uncertainty, </w:t>
      </w:r>
      <w:r w:rsidR="00C412DC">
        <w:t>particularly</w:t>
      </w:r>
      <w:r w:rsidR="009E3814">
        <w:t xml:space="preserve"> in respiratory nursing where aerosol generating </w:t>
      </w:r>
      <w:r w:rsidR="001B1B76">
        <w:t xml:space="preserve">procedures (AGP) </w:t>
      </w:r>
      <w:r w:rsidR="00C412DC">
        <w:t>are commonplace.</w:t>
      </w:r>
      <w:r w:rsidR="00273048">
        <w:t xml:space="preserve"> </w:t>
      </w:r>
      <w:r w:rsidR="00140738">
        <w:t>L</w:t>
      </w:r>
      <w:r w:rsidR="00273048">
        <w:t>ocal</w:t>
      </w:r>
      <w:r w:rsidR="00F6559A">
        <w:t xml:space="preserve"> and personal</w:t>
      </w:r>
      <w:r w:rsidR="00ED07CA">
        <w:t xml:space="preserve"> adaption</w:t>
      </w:r>
      <w:r w:rsidR="00F6559A">
        <w:t>s</w:t>
      </w:r>
      <w:r w:rsidR="00ED07CA">
        <w:t xml:space="preserve"> </w:t>
      </w:r>
      <w:r w:rsidR="00C412DC">
        <w:t xml:space="preserve">evolved </w:t>
      </w:r>
      <w:r w:rsidR="00ED07CA">
        <w:t xml:space="preserve">to </w:t>
      </w:r>
      <w:r w:rsidR="00BA2D33">
        <w:t xml:space="preserve">minimise </w:t>
      </w:r>
      <w:r w:rsidR="00263694">
        <w:t xml:space="preserve">infection </w:t>
      </w:r>
      <w:r w:rsidR="00596EF3">
        <w:t>risk to</w:t>
      </w:r>
      <w:r w:rsidR="002473A0">
        <w:t xml:space="preserve"> </w:t>
      </w:r>
      <w:r w:rsidR="003603B0">
        <w:t>staff</w:t>
      </w:r>
      <w:r w:rsidR="001B1B76">
        <w:t>,</w:t>
      </w:r>
      <w:r w:rsidR="00596EF3">
        <w:t xml:space="preserve"> public and patients </w:t>
      </w:r>
      <w:r w:rsidR="00ED07CA">
        <w:t xml:space="preserve">in </w:t>
      </w:r>
      <w:r w:rsidR="004B7806">
        <w:t>clinical areas</w:t>
      </w:r>
      <w:r w:rsidR="00075BB3">
        <w:t xml:space="preserve"> </w:t>
      </w:r>
      <w:r w:rsidR="00075BB3">
        <w:fldChar w:fldCharType="begin"/>
      </w:r>
      <w:r w:rsidR="00075BB3">
        <w:instrText xml:space="preserve"> ADDIN EN.CITE &lt;EndNote&gt;&lt;Cite&gt;&lt;Author&gt;Gov.UK&lt;/Author&gt;&lt;Year&gt;2020&lt;/Year&gt;&lt;RecNum&gt;1935&lt;/RecNum&gt;&lt;DisplayText&gt;(Gov.UK, 2020)&lt;/DisplayText&gt;&lt;record&gt;&lt;rec-number&gt;1935&lt;/rec-number&gt;&lt;foreign-keys&gt;&lt;key app="EN" db-id="9tawarawyx09viev9fkx0pssszwvxzv5tf2v" timestamp="1613388880"&gt;1935&lt;/key&gt;&lt;/foreign-keys&gt;&lt;ref-type name="Web Page"&gt;12&lt;/ref-type&gt;&lt;contributors&gt;&lt;authors&gt;&lt;author&gt;Gov.UK&lt;/author&gt;&lt;/authors&gt;&lt;secondary-authors&gt;&lt;author&gt;GOV.UK&lt;/author&gt;&lt;/secondary-authors&gt;&lt;/contributors&gt;&lt;titles&gt;&lt;title&gt;COVID-19: infection prevention and control (IPC)&lt;/title&gt;&lt;/titles&gt;&lt;volume&gt;2021&lt;/volume&gt;&lt;number&gt;15.02.2021&lt;/number&gt;&lt;dates&gt;&lt;year&gt;2020&lt;/year&gt;&lt;/dates&gt;&lt;urls&gt;&lt;related-urls&gt;&lt;url&gt;https://www.gov.uk/government/publications/wuhan-novel-coronavirus-infection-prevention-and-control&lt;/url&gt;&lt;/related-urls&gt;&lt;/urls&gt;&lt;/record&gt;&lt;/Cite&gt;&lt;/EndNote&gt;</w:instrText>
      </w:r>
      <w:r w:rsidR="00075BB3">
        <w:fldChar w:fldCharType="separate"/>
      </w:r>
      <w:r w:rsidR="00075BB3">
        <w:rPr>
          <w:noProof/>
        </w:rPr>
        <w:t>(Gov.UK, 2020)</w:t>
      </w:r>
      <w:r w:rsidR="00075BB3">
        <w:fldChar w:fldCharType="end"/>
      </w:r>
      <w:r w:rsidR="004B7806">
        <w:t xml:space="preserve">. </w:t>
      </w:r>
    </w:p>
    <w:p w:rsidR="00991D6C" w:rsidRDefault="00263694" w14:paraId="59486BA7" w14:textId="55F8FD67">
      <w:r>
        <w:rPr>
          <w:rFonts w:cstheme="minorHAnsi"/>
        </w:rPr>
        <w:t>We distributed an</w:t>
      </w:r>
      <w:r w:rsidR="00842AAD">
        <w:rPr>
          <w:rFonts w:cstheme="minorHAnsi"/>
        </w:rPr>
        <w:t xml:space="preserve"> e-survey </w:t>
      </w:r>
      <w:r w:rsidR="006829C1">
        <w:rPr>
          <w:rFonts w:cstheme="minorHAnsi"/>
        </w:rPr>
        <w:t xml:space="preserve">to UK respiratory nurses </w:t>
      </w:r>
      <w:r w:rsidRPr="001F47A4" w:rsidR="00842AAD">
        <w:rPr>
          <w:rFonts w:cstheme="minorHAnsi"/>
        </w:rPr>
        <w:t>via</w:t>
      </w:r>
      <w:r w:rsidR="00CE3615">
        <w:rPr>
          <w:rFonts w:cstheme="minorHAnsi"/>
        </w:rPr>
        <w:t xml:space="preserve"> </w:t>
      </w:r>
      <w:r w:rsidRPr="001F47A4" w:rsidR="00842AAD">
        <w:rPr>
          <w:rFonts w:cstheme="minorHAnsi"/>
        </w:rPr>
        <w:t>professional respiratory societies</w:t>
      </w:r>
      <w:r w:rsidR="00487B34">
        <w:rPr>
          <w:rFonts w:cstheme="minorHAnsi"/>
        </w:rPr>
        <w:t xml:space="preserve">. </w:t>
      </w:r>
      <w:r w:rsidRPr="001F47A4" w:rsidR="00842AAD">
        <w:rPr>
          <w:rFonts w:cstheme="minorHAnsi"/>
        </w:rPr>
        <w:t>D</w:t>
      </w:r>
      <w:r w:rsidR="00CE3615">
        <w:rPr>
          <w:rFonts w:cstheme="minorHAnsi"/>
        </w:rPr>
        <w:t>emographic d</w:t>
      </w:r>
      <w:r w:rsidRPr="001F47A4" w:rsidR="00842AAD">
        <w:rPr>
          <w:rFonts w:cstheme="minorHAnsi"/>
        </w:rPr>
        <w:t>ata w</w:t>
      </w:r>
      <w:r w:rsidR="00CE3615">
        <w:rPr>
          <w:rFonts w:cstheme="minorHAnsi"/>
        </w:rPr>
        <w:t>as</w:t>
      </w:r>
      <w:r w:rsidRPr="001F47A4" w:rsidR="00842AAD">
        <w:rPr>
          <w:rFonts w:cstheme="minorHAnsi"/>
        </w:rPr>
        <w:t xml:space="preserve"> collected </w:t>
      </w:r>
      <w:r w:rsidR="00CE3615">
        <w:rPr>
          <w:rFonts w:cstheme="minorHAnsi"/>
        </w:rPr>
        <w:t>a</w:t>
      </w:r>
      <w:r w:rsidR="00760FED">
        <w:rPr>
          <w:rFonts w:cstheme="minorHAnsi"/>
        </w:rPr>
        <w:t>longside</w:t>
      </w:r>
      <w:r w:rsidRPr="001F47A4" w:rsidR="00842AAD">
        <w:rPr>
          <w:rFonts w:cstheme="minorHAnsi"/>
        </w:rPr>
        <w:t xml:space="preserve"> clinical role, </w:t>
      </w:r>
      <w:r w:rsidR="00BE28AB">
        <w:rPr>
          <w:rFonts w:cstheme="minorHAnsi"/>
        </w:rPr>
        <w:t xml:space="preserve">use of PPE </w:t>
      </w:r>
      <w:r w:rsidRPr="001F47A4" w:rsidR="00842AAD">
        <w:rPr>
          <w:rFonts w:cstheme="minorHAnsi"/>
        </w:rPr>
        <w:t>and work</w:t>
      </w:r>
      <w:r w:rsidR="00CE3615">
        <w:rPr>
          <w:rFonts w:cstheme="minorHAnsi"/>
        </w:rPr>
        <w:t>/life</w:t>
      </w:r>
      <w:r w:rsidRPr="001F47A4" w:rsidR="00842AAD">
        <w:rPr>
          <w:rFonts w:cstheme="minorHAnsi"/>
        </w:rPr>
        <w:t xml:space="preserve"> balance.  </w:t>
      </w:r>
    </w:p>
    <w:p w:rsidRPr="0057776E" w:rsidR="0057776E" w:rsidP="003603B0" w:rsidRDefault="00AF64B0" w14:paraId="764C8B7B" w14:textId="3377FAF1">
      <w:r w:rsidRPr="002B290C">
        <w:t>Just under half of respondents (</w:t>
      </w:r>
      <w:r w:rsidR="00263694">
        <w:t>48.6%,</w:t>
      </w:r>
      <w:r w:rsidRPr="002B290C">
        <w:t>124/255)</w:t>
      </w:r>
      <w:r w:rsidR="00263694">
        <w:t xml:space="preserve"> reported </w:t>
      </w:r>
      <w:r w:rsidRPr="002B290C">
        <w:t xml:space="preserve">undertaking </w:t>
      </w:r>
      <w:r w:rsidR="001B1B76">
        <w:t>AGP</w:t>
      </w:r>
      <w:r w:rsidRPr="002B290C">
        <w:t>s</w:t>
      </w:r>
      <w:r w:rsidR="00263694">
        <w:t>;</w:t>
      </w:r>
      <w:r w:rsidR="00C112D6">
        <w:t xml:space="preserve"> of these </w:t>
      </w:r>
      <w:r w:rsidRPr="002B290C">
        <w:t>most wore eye protection (96.8%, 120/124), face mask</w:t>
      </w:r>
      <w:r w:rsidR="001B1B76">
        <w:t>s</w:t>
      </w:r>
      <w:r w:rsidRPr="002B290C">
        <w:t xml:space="preserve"> (99.2%, 123/124) and gloves (99.2%, 123/124).  Only 70% (87/124) w</w:t>
      </w:r>
      <w:r w:rsidR="001B1B76">
        <w:t>ore</w:t>
      </w:r>
      <w:r w:rsidR="00CE3615">
        <w:t xml:space="preserve"> </w:t>
      </w:r>
      <w:r w:rsidRPr="002B290C">
        <w:t>surgical gown</w:t>
      </w:r>
      <w:r w:rsidR="001B1B76">
        <w:t>s</w:t>
      </w:r>
      <w:r w:rsidRPr="002B290C">
        <w:t>.</w:t>
      </w:r>
      <w:r w:rsidR="00CE3615">
        <w:t xml:space="preserve">  </w:t>
      </w:r>
      <w:r w:rsidRPr="0057776E" w:rsidR="0057776E">
        <w:t>Participants were asked for their concerns about the</w:t>
      </w:r>
      <w:r w:rsidR="00263694">
        <w:t>ir</w:t>
      </w:r>
      <w:r w:rsidRPr="0057776E" w:rsidR="0057776E">
        <w:t xml:space="preserve"> working environment.  </w:t>
      </w:r>
      <w:r w:rsidR="007D6A90">
        <w:t>O</w:t>
      </w:r>
      <w:r w:rsidRPr="0057776E" w:rsidR="0057776E">
        <w:t xml:space="preserve">ver a quarter focused on PPE </w:t>
      </w:r>
      <w:r w:rsidR="00263694">
        <w:t>(72/255, 28.2%) and unsafe working practices</w:t>
      </w:r>
      <w:r w:rsidRPr="0057776E" w:rsidR="0057776E">
        <w:t xml:space="preserve"> (56/255, 22.0%).  Free text comments from participants reported concerns about inadequate/</w:t>
      </w:r>
      <w:r w:rsidR="00263694">
        <w:t>poor quality PPE</w:t>
      </w:r>
      <w:r w:rsidRPr="0057776E" w:rsidR="0057776E">
        <w:t xml:space="preserve">; </w:t>
      </w:r>
      <w:r w:rsidR="000F0CC1">
        <w:t>i</w:t>
      </w:r>
      <w:r w:rsidRPr="0057776E" w:rsidR="0057776E">
        <w:t>nconsistent advice and physical toll of working environment in full PPE</w:t>
      </w:r>
      <w:r w:rsidR="00BD4D1C">
        <w:t>.</w:t>
      </w:r>
      <w:r w:rsidRPr="0057776E" w:rsidR="0057776E">
        <w:t xml:space="preserve"> </w:t>
      </w:r>
    </w:p>
    <w:p w:rsidRPr="0057776E" w:rsidR="0057776E" w:rsidP="0057776E" w:rsidRDefault="00263694" w14:paraId="65A7FFF4" w14:textId="43DBECEC">
      <w:pPr>
        <w:jc w:val="both"/>
      </w:pPr>
      <w:r>
        <w:t>Those working in</w:t>
      </w:r>
      <w:r w:rsidRPr="0057776E" w:rsidR="0057776E">
        <w:t xml:space="preserve"> AGP areas were significantly more worried about a lack of PPE (49/124</w:t>
      </w:r>
      <w:r w:rsidR="004631B8">
        <w:t>)</w:t>
      </w:r>
      <w:r w:rsidRPr="0057776E" w:rsidR="0057776E">
        <w:t xml:space="preserve">, 39.5%   versus 22/96 </w:t>
      </w:r>
      <w:r w:rsidR="00D612FE">
        <w:t>(</w:t>
      </w:r>
      <w:r w:rsidRPr="0057776E" w:rsidR="0057776E">
        <w:t xml:space="preserve">22.9%) compared to </w:t>
      </w:r>
      <w:r w:rsidR="00E06978">
        <w:t>non AGP areas</w:t>
      </w:r>
      <w:r w:rsidR="00A9353B">
        <w:t xml:space="preserve"> </w:t>
      </w:r>
      <w:r w:rsidR="00260A15">
        <w:t>(</w:t>
      </w:r>
      <w:r w:rsidR="00A9353B">
        <w:t xml:space="preserve">P </w:t>
      </w:r>
      <w:r w:rsidR="00260A15">
        <w:t>=</w:t>
      </w:r>
      <w:r w:rsidR="00A9353B">
        <w:t xml:space="preserve"> 0.001</w:t>
      </w:r>
      <w:r w:rsidR="00260A15">
        <w:t>)</w:t>
      </w:r>
      <w:r w:rsidR="00E06978">
        <w:t>.</w:t>
      </w:r>
      <w:r w:rsidR="00A9353B">
        <w:t> </w:t>
      </w:r>
    </w:p>
    <w:p w:rsidRPr="00075BB3" w:rsidR="001405D6" w:rsidRDefault="00991D6C" w14:paraId="7B4A3F8E" w14:textId="4F95D426">
      <w:r>
        <w:t xml:space="preserve">Clear guidance on infection control for </w:t>
      </w:r>
      <w:r w:rsidR="006829C1">
        <w:t>all health</w:t>
      </w:r>
      <w:r w:rsidR="00CE3615">
        <w:t xml:space="preserve"> </w:t>
      </w:r>
      <w:r w:rsidR="00565B3C">
        <w:t xml:space="preserve">settings is required </w:t>
      </w:r>
      <w:r w:rsidR="00A61684">
        <w:t xml:space="preserve">to ensure clinical safety </w:t>
      </w:r>
      <w:r w:rsidR="006829C1">
        <w:t>in</w:t>
      </w:r>
      <w:r w:rsidR="000B6DFF">
        <w:t xml:space="preserve"> </w:t>
      </w:r>
      <w:r w:rsidR="00E462BF">
        <w:t>future respiratory pandemics.</w:t>
      </w:r>
      <w:r w:rsidR="00263694">
        <w:t xml:space="preserve"> Health system</w:t>
      </w:r>
      <w:r w:rsidR="000B6DFF">
        <w:t xml:space="preserve">s </w:t>
      </w:r>
      <w:r w:rsidR="00263694">
        <w:t xml:space="preserve">need to adopt evidenced international policy on </w:t>
      </w:r>
      <w:r w:rsidR="008565A3">
        <w:t>PPE and</w:t>
      </w:r>
      <w:r w:rsidR="00263694">
        <w:t xml:space="preserve"> provide </w:t>
      </w:r>
      <w:r w:rsidR="000B6DFF">
        <w:t>need clear</w:t>
      </w:r>
      <w:r w:rsidR="001B1B76">
        <w:t xml:space="preserve"> and consistent</w:t>
      </w:r>
      <w:r w:rsidR="00263694">
        <w:t xml:space="preserve"> guidance</w:t>
      </w:r>
      <w:r w:rsidR="000B6DFF">
        <w:t xml:space="preserve"> </w:t>
      </w:r>
      <w:r w:rsidR="00263694">
        <w:t>on</w:t>
      </w:r>
      <w:r w:rsidR="000B6DFF">
        <w:t xml:space="preserve"> </w:t>
      </w:r>
      <w:r w:rsidR="00263694">
        <w:t>PPE to healthcare workers</w:t>
      </w:r>
      <w:r w:rsidR="00866347">
        <w:t xml:space="preserve">. </w:t>
      </w:r>
    </w:p>
    <w:p w:rsidR="00E57871" w:rsidRDefault="00E57871" w14:paraId="6EF94434" w14:textId="3D4C0B7E">
      <w:pPr>
        <w:rPr>
          <w:b/>
          <w:bCs/>
        </w:rPr>
      </w:pPr>
      <w:r>
        <w:rPr>
          <w:b/>
          <w:bCs/>
        </w:rPr>
        <w:t xml:space="preserve">Figure </w:t>
      </w:r>
      <w:r w:rsidR="003E6F49">
        <w:rPr>
          <w:b/>
          <w:bCs/>
        </w:rPr>
        <w:t xml:space="preserve">1. Respiratory Risk in Covid-19.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238"/>
        <w:gridCol w:w="3390"/>
        <w:gridCol w:w="3357"/>
      </w:tblGrid>
      <w:tr w:rsidRPr="00D811D1" w:rsidR="00D811D1" w:rsidTr="003E6F49" w14:paraId="2ED30D28" w14:textId="77777777">
        <w:trPr>
          <w:trHeight w:val="325"/>
        </w:trPr>
        <w:tc>
          <w:tcPr>
            <w:tcW w:w="3238" w:type="dxa"/>
          </w:tcPr>
          <w:p w:rsidRPr="00D811D1" w:rsidR="00D811D1" w:rsidP="00D811D1" w:rsidRDefault="00D811D1" w14:paraId="39629CB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0" w:type="dxa"/>
          </w:tcPr>
          <w:p w:rsidRPr="003E6F49" w:rsidR="00D811D1" w:rsidP="00D811D1" w:rsidRDefault="00D811D1" w14:paraId="17237F9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sz w:val="18"/>
                <w:szCs w:val="18"/>
              </w:rPr>
              <w:t>Yes AGP (n=124)</w:t>
            </w:r>
          </w:p>
        </w:tc>
        <w:tc>
          <w:tcPr>
            <w:tcW w:w="3357" w:type="dxa"/>
          </w:tcPr>
          <w:p w:rsidRPr="003E6F49" w:rsidR="00D811D1" w:rsidP="00D811D1" w:rsidRDefault="00D811D1" w14:paraId="47E171AE" w14:textId="3B0172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sz w:val="18"/>
                <w:szCs w:val="18"/>
              </w:rPr>
              <w:t>No AGP (n=96)</w:t>
            </w:r>
          </w:p>
        </w:tc>
      </w:tr>
      <w:tr w:rsidRPr="00D811D1" w:rsidR="00D811D1" w:rsidTr="003E6F49" w14:paraId="57843567" w14:textId="77777777">
        <w:trPr>
          <w:trHeight w:val="579"/>
        </w:trPr>
        <w:tc>
          <w:tcPr>
            <w:tcW w:w="3238" w:type="dxa"/>
          </w:tcPr>
          <w:p w:rsidRPr="003E6F49" w:rsidR="00D811D1" w:rsidP="00D811D1" w:rsidRDefault="00D811D1" w14:paraId="71AC956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Eye protection</w:t>
            </w:r>
          </w:p>
        </w:tc>
        <w:tc>
          <w:tcPr>
            <w:tcW w:w="3390" w:type="dxa"/>
          </w:tcPr>
          <w:p w:rsidRPr="00D811D1" w:rsidR="00D811D1" w:rsidP="00D811D1" w:rsidRDefault="00D811D1" w14:paraId="04ECF4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120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(96.8%)</w:t>
            </w:r>
          </w:p>
        </w:tc>
        <w:tc>
          <w:tcPr>
            <w:tcW w:w="3357" w:type="dxa"/>
          </w:tcPr>
          <w:p w:rsidRPr="003E6F49" w:rsidR="00D811D1" w:rsidP="00D811D1" w:rsidRDefault="00D811D1" w14:paraId="1161299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54</w:t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(56.3%)</w:t>
            </w:r>
          </w:p>
        </w:tc>
      </w:tr>
      <w:tr w:rsidRPr="00D811D1" w:rsidR="00D811D1" w:rsidTr="003E6F49" w14:paraId="29C2E50C" w14:textId="77777777">
        <w:trPr>
          <w:trHeight w:val="325"/>
        </w:trPr>
        <w:tc>
          <w:tcPr>
            <w:tcW w:w="3238" w:type="dxa"/>
          </w:tcPr>
          <w:p w:rsidRPr="003E6F49" w:rsidR="00D811D1" w:rsidP="00D811D1" w:rsidRDefault="00D811D1" w14:paraId="0601A43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Face mask</w:t>
            </w:r>
          </w:p>
        </w:tc>
        <w:tc>
          <w:tcPr>
            <w:tcW w:w="3390" w:type="dxa"/>
          </w:tcPr>
          <w:p w:rsidRPr="00D811D1" w:rsidR="00D811D1" w:rsidP="00D811D1" w:rsidRDefault="00D811D1" w14:paraId="08046AE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123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(99.2%)</w:t>
            </w:r>
          </w:p>
        </w:tc>
        <w:tc>
          <w:tcPr>
            <w:tcW w:w="3357" w:type="dxa"/>
          </w:tcPr>
          <w:p w:rsidRPr="003E6F49" w:rsidR="00D811D1" w:rsidP="00D811D1" w:rsidRDefault="00D811D1" w14:paraId="2C85F2D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76</w:t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(79.2%)</w:t>
            </w:r>
          </w:p>
        </w:tc>
      </w:tr>
      <w:tr w:rsidRPr="00D811D1" w:rsidR="00D811D1" w:rsidTr="003E6F49" w14:paraId="77EA9A36" w14:textId="77777777">
        <w:trPr>
          <w:trHeight w:val="325"/>
        </w:trPr>
        <w:tc>
          <w:tcPr>
            <w:tcW w:w="3238" w:type="dxa"/>
          </w:tcPr>
          <w:p w:rsidRPr="003E6F49" w:rsidR="00D811D1" w:rsidP="00D811D1" w:rsidRDefault="00D811D1" w14:paraId="34D9D24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Apron</w:t>
            </w:r>
          </w:p>
        </w:tc>
        <w:tc>
          <w:tcPr>
            <w:tcW w:w="3390" w:type="dxa"/>
          </w:tcPr>
          <w:p w:rsidRPr="00D811D1" w:rsidR="00D811D1" w:rsidP="00D811D1" w:rsidRDefault="00D811D1" w14:paraId="2363D9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117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(94.4%)</w:t>
            </w:r>
          </w:p>
        </w:tc>
        <w:tc>
          <w:tcPr>
            <w:tcW w:w="3357" w:type="dxa"/>
          </w:tcPr>
          <w:p w:rsidRPr="003E6F49" w:rsidR="00D811D1" w:rsidP="00D811D1" w:rsidRDefault="00D811D1" w14:paraId="48A4DE2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(77.1%)</w:t>
            </w:r>
          </w:p>
        </w:tc>
      </w:tr>
      <w:tr w:rsidRPr="00D811D1" w:rsidR="00D811D1" w:rsidTr="003E6F49" w14:paraId="41F6466D" w14:textId="77777777">
        <w:trPr>
          <w:trHeight w:val="325"/>
        </w:trPr>
        <w:tc>
          <w:tcPr>
            <w:tcW w:w="3238" w:type="dxa"/>
          </w:tcPr>
          <w:p w:rsidRPr="003E6F49" w:rsidR="00D811D1" w:rsidP="00D811D1" w:rsidRDefault="00D811D1" w14:paraId="7E2AFDF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Gloves</w:t>
            </w:r>
          </w:p>
        </w:tc>
        <w:tc>
          <w:tcPr>
            <w:tcW w:w="3390" w:type="dxa"/>
          </w:tcPr>
          <w:p w:rsidRPr="00D811D1" w:rsidR="00D811D1" w:rsidP="00D811D1" w:rsidRDefault="00D811D1" w14:paraId="525E637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123</w:t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(99.2%)</w:t>
            </w:r>
          </w:p>
        </w:tc>
        <w:tc>
          <w:tcPr>
            <w:tcW w:w="3357" w:type="dxa"/>
          </w:tcPr>
          <w:p w:rsidRPr="003E6F49" w:rsidR="00D811D1" w:rsidP="00D811D1" w:rsidRDefault="00D811D1" w14:paraId="0A1AD1F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74</w:t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3E6F49">
              <w:rPr>
                <w:rFonts w:ascii="Arial" w:hAnsi="Arial" w:cs="Arial"/>
                <w:color w:val="010205"/>
                <w:sz w:val="18"/>
                <w:szCs w:val="18"/>
              </w:rPr>
              <w:t>(77.1%)</w:t>
            </w:r>
          </w:p>
        </w:tc>
      </w:tr>
      <w:tr w:rsidRPr="00D811D1" w:rsidR="00D811D1" w:rsidTr="003E6F49" w14:paraId="764E12D7" w14:textId="77777777">
        <w:trPr>
          <w:trHeight w:val="325"/>
        </w:trPr>
        <w:tc>
          <w:tcPr>
            <w:tcW w:w="3238" w:type="dxa"/>
          </w:tcPr>
          <w:p w:rsidRPr="003E6F49" w:rsidR="00D811D1" w:rsidP="00D811D1" w:rsidRDefault="00D811D1" w14:paraId="1FF89E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Hazard suit</w:t>
            </w:r>
          </w:p>
        </w:tc>
        <w:tc>
          <w:tcPr>
            <w:tcW w:w="3390" w:type="dxa"/>
          </w:tcPr>
          <w:p w:rsidRPr="00D811D1" w:rsidR="00D811D1" w:rsidP="00D811D1" w:rsidRDefault="00D811D1" w14:paraId="1FF620C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10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(8.01%)</w:t>
            </w:r>
          </w:p>
        </w:tc>
        <w:tc>
          <w:tcPr>
            <w:tcW w:w="3357" w:type="dxa"/>
          </w:tcPr>
          <w:p w:rsidRPr="00D811D1" w:rsidR="00D811D1" w:rsidP="00D811D1" w:rsidRDefault="00D811D1" w14:paraId="40541FA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0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(0.0%)</w:t>
            </w:r>
          </w:p>
        </w:tc>
      </w:tr>
      <w:tr w:rsidRPr="00D811D1" w:rsidR="00D811D1" w:rsidTr="003E6F49" w14:paraId="256A93F3" w14:textId="77777777">
        <w:trPr>
          <w:trHeight w:val="344"/>
        </w:trPr>
        <w:tc>
          <w:tcPr>
            <w:tcW w:w="3238" w:type="dxa"/>
          </w:tcPr>
          <w:p w:rsidRPr="003E6F49" w:rsidR="00D811D1" w:rsidP="00D811D1" w:rsidRDefault="00D811D1" w14:paraId="2C35BA8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E6F49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Surgical gown</w:t>
            </w:r>
          </w:p>
        </w:tc>
        <w:tc>
          <w:tcPr>
            <w:tcW w:w="3390" w:type="dxa"/>
          </w:tcPr>
          <w:p w:rsidRPr="00D811D1" w:rsidR="00D811D1" w:rsidP="00D811D1" w:rsidRDefault="00D811D1" w14:paraId="24412F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87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(70.2%)</w:t>
            </w:r>
          </w:p>
        </w:tc>
        <w:tc>
          <w:tcPr>
            <w:tcW w:w="3357" w:type="dxa"/>
          </w:tcPr>
          <w:p w:rsidRPr="00D811D1" w:rsidR="00D811D1" w:rsidP="00D811D1" w:rsidRDefault="00D811D1" w14:paraId="73D74B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(3.1%)</w:t>
            </w:r>
          </w:p>
        </w:tc>
      </w:tr>
      <w:tr w:rsidRPr="00D811D1" w:rsidR="00D811D1" w:rsidTr="003E6F49" w14:paraId="5FD24F3D" w14:textId="77777777">
        <w:trPr>
          <w:trHeight w:val="325"/>
        </w:trPr>
        <w:tc>
          <w:tcPr>
            <w:tcW w:w="3238" w:type="dxa"/>
          </w:tcPr>
          <w:p w:rsidRPr="00D811D1" w:rsidR="00D811D1" w:rsidP="00D811D1" w:rsidRDefault="00D811D1" w14:paraId="04BA8C1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Hair protection</w:t>
            </w:r>
          </w:p>
        </w:tc>
        <w:tc>
          <w:tcPr>
            <w:tcW w:w="3390" w:type="dxa"/>
          </w:tcPr>
          <w:p w:rsidRPr="00D811D1" w:rsidR="00D811D1" w:rsidP="00D811D1" w:rsidRDefault="00D811D1" w14:paraId="039D651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60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(48.4%)</w:t>
            </w:r>
          </w:p>
        </w:tc>
        <w:tc>
          <w:tcPr>
            <w:tcW w:w="3357" w:type="dxa"/>
          </w:tcPr>
          <w:p w:rsidRPr="00D811D1" w:rsidR="00D811D1" w:rsidP="00D811D1" w:rsidRDefault="00D811D1" w14:paraId="483CCEB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(3.1%)</w:t>
            </w:r>
          </w:p>
        </w:tc>
      </w:tr>
      <w:tr w:rsidRPr="00D811D1" w:rsidR="00D811D1" w:rsidTr="003E6F49" w14:paraId="51B4D2B4" w14:textId="77777777">
        <w:trPr>
          <w:trHeight w:val="325"/>
        </w:trPr>
        <w:tc>
          <w:tcPr>
            <w:tcW w:w="3238" w:type="dxa"/>
          </w:tcPr>
          <w:p w:rsidRPr="00D811D1" w:rsidR="00D811D1" w:rsidP="00D811D1" w:rsidRDefault="00D811D1" w14:paraId="2236C9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Breathing apparatus</w:t>
            </w:r>
          </w:p>
        </w:tc>
        <w:tc>
          <w:tcPr>
            <w:tcW w:w="3390" w:type="dxa"/>
          </w:tcPr>
          <w:p w:rsidRPr="00D811D1" w:rsidR="00D811D1" w:rsidP="00D811D1" w:rsidRDefault="00D811D1" w14:paraId="2ADA348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5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(4.0%)</w:t>
            </w:r>
          </w:p>
        </w:tc>
        <w:tc>
          <w:tcPr>
            <w:tcW w:w="3357" w:type="dxa"/>
          </w:tcPr>
          <w:p w:rsidRPr="00D811D1" w:rsidR="00D811D1" w:rsidP="00D811D1" w:rsidRDefault="00D811D1" w14:paraId="101D5E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(0.0%)</w:t>
            </w:r>
          </w:p>
        </w:tc>
      </w:tr>
      <w:tr w:rsidRPr="00D811D1" w:rsidR="00D811D1" w:rsidTr="003E6F49" w14:paraId="1F01E757" w14:textId="77777777">
        <w:trPr>
          <w:trHeight w:val="325"/>
        </w:trPr>
        <w:tc>
          <w:tcPr>
            <w:tcW w:w="3238" w:type="dxa"/>
          </w:tcPr>
          <w:p w:rsidRPr="00D811D1" w:rsidR="00D811D1" w:rsidP="00D811D1" w:rsidRDefault="00D811D1" w14:paraId="210411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Over shoes</w:t>
            </w:r>
          </w:p>
        </w:tc>
        <w:tc>
          <w:tcPr>
            <w:tcW w:w="3390" w:type="dxa"/>
          </w:tcPr>
          <w:p w:rsidRPr="00D811D1" w:rsidR="00D811D1" w:rsidP="00D811D1" w:rsidRDefault="00D811D1" w14:paraId="343305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10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(8.1%)</w:t>
            </w:r>
          </w:p>
        </w:tc>
        <w:tc>
          <w:tcPr>
            <w:tcW w:w="3357" w:type="dxa"/>
          </w:tcPr>
          <w:p w:rsidRPr="00D811D1" w:rsidR="00D811D1" w:rsidP="00D811D1" w:rsidRDefault="00D811D1" w14:paraId="2467039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(5.2%)</w:t>
            </w:r>
          </w:p>
        </w:tc>
      </w:tr>
      <w:tr w:rsidRPr="00D811D1" w:rsidR="00D811D1" w:rsidTr="003E6F49" w14:paraId="699C75C7" w14:textId="77777777">
        <w:trPr>
          <w:trHeight w:val="325"/>
        </w:trPr>
        <w:tc>
          <w:tcPr>
            <w:tcW w:w="3238" w:type="dxa"/>
          </w:tcPr>
          <w:p w:rsidRPr="00D811D1" w:rsidR="00D811D1" w:rsidP="00D811D1" w:rsidRDefault="00D811D1" w14:paraId="2714B78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Other</w:t>
            </w:r>
          </w:p>
        </w:tc>
        <w:tc>
          <w:tcPr>
            <w:tcW w:w="3390" w:type="dxa"/>
          </w:tcPr>
          <w:p w:rsidRPr="00D811D1" w:rsidR="00D811D1" w:rsidP="00D811D1" w:rsidRDefault="00D811D1" w14:paraId="60D124A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0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(0.0%)</w:t>
            </w:r>
          </w:p>
        </w:tc>
        <w:tc>
          <w:tcPr>
            <w:tcW w:w="3357" w:type="dxa"/>
          </w:tcPr>
          <w:p w:rsidRPr="00D811D1" w:rsidR="00D811D1" w:rsidP="00D811D1" w:rsidRDefault="00D811D1" w14:paraId="52783BD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(2.1%)</w:t>
            </w:r>
          </w:p>
        </w:tc>
      </w:tr>
      <w:tr w:rsidRPr="00D811D1" w:rsidR="00D811D1" w:rsidTr="003E6F49" w14:paraId="3C9D984A" w14:textId="77777777">
        <w:trPr>
          <w:trHeight w:val="325"/>
        </w:trPr>
        <w:tc>
          <w:tcPr>
            <w:tcW w:w="3238" w:type="dxa"/>
          </w:tcPr>
          <w:p w:rsidRPr="00D811D1" w:rsidR="00D811D1" w:rsidP="00D811D1" w:rsidRDefault="00D811D1" w14:paraId="325F48D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b/>
                <w:bCs/>
                <w:color w:val="010205"/>
                <w:sz w:val="18"/>
                <w:szCs w:val="18"/>
              </w:rPr>
              <w:t>Not applicable</w:t>
            </w:r>
          </w:p>
        </w:tc>
        <w:tc>
          <w:tcPr>
            <w:tcW w:w="3390" w:type="dxa"/>
          </w:tcPr>
          <w:p w:rsidRPr="00D811D1" w:rsidR="00D811D1" w:rsidP="00D811D1" w:rsidRDefault="00D811D1" w14:paraId="0C7AD32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11D1">
              <w:rPr>
                <w:rFonts w:ascii="Arial" w:hAnsi="Arial" w:cs="Arial"/>
                <w:sz w:val="18"/>
                <w:szCs w:val="18"/>
              </w:rPr>
              <w:t>0</w:t>
            </w:r>
            <w:r w:rsidRPr="00D811D1">
              <w:rPr>
                <w:rFonts w:ascii="Arial" w:hAnsi="Arial" w:cs="Arial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sz w:val="18"/>
                <w:szCs w:val="18"/>
              </w:rPr>
              <w:t>(0.0%)</w:t>
            </w:r>
          </w:p>
        </w:tc>
        <w:tc>
          <w:tcPr>
            <w:tcW w:w="3357" w:type="dxa"/>
          </w:tcPr>
          <w:p w:rsidRPr="00D811D1" w:rsidR="00D811D1" w:rsidP="00D811D1" w:rsidRDefault="00D811D1" w14:paraId="5F04221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ab/>
            </w:r>
            <w:r w:rsidRPr="00D811D1">
              <w:rPr>
                <w:rFonts w:ascii="Arial" w:hAnsi="Arial" w:cs="Arial"/>
                <w:color w:val="010205"/>
                <w:sz w:val="18"/>
                <w:szCs w:val="18"/>
              </w:rPr>
              <w:t>(19.8%)</w:t>
            </w:r>
          </w:p>
        </w:tc>
      </w:tr>
    </w:tbl>
    <w:p w:rsidRPr="002B290C" w:rsidR="002B290C" w:rsidP="002B290C" w:rsidRDefault="002B290C" w14:paraId="41C09C6A" w14:textId="77777777">
      <w:pPr>
        <w:rPr>
          <w:sz w:val="24"/>
          <w:szCs w:val="24"/>
        </w:rPr>
      </w:pPr>
    </w:p>
    <w:p w:rsidR="001543E8" w:rsidRDefault="001543E8" w14:paraId="7F8F957B" w14:textId="77777777">
      <w:pPr>
        <w:rPr>
          <w:b/>
          <w:bCs/>
        </w:rPr>
      </w:pPr>
    </w:p>
    <w:p w:rsidR="001543E8" w:rsidRDefault="001543E8" w14:paraId="73490D9B" w14:textId="77777777">
      <w:pPr>
        <w:rPr>
          <w:b/>
          <w:bCs/>
        </w:rPr>
      </w:pPr>
    </w:p>
    <w:p w:rsidRPr="00075BB3" w:rsidR="00075BB3" w:rsidP="00075BB3" w:rsidRDefault="001543E8" w14:paraId="6477E6F1" w14:textId="77777777">
      <w:pPr>
        <w:pStyle w:val="EndNoteBibliography"/>
        <w:spacing w:after="0"/>
        <w:ind w:left="720" w:hanging="720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Pr="00075BB3" w:rsidR="00075BB3">
        <w:t xml:space="preserve">BIRGAND, G., MUTTERS, N. T., OTTER, J., EICHEL, V. M., LEPELLETIER, D., MORGAN, D. J. &amp; LUCET, J.-C. 2020. Analysis of national and international guidelines on respiratory protection equipment for COVID-19 in healthcare settings. </w:t>
      </w:r>
      <w:r w:rsidRPr="00075BB3" w:rsidR="00075BB3">
        <w:rPr>
          <w:i/>
        </w:rPr>
        <w:t>medRxiv</w:t>
      </w:r>
      <w:r w:rsidRPr="00075BB3" w:rsidR="00075BB3">
        <w:rPr>
          <w:b/>
        </w:rPr>
        <w:t>,</w:t>
      </w:r>
      <w:r w:rsidRPr="00075BB3" w:rsidR="00075BB3">
        <w:t xml:space="preserve"> 2020.04.23.20077230.</w:t>
      </w:r>
    </w:p>
    <w:p w:rsidRPr="00075BB3" w:rsidR="00075BB3" w:rsidP="00075BB3" w:rsidRDefault="00075BB3" w14:paraId="4463DDC3" w14:textId="2AA14EAD">
      <w:pPr>
        <w:pStyle w:val="EndNoteBibliography"/>
        <w:ind w:left="720" w:hanging="720"/>
      </w:pPr>
      <w:r w:rsidRPr="00075BB3">
        <w:t xml:space="preserve">GOV.UK. 2020. </w:t>
      </w:r>
      <w:r w:rsidRPr="00075BB3">
        <w:rPr>
          <w:i/>
        </w:rPr>
        <w:t xml:space="preserve">COVID-19: infection prevention and control (IPC) </w:t>
      </w:r>
      <w:r w:rsidRPr="00075BB3">
        <w:t xml:space="preserve">[Online]. Available: </w:t>
      </w:r>
      <w:hyperlink w:history="1" r:id="rId10">
        <w:r w:rsidRPr="00075BB3">
          <w:rPr>
            <w:rStyle w:val="Hyperlink"/>
          </w:rPr>
          <w:t>https://www.gov.uk/government/publications/wuhan-novel-coronavirus-infection-prevention-and-control</w:t>
        </w:r>
      </w:hyperlink>
      <w:r w:rsidRPr="00075BB3">
        <w:t xml:space="preserve"> [Accessed 15.02.2021 2021].</w:t>
      </w:r>
    </w:p>
    <w:p w:rsidRPr="00E57871" w:rsidR="00E57871" w:rsidRDefault="001543E8" w14:paraId="7ADA5168" w14:textId="569D2231">
      <w:pPr>
        <w:rPr>
          <w:b/>
          <w:bCs/>
        </w:rPr>
      </w:pPr>
      <w:r>
        <w:rPr>
          <w:b/>
          <w:bCs/>
        </w:rPr>
        <w:fldChar w:fldCharType="end"/>
      </w:r>
    </w:p>
    <w:sectPr w:rsidRPr="00E57871" w:rsidR="00E5787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awarawyx09viev9fkx0pssszwvxzv5tf2v&quot;&gt;My EndNote Library Copy.enl.April.2020.&lt;record-ids&gt;&lt;item&gt;1934&lt;/item&gt;&lt;item&gt;1935&lt;/item&gt;&lt;/record-ids&gt;&lt;/item&gt;&lt;/Libraries&gt;"/>
  </w:docVars>
  <w:rsids>
    <w:rsidRoot w:val="00E57871"/>
    <w:rsid w:val="000018A7"/>
    <w:rsid w:val="00075BB3"/>
    <w:rsid w:val="000B094E"/>
    <w:rsid w:val="000B6DFF"/>
    <w:rsid w:val="000E1790"/>
    <w:rsid w:val="000F0CC1"/>
    <w:rsid w:val="0013628F"/>
    <w:rsid w:val="001405D6"/>
    <w:rsid w:val="00140738"/>
    <w:rsid w:val="001543E8"/>
    <w:rsid w:val="001552F6"/>
    <w:rsid w:val="00155DFC"/>
    <w:rsid w:val="001B1B76"/>
    <w:rsid w:val="001C1569"/>
    <w:rsid w:val="001E367A"/>
    <w:rsid w:val="00243205"/>
    <w:rsid w:val="002473A0"/>
    <w:rsid w:val="00260A15"/>
    <w:rsid w:val="00263694"/>
    <w:rsid w:val="00273048"/>
    <w:rsid w:val="002B290C"/>
    <w:rsid w:val="003603B0"/>
    <w:rsid w:val="003E6F49"/>
    <w:rsid w:val="004631B8"/>
    <w:rsid w:val="00487B34"/>
    <w:rsid w:val="00490BC4"/>
    <w:rsid w:val="004B7806"/>
    <w:rsid w:val="004B798A"/>
    <w:rsid w:val="00511AF1"/>
    <w:rsid w:val="00565B3C"/>
    <w:rsid w:val="0057776E"/>
    <w:rsid w:val="00596EF3"/>
    <w:rsid w:val="005A24DF"/>
    <w:rsid w:val="006829C1"/>
    <w:rsid w:val="00683CD5"/>
    <w:rsid w:val="006B787D"/>
    <w:rsid w:val="006F1204"/>
    <w:rsid w:val="006F2FA9"/>
    <w:rsid w:val="00715F66"/>
    <w:rsid w:val="00731188"/>
    <w:rsid w:val="00747820"/>
    <w:rsid w:val="00760FED"/>
    <w:rsid w:val="007A5639"/>
    <w:rsid w:val="007D3BEC"/>
    <w:rsid w:val="007D6A90"/>
    <w:rsid w:val="008006C5"/>
    <w:rsid w:val="0082672E"/>
    <w:rsid w:val="00842AAD"/>
    <w:rsid w:val="008565A3"/>
    <w:rsid w:val="00862E42"/>
    <w:rsid w:val="00866347"/>
    <w:rsid w:val="00872BFF"/>
    <w:rsid w:val="00881620"/>
    <w:rsid w:val="00891CBC"/>
    <w:rsid w:val="008B0C20"/>
    <w:rsid w:val="008B1A7A"/>
    <w:rsid w:val="009642BE"/>
    <w:rsid w:val="0098325C"/>
    <w:rsid w:val="009861A3"/>
    <w:rsid w:val="00991D6C"/>
    <w:rsid w:val="009E3814"/>
    <w:rsid w:val="00A41160"/>
    <w:rsid w:val="00A61684"/>
    <w:rsid w:val="00A77BAB"/>
    <w:rsid w:val="00A9353B"/>
    <w:rsid w:val="00AF64B0"/>
    <w:rsid w:val="00B23C6B"/>
    <w:rsid w:val="00BA2D33"/>
    <w:rsid w:val="00BB3967"/>
    <w:rsid w:val="00BD4D1C"/>
    <w:rsid w:val="00BE28AB"/>
    <w:rsid w:val="00C05A1D"/>
    <w:rsid w:val="00C112D6"/>
    <w:rsid w:val="00C412DC"/>
    <w:rsid w:val="00CB64C1"/>
    <w:rsid w:val="00CE3615"/>
    <w:rsid w:val="00D202B8"/>
    <w:rsid w:val="00D219C1"/>
    <w:rsid w:val="00D418DA"/>
    <w:rsid w:val="00D577AC"/>
    <w:rsid w:val="00D612FE"/>
    <w:rsid w:val="00D63016"/>
    <w:rsid w:val="00D6770A"/>
    <w:rsid w:val="00D677C0"/>
    <w:rsid w:val="00D811D1"/>
    <w:rsid w:val="00D9630E"/>
    <w:rsid w:val="00DC6758"/>
    <w:rsid w:val="00E06978"/>
    <w:rsid w:val="00E1440D"/>
    <w:rsid w:val="00E462BF"/>
    <w:rsid w:val="00E51E98"/>
    <w:rsid w:val="00E57871"/>
    <w:rsid w:val="00E63CE3"/>
    <w:rsid w:val="00ED07CA"/>
    <w:rsid w:val="00EE6012"/>
    <w:rsid w:val="00F20B3D"/>
    <w:rsid w:val="00F6559A"/>
    <w:rsid w:val="00FC162B"/>
    <w:rsid w:val="00FD0C5B"/>
    <w:rsid w:val="00FD57FB"/>
    <w:rsid w:val="00FD707B"/>
    <w:rsid w:val="00FE41BE"/>
    <w:rsid w:val="22541977"/>
    <w:rsid w:val="2ABEEAC9"/>
    <w:rsid w:val="4EB0ACE0"/>
    <w:rsid w:val="6FFE8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3BC8"/>
  <w15:chartTrackingRefBased/>
  <w15:docId w15:val="{F309C208-2CDE-4F3C-887B-AB41CF76A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7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42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707B"/>
    <w:rPr>
      <w:color w:val="0563C1" w:themeColor="hyperlink"/>
      <w:u w:val="single"/>
    </w:rPr>
  </w:style>
  <w:style w:type="paragraph" w:styleId="EndNoteBibliographyTitle" w:customStyle="1">
    <w:name w:val="EndNote Bibliography Title"/>
    <w:basedOn w:val="Normal"/>
    <w:link w:val="EndNoteBibliographyTitleChar"/>
    <w:rsid w:val="001543E8"/>
    <w:pPr>
      <w:spacing w:after="0"/>
      <w:jc w:val="center"/>
    </w:pPr>
    <w:rPr>
      <w:rFonts w:ascii="Calibri" w:hAnsi="Calibri" w:cs="Calibri"/>
      <w:noProof/>
      <w:lang w:val="en-US"/>
    </w:rPr>
  </w:style>
  <w:style w:type="character" w:styleId="EndNoteBibliographyTitleChar" w:customStyle="1">
    <w:name w:val="EndNote Bibliography Title Char"/>
    <w:basedOn w:val="DefaultParagraphFont"/>
    <w:link w:val="EndNoteBibliographyTitle"/>
    <w:rsid w:val="001543E8"/>
    <w:rPr>
      <w:rFonts w:ascii="Calibri" w:hAnsi="Calibri" w:cs="Calibri"/>
      <w:noProof/>
      <w:lang w:val="en-US"/>
    </w:rPr>
  </w:style>
  <w:style w:type="paragraph" w:styleId="EndNoteBibliography" w:customStyle="1">
    <w:name w:val="EndNote Bibliography"/>
    <w:basedOn w:val="Normal"/>
    <w:link w:val="EndNoteBibliographyChar"/>
    <w:rsid w:val="001543E8"/>
    <w:pPr>
      <w:spacing w:line="240" w:lineRule="auto"/>
    </w:pPr>
    <w:rPr>
      <w:rFonts w:ascii="Calibri" w:hAnsi="Calibri" w:cs="Calibri"/>
      <w:noProof/>
      <w:lang w:val="en-US"/>
    </w:rPr>
  </w:style>
  <w:style w:type="character" w:styleId="EndNoteBibliographyChar" w:customStyle="1">
    <w:name w:val="EndNote Bibliography Char"/>
    <w:basedOn w:val="DefaultParagraphFont"/>
    <w:link w:val="EndNoteBibliography"/>
    <w:rsid w:val="001543E8"/>
    <w:rPr>
      <w:rFonts w:ascii="Calibri" w:hAnsi="Calibri" w:cs="Calibri"/>
      <w:noProof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90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290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29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29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3615"/>
    <w:pPr>
      <w:spacing w:after="0" w:line="240" w:lineRule="auto"/>
    </w:pPr>
  </w:style>
  <w:style w:type="table" w:styleId="TableGrid">
    <w:name w:val="Table Grid"/>
    <w:basedOn w:val="TableNormal"/>
    <w:uiPriority w:val="39"/>
    <w:rsid w:val="00D811D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microsoft.com/office/2011/relationships/people" Target="peop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hyperlink" Target="mailto:Nicola.roberts@gcu.ac.uk" TargetMode="External" Id="rId5" /><Relationship Type="http://schemas.openxmlformats.org/officeDocument/2006/relationships/customXml" Target="../customXml/item2.xml" Id="rId15" /><Relationship Type="http://schemas.openxmlformats.org/officeDocument/2006/relationships/hyperlink" Target="https://www.gov.uk/government/publications/wuhan-novel-coronavirus-infection-prevention-and-control" TargetMode="External" Id="rId10" /><Relationship Type="http://schemas.openxmlformats.org/officeDocument/2006/relationships/hyperlink" Target="mailto:lw13e14@soton.ac.uk" TargetMode="External" Id="rId4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911783C1D442BD1CF19F4570B3A4" ma:contentTypeVersion="11" ma:contentTypeDescription="Create a new document." ma:contentTypeScope="" ma:versionID="22182499859456db9634881befa81318">
  <xsd:schema xmlns:xsd="http://www.w3.org/2001/XMLSchema" xmlns:xs="http://www.w3.org/2001/XMLSchema" xmlns:p="http://schemas.microsoft.com/office/2006/metadata/properties" xmlns:ns1="http://schemas.microsoft.com/sharepoint/v3" xmlns:ns2="349c52c3-7488-4a9e-99a0-500ebff2edd8" targetNamespace="http://schemas.microsoft.com/office/2006/metadata/properties" ma:root="true" ma:fieldsID="92efc6fe5eaeab414c308e3a3e98472a" ns1:_="" ns2:_="">
    <xsd:import namespace="http://schemas.microsoft.com/sharepoint/v3"/>
    <xsd:import namespace="349c52c3-7488-4a9e-99a0-500ebff2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c52c3-7488-4a9e-99a0-500ebff2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B1AC0D-3A79-4902-9A61-589F79DD7830}"/>
</file>

<file path=customXml/itemProps2.xml><?xml version="1.0" encoding="utf-8"?>
<ds:datastoreItem xmlns:ds="http://schemas.openxmlformats.org/officeDocument/2006/customXml" ds:itemID="{6C279BAB-E1BF-4CB6-865B-2CE6380A6CF8}"/>
</file>

<file path=customXml/itemProps3.xml><?xml version="1.0" encoding="utf-8"?>
<ds:datastoreItem xmlns:ds="http://schemas.openxmlformats.org/officeDocument/2006/customXml" ds:itemID="{D4DBA13D-04F4-41EB-BB75-47064A6749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Welch</dc:creator>
  <keywords/>
  <dc:description/>
  <lastModifiedBy>Susan Corbett</lastModifiedBy>
  <revision>7</revision>
  <dcterms:created xsi:type="dcterms:W3CDTF">2021-02-16T17:22:00.0000000Z</dcterms:created>
  <dcterms:modified xsi:type="dcterms:W3CDTF">2021-12-22T15:23:01.6351853Z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0x0101009FB0911783C1D442BD1CF19F4570B3A4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