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349A" w14:textId="51BF20F7" w:rsidR="00522304" w:rsidRPr="006453D9" w:rsidRDefault="00522304" w:rsidP="00522304">
      <w:pPr>
        <w:pStyle w:val="MDPI11articletype"/>
      </w:pPr>
      <w:r w:rsidRPr="006453D9">
        <w:t>Article</w:t>
      </w:r>
    </w:p>
    <w:p w14:paraId="3938929F" w14:textId="77777777" w:rsidR="003F747E" w:rsidRDefault="003F747E" w:rsidP="00522304">
      <w:pPr>
        <w:pStyle w:val="MDPI13authornames"/>
        <w:rPr>
          <w:snapToGrid w:val="0"/>
          <w:sz w:val="36"/>
          <w:szCs w:val="20"/>
        </w:rPr>
      </w:pPr>
      <w:r w:rsidRPr="003F747E">
        <w:rPr>
          <w:snapToGrid w:val="0"/>
          <w:sz w:val="36"/>
          <w:szCs w:val="20"/>
        </w:rPr>
        <w:t>The determinants of living with long-term conditions: an international cross-sectional study</w:t>
      </w:r>
    </w:p>
    <w:p w14:paraId="5A5E5A03" w14:textId="40090ED5" w:rsidR="00904094" w:rsidRPr="003F747E" w:rsidRDefault="003F747E" w:rsidP="00522304">
      <w:pPr>
        <w:pStyle w:val="MDPI13authornames"/>
        <w:rPr>
          <w:snapToGrid w:val="0"/>
          <w:sz w:val="36"/>
          <w:szCs w:val="20"/>
          <w:lang w:val="es-ES"/>
        </w:rPr>
      </w:pPr>
      <w:r w:rsidRPr="003F747E">
        <w:rPr>
          <w:lang w:val="es-ES"/>
        </w:rPr>
        <w:t>Silvia Co</w:t>
      </w:r>
      <w:r w:rsidR="00A86D5B">
        <w:rPr>
          <w:lang w:val="es-ES"/>
        </w:rPr>
        <w:t>r</w:t>
      </w:r>
      <w:r w:rsidRPr="003F747E">
        <w:rPr>
          <w:lang w:val="es-ES"/>
        </w:rPr>
        <w:t>chón</w:t>
      </w:r>
      <w:r w:rsidR="00522304" w:rsidRPr="003F747E">
        <w:rPr>
          <w:vertAlign w:val="superscript"/>
          <w:lang w:val="es-ES"/>
        </w:rPr>
        <w:t>1</w:t>
      </w:r>
      <w:r w:rsidR="00522304" w:rsidRPr="003F747E">
        <w:rPr>
          <w:lang w:val="es-ES"/>
        </w:rPr>
        <w:t xml:space="preserve">, </w:t>
      </w:r>
      <w:r w:rsidRPr="003F747E">
        <w:rPr>
          <w:lang w:val="es-ES"/>
        </w:rPr>
        <w:t>Carmen Rodríguez-Blázquez</w:t>
      </w:r>
      <w:r w:rsidR="00522304" w:rsidRPr="003F747E">
        <w:rPr>
          <w:vertAlign w:val="superscript"/>
          <w:lang w:val="es-ES"/>
        </w:rPr>
        <w:t>2</w:t>
      </w:r>
      <w:r w:rsidRPr="003F747E">
        <w:rPr>
          <w:lang w:val="es-ES"/>
        </w:rPr>
        <w:t>, Alfons</w:t>
      </w:r>
      <w:r>
        <w:rPr>
          <w:lang w:val="es-ES"/>
        </w:rPr>
        <w:t>o Meneses</w:t>
      </w:r>
      <w:r>
        <w:rPr>
          <w:vertAlign w:val="superscript"/>
          <w:lang w:val="es-ES"/>
        </w:rPr>
        <w:t>3</w:t>
      </w:r>
      <w:r>
        <w:rPr>
          <w:lang w:val="es-ES"/>
        </w:rPr>
        <w:t>, Marta Aranda-Gallardo</w:t>
      </w:r>
      <w:r>
        <w:rPr>
          <w:vertAlign w:val="superscript"/>
          <w:lang w:val="es-ES"/>
        </w:rPr>
        <w:t>4</w:t>
      </w:r>
      <w:r>
        <w:rPr>
          <w:lang w:val="es-ES"/>
        </w:rPr>
        <w:t xml:space="preserve">, Lorena López </w:t>
      </w:r>
      <w:r>
        <w:rPr>
          <w:vertAlign w:val="superscript"/>
          <w:lang w:val="es-ES"/>
        </w:rPr>
        <w:t>5</w:t>
      </w:r>
      <w:r>
        <w:rPr>
          <w:lang w:val="es-ES"/>
        </w:rPr>
        <w:t xml:space="preserve">, </w:t>
      </w:r>
      <w:proofErr w:type="spellStart"/>
      <w:r>
        <w:rPr>
          <w:lang w:val="es-ES"/>
        </w:rPr>
        <w:t>Maria</w:t>
      </w:r>
      <w:proofErr w:type="spellEnd"/>
      <w:r>
        <w:rPr>
          <w:lang w:val="es-ES"/>
        </w:rPr>
        <w:t xml:space="preserve"> Eugenia Ursúa</w:t>
      </w:r>
      <w:r>
        <w:rPr>
          <w:vertAlign w:val="superscript"/>
          <w:lang w:val="es-ES"/>
        </w:rPr>
        <w:t>6</w:t>
      </w:r>
      <w:r>
        <w:rPr>
          <w:lang w:val="es-ES"/>
        </w:rPr>
        <w:t xml:space="preserve">, </w:t>
      </w:r>
      <w:proofErr w:type="spellStart"/>
      <w:r>
        <w:rPr>
          <w:lang w:val="es-ES"/>
        </w:rPr>
        <w:t>Maria</w:t>
      </w:r>
      <w:proofErr w:type="spellEnd"/>
      <w:r>
        <w:rPr>
          <w:lang w:val="es-ES"/>
        </w:rPr>
        <w:t xml:space="preserve"> Victoria </w:t>
      </w:r>
      <w:proofErr w:type="spellStart"/>
      <w:r>
        <w:rPr>
          <w:lang w:val="es-ES"/>
        </w:rPr>
        <w:t>Navarta-Sanchez</w:t>
      </w:r>
      <w:proofErr w:type="spellEnd"/>
      <w:r>
        <w:rPr>
          <w:lang w:val="es-ES"/>
        </w:rPr>
        <w:t xml:space="preserve"> </w:t>
      </w:r>
      <w:r>
        <w:rPr>
          <w:vertAlign w:val="superscript"/>
          <w:lang w:val="es-ES"/>
        </w:rPr>
        <w:t>7</w:t>
      </w:r>
      <w:r>
        <w:rPr>
          <w:lang w:val="es-ES"/>
        </w:rPr>
        <w:t>, Mari Carmen Portillo</w:t>
      </w:r>
      <w:r>
        <w:rPr>
          <w:vertAlign w:val="superscript"/>
          <w:lang w:val="es-ES"/>
        </w:rPr>
        <w:t>8</w:t>
      </w:r>
      <w:r>
        <w:rPr>
          <w:lang w:val="es-ES"/>
        </w:rPr>
        <w:t xml:space="preserve"> </w:t>
      </w:r>
      <w:r w:rsidR="00522304" w:rsidRPr="003F747E">
        <w:rPr>
          <w:lang w:val="es-ES"/>
        </w:rPr>
        <w:t xml:space="preserve">and </w:t>
      </w:r>
      <w:r>
        <w:rPr>
          <w:lang w:val="es-ES"/>
        </w:rPr>
        <w:t>Leire Ambrosio</w:t>
      </w:r>
      <w:r>
        <w:rPr>
          <w:vertAlign w:val="superscript"/>
          <w:lang w:val="es-ES"/>
        </w:rPr>
        <w:t>9</w:t>
      </w:r>
      <w:r w:rsidR="00522304" w:rsidRPr="003F747E">
        <w:rPr>
          <w:lang w:val="es-ES"/>
        </w:rPr>
        <w:t>*</w:t>
      </w:r>
    </w:p>
    <w:tbl>
      <w:tblPr>
        <w:tblpPr w:leftFromText="198" w:rightFromText="198" w:vertAnchor="page" w:horzAnchor="margin" w:tblpY="9286"/>
        <w:tblW w:w="2410" w:type="dxa"/>
        <w:tblLayout w:type="fixed"/>
        <w:tblCellMar>
          <w:left w:w="0" w:type="dxa"/>
          <w:right w:w="0" w:type="dxa"/>
        </w:tblCellMar>
        <w:tblLook w:val="04A0" w:firstRow="1" w:lastRow="0" w:firstColumn="1" w:lastColumn="0" w:noHBand="0" w:noVBand="1"/>
      </w:tblPr>
      <w:tblGrid>
        <w:gridCol w:w="2410"/>
      </w:tblGrid>
      <w:tr w:rsidR="00904094" w:rsidRPr="006331AD" w14:paraId="5487630A" w14:textId="77777777" w:rsidTr="00E31ECD">
        <w:tc>
          <w:tcPr>
            <w:tcW w:w="2410" w:type="dxa"/>
            <w:shd w:val="clear" w:color="auto" w:fill="auto"/>
          </w:tcPr>
          <w:p w14:paraId="70B012B5" w14:textId="77777777" w:rsidR="00904094" w:rsidRPr="00183AB8" w:rsidRDefault="00904094" w:rsidP="00E31ECD">
            <w:pPr>
              <w:pStyle w:val="MDPI61Citation"/>
              <w:spacing w:line="240" w:lineRule="exact"/>
            </w:pPr>
            <w:r w:rsidRPr="00183AB8">
              <w:rPr>
                <w:b/>
              </w:rPr>
              <w:t>Citation:</w:t>
            </w:r>
            <w:r w:rsidRPr="006331AD">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w:t>
            </w:r>
            <w:r>
              <w:rPr>
                <w:i/>
              </w:rPr>
              <w:t xml:space="preserve">Int. J. Environ. Res. Public Health </w:t>
            </w:r>
            <w:r w:rsidRPr="00527484">
              <w:rPr>
                <w:b/>
              </w:rPr>
              <w:t>2021</w:t>
            </w:r>
            <w:r>
              <w:t xml:space="preserve">, </w:t>
            </w:r>
            <w:r w:rsidRPr="00527484">
              <w:rPr>
                <w:i/>
              </w:rPr>
              <w:t>18</w:t>
            </w:r>
            <w:r>
              <w:t>, x. https://doi.org/10.3390/xxxxx</w:t>
            </w:r>
          </w:p>
          <w:p w14:paraId="2DCA9FFE" w14:textId="77777777" w:rsidR="00904094" w:rsidRDefault="00904094" w:rsidP="00E31ECD">
            <w:pPr>
              <w:pStyle w:val="MDPI14history"/>
              <w:spacing w:before="240" w:after="240"/>
              <w:rPr>
                <w:rFonts w:ascii="SimSun" w:eastAsia="SimSun" w:hAnsi="SimSun" w:cs="SimSun"/>
                <w:lang w:eastAsia="zh-CN"/>
              </w:rPr>
            </w:pPr>
            <w:r>
              <w:t xml:space="preserve">Academic Editor: </w:t>
            </w:r>
            <w:proofErr w:type="spellStart"/>
            <w:r w:rsidRPr="00562097">
              <w:t>Firstname</w:t>
            </w:r>
            <w:proofErr w:type="spellEnd"/>
            <w:r w:rsidRPr="00562097">
              <w:t xml:space="preserve"> </w:t>
            </w:r>
            <w:proofErr w:type="spellStart"/>
            <w:r w:rsidRPr="00562097">
              <w:t>Lastname</w:t>
            </w:r>
            <w:proofErr w:type="spellEnd"/>
          </w:p>
          <w:p w14:paraId="51689F06" w14:textId="77777777" w:rsidR="00904094" w:rsidRPr="00D30D71" w:rsidRDefault="00904094" w:rsidP="00E31ECD">
            <w:pPr>
              <w:pStyle w:val="MDPI14history"/>
              <w:rPr>
                <w:rFonts w:ascii="SimSun" w:eastAsia="SimSun" w:hAnsi="SimSun" w:cs="SimSun"/>
              </w:rPr>
            </w:pPr>
            <w:r w:rsidRPr="00550626">
              <w:rPr>
                <w:szCs w:val="14"/>
              </w:rPr>
              <w:t xml:space="preserve">Received: </w:t>
            </w:r>
            <w:r w:rsidRPr="00D945EC">
              <w:rPr>
                <w:szCs w:val="14"/>
              </w:rPr>
              <w:t>date</w:t>
            </w:r>
          </w:p>
          <w:p w14:paraId="35A99B85" w14:textId="77777777" w:rsidR="00904094" w:rsidRPr="00550626" w:rsidRDefault="00904094" w:rsidP="00E31ECD">
            <w:pPr>
              <w:pStyle w:val="MDPI14history"/>
              <w:rPr>
                <w:szCs w:val="14"/>
              </w:rPr>
            </w:pPr>
            <w:r w:rsidRPr="00550626">
              <w:rPr>
                <w:szCs w:val="14"/>
              </w:rPr>
              <w:t xml:space="preserve">Accepted: </w:t>
            </w:r>
            <w:r w:rsidRPr="00D945EC">
              <w:rPr>
                <w:szCs w:val="14"/>
              </w:rPr>
              <w:t>date</w:t>
            </w:r>
          </w:p>
          <w:p w14:paraId="46C01E33" w14:textId="77777777" w:rsidR="00904094" w:rsidRPr="00550626" w:rsidRDefault="00904094" w:rsidP="00E31ECD">
            <w:pPr>
              <w:pStyle w:val="MDPI14history"/>
              <w:spacing w:after="240"/>
              <w:rPr>
                <w:szCs w:val="14"/>
              </w:rPr>
            </w:pPr>
            <w:r w:rsidRPr="00550626">
              <w:rPr>
                <w:szCs w:val="14"/>
              </w:rPr>
              <w:t xml:space="preserve">Published: </w:t>
            </w:r>
            <w:r w:rsidRPr="00D945EC">
              <w:rPr>
                <w:szCs w:val="14"/>
              </w:rPr>
              <w:t>date</w:t>
            </w:r>
          </w:p>
          <w:p w14:paraId="53535F0C" w14:textId="77777777" w:rsidR="00904094" w:rsidRPr="006331AD" w:rsidRDefault="00904094" w:rsidP="00E31ECD">
            <w:pPr>
              <w:pStyle w:val="MDPI63Notes"/>
              <w:jc w:val="both"/>
            </w:pPr>
            <w:r w:rsidRPr="006331AD">
              <w:rPr>
                <w:b/>
              </w:rPr>
              <w:t>Publisher’s Note:</w:t>
            </w:r>
            <w:r w:rsidRPr="006331AD">
              <w:t xml:space="preserve"> MDPI stays neutral </w:t>
            </w:r>
            <w:proofErr w:type="gramStart"/>
            <w:r w:rsidRPr="006331AD">
              <w:t>with regard to</w:t>
            </w:r>
            <w:proofErr w:type="gramEnd"/>
            <w:r w:rsidRPr="006331AD">
              <w:t xml:space="preserve"> jurisdictional claims in published maps and institutional affiliations.</w:t>
            </w:r>
          </w:p>
          <w:p w14:paraId="40722501" w14:textId="77777777" w:rsidR="00904094" w:rsidRPr="006331AD" w:rsidRDefault="00904094" w:rsidP="00E31ECD">
            <w:pPr>
              <w:adjustRightInd w:val="0"/>
              <w:snapToGrid w:val="0"/>
              <w:spacing w:before="240" w:line="240" w:lineRule="atLeast"/>
              <w:ind w:right="113"/>
              <w:jc w:val="left"/>
              <w:rPr>
                <w:rFonts w:eastAsia="DengXian"/>
                <w:bCs/>
                <w:sz w:val="14"/>
                <w:szCs w:val="14"/>
                <w:lang w:bidi="en-US"/>
              </w:rPr>
            </w:pPr>
            <w:r w:rsidRPr="006331AD">
              <w:rPr>
                <w:rFonts w:eastAsia="DengXian"/>
              </w:rPr>
              <w:drawing>
                <wp:inline distT="0" distB="0" distL="0" distR="0" wp14:anchorId="4D4FC17E" wp14:editId="07BEDC23">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76026270" w14:textId="77777777" w:rsidR="00904094" w:rsidRPr="006331AD" w:rsidRDefault="00904094" w:rsidP="00E31ECD">
            <w:pPr>
              <w:adjustRightInd w:val="0"/>
              <w:snapToGrid w:val="0"/>
              <w:spacing w:before="60" w:line="240" w:lineRule="atLeast"/>
              <w:ind w:right="113"/>
              <w:rPr>
                <w:rFonts w:eastAsia="DengXian"/>
                <w:bCs/>
                <w:sz w:val="14"/>
                <w:szCs w:val="14"/>
                <w:lang w:bidi="en-US"/>
              </w:rPr>
            </w:pPr>
            <w:r w:rsidRPr="006331AD">
              <w:rPr>
                <w:rFonts w:eastAsia="DengXian"/>
                <w:b/>
                <w:bCs/>
                <w:sz w:val="14"/>
                <w:szCs w:val="14"/>
                <w:lang w:bidi="en-US"/>
              </w:rPr>
              <w:t>Copyright:</w:t>
            </w:r>
            <w:r w:rsidRPr="006331AD">
              <w:rPr>
                <w:rFonts w:eastAsia="DengXian"/>
                <w:bCs/>
                <w:sz w:val="14"/>
                <w:szCs w:val="14"/>
                <w:lang w:bidi="en-US"/>
              </w:rPr>
              <w:t xml:space="preserve"> </w:t>
            </w:r>
            <w:r>
              <w:rPr>
                <w:rFonts w:eastAsia="DengXian"/>
                <w:bCs/>
                <w:sz w:val="14"/>
                <w:szCs w:val="14"/>
                <w:lang w:bidi="en-US"/>
              </w:rPr>
              <w:t>© 2021</w:t>
            </w:r>
            <w:r w:rsidRPr="006331AD">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6331AD">
              <w:rPr>
                <w:rFonts w:eastAsia="DengXian"/>
                <w:bCs/>
                <w:sz w:val="14"/>
                <w:szCs w:val="14"/>
                <w:lang w:bidi="en-US"/>
              </w:rPr>
              <w:t>Attribution (CC BY) license (</w:t>
            </w:r>
            <w:r>
              <w:rPr>
                <w:rFonts w:eastAsia="DengXian"/>
                <w:bCs/>
                <w:sz w:val="14"/>
                <w:szCs w:val="14"/>
                <w:lang w:bidi="en-US"/>
              </w:rPr>
              <w:t>https://</w:t>
            </w:r>
            <w:r w:rsidRPr="006331AD">
              <w:rPr>
                <w:rFonts w:eastAsia="DengXian"/>
                <w:bCs/>
                <w:sz w:val="14"/>
                <w:szCs w:val="14"/>
                <w:lang w:bidi="en-US"/>
              </w:rPr>
              <w:t>creativecommons.org/licenses/by/4.0/).</w:t>
            </w:r>
          </w:p>
        </w:tc>
      </w:tr>
    </w:tbl>
    <w:p w14:paraId="68EF5650" w14:textId="4115C392" w:rsidR="00522304" w:rsidRPr="00A86D5B" w:rsidRDefault="00B670B5" w:rsidP="00522304">
      <w:pPr>
        <w:pStyle w:val="MDPI16affiliation"/>
      </w:pPr>
      <w:r w:rsidRPr="00B670B5">
        <w:rPr>
          <w:vertAlign w:val="superscript"/>
        </w:rPr>
        <w:t>1</w:t>
      </w:r>
      <w:r w:rsidR="00522304" w:rsidRPr="00D945EC">
        <w:tab/>
      </w:r>
      <w:r w:rsidR="00A86D5B" w:rsidRPr="00754A30">
        <w:rPr>
          <w:lang w:val="en-GB"/>
        </w:rPr>
        <w:t xml:space="preserve">Nursing Department, University of Valencia, Valencia, </w:t>
      </w:r>
      <w:r w:rsidR="00A86D5B" w:rsidRPr="00A86D5B">
        <w:rPr>
          <w:lang w:val="en-GB"/>
        </w:rPr>
        <w:t>46010</w:t>
      </w:r>
      <w:r w:rsidR="00A86D5B">
        <w:rPr>
          <w:lang w:val="en-GB"/>
        </w:rPr>
        <w:t xml:space="preserve">; </w:t>
      </w:r>
      <w:hyperlink r:id="rId8" w:history="1">
        <w:r w:rsidR="00A86D5B" w:rsidRPr="00AC6B53">
          <w:rPr>
            <w:rStyle w:val="Hipervnculo"/>
            <w:lang w:val="en-GB"/>
          </w:rPr>
          <w:t>Silvia.Corchon@uv.es</w:t>
        </w:r>
      </w:hyperlink>
      <w:r w:rsidR="00A86D5B">
        <w:rPr>
          <w:lang w:val="en-GB"/>
        </w:rPr>
        <w:t xml:space="preserve"> (S.C.)</w:t>
      </w:r>
    </w:p>
    <w:p w14:paraId="40CF398B" w14:textId="61F510A8" w:rsidR="00522304" w:rsidRPr="00A86D5B" w:rsidRDefault="00522304" w:rsidP="00A86D5B">
      <w:pPr>
        <w:pStyle w:val="MDPI16affiliation"/>
        <w:rPr>
          <w:color w:val="auto"/>
        </w:rPr>
      </w:pPr>
      <w:r w:rsidRPr="00D945EC">
        <w:rPr>
          <w:vertAlign w:val="superscript"/>
        </w:rPr>
        <w:t>2</w:t>
      </w:r>
      <w:r w:rsidRPr="00D945EC">
        <w:tab/>
      </w:r>
      <w:r w:rsidR="003F747E" w:rsidRPr="00BB06D9">
        <w:rPr>
          <w:color w:val="auto"/>
        </w:rPr>
        <w:t xml:space="preserve">National Centre of Epidemiology and CIBERNED, Carlos III Institute of Health, Madrid, 28029; </w:t>
      </w:r>
      <w:hyperlink r:id="rId9" w:history="1">
        <w:r w:rsidR="003F747E" w:rsidRPr="00AC6B53">
          <w:rPr>
            <w:rStyle w:val="Hipervnculo"/>
          </w:rPr>
          <w:t>crodb@isciii.es</w:t>
        </w:r>
      </w:hyperlink>
      <w:r w:rsidR="003F747E">
        <w:rPr>
          <w:rStyle w:val="Hipervnculo"/>
          <w:color w:val="auto"/>
          <w:u w:val="none"/>
        </w:rPr>
        <w:t xml:space="preserve"> </w:t>
      </w:r>
      <w:r w:rsidR="003F747E" w:rsidRPr="00BB06D9">
        <w:rPr>
          <w:color w:val="auto"/>
        </w:rPr>
        <w:t>(C.R-B.)</w:t>
      </w:r>
    </w:p>
    <w:p w14:paraId="50E1EB9C" w14:textId="3B1E4DA6" w:rsidR="003F747E" w:rsidRPr="00723F1C" w:rsidRDefault="003F747E" w:rsidP="00522304">
      <w:pPr>
        <w:pStyle w:val="MDPI16affiliation"/>
      </w:pPr>
      <w:r>
        <w:rPr>
          <w:vertAlign w:val="superscript"/>
        </w:rPr>
        <w:t>3</w:t>
      </w:r>
      <w:r>
        <w:rPr>
          <w:vertAlign w:val="superscript"/>
        </w:rPr>
        <w:tab/>
      </w:r>
      <w:r w:rsidR="00A86D5B" w:rsidRPr="00754A30">
        <w:rPr>
          <w:lang w:val="en-GB"/>
        </w:rPr>
        <w:t xml:space="preserve">Faculty of Nursing, Physiotherapy and Podiatry, University </w:t>
      </w:r>
      <w:proofErr w:type="spellStart"/>
      <w:r w:rsidR="00A86D5B" w:rsidRPr="00754A30">
        <w:rPr>
          <w:lang w:val="en-GB"/>
        </w:rPr>
        <w:t>Complutense</w:t>
      </w:r>
      <w:proofErr w:type="spellEnd"/>
      <w:r w:rsidR="00A86D5B" w:rsidRPr="00754A30">
        <w:rPr>
          <w:lang w:val="en-GB"/>
        </w:rPr>
        <w:t xml:space="preserve"> of Madrid, Madrid,</w:t>
      </w:r>
      <w:r w:rsidR="00723F1C" w:rsidRPr="00723F1C">
        <w:t xml:space="preserve"> </w:t>
      </w:r>
      <w:r w:rsidR="00723F1C" w:rsidRPr="00723F1C">
        <w:rPr>
          <w:lang w:val="en-GB"/>
        </w:rPr>
        <w:t>28040</w:t>
      </w:r>
      <w:r w:rsidR="00723F1C">
        <w:rPr>
          <w:lang w:val="en-GB"/>
        </w:rPr>
        <w:t xml:space="preserve">; </w:t>
      </w:r>
      <w:hyperlink r:id="rId10" w:history="1">
        <w:r w:rsidR="00723F1C" w:rsidRPr="00AC6B53">
          <w:rPr>
            <w:rStyle w:val="Hipervnculo"/>
            <w:lang w:val="en-GB"/>
          </w:rPr>
          <w:t>ameneses@enf.ucm.es</w:t>
        </w:r>
      </w:hyperlink>
      <w:r w:rsidR="00723F1C">
        <w:rPr>
          <w:lang w:val="en-GB"/>
        </w:rPr>
        <w:t xml:space="preserve"> (A.M.)</w:t>
      </w:r>
    </w:p>
    <w:p w14:paraId="456321C4" w14:textId="430078D8" w:rsidR="003F747E" w:rsidRPr="00843BF4" w:rsidRDefault="003F747E" w:rsidP="00522304">
      <w:pPr>
        <w:pStyle w:val="MDPI16affiliation"/>
      </w:pPr>
      <w:r w:rsidRPr="00843BF4">
        <w:rPr>
          <w:vertAlign w:val="superscript"/>
        </w:rPr>
        <w:t>4</w:t>
      </w:r>
      <w:r w:rsidRPr="00843BF4">
        <w:rPr>
          <w:vertAlign w:val="superscript"/>
        </w:rPr>
        <w:tab/>
      </w:r>
      <w:r w:rsidR="00A86D5B" w:rsidRPr="00843BF4">
        <w:t>Department of Internal Medicine, Costa del Sol Hospital, Marbella, Malaga,</w:t>
      </w:r>
      <w:r w:rsidR="00723F1C" w:rsidRPr="00843BF4">
        <w:t xml:space="preserve"> 29603; </w:t>
      </w:r>
      <w:hyperlink r:id="rId11" w:history="1">
        <w:r w:rsidR="00723F1C" w:rsidRPr="00843BF4">
          <w:rPr>
            <w:rStyle w:val="Hipervnculo"/>
          </w:rPr>
          <w:t>maranda@hcs.es</w:t>
        </w:r>
      </w:hyperlink>
      <w:r w:rsidR="00723F1C" w:rsidRPr="00843BF4">
        <w:t xml:space="preserve"> (M.A-G.)</w:t>
      </w:r>
    </w:p>
    <w:p w14:paraId="668B9021" w14:textId="56051065" w:rsidR="003F747E" w:rsidRPr="00A86D5B" w:rsidRDefault="003F747E" w:rsidP="00522304">
      <w:pPr>
        <w:pStyle w:val="MDPI16affiliation"/>
      </w:pPr>
      <w:r w:rsidRPr="00843BF4">
        <w:rPr>
          <w:vertAlign w:val="superscript"/>
        </w:rPr>
        <w:t>5</w:t>
      </w:r>
      <w:r w:rsidRPr="00843BF4">
        <w:tab/>
      </w:r>
      <w:r w:rsidR="00A86D5B" w:rsidRPr="00843BF4">
        <w:t xml:space="preserve">Madrid Healthcare System, Madrid, 28823; </w:t>
      </w:r>
      <w:hyperlink r:id="rId12" w:history="1">
        <w:r w:rsidR="00A86D5B" w:rsidRPr="00843BF4">
          <w:rPr>
            <w:rStyle w:val="Hipervnculo"/>
          </w:rPr>
          <w:t>lorenabarbara1805@gmail.com</w:t>
        </w:r>
      </w:hyperlink>
      <w:r w:rsidR="00A86D5B" w:rsidRPr="00843BF4">
        <w:t xml:space="preserve"> (L.L.)</w:t>
      </w:r>
    </w:p>
    <w:p w14:paraId="042EAC9C" w14:textId="485EF5FD" w:rsidR="003F747E" w:rsidRDefault="003F747E" w:rsidP="00522304">
      <w:pPr>
        <w:pStyle w:val="MDPI16affiliation"/>
      </w:pPr>
      <w:r>
        <w:rPr>
          <w:vertAlign w:val="superscript"/>
        </w:rPr>
        <w:t>6</w:t>
      </w:r>
      <w:r>
        <w:rPr>
          <w:vertAlign w:val="superscript"/>
        </w:rPr>
        <w:tab/>
      </w:r>
      <w:r w:rsidR="00A86D5B" w:rsidRPr="00754A30">
        <w:rPr>
          <w:lang w:val="en-GB"/>
        </w:rPr>
        <w:t>Navarra Healthcare System, Navarra,</w:t>
      </w:r>
      <w:r w:rsidR="00A86D5B">
        <w:rPr>
          <w:lang w:val="en-GB"/>
        </w:rPr>
        <w:t xml:space="preserve"> 31008; </w:t>
      </w:r>
      <w:hyperlink r:id="rId13" w:history="1">
        <w:r w:rsidR="00A86D5B" w:rsidRPr="00AC6B53">
          <w:rPr>
            <w:rStyle w:val="Hipervnculo"/>
            <w:lang w:val="en-GB"/>
          </w:rPr>
          <w:t>eugenia.ursua.sesma@navarra.es</w:t>
        </w:r>
      </w:hyperlink>
      <w:r w:rsidR="00A86D5B">
        <w:rPr>
          <w:lang w:val="en-GB"/>
        </w:rPr>
        <w:t xml:space="preserve"> (M.E.U.)</w:t>
      </w:r>
    </w:p>
    <w:p w14:paraId="34778419" w14:textId="0F0EC47B" w:rsidR="003F747E" w:rsidRPr="003F747E" w:rsidRDefault="003F747E" w:rsidP="003F747E">
      <w:pPr>
        <w:pStyle w:val="MDPI16affiliation"/>
        <w:rPr>
          <w:color w:val="auto"/>
          <w:shd w:val="clear" w:color="auto" w:fill="FFFFFF"/>
          <w:lang w:eastAsia="es-ES"/>
        </w:rPr>
      </w:pPr>
      <w:r>
        <w:rPr>
          <w:vertAlign w:val="superscript"/>
        </w:rPr>
        <w:t xml:space="preserve">7 </w:t>
      </w:r>
      <w:r>
        <w:tab/>
      </w:r>
      <w:r w:rsidRPr="00BB06D9">
        <w:rPr>
          <w:color w:val="auto"/>
          <w:shd w:val="clear" w:color="auto" w:fill="FFFFFF"/>
          <w:lang w:eastAsia="es-ES"/>
        </w:rPr>
        <w:t xml:space="preserve">Faculty of Medicine, Autonomous University of Madrid, Madrid, 28029; </w:t>
      </w:r>
      <w:hyperlink r:id="rId14" w:history="1">
        <w:r w:rsidRPr="00AC6B53">
          <w:rPr>
            <w:rStyle w:val="Hipervnculo"/>
            <w:shd w:val="clear" w:color="auto" w:fill="FFFFFF"/>
            <w:lang w:eastAsia="es-ES"/>
          </w:rPr>
          <w:t>maria.navarta@uam.es</w:t>
        </w:r>
      </w:hyperlink>
      <w:r>
        <w:rPr>
          <w:shd w:val="clear" w:color="auto" w:fill="FFFFFF"/>
          <w:lang w:eastAsia="es-ES"/>
        </w:rPr>
        <w:t xml:space="preserve"> </w:t>
      </w:r>
      <w:r w:rsidRPr="00BB06D9">
        <w:rPr>
          <w:color w:val="auto"/>
          <w:shd w:val="clear" w:color="auto" w:fill="FFFFFF"/>
          <w:lang w:eastAsia="es-ES"/>
        </w:rPr>
        <w:t>(M.V.N-S.)</w:t>
      </w:r>
    </w:p>
    <w:p w14:paraId="50BDB49A" w14:textId="5F1FE8F7" w:rsidR="003F747E" w:rsidRDefault="003F747E" w:rsidP="00522304">
      <w:pPr>
        <w:pStyle w:val="MDPI16affiliation"/>
        <w:rPr>
          <w:vertAlign w:val="superscript"/>
        </w:rPr>
      </w:pPr>
      <w:r>
        <w:rPr>
          <w:vertAlign w:val="superscript"/>
        </w:rPr>
        <w:t>8</w:t>
      </w:r>
      <w:r>
        <w:rPr>
          <w:vertAlign w:val="superscript"/>
        </w:rPr>
        <w:tab/>
      </w:r>
      <w:r w:rsidR="00A86D5B" w:rsidRPr="003F747E">
        <w:t>NIHR ARC Wessex and Faculty of Health Sciences, University of Southampton, SO17 1BJ;</w:t>
      </w:r>
      <w:r w:rsidR="006C15A8">
        <w:t xml:space="preserve"> </w:t>
      </w:r>
      <w:hyperlink r:id="rId15" w:history="1">
        <w:r w:rsidR="006C15A8" w:rsidRPr="00AC6B53">
          <w:rPr>
            <w:rStyle w:val="Hipervnculo"/>
          </w:rPr>
          <w:t>M.C.Portillo-Vega@soton.ac.uk</w:t>
        </w:r>
      </w:hyperlink>
      <w:r w:rsidR="006C15A8">
        <w:t xml:space="preserve"> (M.C.P.)</w:t>
      </w:r>
    </w:p>
    <w:p w14:paraId="3095CA5A" w14:textId="27EA4517" w:rsidR="003F747E" w:rsidRPr="003F747E" w:rsidRDefault="003F747E" w:rsidP="00522304">
      <w:pPr>
        <w:pStyle w:val="MDPI16affiliation"/>
      </w:pPr>
      <w:r w:rsidRPr="003F747E">
        <w:rPr>
          <w:vertAlign w:val="superscript"/>
        </w:rPr>
        <w:t>9</w:t>
      </w:r>
      <w:r w:rsidRPr="003F747E">
        <w:rPr>
          <w:vertAlign w:val="superscript"/>
        </w:rPr>
        <w:tab/>
      </w:r>
      <w:r w:rsidRPr="003F747E">
        <w:t xml:space="preserve">NIHR ARC Wessex and Faculty of Health Sciences, University of Southampton, SO17 1BJ; </w:t>
      </w:r>
      <w:hyperlink r:id="rId16" w:history="1">
        <w:r w:rsidRPr="003F747E">
          <w:rPr>
            <w:rStyle w:val="Hipervnculo"/>
          </w:rPr>
          <w:t>lag1v19@soton.ac.uk</w:t>
        </w:r>
      </w:hyperlink>
      <w:r w:rsidRPr="003F747E">
        <w:t xml:space="preserve"> (L.A.)</w:t>
      </w:r>
    </w:p>
    <w:p w14:paraId="68DF5459" w14:textId="2C9B09D6" w:rsidR="00522304" w:rsidRPr="003F747E" w:rsidRDefault="00522304" w:rsidP="00522304">
      <w:pPr>
        <w:pStyle w:val="MDPI16affiliation"/>
      </w:pPr>
      <w:r w:rsidRPr="003F747E">
        <w:rPr>
          <w:b/>
        </w:rPr>
        <w:t>*</w:t>
      </w:r>
      <w:r w:rsidRPr="003F747E">
        <w:tab/>
        <w:t xml:space="preserve">Correspondence: </w:t>
      </w:r>
      <w:hyperlink r:id="rId17" w:history="1">
        <w:r w:rsidR="003F747E" w:rsidRPr="003F747E">
          <w:rPr>
            <w:rStyle w:val="Hipervnculo"/>
          </w:rPr>
          <w:t>lag1v19@soton.ac.uk</w:t>
        </w:r>
      </w:hyperlink>
    </w:p>
    <w:p w14:paraId="65F11EE0" w14:textId="0E901E89" w:rsidR="002A558B" w:rsidRPr="003A1A6C" w:rsidRDefault="3599349A" w:rsidP="002A558B">
      <w:pPr>
        <w:pStyle w:val="MDPI17abstract"/>
        <w:rPr>
          <w:color w:val="000000" w:themeColor="text1"/>
        </w:rPr>
      </w:pPr>
      <w:r w:rsidRPr="5E70B5F7">
        <w:rPr>
          <w:b/>
          <w:bCs/>
        </w:rPr>
        <w:t xml:space="preserve">Abstract: </w:t>
      </w:r>
      <w:r w:rsidR="4038245E">
        <w:t xml:space="preserve">It </w:t>
      </w:r>
      <w:r w:rsidR="4038245E" w:rsidRPr="003A1A6C">
        <w:rPr>
          <w:color w:val="000000" w:themeColor="text1"/>
        </w:rPr>
        <w:t>is essential that healthcare and social professionals understand how the daily life of people with</w:t>
      </w:r>
      <w:r w:rsidR="3903952D" w:rsidRPr="003A1A6C">
        <w:rPr>
          <w:color w:val="000000" w:themeColor="text1"/>
        </w:rPr>
        <w:t xml:space="preserve"> chronic disease</w:t>
      </w:r>
      <w:r w:rsidR="00A2724F" w:rsidRPr="003A1A6C">
        <w:rPr>
          <w:color w:val="000000" w:themeColor="text1"/>
        </w:rPr>
        <w:t xml:space="preserve">s </w:t>
      </w:r>
      <w:r w:rsidR="4038245E" w:rsidRPr="003A1A6C">
        <w:rPr>
          <w:color w:val="000000" w:themeColor="text1"/>
        </w:rPr>
        <w:t>are and the variables influencing it. The aim is to</w:t>
      </w:r>
      <w:r w:rsidR="50683BB6" w:rsidRPr="003A1A6C">
        <w:rPr>
          <w:color w:val="000000" w:themeColor="text1"/>
        </w:rPr>
        <w:t xml:space="preserve"> identify the determinants influencing the process of living with long-term conditions. An observational, international, cross-sectional study was carried out. A consecutive sample of 1,788 Spanish-speaking population living with chronic obstructive pulmonary disease, chronic heart failure and type 2 diabetes mellitus were included. Descriptive statistics and multiple linear regression models were performed. </w:t>
      </w:r>
      <w:r w:rsidR="7691A4B2" w:rsidRPr="003A1A6C">
        <w:rPr>
          <w:color w:val="000000" w:themeColor="text1"/>
        </w:rPr>
        <w:t>T</w:t>
      </w:r>
      <w:r w:rsidR="50683BB6" w:rsidRPr="003A1A6C">
        <w:rPr>
          <w:color w:val="000000" w:themeColor="text1"/>
        </w:rPr>
        <w:t>he linear regression models identified the social support (β=0.39, p&lt;0.001) and the satisfaction with life (β=0.37, p&lt;0.001) as the main determinants in the process of living with a long-term condition (49% of the variance). Age (β=-0.08, p=0.01) and disease duration (β=0.07, p=0.01) were determinants only in the chronic heart failure subgroup, and country was significant in the chronic obstructive pulmonary disease subgroup (β=-0.15, p=0.002). Satisfaction with life and social support are key determinants influencing the process of living with long-term conditions and those aspects should be included in the design of interventions focused on the achievement of a positive living in people with long-term conditions.</w:t>
      </w:r>
    </w:p>
    <w:p w14:paraId="3DB74F44" w14:textId="5D04667B" w:rsidR="00522304" w:rsidRPr="003A1A6C" w:rsidRDefault="3599349A" w:rsidP="5E70B5F7">
      <w:pPr>
        <w:pStyle w:val="MDPI17abstract"/>
        <w:rPr>
          <w:color w:val="000000" w:themeColor="text1"/>
        </w:rPr>
      </w:pPr>
      <w:r w:rsidRPr="003A1A6C">
        <w:rPr>
          <w:b/>
          <w:bCs/>
          <w:color w:val="000000" w:themeColor="text1"/>
        </w:rPr>
        <w:t xml:space="preserve">Keywords: </w:t>
      </w:r>
      <w:r w:rsidR="416D4009" w:rsidRPr="003A1A6C">
        <w:rPr>
          <w:color w:val="000000" w:themeColor="text1"/>
        </w:rPr>
        <w:t xml:space="preserve">Chronic </w:t>
      </w:r>
      <w:r w:rsidR="69E27154" w:rsidRPr="003A1A6C">
        <w:rPr>
          <w:color w:val="000000" w:themeColor="text1"/>
        </w:rPr>
        <w:t>D</w:t>
      </w:r>
      <w:r w:rsidR="416D4009" w:rsidRPr="003A1A6C">
        <w:rPr>
          <w:color w:val="000000" w:themeColor="text1"/>
        </w:rPr>
        <w:t>isease</w:t>
      </w:r>
      <w:r w:rsidR="279C6F5F" w:rsidRPr="003A1A6C">
        <w:rPr>
          <w:color w:val="000000" w:themeColor="text1"/>
        </w:rPr>
        <w:t>;</w:t>
      </w:r>
      <w:r w:rsidR="416D4009" w:rsidRPr="003A1A6C">
        <w:rPr>
          <w:color w:val="000000" w:themeColor="text1"/>
        </w:rPr>
        <w:t xml:space="preserve"> </w:t>
      </w:r>
      <w:r w:rsidR="6F75893A" w:rsidRPr="003A1A6C">
        <w:rPr>
          <w:color w:val="000000" w:themeColor="text1"/>
        </w:rPr>
        <w:t>Determinants; person-</w:t>
      </w:r>
      <w:proofErr w:type="spellStart"/>
      <w:r w:rsidR="6F75893A" w:rsidRPr="003A1A6C">
        <w:rPr>
          <w:color w:val="000000" w:themeColor="text1"/>
        </w:rPr>
        <w:t>centred</w:t>
      </w:r>
      <w:proofErr w:type="spellEnd"/>
      <w:r w:rsidR="6F75893A" w:rsidRPr="003A1A6C">
        <w:rPr>
          <w:color w:val="000000" w:themeColor="text1"/>
        </w:rPr>
        <w:t xml:space="preserve"> care;</w:t>
      </w:r>
      <w:r w:rsidR="6F75893A" w:rsidRPr="003A1A6C">
        <w:rPr>
          <w:rFonts w:ascii="Arial" w:eastAsia="Arial" w:hAnsi="Arial" w:cs="Arial"/>
          <w:color w:val="000000" w:themeColor="text1"/>
          <w:sz w:val="19"/>
          <w:szCs w:val="19"/>
        </w:rPr>
        <w:t xml:space="preserve"> </w:t>
      </w:r>
      <w:r w:rsidR="6F75893A" w:rsidRPr="003A1A6C">
        <w:rPr>
          <w:rFonts w:eastAsia="Palatino Linotype" w:cs="Palatino Linotype"/>
          <w:color w:val="000000" w:themeColor="text1"/>
          <w:sz w:val="19"/>
          <w:szCs w:val="19"/>
        </w:rPr>
        <w:t>Cross-Sectional</w:t>
      </w:r>
      <w:r w:rsidR="6F75893A" w:rsidRPr="003A1A6C">
        <w:rPr>
          <w:rFonts w:ascii="Arial" w:eastAsia="Arial" w:hAnsi="Arial" w:cs="Arial"/>
          <w:color w:val="000000" w:themeColor="text1"/>
          <w:sz w:val="19"/>
          <w:szCs w:val="19"/>
        </w:rPr>
        <w:t xml:space="preserve"> </w:t>
      </w:r>
      <w:r w:rsidR="6F75893A" w:rsidRPr="003A1A6C">
        <w:rPr>
          <w:rFonts w:eastAsia="Palatino Linotype" w:cs="Palatino Linotype"/>
          <w:color w:val="000000" w:themeColor="text1"/>
          <w:sz w:val="19"/>
          <w:szCs w:val="19"/>
        </w:rPr>
        <w:t>Studies</w:t>
      </w:r>
      <w:r w:rsidR="50683BB6" w:rsidRPr="003A1A6C">
        <w:rPr>
          <w:color w:val="000000" w:themeColor="text1"/>
        </w:rPr>
        <w:t>.</w:t>
      </w:r>
    </w:p>
    <w:p w14:paraId="3C68B3BA" w14:textId="77777777" w:rsidR="00522304" w:rsidRPr="003A1A6C" w:rsidRDefault="00522304" w:rsidP="00522304">
      <w:pPr>
        <w:pStyle w:val="MDPI19line"/>
        <w:rPr>
          <w:color w:val="000000" w:themeColor="text1"/>
        </w:rPr>
      </w:pPr>
    </w:p>
    <w:p w14:paraId="30ABC4D7" w14:textId="77777777" w:rsidR="00522304" w:rsidRPr="003A1A6C" w:rsidRDefault="00522304" w:rsidP="00F64E0B">
      <w:pPr>
        <w:pStyle w:val="MDPI21heading1"/>
        <w:ind w:left="0"/>
        <w:rPr>
          <w:color w:val="000000" w:themeColor="text1"/>
          <w:lang w:eastAsia="zh-CN"/>
        </w:rPr>
      </w:pPr>
      <w:r w:rsidRPr="003A1A6C">
        <w:rPr>
          <w:color w:val="000000" w:themeColor="text1"/>
          <w:lang w:eastAsia="zh-CN"/>
        </w:rPr>
        <w:t>1. Introduction</w:t>
      </w:r>
    </w:p>
    <w:p w14:paraId="73D60BB3" w14:textId="4060294B" w:rsidR="002A558B" w:rsidRPr="003A1A6C" w:rsidRDefault="50683BB6" w:rsidP="002A558B">
      <w:pPr>
        <w:pStyle w:val="MDPI21heading1"/>
        <w:ind w:firstLine="452"/>
        <w:jc w:val="both"/>
        <w:rPr>
          <w:b w:val="0"/>
          <w:color w:val="000000" w:themeColor="text1"/>
        </w:rPr>
      </w:pPr>
      <w:r w:rsidRPr="003A1A6C">
        <w:rPr>
          <w:b w:val="0"/>
          <w:color w:val="000000" w:themeColor="text1"/>
        </w:rPr>
        <w:t xml:space="preserve">Changes in life expectancy, demographics, lifestyles, </w:t>
      </w:r>
      <w:proofErr w:type="gramStart"/>
      <w:r w:rsidRPr="003A1A6C">
        <w:rPr>
          <w:b w:val="0"/>
          <w:color w:val="000000" w:themeColor="text1"/>
        </w:rPr>
        <w:t>healthcare</w:t>
      </w:r>
      <w:proofErr w:type="gramEnd"/>
      <w:r w:rsidRPr="003A1A6C">
        <w:rPr>
          <w:b w:val="0"/>
          <w:color w:val="000000" w:themeColor="text1"/>
        </w:rPr>
        <w:t xml:space="preserve"> and social factors over the last century have led to a significant increase in </w:t>
      </w:r>
      <w:r w:rsidR="41A35F6A" w:rsidRPr="003A1A6C">
        <w:rPr>
          <w:b w:val="0"/>
          <w:color w:val="000000" w:themeColor="text1"/>
        </w:rPr>
        <w:t xml:space="preserve">chronic diseases or </w:t>
      </w:r>
      <w:r w:rsidRPr="003A1A6C">
        <w:rPr>
          <w:b w:val="0"/>
          <w:color w:val="000000" w:themeColor="text1"/>
        </w:rPr>
        <w:t xml:space="preserve">long-term conditions (LTCs) worldwide [1]. LTCs constitute one of the greatest challenges for the healthcare and social systems and are currently the leading cause of disability, </w:t>
      </w:r>
      <w:proofErr w:type="gramStart"/>
      <w:r w:rsidRPr="003A1A6C">
        <w:rPr>
          <w:b w:val="0"/>
          <w:color w:val="000000" w:themeColor="text1"/>
        </w:rPr>
        <w:t>morbidity</w:t>
      </w:r>
      <w:proofErr w:type="gramEnd"/>
      <w:r w:rsidRPr="003A1A6C">
        <w:rPr>
          <w:b w:val="0"/>
          <w:color w:val="000000" w:themeColor="text1"/>
        </w:rPr>
        <w:t xml:space="preserve"> and costs [1]. Moreover, the projections of global mortality and burden of diseases in the coming years estimate that LTCs will account for approximately three-quarters of all deaths globally in 2030 with a huge socioeconomic impact due to the exorbitant costs of often lengthy and expensive treatments [1,2]. Therefore, there is a growing need for the </w:t>
      </w:r>
      <w:r w:rsidRPr="003A1A6C">
        <w:rPr>
          <w:b w:val="0"/>
          <w:color w:val="000000" w:themeColor="text1"/>
        </w:rPr>
        <w:lastRenderedPageBreak/>
        <w:t xml:space="preserve">development of well-coordinated and cost-effective long-term care policies to address the consequences of this situation [3]. </w:t>
      </w:r>
    </w:p>
    <w:p w14:paraId="758BBB13" w14:textId="5AEDC4D0" w:rsidR="002A558B" w:rsidRPr="003A1A6C" w:rsidRDefault="50683BB6" w:rsidP="002A558B">
      <w:pPr>
        <w:pStyle w:val="MDPI21heading1"/>
        <w:ind w:firstLine="452"/>
        <w:jc w:val="both"/>
        <w:rPr>
          <w:b w:val="0"/>
          <w:color w:val="000000" w:themeColor="text1"/>
        </w:rPr>
      </w:pPr>
      <w:r w:rsidRPr="003A1A6C">
        <w:rPr>
          <w:b w:val="0"/>
          <w:color w:val="000000" w:themeColor="text1"/>
        </w:rPr>
        <w:t xml:space="preserve">Among LTCs, chronic heart failure (HF), chronic obstructive pulmonary disease (COPD) and type 2 diabetes mellitus (T2DM) are the three most prevalent chronic conditions, constituting the principal causes of death worldwide [1,4]. HF is leading the LTC, with a prevalence of 10% in individuals older than 70 years [1,4,5]. COPD has become the third leading cause of death worldwide, with a prevalence of 251 million cases according to the Global Burden of Disease Study [4,6,7]. T2DM ranks seventh among the principal causes of death and its incidence has been estimated to increase to 693 million by 2045 [8].  </w:t>
      </w:r>
    </w:p>
    <w:p w14:paraId="0C94BB38" w14:textId="2B233F9F" w:rsidR="002A558B" w:rsidRPr="003A1A6C" w:rsidRDefault="50683BB6" w:rsidP="002A558B">
      <w:pPr>
        <w:pStyle w:val="MDPI21heading1"/>
        <w:ind w:firstLine="452"/>
        <w:jc w:val="both"/>
        <w:rPr>
          <w:b w:val="0"/>
          <w:color w:val="000000" w:themeColor="text1"/>
        </w:rPr>
      </w:pPr>
      <w:r w:rsidRPr="003A1A6C">
        <w:rPr>
          <w:b w:val="0"/>
          <w:color w:val="000000" w:themeColor="text1"/>
        </w:rPr>
        <w:t>In addition to this, it is important to consider that these conditions progressively worsen over time [2,6], leading people to experience an intensiﬁcation of symptoms and limitations, which affect their daily living, quality of life and satisfaction with life [9,10]. When living with LTCs such as COPD, HF, and T2DM, people must adapt their</w:t>
      </w:r>
      <w:r w:rsidR="4D78FD9B" w:rsidRPr="003A1A6C">
        <w:rPr>
          <w:b w:val="0"/>
          <w:color w:val="000000" w:themeColor="text1"/>
        </w:rPr>
        <w:t xml:space="preserve"> daily</w:t>
      </w:r>
      <w:r w:rsidRPr="003A1A6C">
        <w:rPr>
          <w:b w:val="0"/>
          <w:color w:val="000000" w:themeColor="text1"/>
        </w:rPr>
        <w:t xml:space="preserve"> routines and implement multiple adjustment </w:t>
      </w:r>
      <w:proofErr w:type="spellStart"/>
      <w:r w:rsidRPr="003A1A6C">
        <w:rPr>
          <w:b w:val="0"/>
          <w:color w:val="000000" w:themeColor="text1"/>
        </w:rPr>
        <w:t>behaviours</w:t>
      </w:r>
      <w:proofErr w:type="spellEnd"/>
      <w:r w:rsidRPr="003A1A6C">
        <w:rPr>
          <w:b w:val="0"/>
          <w:color w:val="000000" w:themeColor="text1"/>
        </w:rPr>
        <w:t xml:space="preserve"> [11-13]. The desired outcomes for these people are related to maintaining or improving their functional status, social </w:t>
      </w:r>
      <w:proofErr w:type="gramStart"/>
      <w:r w:rsidRPr="003A1A6C">
        <w:rPr>
          <w:b w:val="0"/>
          <w:color w:val="000000" w:themeColor="text1"/>
        </w:rPr>
        <w:t>life</w:t>
      </w:r>
      <w:proofErr w:type="gramEnd"/>
      <w:r w:rsidRPr="003A1A6C">
        <w:rPr>
          <w:b w:val="0"/>
          <w:color w:val="000000" w:themeColor="text1"/>
        </w:rPr>
        <w:t xml:space="preserve"> and quality of life [9,11,12]. To achieve these goals, it could be helpful to understand how a person lives with a LTC and the determinants that</w:t>
      </w:r>
      <w:r w:rsidR="0FC71336" w:rsidRPr="003A1A6C">
        <w:rPr>
          <w:b w:val="0"/>
          <w:color w:val="000000" w:themeColor="text1"/>
        </w:rPr>
        <w:t xml:space="preserve"> could </w:t>
      </w:r>
      <w:r w:rsidRPr="003A1A6C">
        <w:rPr>
          <w:b w:val="0"/>
          <w:color w:val="000000" w:themeColor="text1"/>
        </w:rPr>
        <w:t xml:space="preserve">impact on this process. According to </w:t>
      </w:r>
      <w:r w:rsidR="0B219C6B" w:rsidRPr="003A1A6C">
        <w:rPr>
          <w:b w:val="0"/>
          <w:color w:val="000000" w:themeColor="text1"/>
        </w:rPr>
        <w:t xml:space="preserve">the </w:t>
      </w:r>
      <w:r w:rsidR="35DEAD6B" w:rsidRPr="003A1A6C">
        <w:rPr>
          <w:b w:val="0"/>
          <w:color w:val="000000" w:themeColor="text1"/>
        </w:rPr>
        <w:t>World</w:t>
      </w:r>
      <w:r w:rsidRPr="003A1A6C">
        <w:rPr>
          <w:b w:val="0"/>
          <w:color w:val="000000" w:themeColor="text1"/>
        </w:rPr>
        <w:t xml:space="preserve"> Health Organization [14]</w:t>
      </w:r>
      <w:r w:rsidR="41DEA86F" w:rsidRPr="003A1A6C">
        <w:rPr>
          <w:b w:val="0"/>
          <w:color w:val="000000" w:themeColor="text1"/>
        </w:rPr>
        <w:t>,</w:t>
      </w:r>
      <w:r w:rsidRPr="003A1A6C">
        <w:rPr>
          <w:b w:val="0"/>
          <w:color w:val="000000" w:themeColor="text1"/>
        </w:rPr>
        <w:t xml:space="preserve"> </w:t>
      </w:r>
      <w:r w:rsidR="00047FFA" w:rsidRPr="00047FFA">
        <w:rPr>
          <w:b w:val="0"/>
          <w:color w:val="FF0000"/>
        </w:rPr>
        <w:t xml:space="preserve">social </w:t>
      </w:r>
      <w:r w:rsidRPr="00047FFA">
        <w:rPr>
          <w:b w:val="0"/>
          <w:color w:val="FF0000"/>
        </w:rPr>
        <w:t xml:space="preserve">determinants of health </w:t>
      </w:r>
      <w:r w:rsidRPr="003A1A6C">
        <w:rPr>
          <w:b w:val="0"/>
          <w:color w:val="000000" w:themeColor="text1"/>
        </w:rPr>
        <w:t xml:space="preserve">are defined as “the conditions in which people are born, grow, work, live and the set of forces and systems shaping the conditions of daily life”. In this sense, determinants encompass a wide array of variables that include social factors and similar broadly defined factors [15]. Living with LTCs is understood as a complex process that includes several inner individual aspects [16]. It is not a static and linear process </w:t>
      </w:r>
      <w:r w:rsidR="68EAB06A" w:rsidRPr="003A1A6C">
        <w:rPr>
          <w:b w:val="0"/>
          <w:color w:val="000000" w:themeColor="text1"/>
        </w:rPr>
        <w:t>as</w:t>
      </w:r>
      <w:r w:rsidRPr="003A1A6C">
        <w:rPr>
          <w:b w:val="0"/>
          <w:color w:val="000000" w:themeColor="text1"/>
        </w:rPr>
        <w:t xml:space="preserve"> people could shift through its different attributes moving from negative to positive living and vice versa [16].</w:t>
      </w:r>
    </w:p>
    <w:p w14:paraId="40DF1BCD" w14:textId="08748738" w:rsidR="002A558B" w:rsidRPr="003A1A6C" w:rsidRDefault="50683BB6" w:rsidP="002A558B">
      <w:pPr>
        <w:pStyle w:val="MDPI21heading1"/>
        <w:ind w:firstLine="452"/>
        <w:jc w:val="both"/>
        <w:rPr>
          <w:b w:val="0"/>
          <w:color w:val="000000" w:themeColor="text1"/>
        </w:rPr>
      </w:pPr>
      <w:r w:rsidRPr="003A1A6C">
        <w:rPr>
          <w:b w:val="0"/>
          <w:color w:val="000000" w:themeColor="text1"/>
        </w:rPr>
        <w:t xml:space="preserve">It is essential that healthcare and social professionals understand how the daily life of people with LTCs </w:t>
      </w:r>
      <w:r w:rsidR="03ABD281" w:rsidRPr="003A1A6C">
        <w:rPr>
          <w:b w:val="0"/>
          <w:color w:val="000000" w:themeColor="text1"/>
        </w:rPr>
        <w:t>is</w:t>
      </w:r>
      <w:r w:rsidRPr="003A1A6C">
        <w:rPr>
          <w:b w:val="0"/>
          <w:color w:val="000000" w:themeColor="text1"/>
        </w:rPr>
        <w:t xml:space="preserve"> and the variables influencing it. This understanding will generate the required knowledge to provide comprehensive, individualized and person-</w:t>
      </w:r>
      <w:proofErr w:type="spellStart"/>
      <w:r w:rsidRPr="003A1A6C">
        <w:rPr>
          <w:b w:val="0"/>
          <w:color w:val="000000" w:themeColor="text1"/>
        </w:rPr>
        <w:t>centred</w:t>
      </w:r>
      <w:proofErr w:type="spellEnd"/>
      <w:r w:rsidRPr="003A1A6C">
        <w:rPr>
          <w:b w:val="0"/>
          <w:color w:val="000000" w:themeColor="text1"/>
        </w:rPr>
        <w:t xml:space="preserve"> care for those living with LTCs [17,18]. Until now, recent research has studied the variables related to a better quality of life or satisfaction with life in people living with LTCs [19-22]. These variables include age, gender, marital </w:t>
      </w:r>
      <w:proofErr w:type="gramStart"/>
      <w:r w:rsidRPr="003A1A6C">
        <w:rPr>
          <w:b w:val="0"/>
          <w:color w:val="000000" w:themeColor="text1"/>
        </w:rPr>
        <w:t>status</w:t>
      </w:r>
      <w:proofErr w:type="gramEnd"/>
      <w:r w:rsidRPr="003A1A6C">
        <w:rPr>
          <w:b w:val="0"/>
          <w:color w:val="000000" w:themeColor="text1"/>
        </w:rPr>
        <w:t xml:space="preserve"> and educational level [20,21], disease duration, symptom management and multimorbidity [19,22], social support </w:t>
      </w:r>
      <w:r w:rsidRPr="00442F7E">
        <w:rPr>
          <w:b w:val="0"/>
          <w:color w:val="FF0000"/>
        </w:rPr>
        <w:t xml:space="preserve">[23,24] </w:t>
      </w:r>
      <w:r w:rsidRPr="003A1A6C">
        <w:rPr>
          <w:b w:val="0"/>
          <w:color w:val="000000" w:themeColor="text1"/>
        </w:rPr>
        <w:t>and satisfaction with life [25]. Based on this</w:t>
      </w:r>
      <w:r w:rsidR="39BAF484" w:rsidRPr="003A1A6C">
        <w:rPr>
          <w:b w:val="0"/>
          <w:color w:val="000000" w:themeColor="text1"/>
        </w:rPr>
        <w:t>,</w:t>
      </w:r>
      <w:r w:rsidRPr="003A1A6C">
        <w:rPr>
          <w:b w:val="0"/>
          <w:color w:val="000000" w:themeColor="text1"/>
        </w:rPr>
        <w:t xml:space="preserve"> to our knowledge, quality of life and satisfaction with life are two main consequences of the complex process of living with LTCs [16]. In this sense, the determinants of quality of life or satisfaction with life should not be generalized to those influencing the process of living with LTCs. Consequently, there is an important gap in studies that identify the determinants of </w:t>
      </w:r>
      <w:r w:rsidR="007B71D1" w:rsidRPr="003A1A6C">
        <w:rPr>
          <w:b w:val="0"/>
          <w:color w:val="000000" w:themeColor="text1"/>
        </w:rPr>
        <w:t xml:space="preserve">the </w:t>
      </w:r>
      <w:r w:rsidRPr="003A1A6C">
        <w:rPr>
          <w:b w:val="0"/>
          <w:color w:val="000000" w:themeColor="text1"/>
        </w:rPr>
        <w:t>process of living with LTCs from a comprehensive view and from the person’s perspective.</w:t>
      </w:r>
    </w:p>
    <w:p w14:paraId="78811820" w14:textId="58E32A9B" w:rsidR="002A558B" w:rsidRPr="003A1A6C" w:rsidRDefault="002A558B" w:rsidP="002A558B">
      <w:pPr>
        <w:pStyle w:val="MDPI21heading1"/>
        <w:ind w:firstLine="452"/>
        <w:jc w:val="both"/>
        <w:rPr>
          <w:b w:val="0"/>
          <w:color w:val="000000" w:themeColor="text1"/>
        </w:rPr>
      </w:pPr>
      <w:r w:rsidRPr="003A1A6C">
        <w:rPr>
          <w:b w:val="0"/>
          <w:color w:val="000000" w:themeColor="text1"/>
        </w:rPr>
        <w:t>The aim of this study is to identify the determinants influencing the process of living with LTCs, such as COPD, HF and T2DM.</w:t>
      </w:r>
    </w:p>
    <w:p w14:paraId="6DA72695" w14:textId="13B90179" w:rsidR="00522304" w:rsidRPr="003A1A6C" w:rsidRDefault="00522304" w:rsidP="002A558B">
      <w:pPr>
        <w:pStyle w:val="MDPI21heading1"/>
        <w:rPr>
          <w:color w:val="000000" w:themeColor="text1"/>
        </w:rPr>
      </w:pPr>
      <w:r w:rsidRPr="003A1A6C">
        <w:rPr>
          <w:color w:val="000000" w:themeColor="text1"/>
          <w:lang w:eastAsia="zh-CN"/>
        </w:rPr>
        <w:t xml:space="preserve">2. </w:t>
      </w:r>
      <w:r w:rsidRPr="003A1A6C">
        <w:rPr>
          <w:color w:val="000000" w:themeColor="text1"/>
        </w:rPr>
        <w:t>Materials and Methods</w:t>
      </w:r>
    </w:p>
    <w:p w14:paraId="3B7A3FD8" w14:textId="05B06C17" w:rsidR="00F64E0B" w:rsidRPr="003A1A6C" w:rsidRDefault="00F64E0B" w:rsidP="002A558B">
      <w:pPr>
        <w:pStyle w:val="MDPI21heading1"/>
        <w:rPr>
          <w:b w:val="0"/>
          <w:bCs/>
          <w:i/>
          <w:iCs/>
          <w:color w:val="000000" w:themeColor="text1"/>
        </w:rPr>
      </w:pPr>
      <w:r w:rsidRPr="003A1A6C">
        <w:rPr>
          <w:b w:val="0"/>
          <w:bCs/>
          <w:i/>
          <w:iCs/>
          <w:color w:val="000000" w:themeColor="text1"/>
        </w:rPr>
        <w:t>2.1. Design</w:t>
      </w:r>
    </w:p>
    <w:p w14:paraId="5C2F6893" w14:textId="02AC9C90" w:rsidR="00F64E0B" w:rsidRPr="003A1A6C" w:rsidRDefault="00F64E0B" w:rsidP="002A558B">
      <w:pPr>
        <w:pStyle w:val="MDPI21heading1"/>
        <w:rPr>
          <w:b w:val="0"/>
          <w:bCs/>
          <w:color w:val="000000" w:themeColor="text1"/>
        </w:rPr>
      </w:pPr>
      <w:r w:rsidRPr="003A1A6C">
        <w:rPr>
          <w:b w:val="0"/>
          <w:bCs/>
          <w:i/>
          <w:iCs/>
          <w:color w:val="000000" w:themeColor="text1"/>
        </w:rPr>
        <w:tab/>
      </w:r>
      <w:r w:rsidRPr="003A1A6C">
        <w:rPr>
          <w:b w:val="0"/>
          <w:bCs/>
          <w:color w:val="000000" w:themeColor="text1"/>
        </w:rPr>
        <w:t>An observational, international, and cross-sectional study [26] was carried out.</w:t>
      </w:r>
    </w:p>
    <w:p w14:paraId="32FF01CD" w14:textId="7985D8E0" w:rsidR="00F64E0B" w:rsidRPr="003A1A6C" w:rsidRDefault="00F64E0B" w:rsidP="002A558B">
      <w:pPr>
        <w:pStyle w:val="MDPI21heading1"/>
        <w:rPr>
          <w:b w:val="0"/>
          <w:bCs/>
          <w:i/>
          <w:iCs/>
          <w:color w:val="000000" w:themeColor="text1"/>
        </w:rPr>
      </w:pPr>
      <w:r w:rsidRPr="003A1A6C">
        <w:rPr>
          <w:b w:val="0"/>
          <w:bCs/>
          <w:i/>
          <w:iCs/>
          <w:color w:val="000000" w:themeColor="text1"/>
        </w:rPr>
        <w:t>2.2. Setting and participants</w:t>
      </w:r>
    </w:p>
    <w:p w14:paraId="1EDE0994" w14:textId="50561014" w:rsidR="00F64E0B" w:rsidRPr="003A1A6C" w:rsidRDefault="00F64E0B" w:rsidP="5E70B5F7">
      <w:pPr>
        <w:pStyle w:val="MDPI21heading1"/>
        <w:rPr>
          <w:b w:val="0"/>
          <w:color w:val="000000" w:themeColor="text1"/>
        </w:rPr>
      </w:pPr>
      <w:r w:rsidRPr="003A1A6C">
        <w:rPr>
          <w:b w:val="0"/>
          <w:bCs/>
          <w:i/>
          <w:iCs/>
          <w:color w:val="000000" w:themeColor="text1"/>
        </w:rPr>
        <w:tab/>
      </w:r>
      <w:r w:rsidR="7691A4B2" w:rsidRPr="003A1A6C">
        <w:rPr>
          <w:b w:val="0"/>
          <w:color w:val="000000" w:themeColor="text1"/>
        </w:rPr>
        <w:t>This was a multicenter study that included public and private hospitals, primary and secondary specialized units,</w:t>
      </w:r>
      <w:r w:rsidR="132B02DB" w:rsidRPr="003A1A6C">
        <w:rPr>
          <w:b w:val="0"/>
          <w:color w:val="000000" w:themeColor="text1"/>
        </w:rPr>
        <w:t xml:space="preserve"> and</w:t>
      </w:r>
      <w:r w:rsidR="7691A4B2" w:rsidRPr="003A1A6C">
        <w:rPr>
          <w:b w:val="0"/>
          <w:color w:val="000000" w:themeColor="text1"/>
        </w:rPr>
        <w:t xml:space="preserve"> patient associations or community groups of Spain </w:t>
      </w:r>
      <w:r w:rsidR="7691A4B2" w:rsidRPr="003A1A6C">
        <w:rPr>
          <w:b w:val="0"/>
          <w:color w:val="000000" w:themeColor="text1"/>
        </w:rPr>
        <w:lastRenderedPageBreak/>
        <w:t>and Colombia.</w:t>
      </w:r>
      <w:r w:rsidR="1609BE97" w:rsidRPr="003A1A6C">
        <w:rPr>
          <w:b w:val="0"/>
          <w:color w:val="000000" w:themeColor="text1"/>
        </w:rPr>
        <w:t xml:space="preserve"> </w:t>
      </w:r>
      <w:r w:rsidR="7691A4B2" w:rsidRPr="003A1A6C">
        <w:rPr>
          <w:b w:val="0"/>
          <w:color w:val="000000" w:themeColor="text1"/>
        </w:rPr>
        <w:t>The sample for this study was composed of outpatients who met the following inclusion and exclusion criteria (Table 1):</w:t>
      </w:r>
    </w:p>
    <w:p w14:paraId="435FE2A8" w14:textId="56023B30" w:rsidR="008333C2" w:rsidRPr="003A1A6C" w:rsidRDefault="008333C2" w:rsidP="008333C2">
      <w:pPr>
        <w:pStyle w:val="MDPI21heading1"/>
        <w:ind w:firstLine="452"/>
        <w:rPr>
          <w:b w:val="0"/>
          <w:bCs/>
          <w:color w:val="000000" w:themeColor="text1"/>
        </w:rPr>
      </w:pPr>
      <w:r w:rsidRPr="003A1A6C">
        <w:rPr>
          <w:color w:val="000000" w:themeColor="text1"/>
        </w:rPr>
        <w:t>Table 1</w:t>
      </w:r>
      <w:r w:rsidRPr="003A1A6C">
        <w:rPr>
          <w:b w:val="0"/>
          <w:bCs/>
          <w:color w:val="000000" w:themeColor="text1"/>
        </w:rPr>
        <w:t>. Inclusion and exclusion criteria</w:t>
      </w:r>
    </w:p>
    <w:tbl>
      <w:tblPr>
        <w:tblStyle w:val="Tablaconcuadrcula"/>
        <w:tblW w:w="7900" w:type="dxa"/>
        <w:tblInd w:w="2547" w:type="dxa"/>
        <w:tblLayout w:type="fixed"/>
        <w:tblLook w:val="06A0" w:firstRow="1" w:lastRow="0" w:firstColumn="1" w:lastColumn="0" w:noHBand="1" w:noVBand="1"/>
      </w:tblPr>
      <w:tblGrid>
        <w:gridCol w:w="1306"/>
        <w:gridCol w:w="6594"/>
      </w:tblGrid>
      <w:tr w:rsidR="003A1A6C" w:rsidRPr="003A1A6C" w14:paraId="760A985E" w14:textId="77777777" w:rsidTr="5E70B5F7">
        <w:trPr>
          <w:trHeight w:val="205"/>
        </w:trPr>
        <w:tc>
          <w:tcPr>
            <w:tcW w:w="1306" w:type="dxa"/>
            <w:vMerge w:val="restart"/>
            <w:tcBorders>
              <w:left w:val="dashSmallGap" w:sz="4" w:space="0" w:color="auto"/>
              <w:right w:val="dashSmallGap" w:sz="4" w:space="0" w:color="auto"/>
            </w:tcBorders>
            <w:vAlign w:val="center"/>
          </w:tcPr>
          <w:p w14:paraId="2D6DE76E" w14:textId="77777777" w:rsidR="008333C2" w:rsidRPr="003A1A6C" w:rsidRDefault="008333C2" w:rsidP="008333C2">
            <w:pPr>
              <w:spacing w:line="240" w:lineRule="auto"/>
              <w:rPr>
                <w:b/>
                <w:bCs/>
                <w:color w:val="000000" w:themeColor="text1"/>
                <w:sz w:val="18"/>
                <w:szCs w:val="18"/>
                <w:lang w:val="en-GB"/>
              </w:rPr>
            </w:pPr>
            <w:r w:rsidRPr="003A1A6C">
              <w:rPr>
                <w:b/>
                <w:bCs/>
                <w:color w:val="000000" w:themeColor="text1"/>
                <w:sz w:val="18"/>
                <w:szCs w:val="18"/>
                <w:lang w:val="en-GB"/>
              </w:rPr>
              <w:t>Inclusion criteria</w:t>
            </w:r>
          </w:p>
        </w:tc>
        <w:tc>
          <w:tcPr>
            <w:tcW w:w="6594" w:type="dxa"/>
            <w:tcBorders>
              <w:left w:val="dashSmallGap" w:sz="4" w:space="0" w:color="auto"/>
              <w:bottom w:val="dashSmallGap" w:sz="4" w:space="0" w:color="auto"/>
              <w:right w:val="dashSmallGap" w:sz="4" w:space="0" w:color="auto"/>
            </w:tcBorders>
            <w:vAlign w:val="center"/>
          </w:tcPr>
          <w:p w14:paraId="6C54388E" w14:textId="77777777" w:rsidR="008333C2" w:rsidRPr="003A1A6C" w:rsidRDefault="008333C2" w:rsidP="008333C2">
            <w:pPr>
              <w:spacing w:line="240" w:lineRule="auto"/>
              <w:rPr>
                <w:color w:val="000000" w:themeColor="text1"/>
                <w:sz w:val="18"/>
                <w:szCs w:val="18"/>
                <w:vertAlign w:val="superscript"/>
                <w:lang w:val="en-GB"/>
              </w:rPr>
            </w:pPr>
            <w:r w:rsidRPr="003A1A6C">
              <w:rPr>
                <w:color w:val="000000" w:themeColor="text1"/>
                <w:sz w:val="18"/>
                <w:szCs w:val="18"/>
                <w:lang w:val="en-GB"/>
              </w:rPr>
              <w:t>People diagnosed with COPD, HF or T2DM by General Practitioner, pneumologist, endocrinologist or cardiologist</w:t>
            </w:r>
          </w:p>
        </w:tc>
      </w:tr>
      <w:tr w:rsidR="003A1A6C" w:rsidRPr="003A1A6C" w14:paraId="56360657" w14:textId="77777777" w:rsidTr="5E70B5F7">
        <w:trPr>
          <w:trHeight w:val="162"/>
        </w:trPr>
        <w:tc>
          <w:tcPr>
            <w:tcW w:w="1306" w:type="dxa"/>
            <w:vMerge/>
            <w:vAlign w:val="center"/>
          </w:tcPr>
          <w:p w14:paraId="0F8446DC" w14:textId="77777777" w:rsidR="008333C2" w:rsidRPr="003A1A6C" w:rsidRDefault="008333C2" w:rsidP="008333C2">
            <w:pPr>
              <w:spacing w:line="240" w:lineRule="auto"/>
              <w:rPr>
                <w:color w:val="000000" w:themeColor="text1"/>
                <w:sz w:val="18"/>
                <w:szCs w:val="18"/>
                <w:lang w:val="en-GB"/>
              </w:rPr>
            </w:pPr>
          </w:p>
        </w:tc>
        <w:tc>
          <w:tcPr>
            <w:tcW w:w="6594" w:type="dxa"/>
            <w:tcBorders>
              <w:top w:val="dashSmallGap" w:sz="4" w:space="0" w:color="auto"/>
              <w:left w:val="dashSmallGap" w:sz="4" w:space="0" w:color="auto"/>
              <w:bottom w:val="dashSmallGap" w:sz="4" w:space="0" w:color="auto"/>
              <w:right w:val="dashSmallGap" w:sz="4" w:space="0" w:color="auto"/>
            </w:tcBorders>
            <w:vAlign w:val="center"/>
          </w:tcPr>
          <w:p w14:paraId="609F315F" w14:textId="77777777" w:rsidR="008333C2" w:rsidRPr="003A1A6C" w:rsidRDefault="008333C2" w:rsidP="008333C2">
            <w:pPr>
              <w:spacing w:line="240" w:lineRule="auto"/>
              <w:rPr>
                <w:color w:val="000000" w:themeColor="text1"/>
                <w:sz w:val="18"/>
                <w:szCs w:val="18"/>
                <w:vertAlign w:val="superscript"/>
                <w:lang w:val="en-GB"/>
              </w:rPr>
            </w:pPr>
            <w:r w:rsidRPr="003A1A6C">
              <w:rPr>
                <w:color w:val="000000" w:themeColor="text1"/>
                <w:sz w:val="18"/>
                <w:szCs w:val="18"/>
                <w:lang w:val="en-GB"/>
              </w:rPr>
              <w:t>Native Spanish-speaking population</w:t>
            </w:r>
          </w:p>
        </w:tc>
      </w:tr>
      <w:tr w:rsidR="003A1A6C" w:rsidRPr="003A1A6C" w14:paraId="3E3D4B0D" w14:textId="77777777" w:rsidTr="5E70B5F7">
        <w:trPr>
          <w:trHeight w:val="250"/>
        </w:trPr>
        <w:tc>
          <w:tcPr>
            <w:tcW w:w="1306" w:type="dxa"/>
            <w:vMerge/>
            <w:vAlign w:val="center"/>
          </w:tcPr>
          <w:p w14:paraId="719E28F8" w14:textId="77777777" w:rsidR="008333C2" w:rsidRPr="003A1A6C" w:rsidRDefault="008333C2" w:rsidP="008333C2">
            <w:pPr>
              <w:spacing w:line="240" w:lineRule="auto"/>
              <w:rPr>
                <w:color w:val="000000" w:themeColor="text1"/>
                <w:sz w:val="18"/>
                <w:szCs w:val="18"/>
                <w:lang w:val="en-GB"/>
              </w:rPr>
            </w:pPr>
          </w:p>
        </w:tc>
        <w:tc>
          <w:tcPr>
            <w:tcW w:w="6594" w:type="dxa"/>
            <w:tcBorders>
              <w:top w:val="dashSmallGap" w:sz="4" w:space="0" w:color="auto"/>
              <w:left w:val="dashSmallGap" w:sz="4" w:space="0" w:color="auto"/>
              <w:bottom w:val="dashSmallGap" w:sz="4" w:space="0" w:color="auto"/>
              <w:right w:val="dashSmallGap" w:sz="4" w:space="0" w:color="auto"/>
            </w:tcBorders>
            <w:vAlign w:val="center"/>
          </w:tcPr>
          <w:p w14:paraId="5B96AB7A" w14:textId="77777777" w:rsidR="008333C2" w:rsidRPr="003A1A6C" w:rsidRDefault="008333C2" w:rsidP="008333C2">
            <w:pPr>
              <w:spacing w:line="240" w:lineRule="auto"/>
              <w:rPr>
                <w:color w:val="000000" w:themeColor="text1"/>
                <w:sz w:val="18"/>
                <w:szCs w:val="18"/>
                <w:lang w:val="en-GB"/>
              </w:rPr>
            </w:pPr>
            <w:r w:rsidRPr="003A1A6C">
              <w:rPr>
                <w:color w:val="000000" w:themeColor="text1"/>
                <w:sz w:val="18"/>
                <w:szCs w:val="18"/>
                <w:lang w:val="en-GB"/>
              </w:rPr>
              <w:t>People who were able to read and understand questionnaires properly</w:t>
            </w:r>
          </w:p>
        </w:tc>
      </w:tr>
      <w:tr w:rsidR="003A1A6C" w:rsidRPr="003A1A6C" w14:paraId="3C6BE42B" w14:textId="77777777" w:rsidTr="5E70B5F7">
        <w:trPr>
          <w:trHeight w:val="210"/>
        </w:trPr>
        <w:tc>
          <w:tcPr>
            <w:tcW w:w="1306" w:type="dxa"/>
            <w:vMerge/>
            <w:vAlign w:val="center"/>
          </w:tcPr>
          <w:p w14:paraId="5075027F" w14:textId="77777777" w:rsidR="008333C2" w:rsidRPr="003A1A6C" w:rsidRDefault="008333C2" w:rsidP="008333C2">
            <w:pPr>
              <w:spacing w:line="240" w:lineRule="auto"/>
              <w:rPr>
                <w:color w:val="000000" w:themeColor="text1"/>
                <w:sz w:val="18"/>
                <w:szCs w:val="18"/>
                <w:lang w:val="en-GB"/>
              </w:rPr>
            </w:pPr>
          </w:p>
        </w:tc>
        <w:tc>
          <w:tcPr>
            <w:tcW w:w="6594" w:type="dxa"/>
            <w:tcBorders>
              <w:top w:val="dashSmallGap" w:sz="4" w:space="0" w:color="auto"/>
              <w:left w:val="dashSmallGap" w:sz="4" w:space="0" w:color="auto"/>
              <w:bottom w:val="single" w:sz="4" w:space="0" w:color="auto"/>
              <w:right w:val="dashSmallGap" w:sz="4" w:space="0" w:color="auto"/>
            </w:tcBorders>
            <w:vAlign w:val="center"/>
          </w:tcPr>
          <w:p w14:paraId="33ED94A2" w14:textId="77777777" w:rsidR="008333C2" w:rsidRPr="003A1A6C" w:rsidRDefault="008333C2" w:rsidP="008333C2">
            <w:pPr>
              <w:spacing w:line="240" w:lineRule="auto"/>
              <w:rPr>
                <w:color w:val="000000" w:themeColor="text1"/>
                <w:sz w:val="18"/>
                <w:szCs w:val="18"/>
                <w:lang w:val="en-GB"/>
              </w:rPr>
            </w:pPr>
            <w:r w:rsidRPr="003A1A6C">
              <w:rPr>
                <w:color w:val="000000" w:themeColor="text1"/>
                <w:sz w:val="18"/>
                <w:szCs w:val="18"/>
                <w:lang w:val="en-GB"/>
              </w:rPr>
              <w:t>People who were able to provide informed consent</w:t>
            </w:r>
          </w:p>
        </w:tc>
      </w:tr>
      <w:tr w:rsidR="003A1A6C" w:rsidRPr="003A1A6C" w14:paraId="01BFC9A4" w14:textId="77777777" w:rsidTr="5E70B5F7">
        <w:trPr>
          <w:trHeight w:val="276"/>
        </w:trPr>
        <w:tc>
          <w:tcPr>
            <w:tcW w:w="1306" w:type="dxa"/>
            <w:tcBorders>
              <w:top w:val="single" w:sz="4" w:space="0" w:color="auto"/>
              <w:left w:val="dashSmallGap" w:sz="4" w:space="0" w:color="auto"/>
              <w:right w:val="dashSmallGap" w:sz="4" w:space="0" w:color="auto"/>
            </w:tcBorders>
            <w:vAlign w:val="center"/>
          </w:tcPr>
          <w:p w14:paraId="121D0CE2" w14:textId="77777777" w:rsidR="008333C2" w:rsidRPr="003A1A6C" w:rsidRDefault="008333C2" w:rsidP="008333C2">
            <w:pPr>
              <w:spacing w:line="240" w:lineRule="auto"/>
              <w:rPr>
                <w:b/>
                <w:bCs/>
                <w:color w:val="000000" w:themeColor="text1"/>
                <w:sz w:val="18"/>
                <w:szCs w:val="18"/>
                <w:lang w:val="en-GB"/>
              </w:rPr>
            </w:pPr>
            <w:r w:rsidRPr="003A1A6C">
              <w:rPr>
                <w:b/>
                <w:bCs/>
                <w:color w:val="000000" w:themeColor="text1"/>
                <w:sz w:val="18"/>
                <w:szCs w:val="18"/>
                <w:lang w:val="en-GB"/>
              </w:rPr>
              <w:t>Exclusion criteria</w:t>
            </w:r>
          </w:p>
        </w:tc>
        <w:tc>
          <w:tcPr>
            <w:tcW w:w="6594" w:type="dxa"/>
            <w:tcBorders>
              <w:top w:val="single" w:sz="4" w:space="0" w:color="auto"/>
              <w:left w:val="dashSmallGap" w:sz="4" w:space="0" w:color="auto"/>
              <w:right w:val="dashSmallGap" w:sz="4" w:space="0" w:color="auto"/>
            </w:tcBorders>
            <w:vAlign w:val="center"/>
          </w:tcPr>
          <w:p w14:paraId="7F83E39C" w14:textId="0F524E5B" w:rsidR="008333C2" w:rsidRPr="003A1A6C" w:rsidRDefault="1609BE97" w:rsidP="008333C2">
            <w:pPr>
              <w:spacing w:line="240" w:lineRule="auto"/>
              <w:rPr>
                <w:color w:val="000000" w:themeColor="text1"/>
                <w:sz w:val="18"/>
                <w:szCs w:val="18"/>
                <w:lang w:val="en-GB"/>
              </w:rPr>
            </w:pPr>
            <w:r w:rsidRPr="003A1A6C">
              <w:rPr>
                <w:color w:val="000000" w:themeColor="text1"/>
                <w:sz w:val="18"/>
                <w:szCs w:val="18"/>
                <w:lang w:val="en-GB"/>
              </w:rPr>
              <w:t>People with cognitive deterioration, mental disorders or pharmacological</w:t>
            </w:r>
            <w:r w:rsidR="680058FF" w:rsidRPr="003A1A6C">
              <w:rPr>
                <w:color w:val="000000" w:themeColor="text1"/>
                <w:sz w:val="18"/>
                <w:szCs w:val="18"/>
                <w:lang w:val="en-GB"/>
              </w:rPr>
              <w:t xml:space="preserve"> side-effects</w:t>
            </w:r>
            <w:r w:rsidRPr="003A1A6C">
              <w:rPr>
                <w:color w:val="000000" w:themeColor="text1"/>
                <w:sz w:val="18"/>
                <w:szCs w:val="18"/>
                <w:lang w:val="en-GB"/>
              </w:rPr>
              <w:t xml:space="preserve"> that could potentially disrupt the assessment</w:t>
            </w:r>
          </w:p>
        </w:tc>
      </w:tr>
    </w:tbl>
    <w:p w14:paraId="44052819" w14:textId="74EA3822" w:rsidR="008333C2" w:rsidRPr="003A1A6C" w:rsidRDefault="008333C2" w:rsidP="008333C2">
      <w:pPr>
        <w:pStyle w:val="MDPI21heading1"/>
        <w:tabs>
          <w:tab w:val="left" w:pos="2696"/>
        </w:tabs>
        <w:spacing w:before="0" w:after="0" w:line="240" w:lineRule="auto"/>
        <w:ind w:left="3060"/>
        <w:rPr>
          <w:b w:val="0"/>
          <w:bCs/>
          <w:color w:val="000000" w:themeColor="text1"/>
          <w:sz w:val="18"/>
          <w:szCs w:val="18"/>
          <w:lang w:val="en-GB"/>
        </w:rPr>
      </w:pPr>
      <w:r w:rsidRPr="003A1A6C">
        <w:rPr>
          <w:b w:val="0"/>
          <w:bCs/>
          <w:color w:val="000000" w:themeColor="text1"/>
          <w:sz w:val="18"/>
          <w:szCs w:val="18"/>
          <w:lang w:val="en-GB"/>
        </w:rPr>
        <w:t>COPD: Chronic Obstructive Pulmonary Disease; HF: Heart failure; T2DM: Type 2 diabetes mellitus</w:t>
      </w:r>
    </w:p>
    <w:p w14:paraId="482F5697" w14:textId="70493863" w:rsidR="008333C2" w:rsidRPr="003A1A6C" w:rsidRDefault="008333C2" w:rsidP="008333C2">
      <w:pPr>
        <w:pStyle w:val="MDPI21heading1"/>
        <w:ind w:firstLine="452"/>
        <w:rPr>
          <w:b w:val="0"/>
          <w:bCs/>
          <w:color w:val="000000" w:themeColor="text1"/>
          <w:lang w:val="en-GB"/>
        </w:rPr>
      </w:pPr>
      <w:r w:rsidRPr="003A1A6C">
        <w:rPr>
          <w:b w:val="0"/>
          <w:bCs/>
          <w:color w:val="000000" w:themeColor="text1"/>
          <w:lang w:val="en-GB"/>
        </w:rPr>
        <w:t>Consecutive case sampling was performed [27,28].</w:t>
      </w:r>
    </w:p>
    <w:p w14:paraId="1034358B" w14:textId="773070C5" w:rsidR="008333C2" w:rsidRPr="003A1A6C" w:rsidRDefault="008333C2" w:rsidP="008333C2">
      <w:pPr>
        <w:pStyle w:val="MDPI21heading1"/>
        <w:ind w:firstLine="452"/>
        <w:rPr>
          <w:b w:val="0"/>
          <w:bCs/>
          <w:color w:val="000000" w:themeColor="text1"/>
          <w:lang w:val="en-GB"/>
        </w:rPr>
      </w:pPr>
      <w:r w:rsidRPr="003A1A6C">
        <w:rPr>
          <w:b w:val="0"/>
          <w:bCs/>
          <w:color w:val="000000" w:themeColor="text1"/>
          <w:lang w:val="en-GB"/>
        </w:rPr>
        <w:t>To obtain the convenience sample of people living with COPD, HF or T2DM from both countries, a minimum sample size of 260 people per pathology and country was established [29]. This sample size was calculated for a factory analysis process as part of the LW-CI scale validation [30,31]. In this sense, a total of 780 people per country were established, with a consecutive total sample size of 1,560 people living with COPD, HF and T2DM.</w:t>
      </w:r>
    </w:p>
    <w:p w14:paraId="186325F6" w14:textId="4A31AB8F" w:rsidR="008333C2" w:rsidRPr="003A1A6C" w:rsidRDefault="008333C2" w:rsidP="008333C2">
      <w:pPr>
        <w:pStyle w:val="MDPI21heading1"/>
        <w:rPr>
          <w:b w:val="0"/>
          <w:bCs/>
          <w:i/>
          <w:iCs/>
          <w:color w:val="000000" w:themeColor="text1"/>
          <w:lang w:val="en-GB"/>
        </w:rPr>
      </w:pPr>
      <w:r w:rsidRPr="003A1A6C">
        <w:rPr>
          <w:b w:val="0"/>
          <w:bCs/>
          <w:i/>
          <w:iCs/>
          <w:color w:val="000000" w:themeColor="text1"/>
          <w:lang w:val="en-GB"/>
        </w:rPr>
        <w:t>2.3. Study variables and instruments</w:t>
      </w:r>
    </w:p>
    <w:p w14:paraId="3B9BD1C8" w14:textId="0728A96C" w:rsidR="008333C2" w:rsidRPr="003A1A6C" w:rsidRDefault="1609BE97" w:rsidP="5E70B5F7">
      <w:pPr>
        <w:pStyle w:val="MDPI21heading1"/>
        <w:ind w:firstLine="452"/>
        <w:jc w:val="both"/>
        <w:rPr>
          <w:b w:val="0"/>
          <w:color w:val="000000" w:themeColor="text1"/>
          <w:lang w:val="en-GB"/>
        </w:rPr>
      </w:pPr>
      <w:r w:rsidRPr="003A1A6C">
        <w:rPr>
          <w:b w:val="0"/>
          <w:color w:val="000000" w:themeColor="text1"/>
          <w:lang w:val="en-GB"/>
        </w:rPr>
        <w:t>The dependent variable of the study was living with LTCs. The independent variables of the study included sociodemographic variables, namely country, gender, age, marital status, educational level, disease duration, employment situation, social support, satisfaction with life and severity of the illness perceived by the person. The Spanish validated version of the following instruments was used to measure those variables</w:t>
      </w:r>
      <w:r w:rsidR="1E0FECBC" w:rsidRPr="003A1A6C">
        <w:rPr>
          <w:b w:val="0"/>
          <w:color w:val="000000" w:themeColor="text1"/>
          <w:lang w:val="en-GB"/>
        </w:rPr>
        <w:t>.</w:t>
      </w:r>
    </w:p>
    <w:p w14:paraId="63CBBD52" w14:textId="6CE17254" w:rsidR="008333C2" w:rsidRPr="003A1A6C" w:rsidRDefault="1609BE97" w:rsidP="5E70B5F7">
      <w:pPr>
        <w:pStyle w:val="MDPI21heading1"/>
        <w:ind w:firstLine="452"/>
        <w:jc w:val="both"/>
        <w:rPr>
          <w:b w:val="0"/>
          <w:color w:val="000000" w:themeColor="text1"/>
          <w:lang w:val="en-GB"/>
        </w:rPr>
      </w:pPr>
      <w:r w:rsidRPr="003A1A6C">
        <w:rPr>
          <w:b w:val="0"/>
          <w:color w:val="000000" w:themeColor="text1"/>
          <w:lang w:val="en-GB"/>
        </w:rPr>
        <w:t>Living with Chronic Illness Scale (LW-CI scale) [32]. The LW-CI scale is a self-reported measuring scale to evaluate the complex process of living with a LTC through 26 items grouped into the domains of acceptance (4 items), coping (7 items), self-management (4 items), integration (5 items) and adjustment (6 items) [32]. All items are answered using a 5-point Likert scale from never or nothing (0) to always or a lot (4), except for the domain acceptance, which is reversely scored from never or nothing (4) to always or a lot (0). In this way, the LW-CI scale has total score value from 0 points, indicating negative living with the LTC, to 104 points, reflecting positive living with the LTC [32].</w:t>
      </w:r>
    </w:p>
    <w:p w14:paraId="1A2AE090" w14:textId="53556C4D" w:rsidR="008333C2" w:rsidRPr="003A1A6C" w:rsidRDefault="1609BE97" w:rsidP="5E70B5F7">
      <w:pPr>
        <w:pStyle w:val="MDPI21heading1"/>
        <w:ind w:firstLine="452"/>
        <w:jc w:val="both"/>
        <w:rPr>
          <w:b w:val="0"/>
          <w:color w:val="000000" w:themeColor="text1"/>
          <w:lang w:val="en-GB"/>
        </w:rPr>
      </w:pPr>
      <w:r w:rsidRPr="003A1A6C">
        <w:rPr>
          <w:b w:val="0"/>
          <w:color w:val="000000" w:themeColor="text1"/>
          <w:lang w:val="en-GB"/>
        </w:rPr>
        <w:t xml:space="preserve">Duke-UNC Functional Social Support questionnaire (DUFSS) [33,34]. The DUFSS is an 11-item scale that was used to evaluate perceived social support of the person when living with the LTC </w:t>
      </w:r>
      <w:r w:rsidR="52A50B20" w:rsidRPr="003A1A6C">
        <w:rPr>
          <w:b w:val="0"/>
          <w:color w:val="000000" w:themeColor="text1"/>
          <w:lang w:val="en-GB"/>
        </w:rPr>
        <w:t>including</w:t>
      </w:r>
      <w:r w:rsidRPr="003A1A6C">
        <w:rPr>
          <w:b w:val="0"/>
          <w:color w:val="000000" w:themeColor="text1"/>
          <w:lang w:val="en-GB"/>
        </w:rPr>
        <w:t xml:space="preserve"> areas, such as confidant, affective and instrumental support [33,34]. Each item is scored from 1 (much less than I would like) to 5 (as much as I would like). The total score ranged from 11 (the lowest level of support) to 55 (the highest level of perceived social support) [33,34].</w:t>
      </w:r>
    </w:p>
    <w:p w14:paraId="79F5ABC2" w14:textId="025A6CFF" w:rsidR="008333C2" w:rsidRPr="003A1A6C" w:rsidRDefault="1634F65B" w:rsidP="5E70B5F7">
      <w:pPr>
        <w:pStyle w:val="MDPI21heading1"/>
        <w:ind w:firstLine="452"/>
        <w:jc w:val="both"/>
        <w:rPr>
          <w:b w:val="0"/>
          <w:color w:val="000000" w:themeColor="text1"/>
          <w:lang w:val="en-GB"/>
        </w:rPr>
      </w:pPr>
      <w:r w:rsidRPr="003A1A6C">
        <w:rPr>
          <w:b w:val="0"/>
          <w:color w:val="000000" w:themeColor="text1"/>
          <w:lang w:val="en-GB"/>
        </w:rPr>
        <w:t>The M</w:t>
      </w:r>
      <w:r w:rsidR="1609BE97" w:rsidRPr="003A1A6C">
        <w:rPr>
          <w:b w:val="0"/>
          <w:color w:val="000000" w:themeColor="text1"/>
          <w:lang w:val="en-GB"/>
        </w:rPr>
        <w:t xml:space="preserve">odified version of the Satisfaction with Life Scale (SLS-6) [35]. The SLS-6 was used to evaluate satisfaction with life during the process of living with </w:t>
      </w:r>
      <w:proofErr w:type="gramStart"/>
      <w:r w:rsidR="1609BE97" w:rsidRPr="003A1A6C">
        <w:rPr>
          <w:b w:val="0"/>
          <w:color w:val="000000" w:themeColor="text1"/>
          <w:lang w:val="en-GB"/>
        </w:rPr>
        <w:t>a</w:t>
      </w:r>
      <w:proofErr w:type="gramEnd"/>
      <w:r w:rsidR="1609BE97" w:rsidRPr="003A1A6C">
        <w:rPr>
          <w:b w:val="0"/>
          <w:color w:val="000000" w:themeColor="text1"/>
          <w:lang w:val="en-GB"/>
        </w:rPr>
        <w:t xml:space="preserve"> LTC. The SLS-6 is a 6-item scale related to physical area, psychological wellbeing, social relations, </w:t>
      </w:r>
      <w:proofErr w:type="gramStart"/>
      <w:r w:rsidR="1609BE97" w:rsidRPr="003A1A6C">
        <w:rPr>
          <w:b w:val="0"/>
          <w:color w:val="000000" w:themeColor="text1"/>
          <w:lang w:val="en-GB"/>
        </w:rPr>
        <w:t>leisure</w:t>
      </w:r>
      <w:proofErr w:type="gramEnd"/>
      <w:r w:rsidR="1609BE97" w:rsidRPr="003A1A6C">
        <w:rPr>
          <w:b w:val="0"/>
          <w:color w:val="000000" w:themeColor="text1"/>
          <w:lang w:val="en-GB"/>
        </w:rPr>
        <w:t xml:space="preserve"> and financial situation. Each item is scored on a Likert scale from 0 (totally unsatisfied with life) to 10 (totally satisfied with life) [35].</w:t>
      </w:r>
    </w:p>
    <w:p w14:paraId="6E8F5D58" w14:textId="7A432A50" w:rsidR="008333C2" w:rsidRPr="003A1A6C" w:rsidRDefault="1609BE97" w:rsidP="5E70B5F7">
      <w:pPr>
        <w:pStyle w:val="MDPI21heading1"/>
        <w:ind w:firstLine="452"/>
        <w:jc w:val="both"/>
        <w:rPr>
          <w:b w:val="0"/>
          <w:color w:val="000000" w:themeColor="text1"/>
          <w:lang w:val="en-GB"/>
        </w:rPr>
      </w:pPr>
      <w:r w:rsidRPr="003A1A6C">
        <w:rPr>
          <w:b w:val="0"/>
          <w:color w:val="000000" w:themeColor="text1"/>
          <w:lang w:val="en-GB"/>
        </w:rPr>
        <w:lastRenderedPageBreak/>
        <w:t xml:space="preserve">Patients based Global Impression of Severity Scale (PGIS) [36,37]. The PGIS was used to evaluate </w:t>
      </w:r>
      <w:r w:rsidR="6BBA2321" w:rsidRPr="003A1A6C">
        <w:rPr>
          <w:b w:val="0"/>
          <w:color w:val="000000" w:themeColor="text1"/>
          <w:lang w:val="en-GB"/>
        </w:rPr>
        <w:t xml:space="preserve">the </w:t>
      </w:r>
      <w:r w:rsidRPr="003A1A6C">
        <w:rPr>
          <w:b w:val="0"/>
          <w:color w:val="000000" w:themeColor="text1"/>
          <w:lang w:val="en-GB"/>
        </w:rPr>
        <w:t xml:space="preserve">self-perception of </w:t>
      </w:r>
      <w:r w:rsidR="1A71F841" w:rsidRPr="003A1A6C">
        <w:rPr>
          <w:b w:val="0"/>
          <w:color w:val="000000" w:themeColor="text1"/>
          <w:lang w:val="en-GB"/>
        </w:rPr>
        <w:t xml:space="preserve">the </w:t>
      </w:r>
      <w:r w:rsidRPr="003A1A6C">
        <w:rPr>
          <w:b w:val="0"/>
          <w:color w:val="000000" w:themeColor="text1"/>
          <w:lang w:val="en-GB"/>
        </w:rPr>
        <w:t>disease severity, which is rated on a 6-point Likert scale, using a range of responses from 0 (not ill at all) to 5 (extremely ill) [36,37].</w:t>
      </w:r>
    </w:p>
    <w:p w14:paraId="0F5144E3" w14:textId="1C1221B5" w:rsidR="008333C2" w:rsidRPr="003A1A6C" w:rsidRDefault="008333C2" w:rsidP="008333C2">
      <w:pPr>
        <w:pStyle w:val="MDPI21heading1"/>
        <w:jc w:val="both"/>
        <w:rPr>
          <w:b w:val="0"/>
          <w:bCs/>
          <w:i/>
          <w:iCs/>
          <w:color w:val="000000" w:themeColor="text1"/>
          <w:lang w:val="en-GB"/>
        </w:rPr>
      </w:pPr>
      <w:r w:rsidRPr="003A1A6C">
        <w:rPr>
          <w:b w:val="0"/>
          <w:bCs/>
          <w:i/>
          <w:iCs/>
          <w:color w:val="000000" w:themeColor="text1"/>
          <w:lang w:val="en-GB"/>
        </w:rPr>
        <w:t>2.4. Ethical issues</w:t>
      </w:r>
    </w:p>
    <w:p w14:paraId="7EA3CAAE" w14:textId="4AA1E61E" w:rsidR="008333C2" w:rsidRPr="003A1A6C" w:rsidRDefault="008333C2" w:rsidP="008333C2">
      <w:pPr>
        <w:pStyle w:val="MDPI21heading1"/>
        <w:ind w:firstLine="452"/>
        <w:jc w:val="both"/>
        <w:rPr>
          <w:b w:val="0"/>
          <w:bCs/>
          <w:color w:val="000000" w:themeColor="text1"/>
          <w:lang w:val="en-GB"/>
        </w:rPr>
      </w:pPr>
      <w:r w:rsidRPr="003A1A6C">
        <w:rPr>
          <w:b w:val="0"/>
          <w:bCs/>
          <w:color w:val="000000" w:themeColor="text1"/>
          <w:lang w:val="en-GB"/>
        </w:rPr>
        <w:t>The study was approved by the Ethics Committees of the participant hospitals and the participating universities in Spain (reference number 2017.099) and Colombia (reference number 013). The study followed the Declaration of Helsinki and the standard operating procedures that guaranteed compliance with good clinical practice. After receiving pertinent oral and written information and before inclusion in the study, all participants signed informed consent forms.</w:t>
      </w:r>
    </w:p>
    <w:p w14:paraId="4005F127" w14:textId="6DDDBF7B" w:rsidR="008333C2" w:rsidRPr="003A1A6C" w:rsidRDefault="008333C2" w:rsidP="008333C2">
      <w:pPr>
        <w:pStyle w:val="MDPI21heading1"/>
        <w:jc w:val="both"/>
        <w:rPr>
          <w:b w:val="0"/>
          <w:bCs/>
          <w:i/>
          <w:iCs/>
          <w:color w:val="000000" w:themeColor="text1"/>
          <w:lang w:val="en-GB"/>
        </w:rPr>
      </w:pPr>
      <w:r w:rsidRPr="003A1A6C">
        <w:rPr>
          <w:b w:val="0"/>
          <w:bCs/>
          <w:i/>
          <w:iCs/>
          <w:color w:val="000000" w:themeColor="text1"/>
          <w:lang w:val="en-GB"/>
        </w:rPr>
        <w:t>2.5. Data collection</w:t>
      </w:r>
    </w:p>
    <w:p w14:paraId="7771C6E2" w14:textId="5E262D34" w:rsidR="008333C2" w:rsidRPr="003A1A6C" w:rsidRDefault="1609BE97" w:rsidP="5E70B5F7">
      <w:pPr>
        <w:pStyle w:val="MDPI21heading1"/>
        <w:ind w:firstLine="452"/>
        <w:rPr>
          <w:b w:val="0"/>
          <w:color w:val="000000" w:themeColor="text1"/>
          <w:lang w:val="en-GB"/>
        </w:rPr>
      </w:pPr>
      <w:r w:rsidRPr="003A1A6C">
        <w:rPr>
          <w:b w:val="0"/>
          <w:color w:val="000000" w:themeColor="text1"/>
          <w:lang w:val="en-GB"/>
        </w:rPr>
        <w:t xml:space="preserve">As </w:t>
      </w:r>
      <w:r w:rsidR="1031D2F6" w:rsidRPr="003A1A6C">
        <w:rPr>
          <w:b w:val="0"/>
          <w:color w:val="000000" w:themeColor="text1"/>
          <w:lang w:val="en-GB"/>
        </w:rPr>
        <w:t xml:space="preserve">it </w:t>
      </w:r>
      <w:r w:rsidRPr="003A1A6C">
        <w:rPr>
          <w:b w:val="0"/>
          <w:color w:val="000000" w:themeColor="text1"/>
          <w:lang w:val="en-GB"/>
        </w:rPr>
        <w:t xml:space="preserve">has been explained in previous publications regarding LW-CI scale validation in different LTCs [30,31] for data collection, the principal researcher developed a detailed protocol indicating the steps of the study with the aim of reducing potential errors and heterogeneity in the process. This protocol was sent to the responsible </w:t>
      </w:r>
      <w:r w:rsidR="6ED7719E" w:rsidRPr="003A1A6C">
        <w:rPr>
          <w:b w:val="0"/>
          <w:color w:val="000000" w:themeColor="text1"/>
          <w:lang w:val="en-GB"/>
        </w:rPr>
        <w:t xml:space="preserve">of the </w:t>
      </w:r>
      <w:r w:rsidRPr="003A1A6C">
        <w:rPr>
          <w:b w:val="0"/>
          <w:color w:val="000000" w:themeColor="text1"/>
          <w:lang w:val="en-GB"/>
        </w:rPr>
        <w:t xml:space="preserve">centre where </w:t>
      </w:r>
      <w:r w:rsidR="298CFF8B" w:rsidRPr="003A1A6C">
        <w:rPr>
          <w:b w:val="0"/>
          <w:color w:val="000000" w:themeColor="text1"/>
          <w:lang w:val="en-GB"/>
        </w:rPr>
        <w:t xml:space="preserve">the </w:t>
      </w:r>
      <w:r w:rsidRPr="003A1A6C">
        <w:rPr>
          <w:b w:val="0"/>
          <w:color w:val="000000" w:themeColor="text1"/>
          <w:lang w:val="en-GB"/>
        </w:rPr>
        <w:t xml:space="preserve">data collection would occur. Moreover, a meeting </w:t>
      </w:r>
      <w:r w:rsidR="269184F4" w:rsidRPr="003A1A6C">
        <w:rPr>
          <w:b w:val="0"/>
          <w:color w:val="000000" w:themeColor="text1"/>
          <w:lang w:val="en-GB"/>
        </w:rPr>
        <w:t>was organised</w:t>
      </w:r>
      <w:r w:rsidRPr="003A1A6C">
        <w:rPr>
          <w:b w:val="0"/>
          <w:color w:val="000000" w:themeColor="text1"/>
          <w:lang w:val="en-GB"/>
        </w:rPr>
        <w:t xml:space="preserve"> </w:t>
      </w:r>
      <w:r w:rsidR="5932C7D1" w:rsidRPr="003A1A6C">
        <w:rPr>
          <w:b w:val="0"/>
          <w:color w:val="000000" w:themeColor="text1"/>
          <w:lang w:val="en-GB"/>
        </w:rPr>
        <w:t xml:space="preserve">to </w:t>
      </w:r>
      <w:r w:rsidRPr="003A1A6C">
        <w:rPr>
          <w:b w:val="0"/>
          <w:color w:val="000000" w:themeColor="text1"/>
          <w:lang w:val="en-GB"/>
        </w:rPr>
        <w:t>provide them with the opportunity to ask questions and clarify doubts. Thus, before starting data collection, the principal investigator ensured that all researchers involved in this process understood the established steps [30,31].</w:t>
      </w:r>
    </w:p>
    <w:p w14:paraId="6F07C75A" w14:textId="1B21BDBA" w:rsidR="008333C2" w:rsidRPr="003A1A6C" w:rsidRDefault="1609BE97" w:rsidP="5E70B5F7">
      <w:pPr>
        <w:pStyle w:val="MDPI21heading1"/>
        <w:ind w:firstLine="452"/>
        <w:jc w:val="both"/>
        <w:rPr>
          <w:b w:val="0"/>
          <w:color w:val="000000" w:themeColor="text1"/>
          <w:lang w:val="en-GB"/>
        </w:rPr>
      </w:pPr>
      <w:r w:rsidRPr="003A1A6C">
        <w:rPr>
          <w:b w:val="0"/>
          <w:color w:val="000000" w:themeColor="text1"/>
          <w:lang w:val="en-GB"/>
        </w:rPr>
        <w:t xml:space="preserve">All </w:t>
      </w:r>
      <w:r w:rsidR="23AA9B49" w:rsidRPr="003A1A6C">
        <w:rPr>
          <w:b w:val="0"/>
          <w:color w:val="000000" w:themeColor="text1"/>
          <w:lang w:val="en-GB"/>
        </w:rPr>
        <w:t xml:space="preserve">the </w:t>
      </w:r>
      <w:r w:rsidRPr="003A1A6C">
        <w:rPr>
          <w:b w:val="0"/>
          <w:color w:val="000000" w:themeColor="text1"/>
          <w:lang w:val="en-GB"/>
        </w:rPr>
        <w:t xml:space="preserve">researchers and centres of the study followed the detailed protocol for data collection: 1) healthcare professionals (nurses and physicians) approached all the potential participants giving initial oral information about the study; 2) interested people received an invitation letter and the participant information sheet with detailed written information; and 3) participants completed the questionnaires during </w:t>
      </w:r>
      <w:r w:rsidR="7BF7CA39" w:rsidRPr="003A1A6C">
        <w:rPr>
          <w:b w:val="0"/>
          <w:color w:val="000000" w:themeColor="text1"/>
          <w:lang w:val="en-GB"/>
        </w:rPr>
        <w:t xml:space="preserve">the </w:t>
      </w:r>
      <w:r w:rsidRPr="003A1A6C">
        <w:rPr>
          <w:b w:val="0"/>
          <w:color w:val="000000" w:themeColor="text1"/>
          <w:lang w:val="en-GB"/>
        </w:rPr>
        <w:t>routine clinical visits. Although all the scales were self-reported, the researcher was available to solve any doubts that could arise during their completion [30,31].</w:t>
      </w:r>
    </w:p>
    <w:p w14:paraId="02A806BB" w14:textId="430064C8" w:rsidR="008333C2" w:rsidRPr="003A1A6C" w:rsidRDefault="008333C2" w:rsidP="008333C2">
      <w:pPr>
        <w:pStyle w:val="MDPI21heading1"/>
        <w:jc w:val="both"/>
        <w:rPr>
          <w:b w:val="0"/>
          <w:bCs/>
          <w:i/>
          <w:iCs/>
          <w:color w:val="000000" w:themeColor="text1"/>
          <w:lang w:val="en-GB"/>
        </w:rPr>
      </w:pPr>
      <w:r w:rsidRPr="003A1A6C">
        <w:rPr>
          <w:b w:val="0"/>
          <w:bCs/>
          <w:i/>
          <w:iCs/>
          <w:color w:val="000000" w:themeColor="text1"/>
          <w:lang w:val="en-GB"/>
        </w:rPr>
        <w:t>2.6. Statistical analysis</w:t>
      </w:r>
    </w:p>
    <w:p w14:paraId="2B4F52F3" w14:textId="77777777" w:rsidR="008333C2" w:rsidRPr="003A1A6C" w:rsidRDefault="008333C2" w:rsidP="008333C2">
      <w:pPr>
        <w:pStyle w:val="MDPI21heading1"/>
        <w:ind w:firstLine="452"/>
        <w:jc w:val="both"/>
        <w:rPr>
          <w:b w:val="0"/>
          <w:bCs/>
          <w:color w:val="000000" w:themeColor="text1"/>
          <w:lang w:val="en-GB"/>
        </w:rPr>
      </w:pPr>
      <w:r w:rsidRPr="003A1A6C">
        <w:rPr>
          <w:b w:val="0"/>
          <w:bCs/>
          <w:color w:val="000000" w:themeColor="text1"/>
          <w:lang w:val="en-GB"/>
        </w:rPr>
        <w:t>Descriptive statistics were applied to characterize the participants sociodemographic and disease-related data. Multiple linear regression models were performed using the LW-CI scale total score and the total score of the scale for each LTC (LW-CI-HF scale [31], LW-CI-COPD scale and LW-CI-T2DM scale) as the dependent variable. Independent variables included sociodemographic aspects, social support (DUFSS), satisfaction with life (SLS-6) and persons’ perception of the severity of the illness (PGIS).</w:t>
      </w:r>
    </w:p>
    <w:p w14:paraId="1D2E0008" w14:textId="77777777" w:rsidR="008333C2" w:rsidRPr="003A1A6C" w:rsidRDefault="008333C2" w:rsidP="008333C2">
      <w:pPr>
        <w:pStyle w:val="MDPI21heading1"/>
        <w:ind w:firstLine="452"/>
        <w:jc w:val="both"/>
        <w:rPr>
          <w:b w:val="0"/>
          <w:bCs/>
          <w:color w:val="000000" w:themeColor="text1"/>
          <w:lang w:val="en-GB"/>
        </w:rPr>
      </w:pPr>
      <w:r w:rsidRPr="003A1A6C">
        <w:rPr>
          <w:b w:val="0"/>
          <w:bCs/>
          <w:color w:val="000000" w:themeColor="text1"/>
          <w:lang w:val="en-GB"/>
        </w:rPr>
        <w:t>Assumptions for the linear regression model (normality, homoscedasticity, independence of errors and absence of multicollinearity) were assessed; therefore, some variables, such as age at disease onset, were excluded due to collinearity.</w:t>
      </w:r>
    </w:p>
    <w:p w14:paraId="01272C7E" w14:textId="08C3FEE3" w:rsidR="008333C2" w:rsidRPr="003A1A6C" w:rsidRDefault="008333C2" w:rsidP="008333C2">
      <w:pPr>
        <w:pStyle w:val="MDPI21heading1"/>
        <w:ind w:firstLine="452"/>
        <w:jc w:val="both"/>
        <w:rPr>
          <w:b w:val="0"/>
          <w:bCs/>
          <w:color w:val="000000" w:themeColor="text1"/>
          <w:lang w:val="en-GB"/>
        </w:rPr>
      </w:pPr>
      <w:r w:rsidRPr="003A1A6C">
        <w:rPr>
          <w:b w:val="0"/>
          <w:bCs/>
          <w:color w:val="000000" w:themeColor="text1"/>
          <w:lang w:val="en-GB"/>
        </w:rPr>
        <w:t>The enter method was used for the regression models to simultaneously assess the effect of each explanatory variable in each model, considering that multicollinearity was previously discarded. P-values of 0.05 or less were considered statistically significant. All calculations were performed using IBM SPSS 25.0 statistical software.</w:t>
      </w:r>
    </w:p>
    <w:p w14:paraId="560BD7EF" w14:textId="77777777" w:rsidR="00522304" w:rsidRPr="003A1A6C" w:rsidRDefault="00522304" w:rsidP="00D81521">
      <w:pPr>
        <w:pStyle w:val="MDPI21heading1"/>
        <w:rPr>
          <w:color w:val="000000" w:themeColor="text1"/>
        </w:rPr>
      </w:pPr>
      <w:r w:rsidRPr="003A1A6C">
        <w:rPr>
          <w:color w:val="000000" w:themeColor="text1"/>
        </w:rPr>
        <w:t>3. Results</w:t>
      </w:r>
    </w:p>
    <w:p w14:paraId="75319C13" w14:textId="0B2E601E" w:rsidR="008E5FFC" w:rsidRPr="003A1A6C" w:rsidRDefault="220287A2" w:rsidP="5E70B5F7">
      <w:pPr>
        <w:pStyle w:val="MDPI22heading2"/>
        <w:spacing w:before="240"/>
        <w:ind w:firstLine="452"/>
        <w:jc w:val="both"/>
        <w:rPr>
          <w:i w:val="0"/>
          <w:noProof w:val="0"/>
          <w:color w:val="000000" w:themeColor="text1"/>
        </w:rPr>
      </w:pPr>
      <w:r w:rsidRPr="003A1A6C">
        <w:rPr>
          <w:i w:val="0"/>
          <w:noProof w:val="0"/>
          <w:color w:val="000000" w:themeColor="text1"/>
        </w:rPr>
        <w:t xml:space="preserve">A total sample of 1788 people living with LTCs from Spain and Colombia was included in this study. As shown in Table 2, 52.1% of participants from the total sample </w:t>
      </w:r>
      <w:r w:rsidRPr="003A1A6C">
        <w:rPr>
          <w:i w:val="0"/>
          <w:noProof w:val="0"/>
          <w:color w:val="000000" w:themeColor="text1"/>
        </w:rPr>
        <w:lastRenderedPageBreak/>
        <w:t>were men. The mean age of the sample was 68.9 years (Standard Deviation, SD 12.3), and most participants were married (55.4%), retired (35.3%) and had a primary or basic educational level (62.1%). The mean disease duration was 8.7 (SD 7.9) years.</w:t>
      </w:r>
    </w:p>
    <w:p w14:paraId="1E7D9246" w14:textId="42E3436D" w:rsidR="00B9729D" w:rsidRPr="003A1A6C" w:rsidRDefault="00B9729D" w:rsidP="008E5FFC">
      <w:pPr>
        <w:pStyle w:val="MDPI22heading2"/>
        <w:spacing w:before="240"/>
        <w:ind w:firstLine="452"/>
        <w:rPr>
          <w:i w:val="0"/>
          <w:noProof w:val="0"/>
          <w:color w:val="000000" w:themeColor="text1"/>
        </w:rPr>
      </w:pPr>
      <w:r w:rsidRPr="003A1A6C">
        <w:rPr>
          <w:b/>
          <w:bCs/>
          <w:i w:val="0"/>
          <w:noProof w:val="0"/>
          <w:color w:val="000000" w:themeColor="text1"/>
        </w:rPr>
        <w:t>Table 2.</w:t>
      </w:r>
      <w:r w:rsidRPr="003A1A6C">
        <w:rPr>
          <w:i w:val="0"/>
          <w:noProof w:val="0"/>
          <w:color w:val="000000" w:themeColor="text1"/>
        </w:rPr>
        <w:t xml:space="preserve"> Sociodemographic and disease characteristics of the total sample</w:t>
      </w:r>
    </w:p>
    <w:tbl>
      <w:tblPr>
        <w:tblStyle w:val="Cuadrculadetablaclara1"/>
        <w:tblpPr w:leftFromText="141" w:rightFromText="141" w:vertAnchor="page" w:horzAnchor="margin" w:tblpXSpec="right" w:tblpY="3725"/>
        <w:tblW w:w="0" w:type="auto"/>
        <w:tblLayout w:type="fixed"/>
        <w:tblLook w:val="04A0" w:firstRow="1" w:lastRow="0" w:firstColumn="1" w:lastColumn="0" w:noHBand="0" w:noVBand="1"/>
      </w:tblPr>
      <w:tblGrid>
        <w:gridCol w:w="2401"/>
        <w:gridCol w:w="2401"/>
        <w:gridCol w:w="2829"/>
      </w:tblGrid>
      <w:tr w:rsidR="003A1A6C" w:rsidRPr="003A1A6C" w14:paraId="30E36AC7" w14:textId="77777777" w:rsidTr="0094333D">
        <w:trPr>
          <w:trHeight w:val="270"/>
        </w:trPr>
        <w:tc>
          <w:tcPr>
            <w:tcW w:w="2401" w:type="dxa"/>
            <w:tcBorders>
              <w:top w:val="single" w:sz="4" w:space="0" w:color="000000" w:themeColor="text1"/>
              <w:left w:val="dashSmallGap" w:sz="4" w:space="0" w:color="000000" w:themeColor="text1"/>
              <w:bottom w:val="single" w:sz="4" w:space="0" w:color="000000" w:themeColor="text1"/>
            </w:tcBorders>
          </w:tcPr>
          <w:p w14:paraId="4F7871F0" w14:textId="77777777" w:rsidR="0094333D" w:rsidRPr="003A1A6C" w:rsidRDefault="0094333D" w:rsidP="0094333D">
            <w:pPr>
              <w:spacing w:line="240" w:lineRule="auto"/>
              <w:jc w:val="center"/>
              <w:rPr>
                <w:color w:val="000000" w:themeColor="text1"/>
                <w:sz w:val="18"/>
                <w:szCs w:val="18"/>
                <w:lang w:val="en-GB"/>
              </w:rPr>
            </w:pPr>
            <w:r w:rsidRPr="003A1A6C">
              <w:rPr>
                <w:b/>
                <w:bCs/>
                <w:color w:val="000000" w:themeColor="text1"/>
                <w:sz w:val="18"/>
                <w:szCs w:val="18"/>
                <w:lang w:val="en-GB"/>
              </w:rPr>
              <w:t>Variables</w:t>
            </w:r>
          </w:p>
        </w:tc>
        <w:tc>
          <w:tcPr>
            <w:tcW w:w="2401" w:type="dxa"/>
            <w:tcBorders>
              <w:top w:val="single" w:sz="4" w:space="0" w:color="000000" w:themeColor="text1"/>
              <w:bottom w:val="single" w:sz="4" w:space="0" w:color="000000" w:themeColor="text1"/>
            </w:tcBorders>
          </w:tcPr>
          <w:p w14:paraId="5AB7E12C" w14:textId="77777777" w:rsidR="0094333D" w:rsidRPr="003A1A6C" w:rsidRDefault="0094333D" w:rsidP="0094333D">
            <w:pPr>
              <w:spacing w:line="240" w:lineRule="auto"/>
              <w:jc w:val="center"/>
              <w:rPr>
                <w:color w:val="000000" w:themeColor="text1"/>
                <w:sz w:val="18"/>
                <w:szCs w:val="18"/>
                <w:lang w:val="en-GB"/>
              </w:rPr>
            </w:pPr>
            <w:r w:rsidRPr="003A1A6C">
              <w:rPr>
                <w:b/>
                <w:bCs/>
                <w:color w:val="000000" w:themeColor="text1"/>
                <w:sz w:val="18"/>
                <w:szCs w:val="18"/>
                <w:lang w:val="en-GB"/>
              </w:rPr>
              <w:t>Categories</w:t>
            </w:r>
          </w:p>
        </w:tc>
        <w:tc>
          <w:tcPr>
            <w:tcW w:w="2829" w:type="dxa"/>
            <w:tcBorders>
              <w:top w:val="single" w:sz="4" w:space="0" w:color="000000" w:themeColor="text1"/>
              <w:bottom w:val="single" w:sz="4" w:space="0" w:color="000000" w:themeColor="text1"/>
              <w:right w:val="dashSmallGap" w:sz="4" w:space="0" w:color="000000" w:themeColor="text1"/>
            </w:tcBorders>
          </w:tcPr>
          <w:p w14:paraId="5B463EC8" w14:textId="77777777" w:rsidR="0094333D" w:rsidRPr="003A1A6C" w:rsidRDefault="0094333D" w:rsidP="0094333D">
            <w:pPr>
              <w:spacing w:line="240" w:lineRule="auto"/>
              <w:jc w:val="center"/>
              <w:rPr>
                <w:color w:val="000000" w:themeColor="text1"/>
                <w:sz w:val="18"/>
                <w:szCs w:val="18"/>
                <w:lang w:val="en-GB"/>
              </w:rPr>
            </w:pPr>
            <w:r w:rsidRPr="003A1A6C">
              <w:rPr>
                <w:b/>
                <w:bCs/>
                <w:color w:val="000000" w:themeColor="text1"/>
                <w:sz w:val="18"/>
                <w:szCs w:val="18"/>
                <w:lang w:val="en-GB"/>
              </w:rPr>
              <w:t>n (%)</w:t>
            </w:r>
          </w:p>
        </w:tc>
      </w:tr>
      <w:tr w:rsidR="003A1A6C" w:rsidRPr="003A1A6C" w14:paraId="0B37ED6B" w14:textId="77777777" w:rsidTr="0094333D">
        <w:trPr>
          <w:trHeight w:val="270"/>
        </w:trPr>
        <w:tc>
          <w:tcPr>
            <w:tcW w:w="2401" w:type="dxa"/>
            <w:tcBorders>
              <w:top w:val="single" w:sz="4" w:space="0" w:color="000000" w:themeColor="text1"/>
              <w:left w:val="dashSmallGap" w:sz="4" w:space="0" w:color="000000" w:themeColor="text1"/>
              <w:bottom w:val="dashSmallGap" w:sz="4" w:space="0" w:color="000000" w:themeColor="text1"/>
            </w:tcBorders>
          </w:tcPr>
          <w:p w14:paraId="1F843241" w14:textId="77777777" w:rsidR="0094333D" w:rsidRPr="003A1A6C" w:rsidRDefault="0094333D" w:rsidP="0094333D">
            <w:pPr>
              <w:spacing w:line="240" w:lineRule="auto"/>
              <w:rPr>
                <w:color w:val="000000" w:themeColor="text1"/>
                <w:sz w:val="18"/>
                <w:szCs w:val="18"/>
                <w:lang w:val="en-GB"/>
              </w:rPr>
            </w:pPr>
            <w:r w:rsidRPr="003A1A6C">
              <w:rPr>
                <w:b/>
                <w:bCs/>
                <w:color w:val="000000" w:themeColor="text1"/>
                <w:sz w:val="18"/>
                <w:szCs w:val="18"/>
                <w:lang w:val="en-GB"/>
              </w:rPr>
              <w:t>Gender</w:t>
            </w:r>
          </w:p>
        </w:tc>
        <w:tc>
          <w:tcPr>
            <w:tcW w:w="2401" w:type="dxa"/>
            <w:tcBorders>
              <w:top w:val="single" w:sz="4" w:space="0" w:color="000000" w:themeColor="text1"/>
              <w:bottom w:val="dashSmallGap" w:sz="4" w:space="0" w:color="000000" w:themeColor="text1"/>
            </w:tcBorders>
          </w:tcPr>
          <w:p w14:paraId="2D88B8E9"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Men</w:t>
            </w:r>
          </w:p>
        </w:tc>
        <w:tc>
          <w:tcPr>
            <w:tcW w:w="2829" w:type="dxa"/>
            <w:tcBorders>
              <w:top w:val="single" w:sz="4" w:space="0" w:color="000000" w:themeColor="text1"/>
              <w:bottom w:val="dashSmallGap" w:sz="4" w:space="0" w:color="000000" w:themeColor="text1"/>
              <w:right w:val="dashSmallGap" w:sz="4" w:space="0" w:color="000000" w:themeColor="text1"/>
            </w:tcBorders>
          </w:tcPr>
          <w:p w14:paraId="712A9F8E"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937 (52.1)</w:t>
            </w:r>
          </w:p>
        </w:tc>
      </w:tr>
      <w:tr w:rsidR="003A1A6C" w:rsidRPr="003A1A6C" w14:paraId="60B4AAE8" w14:textId="77777777" w:rsidTr="0094333D">
        <w:trPr>
          <w:trHeight w:val="270"/>
        </w:trPr>
        <w:tc>
          <w:tcPr>
            <w:tcW w:w="2401" w:type="dxa"/>
            <w:tcBorders>
              <w:top w:val="dashSmallGap" w:sz="4" w:space="0" w:color="000000" w:themeColor="text1"/>
              <w:left w:val="dashSmallGap" w:sz="4" w:space="0" w:color="000000" w:themeColor="text1"/>
              <w:bottom w:val="single" w:sz="4" w:space="0" w:color="000000" w:themeColor="text1"/>
            </w:tcBorders>
          </w:tcPr>
          <w:p w14:paraId="7B9BEBD2" w14:textId="77777777" w:rsidR="0094333D" w:rsidRPr="003A1A6C" w:rsidRDefault="0094333D" w:rsidP="0094333D">
            <w:pPr>
              <w:spacing w:line="240" w:lineRule="auto"/>
              <w:rPr>
                <w:color w:val="000000" w:themeColor="text1"/>
                <w:sz w:val="18"/>
                <w:szCs w:val="18"/>
                <w:lang w:val="en-GB"/>
              </w:rPr>
            </w:pPr>
          </w:p>
        </w:tc>
        <w:tc>
          <w:tcPr>
            <w:tcW w:w="2401" w:type="dxa"/>
            <w:tcBorders>
              <w:top w:val="dashSmallGap" w:sz="4" w:space="0" w:color="000000" w:themeColor="text1"/>
              <w:bottom w:val="single" w:sz="4" w:space="0" w:color="000000" w:themeColor="text1"/>
            </w:tcBorders>
          </w:tcPr>
          <w:p w14:paraId="27B2E235"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Women</w:t>
            </w:r>
          </w:p>
        </w:tc>
        <w:tc>
          <w:tcPr>
            <w:tcW w:w="2829" w:type="dxa"/>
            <w:tcBorders>
              <w:top w:val="dashSmallGap" w:sz="4" w:space="0" w:color="000000" w:themeColor="text1"/>
              <w:bottom w:val="single" w:sz="4" w:space="0" w:color="000000" w:themeColor="text1"/>
              <w:right w:val="dashSmallGap" w:sz="4" w:space="0" w:color="000000" w:themeColor="text1"/>
            </w:tcBorders>
          </w:tcPr>
          <w:p w14:paraId="149CDC1B"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860 (47.9)</w:t>
            </w:r>
          </w:p>
        </w:tc>
      </w:tr>
      <w:tr w:rsidR="003A1A6C" w:rsidRPr="003A1A6C" w14:paraId="093A4F74" w14:textId="77777777" w:rsidTr="0094333D">
        <w:trPr>
          <w:trHeight w:val="270"/>
        </w:trPr>
        <w:tc>
          <w:tcPr>
            <w:tcW w:w="2401" w:type="dxa"/>
            <w:tcBorders>
              <w:top w:val="single" w:sz="4" w:space="0" w:color="000000" w:themeColor="text1"/>
              <w:left w:val="dashSmallGap" w:sz="4" w:space="0" w:color="000000" w:themeColor="text1"/>
              <w:bottom w:val="dashSmallGap" w:sz="4" w:space="0" w:color="000000" w:themeColor="text1"/>
            </w:tcBorders>
          </w:tcPr>
          <w:p w14:paraId="0E0D81D7" w14:textId="77777777" w:rsidR="0094333D" w:rsidRPr="003A1A6C" w:rsidRDefault="0094333D" w:rsidP="0094333D">
            <w:pPr>
              <w:spacing w:line="240" w:lineRule="auto"/>
              <w:rPr>
                <w:color w:val="000000" w:themeColor="text1"/>
                <w:sz w:val="18"/>
                <w:szCs w:val="18"/>
                <w:lang w:val="en-GB"/>
              </w:rPr>
            </w:pPr>
            <w:r w:rsidRPr="003A1A6C">
              <w:rPr>
                <w:b/>
                <w:bCs/>
                <w:color w:val="000000" w:themeColor="text1"/>
                <w:sz w:val="18"/>
                <w:szCs w:val="18"/>
                <w:lang w:val="en-GB"/>
              </w:rPr>
              <w:t>Marital status</w:t>
            </w:r>
          </w:p>
        </w:tc>
        <w:tc>
          <w:tcPr>
            <w:tcW w:w="2401" w:type="dxa"/>
            <w:tcBorders>
              <w:top w:val="single" w:sz="4" w:space="0" w:color="000000" w:themeColor="text1"/>
              <w:bottom w:val="dashSmallGap" w:sz="4" w:space="0" w:color="000000" w:themeColor="text1"/>
            </w:tcBorders>
          </w:tcPr>
          <w:p w14:paraId="373ADCBD"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Single</w:t>
            </w:r>
          </w:p>
        </w:tc>
        <w:tc>
          <w:tcPr>
            <w:tcW w:w="2829" w:type="dxa"/>
            <w:tcBorders>
              <w:top w:val="single" w:sz="4" w:space="0" w:color="000000" w:themeColor="text1"/>
              <w:bottom w:val="dashSmallGap" w:sz="4" w:space="0" w:color="000000" w:themeColor="text1"/>
              <w:right w:val="dashSmallGap" w:sz="4" w:space="0" w:color="000000" w:themeColor="text1"/>
            </w:tcBorders>
          </w:tcPr>
          <w:p w14:paraId="68330B03"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217 (12.1)</w:t>
            </w:r>
          </w:p>
        </w:tc>
      </w:tr>
      <w:tr w:rsidR="003A1A6C" w:rsidRPr="003A1A6C" w14:paraId="19C09859" w14:textId="77777777" w:rsidTr="0094333D">
        <w:trPr>
          <w:trHeight w:val="270"/>
        </w:trPr>
        <w:tc>
          <w:tcPr>
            <w:tcW w:w="2401" w:type="dxa"/>
            <w:tcBorders>
              <w:top w:val="dashSmallGap" w:sz="4" w:space="0" w:color="000000" w:themeColor="text1"/>
              <w:left w:val="dashSmallGap" w:sz="4" w:space="0" w:color="000000" w:themeColor="text1"/>
              <w:bottom w:val="dashSmallGap" w:sz="4" w:space="0" w:color="000000" w:themeColor="text1"/>
            </w:tcBorders>
          </w:tcPr>
          <w:p w14:paraId="1D06D50F" w14:textId="77777777" w:rsidR="0094333D" w:rsidRPr="003A1A6C" w:rsidRDefault="0094333D" w:rsidP="0094333D">
            <w:pPr>
              <w:spacing w:line="240" w:lineRule="auto"/>
              <w:rPr>
                <w:color w:val="000000" w:themeColor="text1"/>
                <w:sz w:val="18"/>
                <w:szCs w:val="18"/>
                <w:lang w:val="en-GB"/>
              </w:rPr>
            </w:pPr>
          </w:p>
        </w:tc>
        <w:tc>
          <w:tcPr>
            <w:tcW w:w="2401" w:type="dxa"/>
            <w:tcBorders>
              <w:top w:val="dashSmallGap" w:sz="4" w:space="0" w:color="000000" w:themeColor="text1"/>
              <w:bottom w:val="dashSmallGap" w:sz="4" w:space="0" w:color="000000" w:themeColor="text1"/>
            </w:tcBorders>
          </w:tcPr>
          <w:p w14:paraId="2A28519B"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Married</w:t>
            </w:r>
          </w:p>
        </w:tc>
        <w:tc>
          <w:tcPr>
            <w:tcW w:w="2829" w:type="dxa"/>
            <w:tcBorders>
              <w:top w:val="dashSmallGap" w:sz="4" w:space="0" w:color="000000" w:themeColor="text1"/>
              <w:bottom w:val="dashSmallGap" w:sz="4" w:space="0" w:color="000000" w:themeColor="text1"/>
              <w:right w:val="dashSmallGap" w:sz="4" w:space="0" w:color="000000" w:themeColor="text1"/>
            </w:tcBorders>
          </w:tcPr>
          <w:p w14:paraId="67CF60C7"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994 (55.4)</w:t>
            </w:r>
          </w:p>
        </w:tc>
      </w:tr>
      <w:tr w:rsidR="003A1A6C" w:rsidRPr="003A1A6C" w14:paraId="1C91859B" w14:textId="77777777" w:rsidTr="0094333D">
        <w:trPr>
          <w:trHeight w:val="270"/>
        </w:trPr>
        <w:tc>
          <w:tcPr>
            <w:tcW w:w="2401" w:type="dxa"/>
            <w:tcBorders>
              <w:top w:val="dashSmallGap" w:sz="4" w:space="0" w:color="000000" w:themeColor="text1"/>
              <w:left w:val="dashSmallGap" w:sz="4" w:space="0" w:color="000000" w:themeColor="text1"/>
              <w:bottom w:val="dashSmallGap" w:sz="4" w:space="0" w:color="000000" w:themeColor="text1"/>
            </w:tcBorders>
          </w:tcPr>
          <w:p w14:paraId="0CA150F2" w14:textId="77777777" w:rsidR="0094333D" w:rsidRPr="003A1A6C" w:rsidRDefault="0094333D" w:rsidP="0094333D">
            <w:pPr>
              <w:spacing w:line="240" w:lineRule="auto"/>
              <w:rPr>
                <w:color w:val="000000" w:themeColor="text1"/>
                <w:sz w:val="18"/>
                <w:szCs w:val="18"/>
                <w:lang w:val="en-GB"/>
              </w:rPr>
            </w:pPr>
          </w:p>
        </w:tc>
        <w:tc>
          <w:tcPr>
            <w:tcW w:w="2401" w:type="dxa"/>
            <w:tcBorders>
              <w:top w:val="dashSmallGap" w:sz="4" w:space="0" w:color="000000" w:themeColor="text1"/>
              <w:bottom w:val="dashSmallGap" w:sz="4" w:space="0" w:color="000000" w:themeColor="text1"/>
            </w:tcBorders>
          </w:tcPr>
          <w:p w14:paraId="23AB19C0"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Widow</w:t>
            </w:r>
          </w:p>
        </w:tc>
        <w:tc>
          <w:tcPr>
            <w:tcW w:w="2829" w:type="dxa"/>
            <w:tcBorders>
              <w:top w:val="dashSmallGap" w:sz="4" w:space="0" w:color="000000" w:themeColor="text1"/>
              <w:bottom w:val="dashSmallGap" w:sz="4" w:space="0" w:color="000000" w:themeColor="text1"/>
              <w:right w:val="dashSmallGap" w:sz="4" w:space="0" w:color="000000" w:themeColor="text1"/>
            </w:tcBorders>
          </w:tcPr>
          <w:p w14:paraId="76079950"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416 (23.1)</w:t>
            </w:r>
          </w:p>
        </w:tc>
      </w:tr>
      <w:tr w:rsidR="003A1A6C" w:rsidRPr="003A1A6C" w14:paraId="75F08741" w14:textId="77777777" w:rsidTr="0094333D">
        <w:trPr>
          <w:trHeight w:val="270"/>
        </w:trPr>
        <w:tc>
          <w:tcPr>
            <w:tcW w:w="2401" w:type="dxa"/>
            <w:tcBorders>
              <w:top w:val="dashSmallGap" w:sz="4" w:space="0" w:color="000000" w:themeColor="text1"/>
              <w:left w:val="dashSmallGap" w:sz="4" w:space="0" w:color="000000" w:themeColor="text1"/>
              <w:bottom w:val="single" w:sz="4" w:space="0" w:color="000000" w:themeColor="text1"/>
            </w:tcBorders>
          </w:tcPr>
          <w:p w14:paraId="15BF4262" w14:textId="77777777" w:rsidR="0094333D" w:rsidRPr="003A1A6C" w:rsidRDefault="0094333D" w:rsidP="0094333D">
            <w:pPr>
              <w:spacing w:line="240" w:lineRule="auto"/>
              <w:rPr>
                <w:color w:val="000000" w:themeColor="text1"/>
                <w:sz w:val="18"/>
                <w:szCs w:val="18"/>
                <w:lang w:val="en-GB"/>
              </w:rPr>
            </w:pPr>
          </w:p>
        </w:tc>
        <w:tc>
          <w:tcPr>
            <w:tcW w:w="2401" w:type="dxa"/>
            <w:tcBorders>
              <w:top w:val="dashSmallGap" w:sz="4" w:space="0" w:color="000000" w:themeColor="text1"/>
              <w:bottom w:val="single" w:sz="4" w:space="0" w:color="000000" w:themeColor="text1"/>
            </w:tcBorders>
          </w:tcPr>
          <w:p w14:paraId="6562707B"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Other</w:t>
            </w:r>
          </w:p>
        </w:tc>
        <w:tc>
          <w:tcPr>
            <w:tcW w:w="2829" w:type="dxa"/>
            <w:tcBorders>
              <w:top w:val="dashSmallGap" w:sz="4" w:space="0" w:color="000000" w:themeColor="text1"/>
              <w:bottom w:val="single" w:sz="4" w:space="0" w:color="000000" w:themeColor="text1"/>
              <w:right w:val="dashSmallGap" w:sz="4" w:space="0" w:color="000000" w:themeColor="text1"/>
            </w:tcBorders>
          </w:tcPr>
          <w:p w14:paraId="0C821872"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167 (9.3)</w:t>
            </w:r>
          </w:p>
        </w:tc>
      </w:tr>
      <w:tr w:rsidR="003A1A6C" w:rsidRPr="003A1A6C" w14:paraId="3DB73118" w14:textId="77777777" w:rsidTr="0094333D">
        <w:trPr>
          <w:trHeight w:val="257"/>
        </w:trPr>
        <w:tc>
          <w:tcPr>
            <w:tcW w:w="2401" w:type="dxa"/>
            <w:tcBorders>
              <w:top w:val="single" w:sz="4" w:space="0" w:color="000000" w:themeColor="text1"/>
              <w:left w:val="dashSmallGap" w:sz="4" w:space="0" w:color="000000" w:themeColor="text1"/>
              <w:bottom w:val="dashSmallGap" w:sz="4" w:space="0" w:color="000000" w:themeColor="text1"/>
            </w:tcBorders>
          </w:tcPr>
          <w:p w14:paraId="2781D182" w14:textId="77777777" w:rsidR="0094333D" w:rsidRPr="003A1A6C" w:rsidRDefault="0094333D" w:rsidP="0094333D">
            <w:pPr>
              <w:spacing w:line="240" w:lineRule="auto"/>
              <w:rPr>
                <w:color w:val="000000" w:themeColor="text1"/>
                <w:sz w:val="18"/>
                <w:szCs w:val="18"/>
                <w:lang w:val="en-GB"/>
              </w:rPr>
            </w:pPr>
            <w:r w:rsidRPr="003A1A6C">
              <w:rPr>
                <w:b/>
                <w:bCs/>
                <w:color w:val="000000" w:themeColor="text1"/>
                <w:sz w:val="18"/>
                <w:szCs w:val="18"/>
                <w:lang w:val="en-GB"/>
              </w:rPr>
              <w:t>Employment situation</w:t>
            </w:r>
          </w:p>
        </w:tc>
        <w:tc>
          <w:tcPr>
            <w:tcW w:w="2401" w:type="dxa"/>
            <w:tcBorders>
              <w:top w:val="single" w:sz="4" w:space="0" w:color="000000" w:themeColor="text1"/>
              <w:bottom w:val="dashSmallGap" w:sz="4" w:space="0" w:color="000000" w:themeColor="text1"/>
            </w:tcBorders>
          </w:tcPr>
          <w:p w14:paraId="3A4F3CAC"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Employee</w:t>
            </w:r>
          </w:p>
        </w:tc>
        <w:tc>
          <w:tcPr>
            <w:tcW w:w="2829" w:type="dxa"/>
            <w:tcBorders>
              <w:top w:val="single" w:sz="4" w:space="0" w:color="000000" w:themeColor="text1"/>
              <w:bottom w:val="dashSmallGap" w:sz="4" w:space="0" w:color="000000" w:themeColor="text1"/>
              <w:right w:val="dashSmallGap" w:sz="4" w:space="0" w:color="000000" w:themeColor="text1"/>
            </w:tcBorders>
          </w:tcPr>
          <w:p w14:paraId="0CD7612A"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282 (15.7)</w:t>
            </w:r>
          </w:p>
        </w:tc>
      </w:tr>
      <w:tr w:rsidR="003A1A6C" w:rsidRPr="003A1A6C" w14:paraId="043D40CA" w14:textId="77777777" w:rsidTr="0094333D">
        <w:trPr>
          <w:trHeight w:val="270"/>
        </w:trPr>
        <w:tc>
          <w:tcPr>
            <w:tcW w:w="2401" w:type="dxa"/>
            <w:tcBorders>
              <w:top w:val="dashSmallGap" w:sz="4" w:space="0" w:color="000000" w:themeColor="text1"/>
              <w:left w:val="dashSmallGap" w:sz="4" w:space="0" w:color="000000" w:themeColor="text1"/>
              <w:bottom w:val="dashSmallGap" w:sz="4" w:space="0" w:color="000000" w:themeColor="text1"/>
            </w:tcBorders>
          </w:tcPr>
          <w:p w14:paraId="37E33F55" w14:textId="77777777" w:rsidR="0094333D" w:rsidRPr="003A1A6C" w:rsidRDefault="0094333D" w:rsidP="0094333D">
            <w:pPr>
              <w:spacing w:line="240" w:lineRule="auto"/>
              <w:rPr>
                <w:color w:val="000000" w:themeColor="text1"/>
                <w:sz w:val="18"/>
                <w:szCs w:val="18"/>
                <w:lang w:val="en-GB"/>
              </w:rPr>
            </w:pPr>
          </w:p>
        </w:tc>
        <w:tc>
          <w:tcPr>
            <w:tcW w:w="2401" w:type="dxa"/>
            <w:tcBorders>
              <w:top w:val="dashSmallGap" w:sz="4" w:space="0" w:color="000000" w:themeColor="text1"/>
              <w:bottom w:val="dashSmallGap" w:sz="4" w:space="0" w:color="000000" w:themeColor="text1"/>
            </w:tcBorders>
          </w:tcPr>
          <w:p w14:paraId="24018303"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Housekeeper</w:t>
            </w:r>
          </w:p>
        </w:tc>
        <w:tc>
          <w:tcPr>
            <w:tcW w:w="2829" w:type="dxa"/>
            <w:tcBorders>
              <w:top w:val="dashSmallGap" w:sz="4" w:space="0" w:color="000000" w:themeColor="text1"/>
              <w:bottom w:val="dashSmallGap" w:sz="4" w:space="0" w:color="000000" w:themeColor="text1"/>
              <w:right w:val="dashSmallGap" w:sz="4" w:space="0" w:color="000000" w:themeColor="text1"/>
            </w:tcBorders>
          </w:tcPr>
          <w:p w14:paraId="690BC97A"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569 (31.7)</w:t>
            </w:r>
          </w:p>
        </w:tc>
      </w:tr>
      <w:tr w:rsidR="003A1A6C" w:rsidRPr="003A1A6C" w14:paraId="5D827E5E" w14:textId="77777777" w:rsidTr="0094333D">
        <w:trPr>
          <w:trHeight w:val="270"/>
        </w:trPr>
        <w:tc>
          <w:tcPr>
            <w:tcW w:w="2401" w:type="dxa"/>
            <w:tcBorders>
              <w:top w:val="dashSmallGap" w:sz="4" w:space="0" w:color="000000" w:themeColor="text1"/>
              <w:left w:val="dashSmallGap" w:sz="4" w:space="0" w:color="000000" w:themeColor="text1"/>
              <w:bottom w:val="dashSmallGap" w:sz="4" w:space="0" w:color="000000" w:themeColor="text1"/>
            </w:tcBorders>
          </w:tcPr>
          <w:p w14:paraId="3CEB3556" w14:textId="77777777" w:rsidR="0094333D" w:rsidRPr="003A1A6C" w:rsidRDefault="0094333D" w:rsidP="0094333D">
            <w:pPr>
              <w:spacing w:line="240" w:lineRule="auto"/>
              <w:rPr>
                <w:color w:val="000000" w:themeColor="text1"/>
                <w:sz w:val="18"/>
                <w:szCs w:val="18"/>
                <w:lang w:val="en-GB"/>
              </w:rPr>
            </w:pPr>
          </w:p>
        </w:tc>
        <w:tc>
          <w:tcPr>
            <w:tcW w:w="2401" w:type="dxa"/>
            <w:tcBorders>
              <w:top w:val="dashSmallGap" w:sz="4" w:space="0" w:color="000000" w:themeColor="text1"/>
              <w:bottom w:val="dashSmallGap" w:sz="4" w:space="0" w:color="000000" w:themeColor="text1"/>
            </w:tcBorders>
          </w:tcPr>
          <w:p w14:paraId="266A07AD"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Retired</w:t>
            </w:r>
          </w:p>
        </w:tc>
        <w:tc>
          <w:tcPr>
            <w:tcW w:w="2829" w:type="dxa"/>
            <w:tcBorders>
              <w:top w:val="dashSmallGap" w:sz="4" w:space="0" w:color="000000" w:themeColor="text1"/>
              <w:bottom w:val="dashSmallGap" w:sz="4" w:space="0" w:color="000000" w:themeColor="text1"/>
              <w:right w:val="dashSmallGap" w:sz="4" w:space="0" w:color="000000" w:themeColor="text1"/>
            </w:tcBorders>
          </w:tcPr>
          <w:p w14:paraId="4CB52CBF"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635 (35.3)</w:t>
            </w:r>
          </w:p>
        </w:tc>
      </w:tr>
      <w:tr w:rsidR="003A1A6C" w:rsidRPr="003A1A6C" w14:paraId="51E9DBF0" w14:textId="77777777" w:rsidTr="0094333D">
        <w:trPr>
          <w:trHeight w:val="270"/>
        </w:trPr>
        <w:tc>
          <w:tcPr>
            <w:tcW w:w="2401" w:type="dxa"/>
            <w:tcBorders>
              <w:top w:val="dashSmallGap" w:sz="4" w:space="0" w:color="000000" w:themeColor="text1"/>
              <w:left w:val="dashSmallGap" w:sz="4" w:space="0" w:color="000000" w:themeColor="text1"/>
              <w:bottom w:val="single" w:sz="4" w:space="0" w:color="000000" w:themeColor="text1"/>
            </w:tcBorders>
          </w:tcPr>
          <w:p w14:paraId="7236B3F6" w14:textId="77777777" w:rsidR="0094333D" w:rsidRPr="003A1A6C" w:rsidRDefault="0094333D" w:rsidP="0094333D">
            <w:pPr>
              <w:spacing w:line="240" w:lineRule="auto"/>
              <w:rPr>
                <w:color w:val="000000" w:themeColor="text1"/>
                <w:sz w:val="18"/>
                <w:szCs w:val="18"/>
                <w:lang w:val="en-GB"/>
              </w:rPr>
            </w:pPr>
          </w:p>
        </w:tc>
        <w:tc>
          <w:tcPr>
            <w:tcW w:w="2401" w:type="dxa"/>
            <w:tcBorders>
              <w:top w:val="dashSmallGap" w:sz="4" w:space="0" w:color="000000" w:themeColor="text1"/>
              <w:bottom w:val="single" w:sz="4" w:space="0" w:color="000000" w:themeColor="text1"/>
            </w:tcBorders>
          </w:tcPr>
          <w:p w14:paraId="37A2E013"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Other</w:t>
            </w:r>
          </w:p>
        </w:tc>
        <w:tc>
          <w:tcPr>
            <w:tcW w:w="2829" w:type="dxa"/>
            <w:tcBorders>
              <w:top w:val="dashSmallGap" w:sz="4" w:space="0" w:color="000000" w:themeColor="text1"/>
              <w:bottom w:val="single" w:sz="4" w:space="0" w:color="000000" w:themeColor="text1"/>
              <w:right w:val="dashSmallGap" w:sz="4" w:space="0" w:color="000000" w:themeColor="text1"/>
            </w:tcBorders>
          </w:tcPr>
          <w:p w14:paraId="7E7B0E8B"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310 (17.3)</w:t>
            </w:r>
          </w:p>
        </w:tc>
      </w:tr>
      <w:tr w:rsidR="003A1A6C" w:rsidRPr="003A1A6C" w14:paraId="026DD48D" w14:textId="77777777" w:rsidTr="0094333D">
        <w:trPr>
          <w:trHeight w:val="270"/>
        </w:trPr>
        <w:tc>
          <w:tcPr>
            <w:tcW w:w="2401" w:type="dxa"/>
            <w:tcBorders>
              <w:top w:val="single" w:sz="4" w:space="0" w:color="000000" w:themeColor="text1"/>
              <w:left w:val="dashSmallGap" w:sz="4" w:space="0" w:color="000000" w:themeColor="text1"/>
              <w:bottom w:val="dashSmallGap" w:sz="4" w:space="0" w:color="000000" w:themeColor="text1"/>
            </w:tcBorders>
          </w:tcPr>
          <w:p w14:paraId="13A76054" w14:textId="77777777" w:rsidR="0094333D" w:rsidRPr="003A1A6C" w:rsidRDefault="0094333D" w:rsidP="0094333D">
            <w:pPr>
              <w:spacing w:line="240" w:lineRule="auto"/>
              <w:rPr>
                <w:color w:val="000000" w:themeColor="text1"/>
                <w:sz w:val="18"/>
                <w:szCs w:val="18"/>
                <w:lang w:val="en-GB"/>
              </w:rPr>
            </w:pPr>
            <w:r w:rsidRPr="003A1A6C">
              <w:rPr>
                <w:b/>
                <w:bCs/>
                <w:color w:val="000000" w:themeColor="text1"/>
                <w:sz w:val="18"/>
                <w:szCs w:val="18"/>
                <w:lang w:val="en-GB"/>
              </w:rPr>
              <w:t>Educational level</w:t>
            </w:r>
          </w:p>
        </w:tc>
        <w:tc>
          <w:tcPr>
            <w:tcW w:w="2401" w:type="dxa"/>
            <w:tcBorders>
              <w:top w:val="single" w:sz="4" w:space="0" w:color="000000" w:themeColor="text1"/>
              <w:bottom w:val="dashSmallGap" w:sz="4" w:space="0" w:color="000000" w:themeColor="text1"/>
            </w:tcBorders>
          </w:tcPr>
          <w:p w14:paraId="17273DB3"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Primary or basic</w:t>
            </w:r>
          </w:p>
        </w:tc>
        <w:tc>
          <w:tcPr>
            <w:tcW w:w="2829" w:type="dxa"/>
            <w:tcBorders>
              <w:top w:val="single" w:sz="4" w:space="0" w:color="000000" w:themeColor="text1"/>
              <w:bottom w:val="dashSmallGap" w:sz="4" w:space="0" w:color="000000" w:themeColor="text1"/>
              <w:right w:val="dashSmallGap" w:sz="4" w:space="0" w:color="000000" w:themeColor="text1"/>
            </w:tcBorders>
          </w:tcPr>
          <w:p w14:paraId="5776C4EE"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1113 (62.1)</w:t>
            </w:r>
          </w:p>
        </w:tc>
      </w:tr>
      <w:tr w:rsidR="003A1A6C" w:rsidRPr="003A1A6C" w14:paraId="6F7E62F8" w14:textId="77777777" w:rsidTr="0094333D">
        <w:trPr>
          <w:trHeight w:val="270"/>
        </w:trPr>
        <w:tc>
          <w:tcPr>
            <w:tcW w:w="2401" w:type="dxa"/>
            <w:tcBorders>
              <w:top w:val="dashSmallGap" w:sz="4" w:space="0" w:color="000000" w:themeColor="text1"/>
              <w:left w:val="dashSmallGap" w:sz="4" w:space="0" w:color="000000" w:themeColor="text1"/>
              <w:bottom w:val="dashSmallGap" w:sz="4" w:space="0" w:color="000000" w:themeColor="text1"/>
            </w:tcBorders>
          </w:tcPr>
          <w:p w14:paraId="4A7FE2E3" w14:textId="77777777" w:rsidR="0094333D" w:rsidRPr="003A1A6C" w:rsidRDefault="0094333D" w:rsidP="0094333D">
            <w:pPr>
              <w:spacing w:line="240" w:lineRule="auto"/>
              <w:rPr>
                <w:color w:val="000000" w:themeColor="text1"/>
                <w:sz w:val="18"/>
                <w:szCs w:val="18"/>
                <w:lang w:val="en-GB"/>
              </w:rPr>
            </w:pPr>
          </w:p>
        </w:tc>
        <w:tc>
          <w:tcPr>
            <w:tcW w:w="2401" w:type="dxa"/>
            <w:tcBorders>
              <w:top w:val="dashSmallGap" w:sz="4" w:space="0" w:color="000000" w:themeColor="text1"/>
              <w:bottom w:val="dashSmallGap" w:sz="4" w:space="0" w:color="000000" w:themeColor="text1"/>
            </w:tcBorders>
          </w:tcPr>
          <w:p w14:paraId="27300B1D"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Secondary level</w:t>
            </w:r>
          </w:p>
        </w:tc>
        <w:tc>
          <w:tcPr>
            <w:tcW w:w="2829" w:type="dxa"/>
            <w:tcBorders>
              <w:top w:val="dashSmallGap" w:sz="4" w:space="0" w:color="000000" w:themeColor="text1"/>
              <w:bottom w:val="dashSmallGap" w:sz="4" w:space="0" w:color="000000" w:themeColor="text1"/>
              <w:right w:val="dashSmallGap" w:sz="4" w:space="0" w:color="000000" w:themeColor="text1"/>
            </w:tcBorders>
          </w:tcPr>
          <w:p w14:paraId="7927308C"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442 (24.7)</w:t>
            </w:r>
          </w:p>
        </w:tc>
      </w:tr>
      <w:tr w:rsidR="003A1A6C" w:rsidRPr="003A1A6C" w14:paraId="13550501" w14:textId="77777777" w:rsidTr="0094333D">
        <w:trPr>
          <w:trHeight w:val="270"/>
        </w:trPr>
        <w:tc>
          <w:tcPr>
            <w:tcW w:w="2401" w:type="dxa"/>
            <w:tcBorders>
              <w:top w:val="dashSmallGap" w:sz="4" w:space="0" w:color="000000" w:themeColor="text1"/>
              <w:left w:val="dashSmallGap" w:sz="4" w:space="0" w:color="000000" w:themeColor="text1"/>
              <w:bottom w:val="dashSmallGap" w:sz="4" w:space="0" w:color="000000" w:themeColor="text1"/>
            </w:tcBorders>
          </w:tcPr>
          <w:p w14:paraId="5EA7A486" w14:textId="77777777" w:rsidR="0094333D" w:rsidRPr="003A1A6C" w:rsidRDefault="0094333D" w:rsidP="0094333D">
            <w:pPr>
              <w:spacing w:line="240" w:lineRule="auto"/>
              <w:rPr>
                <w:color w:val="000000" w:themeColor="text1"/>
                <w:sz w:val="18"/>
                <w:szCs w:val="18"/>
                <w:lang w:val="en-GB"/>
              </w:rPr>
            </w:pPr>
          </w:p>
        </w:tc>
        <w:tc>
          <w:tcPr>
            <w:tcW w:w="2401" w:type="dxa"/>
            <w:tcBorders>
              <w:top w:val="dashSmallGap" w:sz="4" w:space="0" w:color="000000" w:themeColor="text1"/>
              <w:bottom w:val="dashSmallGap" w:sz="4" w:space="0" w:color="000000" w:themeColor="text1"/>
            </w:tcBorders>
          </w:tcPr>
          <w:p w14:paraId="605FA030"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University</w:t>
            </w:r>
          </w:p>
        </w:tc>
        <w:tc>
          <w:tcPr>
            <w:tcW w:w="2829" w:type="dxa"/>
            <w:tcBorders>
              <w:top w:val="dashSmallGap" w:sz="4" w:space="0" w:color="000000" w:themeColor="text1"/>
              <w:bottom w:val="dashSmallGap" w:sz="4" w:space="0" w:color="000000" w:themeColor="text1"/>
              <w:right w:val="dashSmallGap" w:sz="4" w:space="0" w:color="000000" w:themeColor="text1"/>
            </w:tcBorders>
          </w:tcPr>
          <w:p w14:paraId="4F9146C6"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203 (11.3)</w:t>
            </w:r>
          </w:p>
        </w:tc>
      </w:tr>
      <w:tr w:rsidR="003A1A6C" w:rsidRPr="003A1A6C" w14:paraId="5E651466" w14:textId="77777777" w:rsidTr="0094333D">
        <w:trPr>
          <w:trHeight w:val="270"/>
        </w:trPr>
        <w:tc>
          <w:tcPr>
            <w:tcW w:w="2401" w:type="dxa"/>
            <w:tcBorders>
              <w:top w:val="dashSmallGap" w:sz="4" w:space="0" w:color="000000" w:themeColor="text1"/>
              <w:left w:val="dashSmallGap" w:sz="4" w:space="0" w:color="000000" w:themeColor="text1"/>
              <w:bottom w:val="single" w:sz="4" w:space="0" w:color="000000" w:themeColor="text1"/>
            </w:tcBorders>
          </w:tcPr>
          <w:p w14:paraId="3FADC07E" w14:textId="77777777" w:rsidR="0094333D" w:rsidRPr="003A1A6C" w:rsidRDefault="0094333D" w:rsidP="0094333D">
            <w:pPr>
              <w:spacing w:line="240" w:lineRule="auto"/>
              <w:rPr>
                <w:color w:val="000000" w:themeColor="text1"/>
                <w:sz w:val="18"/>
                <w:szCs w:val="18"/>
                <w:lang w:val="en-GB"/>
              </w:rPr>
            </w:pPr>
          </w:p>
        </w:tc>
        <w:tc>
          <w:tcPr>
            <w:tcW w:w="2401" w:type="dxa"/>
            <w:tcBorders>
              <w:top w:val="dashSmallGap" w:sz="4" w:space="0" w:color="000000" w:themeColor="text1"/>
              <w:bottom w:val="single" w:sz="4" w:space="0" w:color="000000" w:themeColor="text1"/>
            </w:tcBorders>
          </w:tcPr>
          <w:p w14:paraId="07BE8668"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Other</w:t>
            </w:r>
          </w:p>
        </w:tc>
        <w:tc>
          <w:tcPr>
            <w:tcW w:w="2829" w:type="dxa"/>
            <w:tcBorders>
              <w:top w:val="dashSmallGap" w:sz="4" w:space="0" w:color="000000" w:themeColor="text1"/>
              <w:bottom w:val="single" w:sz="4" w:space="0" w:color="000000" w:themeColor="text1"/>
              <w:right w:val="dashSmallGap" w:sz="4" w:space="0" w:color="000000" w:themeColor="text1"/>
            </w:tcBorders>
          </w:tcPr>
          <w:p w14:paraId="3336F516"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35 (2.0)</w:t>
            </w:r>
          </w:p>
        </w:tc>
      </w:tr>
      <w:tr w:rsidR="003A1A6C" w:rsidRPr="003A1A6C" w14:paraId="4219C0D2" w14:textId="77777777" w:rsidTr="0094333D">
        <w:trPr>
          <w:trHeight w:val="270"/>
        </w:trPr>
        <w:tc>
          <w:tcPr>
            <w:tcW w:w="2401" w:type="dxa"/>
            <w:tcBorders>
              <w:top w:val="single" w:sz="4" w:space="0" w:color="000000" w:themeColor="text1"/>
              <w:left w:val="dashSmallGap" w:sz="4" w:space="0" w:color="000000" w:themeColor="text1"/>
              <w:bottom w:val="dashSmallGap" w:sz="4" w:space="0" w:color="000000" w:themeColor="text1"/>
            </w:tcBorders>
          </w:tcPr>
          <w:p w14:paraId="66CC6ADD" w14:textId="77777777" w:rsidR="0094333D" w:rsidRPr="003A1A6C" w:rsidRDefault="0094333D" w:rsidP="0094333D">
            <w:pPr>
              <w:spacing w:line="240" w:lineRule="auto"/>
              <w:rPr>
                <w:color w:val="000000" w:themeColor="text1"/>
                <w:sz w:val="18"/>
                <w:szCs w:val="18"/>
                <w:lang w:val="en-GB"/>
              </w:rPr>
            </w:pPr>
          </w:p>
        </w:tc>
        <w:tc>
          <w:tcPr>
            <w:tcW w:w="2401" w:type="dxa"/>
            <w:tcBorders>
              <w:top w:val="single" w:sz="4" w:space="0" w:color="000000" w:themeColor="text1"/>
              <w:bottom w:val="dashSmallGap" w:sz="4" w:space="0" w:color="000000" w:themeColor="text1"/>
            </w:tcBorders>
          </w:tcPr>
          <w:p w14:paraId="4B2C8A02" w14:textId="77777777" w:rsidR="0094333D" w:rsidRPr="003A1A6C" w:rsidRDefault="0094333D" w:rsidP="0094333D">
            <w:pPr>
              <w:spacing w:line="240" w:lineRule="auto"/>
              <w:jc w:val="center"/>
              <w:rPr>
                <w:color w:val="000000" w:themeColor="text1"/>
                <w:sz w:val="18"/>
                <w:szCs w:val="18"/>
                <w:lang w:val="en-GB"/>
              </w:rPr>
            </w:pPr>
            <w:r w:rsidRPr="003A1A6C">
              <w:rPr>
                <w:b/>
                <w:bCs/>
                <w:color w:val="000000" w:themeColor="text1"/>
                <w:sz w:val="18"/>
                <w:szCs w:val="18"/>
                <w:lang w:val="en-GB"/>
              </w:rPr>
              <w:t>Range (years)</w:t>
            </w:r>
          </w:p>
        </w:tc>
        <w:tc>
          <w:tcPr>
            <w:tcW w:w="2829" w:type="dxa"/>
            <w:tcBorders>
              <w:top w:val="single" w:sz="4" w:space="0" w:color="000000" w:themeColor="text1"/>
              <w:bottom w:val="dashSmallGap" w:sz="4" w:space="0" w:color="000000" w:themeColor="text1"/>
              <w:right w:val="dashSmallGap" w:sz="4" w:space="0" w:color="000000" w:themeColor="text1"/>
            </w:tcBorders>
          </w:tcPr>
          <w:p w14:paraId="06B753E2" w14:textId="77777777" w:rsidR="0094333D" w:rsidRPr="003A1A6C" w:rsidRDefault="0094333D" w:rsidP="0094333D">
            <w:pPr>
              <w:spacing w:line="240" w:lineRule="auto"/>
              <w:jc w:val="center"/>
              <w:rPr>
                <w:color w:val="000000" w:themeColor="text1"/>
                <w:sz w:val="18"/>
                <w:szCs w:val="18"/>
                <w:lang w:val="en-GB"/>
              </w:rPr>
            </w:pPr>
            <w:r w:rsidRPr="003A1A6C">
              <w:rPr>
                <w:b/>
                <w:bCs/>
                <w:color w:val="000000" w:themeColor="text1"/>
                <w:sz w:val="18"/>
                <w:szCs w:val="18"/>
                <w:lang w:val="en-GB"/>
              </w:rPr>
              <w:t>Mean (SD)</w:t>
            </w:r>
          </w:p>
        </w:tc>
      </w:tr>
      <w:tr w:rsidR="003A1A6C" w:rsidRPr="003A1A6C" w14:paraId="0636F5FD" w14:textId="77777777" w:rsidTr="0094333D">
        <w:trPr>
          <w:trHeight w:val="270"/>
        </w:trPr>
        <w:tc>
          <w:tcPr>
            <w:tcW w:w="2401" w:type="dxa"/>
            <w:tcBorders>
              <w:top w:val="dashSmallGap" w:sz="4" w:space="0" w:color="000000" w:themeColor="text1"/>
              <w:left w:val="dashSmallGap" w:sz="4" w:space="0" w:color="000000" w:themeColor="text1"/>
              <w:bottom w:val="dashSmallGap" w:sz="4" w:space="0" w:color="000000" w:themeColor="text1"/>
            </w:tcBorders>
          </w:tcPr>
          <w:p w14:paraId="71070935" w14:textId="77777777" w:rsidR="0094333D" w:rsidRPr="003A1A6C" w:rsidRDefault="0094333D" w:rsidP="0094333D">
            <w:pPr>
              <w:spacing w:line="240" w:lineRule="auto"/>
              <w:rPr>
                <w:color w:val="000000" w:themeColor="text1"/>
                <w:sz w:val="18"/>
                <w:szCs w:val="18"/>
                <w:lang w:val="en-GB"/>
              </w:rPr>
            </w:pPr>
            <w:r w:rsidRPr="003A1A6C">
              <w:rPr>
                <w:b/>
                <w:bCs/>
                <w:color w:val="000000" w:themeColor="text1"/>
                <w:sz w:val="18"/>
                <w:szCs w:val="18"/>
                <w:lang w:val="en-GB"/>
              </w:rPr>
              <w:t>Age</w:t>
            </w:r>
          </w:p>
        </w:tc>
        <w:tc>
          <w:tcPr>
            <w:tcW w:w="2401" w:type="dxa"/>
            <w:tcBorders>
              <w:top w:val="dashSmallGap" w:sz="4" w:space="0" w:color="000000" w:themeColor="text1"/>
              <w:bottom w:val="dashSmallGap" w:sz="4" w:space="0" w:color="000000" w:themeColor="text1"/>
            </w:tcBorders>
          </w:tcPr>
          <w:p w14:paraId="35F93D0D"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20-98</w:t>
            </w:r>
          </w:p>
        </w:tc>
        <w:tc>
          <w:tcPr>
            <w:tcW w:w="2829" w:type="dxa"/>
            <w:tcBorders>
              <w:top w:val="dashSmallGap" w:sz="4" w:space="0" w:color="000000" w:themeColor="text1"/>
              <w:bottom w:val="dashSmallGap" w:sz="4" w:space="0" w:color="000000" w:themeColor="text1"/>
              <w:right w:val="dashSmallGap" w:sz="4" w:space="0" w:color="000000" w:themeColor="text1"/>
            </w:tcBorders>
          </w:tcPr>
          <w:p w14:paraId="35A7ECDF"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 xml:space="preserve">68.9 (12.3) </w:t>
            </w:r>
          </w:p>
        </w:tc>
      </w:tr>
      <w:tr w:rsidR="003A1A6C" w:rsidRPr="003A1A6C" w14:paraId="0BB9BA2C" w14:textId="77777777" w:rsidTr="0094333D">
        <w:trPr>
          <w:trHeight w:val="270"/>
        </w:trPr>
        <w:tc>
          <w:tcPr>
            <w:tcW w:w="2401" w:type="dxa"/>
            <w:tcBorders>
              <w:top w:val="dashSmallGap" w:sz="4" w:space="0" w:color="000000" w:themeColor="text1"/>
              <w:left w:val="dashSmallGap" w:sz="4" w:space="0" w:color="000000" w:themeColor="text1"/>
              <w:bottom w:val="dashSmallGap" w:sz="4" w:space="0" w:color="000000" w:themeColor="text1"/>
            </w:tcBorders>
          </w:tcPr>
          <w:p w14:paraId="0587AFA0" w14:textId="77777777" w:rsidR="0094333D" w:rsidRPr="003A1A6C" w:rsidRDefault="0094333D" w:rsidP="0094333D">
            <w:pPr>
              <w:spacing w:line="240" w:lineRule="auto"/>
              <w:rPr>
                <w:color w:val="000000" w:themeColor="text1"/>
                <w:sz w:val="18"/>
                <w:szCs w:val="18"/>
                <w:lang w:val="en-GB"/>
              </w:rPr>
            </w:pPr>
            <w:r w:rsidRPr="003A1A6C">
              <w:rPr>
                <w:b/>
                <w:bCs/>
                <w:color w:val="000000" w:themeColor="text1"/>
                <w:sz w:val="18"/>
                <w:szCs w:val="18"/>
                <w:lang w:val="en-GB"/>
              </w:rPr>
              <w:t>Age at LTC onset</w:t>
            </w:r>
          </w:p>
        </w:tc>
        <w:tc>
          <w:tcPr>
            <w:tcW w:w="2401" w:type="dxa"/>
            <w:tcBorders>
              <w:top w:val="dashSmallGap" w:sz="4" w:space="0" w:color="000000" w:themeColor="text1"/>
              <w:bottom w:val="dashSmallGap" w:sz="4" w:space="0" w:color="000000" w:themeColor="text1"/>
            </w:tcBorders>
          </w:tcPr>
          <w:p w14:paraId="41692FE4"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3-91</w:t>
            </w:r>
          </w:p>
        </w:tc>
        <w:tc>
          <w:tcPr>
            <w:tcW w:w="2829" w:type="dxa"/>
            <w:tcBorders>
              <w:top w:val="dashSmallGap" w:sz="4" w:space="0" w:color="000000" w:themeColor="text1"/>
              <w:bottom w:val="dashSmallGap" w:sz="4" w:space="0" w:color="000000" w:themeColor="text1"/>
              <w:right w:val="dashSmallGap" w:sz="4" w:space="0" w:color="000000" w:themeColor="text1"/>
            </w:tcBorders>
          </w:tcPr>
          <w:p w14:paraId="7B5F2274"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60.1 (12.8)</w:t>
            </w:r>
          </w:p>
        </w:tc>
      </w:tr>
      <w:tr w:rsidR="003A1A6C" w:rsidRPr="003A1A6C" w14:paraId="2B2474FD" w14:textId="77777777" w:rsidTr="0094333D">
        <w:trPr>
          <w:trHeight w:val="321"/>
        </w:trPr>
        <w:tc>
          <w:tcPr>
            <w:tcW w:w="2401" w:type="dxa"/>
            <w:tcBorders>
              <w:top w:val="dashSmallGap" w:sz="4" w:space="0" w:color="000000" w:themeColor="text1"/>
              <w:left w:val="dashSmallGap" w:sz="4" w:space="0" w:color="000000" w:themeColor="text1"/>
              <w:bottom w:val="single" w:sz="4" w:space="0" w:color="000000" w:themeColor="text1"/>
            </w:tcBorders>
          </w:tcPr>
          <w:p w14:paraId="6F27F18A" w14:textId="77777777" w:rsidR="0094333D" w:rsidRPr="003A1A6C" w:rsidRDefault="0094333D" w:rsidP="0094333D">
            <w:pPr>
              <w:spacing w:line="240" w:lineRule="auto"/>
              <w:rPr>
                <w:b/>
                <w:bCs/>
                <w:color w:val="000000" w:themeColor="text1"/>
                <w:sz w:val="18"/>
                <w:szCs w:val="18"/>
                <w:lang w:val="en-GB"/>
              </w:rPr>
            </w:pPr>
            <w:r w:rsidRPr="003A1A6C">
              <w:rPr>
                <w:b/>
                <w:bCs/>
                <w:color w:val="000000" w:themeColor="text1"/>
                <w:sz w:val="18"/>
                <w:szCs w:val="18"/>
                <w:lang w:val="en-GB"/>
              </w:rPr>
              <w:t>Duration of the LTC</w:t>
            </w:r>
          </w:p>
        </w:tc>
        <w:tc>
          <w:tcPr>
            <w:tcW w:w="2401" w:type="dxa"/>
            <w:tcBorders>
              <w:top w:val="dashSmallGap" w:sz="4" w:space="0" w:color="000000" w:themeColor="text1"/>
              <w:bottom w:val="single" w:sz="4" w:space="0" w:color="000000" w:themeColor="text1"/>
            </w:tcBorders>
          </w:tcPr>
          <w:p w14:paraId="6A6A26E1"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0-67</w:t>
            </w:r>
          </w:p>
        </w:tc>
        <w:tc>
          <w:tcPr>
            <w:tcW w:w="2829" w:type="dxa"/>
            <w:tcBorders>
              <w:top w:val="dashSmallGap" w:sz="4" w:space="0" w:color="000000" w:themeColor="text1"/>
              <w:bottom w:val="single" w:sz="4" w:space="0" w:color="000000" w:themeColor="text1"/>
              <w:right w:val="dashSmallGap" w:sz="4" w:space="0" w:color="000000" w:themeColor="text1"/>
            </w:tcBorders>
          </w:tcPr>
          <w:p w14:paraId="05626760" w14:textId="77777777" w:rsidR="0094333D" w:rsidRPr="003A1A6C" w:rsidRDefault="0094333D" w:rsidP="0094333D">
            <w:pPr>
              <w:spacing w:line="240" w:lineRule="auto"/>
              <w:jc w:val="center"/>
              <w:rPr>
                <w:color w:val="000000" w:themeColor="text1"/>
                <w:sz w:val="18"/>
                <w:szCs w:val="18"/>
                <w:lang w:val="en-GB"/>
              </w:rPr>
            </w:pPr>
            <w:r w:rsidRPr="003A1A6C">
              <w:rPr>
                <w:color w:val="000000" w:themeColor="text1"/>
                <w:sz w:val="18"/>
                <w:szCs w:val="18"/>
                <w:lang w:val="en-GB"/>
              </w:rPr>
              <w:t>8.7 (7.9)</w:t>
            </w:r>
          </w:p>
        </w:tc>
      </w:tr>
    </w:tbl>
    <w:p w14:paraId="41F28AFC" w14:textId="5EBE97AB" w:rsidR="002019E5" w:rsidRPr="003A1A6C" w:rsidRDefault="002019E5" w:rsidP="00342B67">
      <w:pPr>
        <w:pStyle w:val="MDPI22heading2"/>
        <w:spacing w:before="0" w:after="0" w:line="240" w:lineRule="auto"/>
        <w:ind w:left="0"/>
        <w:rPr>
          <w:i w:val="0"/>
          <w:noProof w:val="0"/>
          <w:color w:val="000000" w:themeColor="text1"/>
        </w:rPr>
      </w:pPr>
    </w:p>
    <w:p w14:paraId="50CD5C61" w14:textId="4E0863C3" w:rsidR="00905DEE" w:rsidRPr="003A1A6C" w:rsidRDefault="00905DEE" w:rsidP="00342B67">
      <w:pPr>
        <w:pStyle w:val="MDPI22heading2"/>
        <w:spacing w:before="0" w:after="0" w:line="240" w:lineRule="auto"/>
        <w:ind w:left="0"/>
        <w:rPr>
          <w:i w:val="0"/>
          <w:noProof w:val="0"/>
          <w:color w:val="000000" w:themeColor="text1"/>
        </w:rPr>
      </w:pPr>
    </w:p>
    <w:p w14:paraId="32E7FCB8" w14:textId="39C52274" w:rsidR="00905DEE" w:rsidRPr="003A1A6C" w:rsidRDefault="00905DEE" w:rsidP="00342B67">
      <w:pPr>
        <w:pStyle w:val="MDPI22heading2"/>
        <w:spacing w:before="0" w:after="0" w:line="240" w:lineRule="auto"/>
        <w:ind w:left="0"/>
        <w:rPr>
          <w:i w:val="0"/>
          <w:noProof w:val="0"/>
          <w:color w:val="000000" w:themeColor="text1"/>
        </w:rPr>
      </w:pPr>
    </w:p>
    <w:p w14:paraId="5AC781FA" w14:textId="54C5F8D2" w:rsidR="00905DEE" w:rsidRPr="003A1A6C" w:rsidRDefault="00905DEE" w:rsidP="00342B67">
      <w:pPr>
        <w:pStyle w:val="MDPI22heading2"/>
        <w:spacing w:before="0" w:after="0" w:line="240" w:lineRule="auto"/>
        <w:ind w:left="0"/>
        <w:rPr>
          <w:i w:val="0"/>
          <w:noProof w:val="0"/>
          <w:color w:val="000000" w:themeColor="text1"/>
        </w:rPr>
      </w:pPr>
    </w:p>
    <w:p w14:paraId="49E76B8D" w14:textId="7A376143" w:rsidR="00905DEE" w:rsidRPr="003A1A6C" w:rsidRDefault="00905DEE" w:rsidP="00342B67">
      <w:pPr>
        <w:pStyle w:val="MDPI22heading2"/>
        <w:spacing w:before="0" w:after="0" w:line="240" w:lineRule="auto"/>
        <w:ind w:left="0"/>
        <w:rPr>
          <w:i w:val="0"/>
          <w:noProof w:val="0"/>
          <w:color w:val="000000" w:themeColor="text1"/>
        </w:rPr>
      </w:pPr>
    </w:p>
    <w:p w14:paraId="399B50C2" w14:textId="0A2DD856" w:rsidR="00905DEE" w:rsidRPr="003A1A6C" w:rsidRDefault="00905DEE" w:rsidP="00342B67">
      <w:pPr>
        <w:pStyle w:val="MDPI22heading2"/>
        <w:spacing w:before="0" w:after="0" w:line="240" w:lineRule="auto"/>
        <w:ind w:left="0"/>
        <w:rPr>
          <w:i w:val="0"/>
          <w:noProof w:val="0"/>
          <w:color w:val="000000" w:themeColor="text1"/>
        </w:rPr>
      </w:pPr>
    </w:p>
    <w:p w14:paraId="1BD122E0" w14:textId="06166F93" w:rsidR="00905DEE" w:rsidRPr="003A1A6C" w:rsidRDefault="00905DEE" w:rsidP="00342B67">
      <w:pPr>
        <w:pStyle w:val="MDPI22heading2"/>
        <w:spacing w:before="0" w:after="0" w:line="240" w:lineRule="auto"/>
        <w:ind w:left="0"/>
        <w:rPr>
          <w:i w:val="0"/>
          <w:noProof w:val="0"/>
          <w:color w:val="000000" w:themeColor="text1"/>
        </w:rPr>
      </w:pPr>
    </w:p>
    <w:p w14:paraId="25C3179F" w14:textId="525B7134" w:rsidR="00905DEE" w:rsidRPr="003A1A6C" w:rsidRDefault="00905DEE" w:rsidP="00342B67">
      <w:pPr>
        <w:pStyle w:val="MDPI22heading2"/>
        <w:spacing w:before="0" w:after="0" w:line="240" w:lineRule="auto"/>
        <w:ind w:left="0"/>
        <w:rPr>
          <w:i w:val="0"/>
          <w:noProof w:val="0"/>
          <w:color w:val="000000" w:themeColor="text1"/>
        </w:rPr>
      </w:pPr>
    </w:p>
    <w:p w14:paraId="1912C2E4" w14:textId="17A4C2FB" w:rsidR="00905DEE" w:rsidRPr="003A1A6C" w:rsidRDefault="00905DEE" w:rsidP="00342B67">
      <w:pPr>
        <w:pStyle w:val="MDPI22heading2"/>
        <w:spacing w:before="0" w:after="0" w:line="240" w:lineRule="auto"/>
        <w:ind w:left="0"/>
        <w:rPr>
          <w:i w:val="0"/>
          <w:noProof w:val="0"/>
          <w:color w:val="000000" w:themeColor="text1"/>
        </w:rPr>
      </w:pPr>
    </w:p>
    <w:p w14:paraId="26D8E8A2" w14:textId="163157FA" w:rsidR="00905DEE" w:rsidRPr="003A1A6C" w:rsidRDefault="00905DEE" w:rsidP="00342B67">
      <w:pPr>
        <w:pStyle w:val="MDPI22heading2"/>
        <w:spacing w:before="0" w:after="0" w:line="240" w:lineRule="auto"/>
        <w:ind w:left="0"/>
        <w:rPr>
          <w:i w:val="0"/>
          <w:noProof w:val="0"/>
          <w:color w:val="000000" w:themeColor="text1"/>
        </w:rPr>
      </w:pPr>
    </w:p>
    <w:p w14:paraId="7E08E0CB" w14:textId="534ECA1D" w:rsidR="00905DEE" w:rsidRPr="003A1A6C" w:rsidRDefault="00905DEE" w:rsidP="00342B67">
      <w:pPr>
        <w:pStyle w:val="MDPI22heading2"/>
        <w:spacing w:before="0" w:after="0" w:line="240" w:lineRule="auto"/>
        <w:ind w:left="0"/>
        <w:rPr>
          <w:i w:val="0"/>
          <w:noProof w:val="0"/>
          <w:color w:val="000000" w:themeColor="text1"/>
        </w:rPr>
      </w:pPr>
    </w:p>
    <w:p w14:paraId="10ACA131" w14:textId="3232070C" w:rsidR="00905DEE" w:rsidRPr="003A1A6C" w:rsidRDefault="00905DEE" w:rsidP="00342B67">
      <w:pPr>
        <w:pStyle w:val="MDPI22heading2"/>
        <w:spacing w:before="0" w:after="0" w:line="240" w:lineRule="auto"/>
        <w:ind w:left="0"/>
        <w:rPr>
          <w:i w:val="0"/>
          <w:noProof w:val="0"/>
          <w:color w:val="000000" w:themeColor="text1"/>
        </w:rPr>
      </w:pPr>
    </w:p>
    <w:p w14:paraId="30198B27" w14:textId="77777777" w:rsidR="00342B67" w:rsidRPr="003A1A6C" w:rsidRDefault="00342B67" w:rsidP="00342B67">
      <w:pPr>
        <w:pStyle w:val="MDPI22heading2"/>
        <w:spacing w:before="0" w:after="0" w:line="240" w:lineRule="auto"/>
        <w:ind w:left="0"/>
        <w:rPr>
          <w:i w:val="0"/>
          <w:noProof w:val="0"/>
          <w:color w:val="000000" w:themeColor="text1"/>
        </w:rPr>
      </w:pPr>
    </w:p>
    <w:p w14:paraId="728F583E" w14:textId="77777777" w:rsidR="00342B67" w:rsidRPr="003A1A6C" w:rsidRDefault="00342B67" w:rsidP="00342B67">
      <w:pPr>
        <w:pStyle w:val="MDPI22heading2"/>
        <w:spacing w:before="0" w:after="0" w:line="240" w:lineRule="auto"/>
        <w:ind w:left="0" w:firstLine="510"/>
        <w:rPr>
          <w:i w:val="0"/>
          <w:noProof w:val="0"/>
          <w:color w:val="000000" w:themeColor="text1"/>
        </w:rPr>
      </w:pPr>
    </w:p>
    <w:p w14:paraId="05D1337F" w14:textId="77777777" w:rsidR="00342B67" w:rsidRPr="003A1A6C" w:rsidRDefault="00342B67" w:rsidP="00342B67">
      <w:pPr>
        <w:pStyle w:val="MDPI22heading2"/>
        <w:spacing w:before="0" w:after="0" w:line="240" w:lineRule="auto"/>
        <w:ind w:left="0" w:firstLine="510"/>
        <w:rPr>
          <w:i w:val="0"/>
          <w:noProof w:val="0"/>
          <w:color w:val="000000" w:themeColor="text1"/>
        </w:rPr>
      </w:pPr>
    </w:p>
    <w:p w14:paraId="3EDFA53C" w14:textId="77777777" w:rsidR="00342B67" w:rsidRPr="003A1A6C" w:rsidRDefault="00342B67" w:rsidP="00342B67">
      <w:pPr>
        <w:pStyle w:val="MDPI22heading2"/>
        <w:spacing w:before="0" w:after="0" w:line="240" w:lineRule="auto"/>
        <w:ind w:left="0" w:firstLine="510"/>
        <w:rPr>
          <w:i w:val="0"/>
          <w:noProof w:val="0"/>
          <w:color w:val="000000" w:themeColor="text1"/>
        </w:rPr>
      </w:pPr>
    </w:p>
    <w:p w14:paraId="081D4226" w14:textId="77777777" w:rsidR="00342B67" w:rsidRPr="003A1A6C" w:rsidRDefault="00342B67" w:rsidP="00342B67">
      <w:pPr>
        <w:pStyle w:val="MDPI22heading2"/>
        <w:spacing w:before="0" w:after="0" w:line="240" w:lineRule="auto"/>
        <w:ind w:left="0" w:firstLine="510"/>
        <w:rPr>
          <w:i w:val="0"/>
          <w:noProof w:val="0"/>
          <w:color w:val="000000" w:themeColor="text1"/>
        </w:rPr>
      </w:pPr>
    </w:p>
    <w:p w14:paraId="2FB033FF" w14:textId="77777777" w:rsidR="00342B67" w:rsidRPr="003A1A6C" w:rsidRDefault="00342B67" w:rsidP="00342B67">
      <w:pPr>
        <w:pStyle w:val="MDPI22heading2"/>
        <w:spacing w:before="0" w:after="0" w:line="240" w:lineRule="auto"/>
        <w:ind w:left="0" w:firstLine="510"/>
        <w:rPr>
          <w:i w:val="0"/>
          <w:noProof w:val="0"/>
          <w:color w:val="000000" w:themeColor="text1"/>
        </w:rPr>
      </w:pPr>
    </w:p>
    <w:p w14:paraId="04D040FE" w14:textId="77777777" w:rsidR="00342B67" w:rsidRPr="003A1A6C" w:rsidRDefault="00342B67" w:rsidP="00342B67">
      <w:pPr>
        <w:pStyle w:val="MDPI22heading2"/>
        <w:spacing w:before="0" w:after="0" w:line="240" w:lineRule="auto"/>
        <w:ind w:left="0" w:firstLine="510"/>
        <w:rPr>
          <w:i w:val="0"/>
          <w:noProof w:val="0"/>
          <w:color w:val="000000" w:themeColor="text1"/>
        </w:rPr>
      </w:pPr>
    </w:p>
    <w:p w14:paraId="7554B1F6" w14:textId="77777777" w:rsidR="00342B67" w:rsidRPr="003A1A6C" w:rsidRDefault="00342B67" w:rsidP="00342B67">
      <w:pPr>
        <w:pStyle w:val="MDPI22heading2"/>
        <w:spacing w:before="0" w:after="0" w:line="240" w:lineRule="auto"/>
        <w:ind w:left="0" w:firstLine="510"/>
        <w:rPr>
          <w:i w:val="0"/>
          <w:noProof w:val="0"/>
          <w:color w:val="000000" w:themeColor="text1"/>
        </w:rPr>
      </w:pPr>
    </w:p>
    <w:p w14:paraId="2A2FDE44" w14:textId="77777777" w:rsidR="00342B67" w:rsidRPr="003A1A6C" w:rsidRDefault="00342B67" w:rsidP="00342B67">
      <w:pPr>
        <w:pStyle w:val="MDPI22heading2"/>
        <w:spacing w:before="0" w:after="0" w:line="240" w:lineRule="auto"/>
        <w:ind w:left="0" w:firstLine="510"/>
        <w:rPr>
          <w:i w:val="0"/>
          <w:noProof w:val="0"/>
          <w:color w:val="000000" w:themeColor="text1"/>
        </w:rPr>
      </w:pPr>
    </w:p>
    <w:p w14:paraId="5E3BC81D" w14:textId="77777777" w:rsidR="00342B67" w:rsidRPr="003A1A6C" w:rsidRDefault="00342B67" w:rsidP="00342B67">
      <w:pPr>
        <w:pStyle w:val="MDPI22heading2"/>
        <w:spacing w:before="0" w:after="0" w:line="240" w:lineRule="auto"/>
        <w:ind w:left="0" w:firstLine="510"/>
        <w:rPr>
          <w:i w:val="0"/>
          <w:noProof w:val="0"/>
          <w:color w:val="000000" w:themeColor="text1"/>
        </w:rPr>
      </w:pPr>
    </w:p>
    <w:p w14:paraId="12C25E5A" w14:textId="77777777" w:rsidR="00342B67" w:rsidRPr="003A1A6C" w:rsidRDefault="00342B67" w:rsidP="00342B67">
      <w:pPr>
        <w:pStyle w:val="MDPI22heading2"/>
        <w:spacing w:before="0" w:after="0" w:line="240" w:lineRule="auto"/>
        <w:ind w:left="0" w:firstLine="510"/>
        <w:rPr>
          <w:i w:val="0"/>
          <w:noProof w:val="0"/>
          <w:color w:val="000000" w:themeColor="text1"/>
        </w:rPr>
      </w:pPr>
    </w:p>
    <w:p w14:paraId="681C953C" w14:textId="77777777" w:rsidR="00342B67" w:rsidRPr="003A1A6C" w:rsidRDefault="00342B67" w:rsidP="0094333D">
      <w:pPr>
        <w:pStyle w:val="MDPI22heading2"/>
        <w:spacing w:before="0" w:after="0" w:line="240" w:lineRule="auto"/>
        <w:ind w:left="0"/>
        <w:rPr>
          <w:i w:val="0"/>
          <w:noProof w:val="0"/>
          <w:color w:val="000000" w:themeColor="text1"/>
        </w:rPr>
      </w:pPr>
    </w:p>
    <w:p w14:paraId="03673298" w14:textId="290DBC69" w:rsidR="00342B67" w:rsidRPr="003A1A6C" w:rsidRDefault="00342B67" w:rsidP="00342B67">
      <w:pPr>
        <w:pStyle w:val="MDPI22heading2"/>
        <w:spacing w:before="0" w:after="0" w:line="240" w:lineRule="auto"/>
        <w:ind w:left="3060" w:firstLine="510"/>
        <w:rPr>
          <w:i w:val="0"/>
          <w:noProof w:val="0"/>
          <w:color w:val="000000" w:themeColor="text1"/>
          <w:sz w:val="18"/>
          <w:szCs w:val="18"/>
        </w:rPr>
      </w:pPr>
      <w:r w:rsidRPr="003A1A6C">
        <w:rPr>
          <w:i w:val="0"/>
          <w:noProof w:val="0"/>
          <w:color w:val="000000" w:themeColor="text1"/>
          <w:sz w:val="18"/>
          <w:szCs w:val="18"/>
        </w:rPr>
        <w:t>LTC: long-term condition.</w:t>
      </w:r>
    </w:p>
    <w:p w14:paraId="1BDFFE23" w14:textId="1919939C" w:rsidR="00905DEE" w:rsidRPr="003A1A6C" w:rsidRDefault="00905DEE" w:rsidP="00905DEE">
      <w:pPr>
        <w:pStyle w:val="MDPI22heading2"/>
        <w:spacing w:before="240"/>
        <w:ind w:firstLine="452"/>
        <w:rPr>
          <w:i w:val="0"/>
          <w:iCs/>
          <w:color w:val="000000" w:themeColor="text1"/>
        </w:rPr>
      </w:pPr>
      <w:r w:rsidRPr="003A1A6C">
        <w:rPr>
          <w:i w:val="0"/>
          <w:iCs/>
          <w:color w:val="000000" w:themeColor="text1"/>
        </w:rPr>
        <w:t>The sociodemographic characteristics of the sample per LTC and historical data of each condition are presented in supplementary material 1.</w:t>
      </w:r>
    </w:p>
    <w:p w14:paraId="45D3F6DE" w14:textId="5E2A2C1F" w:rsidR="00905DEE" w:rsidRPr="003A1A6C" w:rsidRDefault="00905DEE" w:rsidP="00905DEE">
      <w:pPr>
        <w:pStyle w:val="MDPI22heading2"/>
        <w:spacing w:before="240"/>
        <w:ind w:firstLine="452"/>
        <w:rPr>
          <w:i w:val="0"/>
          <w:iCs/>
          <w:color w:val="000000" w:themeColor="text1"/>
        </w:rPr>
      </w:pPr>
      <w:r w:rsidRPr="003A1A6C">
        <w:rPr>
          <w:i w:val="0"/>
          <w:iCs/>
          <w:color w:val="000000" w:themeColor="text1"/>
        </w:rPr>
        <w:t>Regarding linear regression models, using the LW-CI total scale score for the whole sample, the main determinants were the DUFFS (standardized beta, β=0.39, p&lt;0.001) and SLS-6 (β=0.37, p&lt;0.001) scales (see Table 3). This model accounted for 49% of the variance.</w:t>
      </w:r>
    </w:p>
    <w:p w14:paraId="12EB99E6" w14:textId="60DB417F" w:rsidR="00905DEE" w:rsidRPr="003A1A6C" w:rsidRDefault="00905DEE" w:rsidP="00905DEE">
      <w:pPr>
        <w:pStyle w:val="MDPI22heading2"/>
        <w:spacing w:before="240"/>
        <w:ind w:firstLine="452"/>
        <w:rPr>
          <w:i w:val="0"/>
          <w:iCs/>
          <w:color w:val="000000" w:themeColor="text1"/>
        </w:rPr>
      </w:pPr>
    </w:p>
    <w:p w14:paraId="566CA1F7" w14:textId="161C5625" w:rsidR="00905DEE" w:rsidRPr="003A1A6C" w:rsidRDefault="00905DEE" w:rsidP="00905DEE">
      <w:pPr>
        <w:pStyle w:val="MDPI22heading2"/>
        <w:spacing w:before="240"/>
        <w:ind w:firstLine="452"/>
        <w:rPr>
          <w:i w:val="0"/>
          <w:iCs/>
          <w:color w:val="000000" w:themeColor="text1"/>
        </w:rPr>
      </w:pPr>
    </w:p>
    <w:p w14:paraId="74FFDAA3" w14:textId="77777777" w:rsidR="00601851" w:rsidRPr="003A1A6C" w:rsidRDefault="00601851" w:rsidP="00905DEE">
      <w:pPr>
        <w:pStyle w:val="MDPI22heading2"/>
        <w:spacing w:before="240"/>
        <w:ind w:firstLine="452"/>
        <w:rPr>
          <w:i w:val="0"/>
          <w:iCs/>
          <w:color w:val="000000" w:themeColor="text1"/>
        </w:rPr>
        <w:sectPr w:rsidR="00601851" w:rsidRPr="003A1A6C" w:rsidSect="00284BEB">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417" w:right="720" w:bottom="1077" w:left="720" w:header="1020" w:footer="340" w:gutter="0"/>
          <w:lnNumType w:countBy="1" w:distance="255" w:restart="continuous"/>
          <w:pgNumType w:start="1"/>
          <w:cols w:space="425"/>
          <w:titlePg/>
          <w:bidi/>
          <w:docGrid w:type="lines" w:linePitch="326"/>
        </w:sectPr>
      </w:pPr>
    </w:p>
    <w:p w14:paraId="587EDF03" w14:textId="6390E420" w:rsidR="00905DEE" w:rsidRPr="003A1A6C" w:rsidRDefault="00905DEE" w:rsidP="00601851">
      <w:pPr>
        <w:pStyle w:val="MDPI22heading2"/>
        <w:spacing w:before="240"/>
        <w:ind w:left="0" w:firstLine="510"/>
        <w:rPr>
          <w:i w:val="0"/>
          <w:iCs/>
          <w:color w:val="000000" w:themeColor="text1"/>
        </w:rPr>
      </w:pPr>
      <w:r w:rsidRPr="003A1A6C">
        <w:rPr>
          <w:b/>
          <w:bCs/>
          <w:i w:val="0"/>
          <w:iCs/>
          <w:color w:val="000000" w:themeColor="text1"/>
        </w:rPr>
        <w:lastRenderedPageBreak/>
        <w:t xml:space="preserve">Table 3. </w:t>
      </w:r>
      <w:r w:rsidRPr="003A1A6C">
        <w:rPr>
          <w:i w:val="0"/>
          <w:iCs/>
          <w:color w:val="000000" w:themeColor="text1"/>
        </w:rPr>
        <w:t>Multiple linear regression models</w:t>
      </w:r>
    </w:p>
    <w:tbl>
      <w:tblPr>
        <w:tblStyle w:val="Cuadrculadetablaclara1"/>
        <w:tblpPr w:leftFromText="141" w:rightFromText="141" w:vertAnchor="page" w:horzAnchor="page" w:tblpX="1909" w:tblpY="2593"/>
        <w:tblW w:w="13745" w:type="dxa"/>
        <w:tblLayout w:type="fixed"/>
        <w:tblLook w:val="04A0" w:firstRow="1" w:lastRow="0" w:firstColumn="1" w:lastColumn="0" w:noHBand="0" w:noVBand="1"/>
      </w:tblPr>
      <w:tblGrid>
        <w:gridCol w:w="1832"/>
        <w:gridCol w:w="1707"/>
        <w:gridCol w:w="1325"/>
        <w:gridCol w:w="1794"/>
        <w:gridCol w:w="1238"/>
        <w:gridCol w:w="1597"/>
        <w:gridCol w:w="1394"/>
        <w:gridCol w:w="1582"/>
        <w:gridCol w:w="1276"/>
      </w:tblGrid>
      <w:tr w:rsidR="003A1A6C" w:rsidRPr="003A1A6C" w14:paraId="529A68EA" w14:textId="77777777" w:rsidTr="00843BF4">
        <w:trPr>
          <w:trHeight w:val="244"/>
        </w:trPr>
        <w:tc>
          <w:tcPr>
            <w:tcW w:w="1832" w:type="dxa"/>
            <w:tcBorders>
              <w:top w:val="single" w:sz="4" w:space="0" w:color="000000"/>
              <w:left w:val="dotted" w:sz="4" w:space="0" w:color="000000"/>
              <w:bottom w:val="single" w:sz="4" w:space="0" w:color="000000"/>
              <w:right w:val="dotted" w:sz="4" w:space="0" w:color="000000"/>
            </w:tcBorders>
          </w:tcPr>
          <w:p w14:paraId="60E09837" w14:textId="77777777" w:rsidR="00601851" w:rsidRPr="003A1A6C" w:rsidRDefault="00601851" w:rsidP="00601851">
            <w:pPr>
              <w:spacing w:line="240" w:lineRule="auto"/>
              <w:rPr>
                <w:color w:val="000000" w:themeColor="text1"/>
                <w:sz w:val="20"/>
                <w:szCs w:val="20"/>
                <w:lang w:val="en-GB"/>
              </w:rPr>
            </w:pPr>
            <w:r w:rsidRPr="003A1A6C">
              <w:rPr>
                <w:b/>
                <w:bCs/>
                <w:color w:val="000000" w:themeColor="text1"/>
                <w:sz w:val="20"/>
                <w:szCs w:val="20"/>
                <w:lang w:val="en-GB"/>
              </w:rPr>
              <w:t>Independent variables*</w:t>
            </w:r>
          </w:p>
        </w:tc>
        <w:tc>
          <w:tcPr>
            <w:tcW w:w="3032" w:type="dxa"/>
            <w:gridSpan w:val="2"/>
            <w:tcBorders>
              <w:top w:val="single" w:sz="4" w:space="0" w:color="000000"/>
              <w:left w:val="dotted" w:sz="4" w:space="0" w:color="000000"/>
              <w:bottom w:val="single" w:sz="4" w:space="0" w:color="000000"/>
              <w:right w:val="dotted" w:sz="4" w:space="0" w:color="000000"/>
            </w:tcBorders>
            <w:vAlign w:val="center"/>
          </w:tcPr>
          <w:p w14:paraId="233C6AB9" w14:textId="77777777" w:rsidR="00601851" w:rsidRPr="003A1A6C" w:rsidRDefault="00601851" w:rsidP="00601851">
            <w:pPr>
              <w:spacing w:line="240" w:lineRule="auto"/>
              <w:jc w:val="center"/>
              <w:rPr>
                <w:color w:val="000000" w:themeColor="text1"/>
                <w:sz w:val="20"/>
                <w:szCs w:val="20"/>
                <w:lang w:val="en-GB"/>
              </w:rPr>
            </w:pPr>
            <w:r w:rsidRPr="003A1A6C">
              <w:rPr>
                <w:b/>
                <w:bCs/>
                <w:color w:val="000000" w:themeColor="text1"/>
                <w:sz w:val="20"/>
                <w:szCs w:val="20"/>
                <w:lang w:val="en-GB"/>
              </w:rPr>
              <w:t>LW-CI</w:t>
            </w:r>
          </w:p>
          <w:p w14:paraId="5FD6EE88" w14:textId="77777777" w:rsidR="00601851" w:rsidRPr="003A1A6C" w:rsidRDefault="00601851" w:rsidP="00601851">
            <w:pPr>
              <w:spacing w:line="240" w:lineRule="auto"/>
              <w:jc w:val="center"/>
              <w:rPr>
                <w:color w:val="000000" w:themeColor="text1"/>
                <w:sz w:val="20"/>
                <w:szCs w:val="20"/>
                <w:lang w:val="en-GB"/>
              </w:rPr>
            </w:pPr>
            <w:r w:rsidRPr="003A1A6C">
              <w:rPr>
                <w:b/>
                <w:bCs/>
                <w:color w:val="000000" w:themeColor="text1"/>
                <w:sz w:val="20"/>
                <w:szCs w:val="20"/>
                <w:lang w:val="en-GB"/>
              </w:rPr>
              <w:t>Total sample (n=1788)</w:t>
            </w:r>
          </w:p>
        </w:tc>
        <w:tc>
          <w:tcPr>
            <w:tcW w:w="3032" w:type="dxa"/>
            <w:gridSpan w:val="2"/>
            <w:tcBorders>
              <w:top w:val="single" w:sz="4" w:space="0" w:color="000000"/>
              <w:left w:val="dotted" w:sz="4" w:space="0" w:color="000000"/>
              <w:bottom w:val="single" w:sz="4" w:space="0" w:color="000000"/>
              <w:right w:val="dotted" w:sz="4" w:space="0" w:color="000000"/>
            </w:tcBorders>
            <w:vAlign w:val="center"/>
          </w:tcPr>
          <w:p w14:paraId="5389C181" w14:textId="77777777" w:rsidR="00601851" w:rsidRPr="003A1A6C" w:rsidRDefault="00601851" w:rsidP="00601851">
            <w:pPr>
              <w:spacing w:line="240" w:lineRule="auto"/>
              <w:jc w:val="center"/>
              <w:rPr>
                <w:color w:val="000000" w:themeColor="text1"/>
                <w:sz w:val="20"/>
                <w:szCs w:val="20"/>
                <w:lang w:val="en-GB"/>
              </w:rPr>
            </w:pPr>
            <w:r w:rsidRPr="003A1A6C">
              <w:rPr>
                <w:b/>
                <w:bCs/>
                <w:color w:val="000000" w:themeColor="text1"/>
                <w:sz w:val="20"/>
                <w:szCs w:val="20"/>
                <w:lang w:val="en-GB"/>
              </w:rPr>
              <w:t>LW-CI-HF</w:t>
            </w:r>
          </w:p>
          <w:p w14:paraId="66D1537E" w14:textId="77777777" w:rsidR="00601851" w:rsidRPr="003A1A6C" w:rsidRDefault="00601851" w:rsidP="00601851">
            <w:pPr>
              <w:spacing w:line="240" w:lineRule="auto"/>
              <w:jc w:val="center"/>
              <w:rPr>
                <w:color w:val="000000" w:themeColor="text1"/>
                <w:sz w:val="20"/>
                <w:szCs w:val="20"/>
                <w:lang w:val="en-GB"/>
              </w:rPr>
            </w:pPr>
            <w:r w:rsidRPr="003A1A6C">
              <w:rPr>
                <w:b/>
                <w:bCs/>
                <w:color w:val="000000" w:themeColor="text1"/>
                <w:sz w:val="20"/>
                <w:szCs w:val="20"/>
                <w:lang w:val="en-GB"/>
              </w:rPr>
              <w:t>(n=603)</w:t>
            </w:r>
          </w:p>
        </w:tc>
        <w:tc>
          <w:tcPr>
            <w:tcW w:w="2991" w:type="dxa"/>
            <w:gridSpan w:val="2"/>
            <w:tcBorders>
              <w:top w:val="single" w:sz="4" w:space="0" w:color="000000"/>
              <w:left w:val="dotted" w:sz="4" w:space="0" w:color="000000"/>
              <w:bottom w:val="single" w:sz="4" w:space="0" w:color="000000"/>
              <w:right w:val="dotted" w:sz="4" w:space="0" w:color="000000"/>
            </w:tcBorders>
            <w:vAlign w:val="center"/>
          </w:tcPr>
          <w:p w14:paraId="077CFC9E" w14:textId="77777777" w:rsidR="00601851" w:rsidRPr="003A1A6C" w:rsidRDefault="00601851" w:rsidP="00601851">
            <w:pPr>
              <w:spacing w:line="240" w:lineRule="auto"/>
              <w:jc w:val="center"/>
              <w:rPr>
                <w:b/>
                <w:bCs/>
                <w:color w:val="000000" w:themeColor="text1"/>
                <w:sz w:val="20"/>
                <w:szCs w:val="20"/>
                <w:lang w:val="en-GB"/>
              </w:rPr>
            </w:pPr>
            <w:r w:rsidRPr="003A1A6C">
              <w:rPr>
                <w:b/>
                <w:bCs/>
                <w:color w:val="000000" w:themeColor="text1"/>
                <w:sz w:val="20"/>
                <w:szCs w:val="20"/>
                <w:lang w:val="en-GB"/>
              </w:rPr>
              <w:t>LW-CI-T2DM</w:t>
            </w:r>
          </w:p>
          <w:p w14:paraId="60F3E5D4" w14:textId="77777777" w:rsidR="00601851" w:rsidRPr="003A1A6C" w:rsidRDefault="00601851" w:rsidP="00601851">
            <w:pPr>
              <w:spacing w:line="240" w:lineRule="auto"/>
              <w:jc w:val="center"/>
              <w:rPr>
                <w:color w:val="000000" w:themeColor="text1"/>
                <w:sz w:val="20"/>
                <w:szCs w:val="20"/>
                <w:lang w:val="en-GB"/>
              </w:rPr>
            </w:pPr>
            <w:r w:rsidRPr="003A1A6C">
              <w:rPr>
                <w:b/>
                <w:bCs/>
                <w:color w:val="000000" w:themeColor="text1"/>
                <w:sz w:val="20"/>
                <w:szCs w:val="20"/>
                <w:lang w:val="en-GB"/>
              </w:rPr>
              <w:t>(n=582)</w:t>
            </w:r>
          </w:p>
        </w:tc>
        <w:tc>
          <w:tcPr>
            <w:tcW w:w="2858" w:type="dxa"/>
            <w:gridSpan w:val="2"/>
            <w:tcBorders>
              <w:top w:val="single" w:sz="4" w:space="0" w:color="000000"/>
              <w:left w:val="dotted" w:sz="4" w:space="0" w:color="000000"/>
              <w:right w:val="dotted" w:sz="4" w:space="0" w:color="000000"/>
            </w:tcBorders>
            <w:vAlign w:val="center"/>
          </w:tcPr>
          <w:p w14:paraId="07C4EB35" w14:textId="77777777" w:rsidR="00601851" w:rsidRPr="003A1A6C" w:rsidRDefault="00601851" w:rsidP="00601851">
            <w:pPr>
              <w:spacing w:line="240" w:lineRule="auto"/>
              <w:jc w:val="center"/>
              <w:rPr>
                <w:color w:val="000000" w:themeColor="text1"/>
                <w:sz w:val="20"/>
                <w:szCs w:val="20"/>
                <w:lang w:val="en-GB"/>
              </w:rPr>
            </w:pPr>
            <w:r w:rsidRPr="003A1A6C">
              <w:rPr>
                <w:b/>
                <w:bCs/>
                <w:color w:val="000000" w:themeColor="text1"/>
                <w:sz w:val="20"/>
                <w:szCs w:val="20"/>
                <w:lang w:val="en-GB"/>
              </w:rPr>
              <w:t>LW-CI-COPD</w:t>
            </w:r>
          </w:p>
          <w:p w14:paraId="28800707" w14:textId="77777777" w:rsidR="00601851" w:rsidRPr="003A1A6C" w:rsidRDefault="00601851" w:rsidP="00601851">
            <w:pPr>
              <w:spacing w:line="240" w:lineRule="auto"/>
              <w:jc w:val="center"/>
              <w:rPr>
                <w:color w:val="000000" w:themeColor="text1"/>
                <w:sz w:val="20"/>
                <w:szCs w:val="20"/>
                <w:lang w:val="en-GB"/>
              </w:rPr>
            </w:pPr>
            <w:r w:rsidRPr="003A1A6C">
              <w:rPr>
                <w:b/>
                <w:bCs/>
                <w:color w:val="000000" w:themeColor="text1"/>
                <w:sz w:val="20"/>
                <w:szCs w:val="20"/>
                <w:lang w:val="en-GB"/>
              </w:rPr>
              <w:t>(n=612)</w:t>
            </w:r>
          </w:p>
        </w:tc>
      </w:tr>
      <w:tr w:rsidR="003A1A6C" w:rsidRPr="003A1A6C" w14:paraId="6A218856" w14:textId="77777777" w:rsidTr="00843BF4">
        <w:trPr>
          <w:trHeight w:val="211"/>
        </w:trPr>
        <w:tc>
          <w:tcPr>
            <w:tcW w:w="1832" w:type="dxa"/>
            <w:tcBorders>
              <w:top w:val="single" w:sz="4" w:space="0" w:color="000000"/>
              <w:left w:val="dotted" w:sz="4" w:space="0" w:color="000000"/>
              <w:bottom w:val="dotted" w:sz="4" w:space="0" w:color="000000"/>
              <w:right w:val="dotted" w:sz="4" w:space="0" w:color="000000"/>
            </w:tcBorders>
          </w:tcPr>
          <w:p w14:paraId="08B7BCE4" w14:textId="77777777" w:rsidR="00601851" w:rsidRPr="003A1A6C" w:rsidRDefault="00601851" w:rsidP="00601851">
            <w:pPr>
              <w:spacing w:line="240" w:lineRule="auto"/>
              <w:rPr>
                <w:color w:val="000000" w:themeColor="text1"/>
                <w:sz w:val="20"/>
                <w:szCs w:val="20"/>
                <w:lang w:val="en-GB"/>
              </w:rPr>
            </w:pPr>
          </w:p>
        </w:tc>
        <w:tc>
          <w:tcPr>
            <w:tcW w:w="1707" w:type="dxa"/>
            <w:tcBorders>
              <w:top w:val="single" w:sz="4" w:space="0" w:color="000000"/>
              <w:left w:val="dotted" w:sz="4" w:space="0" w:color="000000"/>
              <w:bottom w:val="dotted" w:sz="4" w:space="0" w:color="000000"/>
              <w:right w:val="dotted" w:sz="4" w:space="0" w:color="000000"/>
            </w:tcBorders>
          </w:tcPr>
          <w:p w14:paraId="0BD62F2D"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Standardized Beta</w:t>
            </w:r>
          </w:p>
        </w:tc>
        <w:tc>
          <w:tcPr>
            <w:tcW w:w="1325" w:type="dxa"/>
            <w:tcBorders>
              <w:top w:val="single" w:sz="4" w:space="0" w:color="000000"/>
              <w:left w:val="dotted" w:sz="4" w:space="0" w:color="000000"/>
              <w:bottom w:val="dotted" w:sz="4" w:space="0" w:color="000000"/>
              <w:right w:val="dotted" w:sz="4" w:space="0" w:color="000000"/>
            </w:tcBorders>
          </w:tcPr>
          <w:p w14:paraId="32DC9B9A"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p</w:t>
            </w:r>
          </w:p>
        </w:tc>
        <w:tc>
          <w:tcPr>
            <w:tcW w:w="1794" w:type="dxa"/>
            <w:tcBorders>
              <w:top w:val="single" w:sz="4" w:space="0" w:color="000000"/>
              <w:left w:val="dotted" w:sz="4" w:space="0" w:color="000000"/>
              <w:bottom w:val="dotted" w:sz="4" w:space="0" w:color="000000"/>
              <w:right w:val="dotted" w:sz="4" w:space="0" w:color="000000"/>
            </w:tcBorders>
          </w:tcPr>
          <w:p w14:paraId="544A3D02"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Standardized Beta</w:t>
            </w:r>
          </w:p>
        </w:tc>
        <w:tc>
          <w:tcPr>
            <w:tcW w:w="1238" w:type="dxa"/>
            <w:tcBorders>
              <w:top w:val="single" w:sz="4" w:space="0" w:color="000000"/>
              <w:left w:val="dotted" w:sz="4" w:space="0" w:color="000000"/>
              <w:bottom w:val="dotted" w:sz="4" w:space="0" w:color="000000"/>
              <w:right w:val="dotted" w:sz="4" w:space="0" w:color="000000"/>
            </w:tcBorders>
          </w:tcPr>
          <w:p w14:paraId="3F135C4E"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p</w:t>
            </w:r>
          </w:p>
        </w:tc>
        <w:tc>
          <w:tcPr>
            <w:tcW w:w="1597" w:type="dxa"/>
            <w:tcBorders>
              <w:top w:val="single" w:sz="4" w:space="0" w:color="000000"/>
              <w:left w:val="dotted" w:sz="4" w:space="0" w:color="000000"/>
              <w:bottom w:val="dotted" w:sz="4" w:space="0" w:color="000000"/>
              <w:right w:val="dotted" w:sz="4" w:space="0" w:color="000000"/>
            </w:tcBorders>
          </w:tcPr>
          <w:p w14:paraId="64C8E95C"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Standardized Beta</w:t>
            </w:r>
          </w:p>
        </w:tc>
        <w:tc>
          <w:tcPr>
            <w:tcW w:w="1394" w:type="dxa"/>
            <w:tcBorders>
              <w:top w:val="single" w:sz="4" w:space="0" w:color="000000"/>
              <w:left w:val="dotted" w:sz="4" w:space="0" w:color="000000"/>
              <w:bottom w:val="dotted" w:sz="4" w:space="0" w:color="000000"/>
              <w:right w:val="dotted" w:sz="4" w:space="0" w:color="000000"/>
            </w:tcBorders>
          </w:tcPr>
          <w:p w14:paraId="0AAD6423"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p</w:t>
            </w:r>
          </w:p>
        </w:tc>
        <w:tc>
          <w:tcPr>
            <w:tcW w:w="1582" w:type="dxa"/>
            <w:tcBorders>
              <w:top w:val="single" w:sz="4" w:space="0" w:color="000000"/>
              <w:left w:val="dotted" w:sz="4" w:space="0" w:color="000000"/>
              <w:bottom w:val="dotted" w:sz="4" w:space="0" w:color="000000"/>
            </w:tcBorders>
          </w:tcPr>
          <w:p w14:paraId="38E753E7"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Standardized Beta</w:t>
            </w:r>
          </w:p>
        </w:tc>
        <w:tc>
          <w:tcPr>
            <w:tcW w:w="1276" w:type="dxa"/>
            <w:tcBorders>
              <w:bottom w:val="dotted" w:sz="4" w:space="0" w:color="000000"/>
              <w:right w:val="dotted" w:sz="4" w:space="0" w:color="000000"/>
            </w:tcBorders>
          </w:tcPr>
          <w:p w14:paraId="1D8A9FCF"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p</w:t>
            </w:r>
          </w:p>
        </w:tc>
      </w:tr>
      <w:tr w:rsidR="003A1A6C" w:rsidRPr="003A1A6C" w14:paraId="2E005E0E" w14:textId="77777777" w:rsidTr="00843BF4">
        <w:trPr>
          <w:trHeight w:val="104"/>
        </w:trPr>
        <w:tc>
          <w:tcPr>
            <w:tcW w:w="1832" w:type="dxa"/>
            <w:tcBorders>
              <w:top w:val="dotted" w:sz="4" w:space="0" w:color="000000"/>
              <w:left w:val="dotted" w:sz="4" w:space="0" w:color="000000"/>
              <w:bottom w:val="dotted" w:sz="4" w:space="0" w:color="000000"/>
              <w:right w:val="dotted" w:sz="4" w:space="0" w:color="000000"/>
            </w:tcBorders>
          </w:tcPr>
          <w:p w14:paraId="237837AA" w14:textId="77777777" w:rsidR="00601851" w:rsidRPr="003A1A6C" w:rsidRDefault="00601851" w:rsidP="00601851">
            <w:pPr>
              <w:spacing w:line="240" w:lineRule="auto"/>
              <w:rPr>
                <w:color w:val="000000" w:themeColor="text1"/>
                <w:sz w:val="20"/>
                <w:szCs w:val="20"/>
                <w:lang w:val="en-GB"/>
              </w:rPr>
            </w:pPr>
            <w:r w:rsidRPr="003A1A6C">
              <w:rPr>
                <w:b/>
                <w:bCs/>
                <w:i/>
                <w:iCs/>
                <w:color w:val="000000" w:themeColor="text1"/>
                <w:sz w:val="20"/>
                <w:szCs w:val="20"/>
                <w:lang w:val="en-GB"/>
              </w:rPr>
              <w:t>(Constant)</w:t>
            </w:r>
          </w:p>
        </w:tc>
        <w:tc>
          <w:tcPr>
            <w:tcW w:w="1707" w:type="dxa"/>
            <w:tcBorders>
              <w:top w:val="dotted" w:sz="4" w:space="0" w:color="000000"/>
              <w:left w:val="dotted" w:sz="4" w:space="0" w:color="000000"/>
              <w:bottom w:val="dotted" w:sz="4" w:space="0" w:color="000000"/>
              <w:right w:val="dotted" w:sz="4" w:space="0" w:color="000000"/>
            </w:tcBorders>
          </w:tcPr>
          <w:p w14:paraId="55FC483A" w14:textId="77777777" w:rsidR="00601851" w:rsidRPr="003A1A6C" w:rsidRDefault="00601851" w:rsidP="00601851">
            <w:pPr>
              <w:spacing w:line="240" w:lineRule="auto"/>
              <w:jc w:val="center"/>
              <w:rPr>
                <w:color w:val="000000" w:themeColor="text1"/>
                <w:sz w:val="20"/>
                <w:szCs w:val="20"/>
                <w:lang w:val="en-GB"/>
              </w:rPr>
            </w:pPr>
            <w:r w:rsidRPr="003A1A6C">
              <w:rPr>
                <w:i/>
                <w:iCs/>
                <w:color w:val="000000" w:themeColor="text1"/>
                <w:sz w:val="20"/>
                <w:szCs w:val="20"/>
                <w:lang w:val="en-GB"/>
              </w:rPr>
              <w:t>5.08</w:t>
            </w:r>
          </w:p>
        </w:tc>
        <w:tc>
          <w:tcPr>
            <w:tcW w:w="1325" w:type="dxa"/>
            <w:tcBorders>
              <w:top w:val="dotted" w:sz="4" w:space="0" w:color="000000"/>
              <w:left w:val="dotted" w:sz="4" w:space="0" w:color="000000"/>
              <w:bottom w:val="dotted" w:sz="4" w:space="0" w:color="000000"/>
              <w:right w:val="dotted" w:sz="4" w:space="0" w:color="000000"/>
            </w:tcBorders>
          </w:tcPr>
          <w:p w14:paraId="4A6BC03F" w14:textId="77777777" w:rsidR="00601851" w:rsidRPr="003A1A6C" w:rsidRDefault="00601851" w:rsidP="00601851">
            <w:pPr>
              <w:spacing w:line="240" w:lineRule="auto"/>
              <w:jc w:val="center"/>
              <w:rPr>
                <w:color w:val="000000" w:themeColor="text1"/>
                <w:sz w:val="20"/>
                <w:szCs w:val="20"/>
                <w:lang w:val="en-GB"/>
              </w:rPr>
            </w:pPr>
            <w:r w:rsidRPr="003A1A6C">
              <w:rPr>
                <w:i/>
                <w:iCs/>
                <w:color w:val="000000" w:themeColor="text1"/>
                <w:sz w:val="20"/>
                <w:szCs w:val="20"/>
                <w:lang w:val="en-GB"/>
              </w:rPr>
              <w:t>&lt;0.001</w:t>
            </w:r>
          </w:p>
        </w:tc>
        <w:tc>
          <w:tcPr>
            <w:tcW w:w="1794" w:type="dxa"/>
            <w:tcBorders>
              <w:top w:val="dotted" w:sz="4" w:space="0" w:color="000000"/>
              <w:left w:val="dotted" w:sz="4" w:space="0" w:color="000000"/>
              <w:bottom w:val="dotted" w:sz="4" w:space="0" w:color="000000"/>
              <w:right w:val="dotted" w:sz="4" w:space="0" w:color="000000"/>
            </w:tcBorders>
          </w:tcPr>
          <w:p w14:paraId="22BB0F4C" w14:textId="77777777" w:rsidR="00601851" w:rsidRPr="003A1A6C" w:rsidRDefault="00601851" w:rsidP="00601851">
            <w:pPr>
              <w:spacing w:line="240" w:lineRule="auto"/>
              <w:jc w:val="center"/>
              <w:rPr>
                <w:color w:val="000000" w:themeColor="text1"/>
                <w:sz w:val="20"/>
                <w:szCs w:val="20"/>
                <w:lang w:val="en-GB"/>
              </w:rPr>
            </w:pPr>
            <w:r w:rsidRPr="003A1A6C">
              <w:rPr>
                <w:i/>
                <w:iCs/>
                <w:color w:val="000000" w:themeColor="text1"/>
                <w:sz w:val="20"/>
                <w:szCs w:val="20"/>
                <w:lang w:val="en-GB"/>
              </w:rPr>
              <w:t>2.25</w:t>
            </w:r>
          </w:p>
        </w:tc>
        <w:tc>
          <w:tcPr>
            <w:tcW w:w="1238" w:type="dxa"/>
            <w:tcBorders>
              <w:top w:val="dotted" w:sz="4" w:space="0" w:color="000000"/>
              <w:left w:val="dotted" w:sz="4" w:space="0" w:color="000000"/>
              <w:bottom w:val="dotted" w:sz="4" w:space="0" w:color="000000"/>
              <w:right w:val="dotted" w:sz="4" w:space="0" w:color="000000"/>
            </w:tcBorders>
          </w:tcPr>
          <w:p w14:paraId="7D46AB5A" w14:textId="77777777" w:rsidR="00601851" w:rsidRPr="003A1A6C" w:rsidRDefault="00601851" w:rsidP="00601851">
            <w:pPr>
              <w:spacing w:line="240" w:lineRule="auto"/>
              <w:jc w:val="center"/>
              <w:rPr>
                <w:color w:val="000000" w:themeColor="text1"/>
                <w:sz w:val="20"/>
                <w:szCs w:val="20"/>
                <w:lang w:val="en-GB"/>
              </w:rPr>
            </w:pPr>
            <w:r w:rsidRPr="003A1A6C">
              <w:rPr>
                <w:i/>
                <w:iCs/>
                <w:color w:val="000000" w:themeColor="text1"/>
                <w:sz w:val="20"/>
                <w:szCs w:val="20"/>
                <w:lang w:val="en-GB"/>
              </w:rPr>
              <w:t>0.02</w:t>
            </w:r>
          </w:p>
        </w:tc>
        <w:tc>
          <w:tcPr>
            <w:tcW w:w="1597" w:type="dxa"/>
            <w:tcBorders>
              <w:top w:val="dotted" w:sz="4" w:space="0" w:color="000000"/>
              <w:left w:val="dotted" w:sz="4" w:space="0" w:color="000000"/>
              <w:bottom w:val="dotted" w:sz="4" w:space="0" w:color="000000"/>
              <w:right w:val="dotted" w:sz="4" w:space="0" w:color="000000"/>
            </w:tcBorders>
          </w:tcPr>
          <w:p w14:paraId="1B28863F" w14:textId="77777777" w:rsidR="00601851" w:rsidRPr="003A1A6C" w:rsidRDefault="00601851" w:rsidP="00601851">
            <w:pPr>
              <w:spacing w:line="240" w:lineRule="auto"/>
              <w:jc w:val="center"/>
              <w:rPr>
                <w:color w:val="000000" w:themeColor="text1"/>
                <w:sz w:val="20"/>
                <w:szCs w:val="20"/>
                <w:lang w:val="en-GB"/>
              </w:rPr>
            </w:pPr>
            <w:r w:rsidRPr="003A1A6C">
              <w:rPr>
                <w:i/>
                <w:iCs/>
                <w:color w:val="000000" w:themeColor="text1"/>
                <w:sz w:val="20"/>
                <w:szCs w:val="20"/>
                <w:lang w:val="en-GB"/>
              </w:rPr>
              <w:t>2.36</w:t>
            </w:r>
          </w:p>
        </w:tc>
        <w:tc>
          <w:tcPr>
            <w:tcW w:w="1394" w:type="dxa"/>
            <w:tcBorders>
              <w:top w:val="dotted" w:sz="4" w:space="0" w:color="000000"/>
              <w:left w:val="dotted" w:sz="4" w:space="0" w:color="000000"/>
              <w:bottom w:val="dotted" w:sz="4" w:space="0" w:color="000000"/>
              <w:right w:val="dotted" w:sz="4" w:space="0" w:color="000000"/>
            </w:tcBorders>
          </w:tcPr>
          <w:p w14:paraId="7CB2DDC0" w14:textId="77777777" w:rsidR="00601851" w:rsidRPr="003A1A6C" w:rsidRDefault="00601851" w:rsidP="00601851">
            <w:pPr>
              <w:spacing w:line="240" w:lineRule="auto"/>
              <w:jc w:val="center"/>
              <w:rPr>
                <w:color w:val="000000" w:themeColor="text1"/>
                <w:sz w:val="20"/>
                <w:szCs w:val="20"/>
                <w:lang w:val="en-GB"/>
              </w:rPr>
            </w:pPr>
            <w:r w:rsidRPr="003A1A6C">
              <w:rPr>
                <w:i/>
                <w:iCs/>
                <w:color w:val="000000" w:themeColor="text1"/>
                <w:sz w:val="20"/>
                <w:szCs w:val="20"/>
                <w:lang w:val="en-GB"/>
              </w:rPr>
              <w:t>0.02</w:t>
            </w:r>
          </w:p>
        </w:tc>
        <w:tc>
          <w:tcPr>
            <w:tcW w:w="1582" w:type="dxa"/>
            <w:tcBorders>
              <w:top w:val="dotted" w:sz="4" w:space="0" w:color="000000"/>
              <w:left w:val="dotted" w:sz="4" w:space="0" w:color="000000"/>
              <w:bottom w:val="dotted" w:sz="4" w:space="0" w:color="000000"/>
            </w:tcBorders>
          </w:tcPr>
          <w:p w14:paraId="74F1F7CC" w14:textId="77777777" w:rsidR="00601851" w:rsidRPr="003A1A6C" w:rsidRDefault="00601851" w:rsidP="00601851">
            <w:pPr>
              <w:spacing w:line="240" w:lineRule="auto"/>
              <w:jc w:val="center"/>
              <w:rPr>
                <w:color w:val="000000" w:themeColor="text1"/>
                <w:sz w:val="20"/>
                <w:szCs w:val="20"/>
                <w:lang w:val="en-GB"/>
              </w:rPr>
            </w:pPr>
            <w:r w:rsidRPr="003A1A6C">
              <w:rPr>
                <w:i/>
                <w:iCs/>
                <w:color w:val="000000" w:themeColor="text1"/>
                <w:sz w:val="20"/>
                <w:szCs w:val="20"/>
                <w:lang w:val="en-GB"/>
              </w:rPr>
              <w:t>3.34</w:t>
            </w:r>
          </w:p>
        </w:tc>
        <w:tc>
          <w:tcPr>
            <w:tcW w:w="1276" w:type="dxa"/>
            <w:tcBorders>
              <w:top w:val="dotted" w:sz="4" w:space="0" w:color="000000"/>
              <w:bottom w:val="dotted" w:sz="4" w:space="0" w:color="000000"/>
              <w:right w:val="dotted" w:sz="4" w:space="0" w:color="000000"/>
            </w:tcBorders>
          </w:tcPr>
          <w:p w14:paraId="01BC406E" w14:textId="77777777" w:rsidR="00601851" w:rsidRPr="003A1A6C" w:rsidRDefault="00601851" w:rsidP="00601851">
            <w:pPr>
              <w:spacing w:line="240" w:lineRule="auto"/>
              <w:jc w:val="center"/>
              <w:rPr>
                <w:color w:val="000000" w:themeColor="text1"/>
                <w:sz w:val="20"/>
                <w:szCs w:val="20"/>
                <w:lang w:val="en-GB"/>
              </w:rPr>
            </w:pPr>
            <w:r w:rsidRPr="003A1A6C">
              <w:rPr>
                <w:i/>
                <w:iCs/>
                <w:color w:val="000000" w:themeColor="text1"/>
                <w:sz w:val="20"/>
                <w:szCs w:val="20"/>
                <w:lang w:val="en-GB"/>
              </w:rPr>
              <w:t>0.00</w:t>
            </w:r>
          </w:p>
        </w:tc>
      </w:tr>
      <w:tr w:rsidR="003A1A6C" w:rsidRPr="003A1A6C" w14:paraId="0FF73A49" w14:textId="77777777" w:rsidTr="00843BF4">
        <w:trPr>
          <w:trHeight w:val="104"/>
        </w:trPr>
        <w:tc>
          <w:tcPr>
            <w:tcW w:w="1832" w:type="dxa"/>
            <w:tcBorders>
              <w:top w:val="dotted" w:sz="4" w:space="0" w:color="000000"/>
              <w:left w:val="dotted" w:sz="4" w:space="0" w:color="000000"/>
              <w:bottom w:val="dotted" w:sz="4" w:space="0" w:color="000000"/>
              <w:right w:val="dotted" w:sz="4" w:space="0" w:color="000000"/>
            </w:tcBorders>
          </w:tcPr>
          <w:p w14:paraId="5F250B5D" w14:textId="77777777" w:rsidR="00601851" w:rsidRPr="003A1A6C" w:rsidRDefault="00601851" w:rsidP="00601851">
            <w:pPr>
              <w:spacing w:line="240" w:lineRule="auto"/>
              <w:rPr>
                <w:color w:val="000000" w:themeColor="text1"/>
                <w:sz w:val="20"/>
                <w:szCs w:val="20"/>
                <w:lang w:val="en-GB"/>
              </w:rPr>
            </w:pPr>
            <w:r w:rsidRPr="003A1A6C">
              <w:rPr>
                <w:b/>
                <w:bCs/>
                <w:color w:val="000000" w:themeColor="text1"/>
                <w:sz w:val="20"/>
                <w:szCs w:val="20"/>
                <w:lang w:val="en-GB"/>
              </w:rPr>
              <w:t xml:space="preserve">Age </w:t>
            </w:r>
          </w:p>
        </w:tc>
        <w:tc>
          <w:tcPr>
            <w:tcW w:w="1707" w:type="dxa"/>
            <w:tcBorders>
              <w:top w:val="dotted" w:sz="4" w:space="0" w:color="000000"/>
              <w:left w:val="dotted" w:sz="4" w:space="0" w:color="000000"/>
              <w:bottom w:val="dotted" w:sz="4" w:space="0" w:color="000000"/>
              <w:right w:val="dotted" w:sz="4" w:space="0" w:color="000000"/>
            </w:tcBorders>
          </w:tcPr>
          <w:p w14:paraId="2B31DC2F"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-0.04</w:t>
            </w:r>
          </w:p>
        </w:tc>
        <w:tc>
          <w:tcPr>
            <w:tcW w:w="1325" w:type="dxa"/>
            <w:tcBorders>
              <w:top w:val="dotted" w:sz="4" w:space="0" w:color="000000"/>
              <w:left w:val="dotted" w:sz="4" w:space="0" w:color="000000"/>
              <w:bottom w:val="dotted" w:sz="4" w:space="0" w:color="000000"/>
              <w:right w:val="dotted" w:sz="4" w:space="0" w:color="000000"/>
            </w:tcBorders>
          </w:tcPr>
          <w:p w14:paraId="32D8B20B"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0.06</w:t>
            </w:r>
          </w:p>
        </w:tc>
        <w:tc>
          <w:tcPr>
            <w:tcW w:w="1794" w:type="dxa"/>
            <w:tcBorders>
              <w:top w:val="dotted" w:sz="4" w:space="0" w:color="000000"/>
              <w:left w:val="dotted" w:sz="4" w:space="0" w:color="000000"/>
              <w:bottom w:val="dotted" w:sz="4" w:space="0" w:color="000000"/>
              <w:right w:val="dotted" w:sz="4" w:space="0" w:color="000000"/>
            </w:tcBorders>
          </w:tcPr>
          <w:p w14:paraId="3E3327F6"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-0.08</w:t>
            </w:r>
          </w:p>
        </w:tc>
        <w:tc>
          <w:tcPr>
            <w:tcW w:w="1238" w:type="dxa"/>
            <w:tcBorders>
              <w:top w:val="dotted" w:sz="4" w:space="0" w:color="000000"/>
              <w:left w:val="dotted" w:sz="4" w:space="0" w:color="000000"/>
              <w:bottom w:val="dotted" w:sz="4" w:space="0" w:color="000000"/>
              <w:right w:val="dotted" w:sz="4" w:space="0" w:color="000000"/>
            </w:tcBorders>
          </w:tcPr>
          <w:p w14:paraId="4B90EBA6"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0.01</w:t>
            </w:r>
          </w:p>
        </w:tc>
        <w:tc>
          <w:tcPr>
            <w:tcW w:w="1597" w:type="dxa"/>
            <w:tcBorders>
              <w:top w:val="dotted" w:sz="4" w:space="0" w:color="000000"/>
              <w:left w:val="dotted" w:sz="4" w:space="0" w:color="000000"/>
              <w:bottom w:val="dotted" w:sz="4" w:space="0" w:color="000000"/>
              <w:right w:val="dotted" w:sz="4" w:space="0" w:color="000000"/>
            </w:tcBorders>
          </w:tcPr>
          <w:p w14:paraId="11AD0CA2"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0.03</w:t>
            </w:r>
          </w:p>
        </w:tc>
        <w:tc>
          <w:tcPr>
            <w:tcW w:w="1394" w:type="dxa"/>
            <w:tcBorders>
              <w:top w:val="dotted" w:sz="4" w:space="0" w:color="000000"/>
              <w:left w:val="dotted" w:sz="4" w:space="0" w:color="000000"/>
              <w:bottom w:val="dotted" w:sz="4" w:space="0" w:color="000000"/>
              <w:right w:val="dotted" w:sz="4" w:space="0" w:color="000000"/>
            </w:tcBorders>
          </w:tcPr>
          <w:p w14:paraId="36CA67B6"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0.45</w:t>
            </w:r>
          </w:p>
        </w:tc>
        <w:tc>
          <w:tcPr>
            <w:tcW w:w="1582" w:type="dxa"/>
            <w:tcBorders>
              <w:top w:val="dotted" w:sz="4" w:space="0" w:color="000000"/>
              <w:left w:val="dotted" w:sz="4" w:space="0" w:color="000000"/>
              <w:bottom w:val="dotted" w:sz="4" w:space="0" w:color="000000"/>
            </w:tcBorders>
          </w:tcPr>
          <w:p w14:paraId="0DF98830"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0.03</w:t>
            </w:r>
          </w:p>
        </w:tc>
        <w:tc>
          <w:tcPr>
            <w:tcW w:w="1276" w:type="dxa"/>
            <w:tcBorders>
              <w:top w:val="dotted" w:sz="4" w:space="0" w:color="000000"/>
              <w:bottom w:val="dotted" w:sz="4" w:space="0" w:color="000000"/>
              <w:right w:val="dotted" w:sz="4" w:space="0" w:color="000000"/>
            </w:tcBorders>
          </w:tcPr>
          <w:p w14:paraId="38EA4F76"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0.57</w:t>
            </w:r>
          </w:p>
        </w:tc>
      </w:tr>
      <w:tr w:rsidR="003A1A6C" w:rsidRPr="003A1A6C" w14:paraId="0B00D355" w14:textId="77777777" w:rsidTr="00843BF4">
        <w:trPr>
          <w:trHeight w:val="104"/>
        </w:trPr>
        <w:tc>
          <w:tcPr>
            <w:tcW w:w="1832" w:type="dxa"/>
            <w:tcBorders>
              <w:top w:val="dotted" w:sz="4" w:space="0" w:color="000000"/>
              <w:left w:val="dotted" w:sz="4" w:space="0" w:color="000000"/>
              <w:bottom w:val="dotted" w:sz="4" w:space="0" w:color="000000"/>
              <w:right w:val="dotted" w:sz="4" w:space="0" w:color="000000"/>
            </w:tcBorders>
          </w:tcPr>
          <w:p w14:paraId="1A83C2E3" w14:textId="77777777" w:rsidR="00601851" w:rsidRPr="003A1A6C" w:rsidRDefault="00601851" w:rsidP="00601851">
            <w:pPr>
              <w:spacing w:line="240" w:lineRule="auto"/>
              <w:rPr>
                <w:color w:val="000000" w:themeColor="text1"/>
                <w:sz w:val="20"/>
                <w:szCs w:val="20"/>
                <w:lang w:val="en-GB"/>
              </w:rPr>
            </w:pPr>
            <w:r w:rsidRPr="003A1A6C">
              <w:rPr>
                <w:b/>
                <w:bCs/>
                <w:color w:val="000000" w:themeColor="text1"/>
                <w:sz w:val="20"/>
                <w:szCs w:val="20"/>
                <w:lang w:val="en-GB"/>
              </w:rPr>
              <w:t>Country</w:t>
            </w:r>
          </w:p>
        </w:tc>
        <w:tc>
          <w:tcPr>
            <w:tcW w:w="1707" w:type="dxa"/>
            <w:tcBorders>
              <w:top w:val="dotted" w:sz="4" w:space="0" w:color="000000"/>
              <w:left w:val="dotted" w:sz="4" w:space="0" w:color="000000"/>
              <w:bottom w:val="dotted" w:sz="4" w:space="0" w:color="000000"/>
              <w:right w:val="dotted" w:sz="4" w:space="0" w:color="000000"/>
            </w:tcBorders>
          </w:tcPr>
          <w:p w14:paraId="4BD83310"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0.04</w:t>
            </w:r>
          </w:p>
        </w:tc>
        <w:tc>
          <w:tcPr>
            <w:tcW w:w="1325" w:type="dxa"/>
            <w:tcBorders>
              <w:top w:val="dotted" w:sz="4" w:space="0" w:color="000000"/>
              <w:left w:val="dotted" w:sz="4" w:space="0" w:color="000000"/>
              <w:bottom w:val="dotted" w:sz="4" w:space="0" w:color="000000"/>
              <w:right w:val="dotted" w:sz="4" w:space="0" w:color="000000"/>
            </w:tcBorders>
          </w:tcPr>
          <w:p w14:paraId="402BDA48"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0.07</w:t>
            </w:r>
          </w:p>
        </w:tc>
        <w:tc>
          <w:tcPr>
            <w:tcW w:w="1794" w:type="dxa"/>
            <w:tcBorders>
              <w:top w:val="dotted" w:sz="4" w:space="0" w:color="000000"/>
              <w:left w:val="dotted" w:sz="4" w:space="0" w:color="000000"/>
              <w:bottom w:val="dotted" w:sz="4" w:space="0" w:color="000000"/>
              <w:right w:val="dotted" w:sz="4" w:space="0" w:color="000000"/>
            </w:tcBorders>
          </w:tcPr>
          <w:p w14:paraId="6D61E474"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0.06</w:t>
            </w:r>
          </w:p>
        </w:tc>
        <w:tc>
          <w:tcPr>
            <w:tcW w:w="1238" w:type="dxa"/>
            <w:tcBorders>
              <w:top w:val="dotted" w:sz="4" w:space="0" w:color="000000"/>
              <w:left w:val="dotted" w:sz="4" w:space="0" w:color="000000"/>
              <w:bottom w:val="dotted" w:sz="4" w:space="0" w:color="000000"/>
              <w:right w:val="dotted" w:sz="4" w:space="0" w:color="000000"/>
            </w:tcBorders>
          </w:tcPr>
          <w:p w14:paraId="5F863059"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0.08</w:t>
            </w:r>
          </w:p>
        </w:tc>
        <w:tc>
          <w:tcPr>
            <w:tcW w:w="1597" w:type="dxa"/>
            <w:tcBorders>
              <w:top w:val="dotted" w:sz="4" w:space="0" w:color="000000"/>
              <w:left w:val="dotted" w:sz="4" w:space="0" w:color="000000"/>
              <w:bottom w:val="dotted" w:sz="4" w:space="0" w:color="000000"/>
              <w:right w:val="dotted" w:sz="4" w:space="0" w:color="000000"/>
            </w:tcBorders>
          </w:tcPr>
          <w:p w14:paraId="39F9AA10"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0.05</w:t>
            </w:r>
          </w:p>
        </w:tc>
        <w:tc>
          <w:tcPr>
            <w:tcW w:w="1394" w:type="dxa"/>
            <w:tcBorders>
              <w:top w:val="dotted" w:sz="4" w:space="0" w:color="000000"/>
              <w:left w:val="dotted" w:sz="4" w:space="0" w:color="000000"/>
              <w:bottom w:val="dotted" w:sz="4" w:space="0" w:color="000000"/>
              <w:right w:val="dotted" w:sz="4" w:space="0" w:color="000000"/>
            </w:tcBorders>
          </w:tcPr>
          <w:p w14:paraId="39FDF896"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0.24</w:t>
            </w:r>
          </w:p>
        </w:tc>
        <w:tc>
          <w:tcPr>
            <w:tcW w:w="1582" w:type="dxa"/>
            <w:tcBorders>
              <w:top w:val="dotted" w:sz="4" w:space="0" w:color="000000"/>
              <w:left w:val="dotted" w:sz="4" w:space="0" w:color="000000"/>
              <w:bottom w:val="dotted" w:sz="4" w:space="0" w:color="000000"/>
            </w:tcBorders>
          </w:tcPr>
          <w:p w14:paraId="5F3664FD"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-0.02</w:t>
            </w:r>
          </w:p>
        </w:tc>
        <w:tc>
          <w:tcPr>
            <w:tcW w:w="1276" w:type="dxa"/>
            <w:tcBorders>
              <w:top w:val="dotted" w:sz="4" w:space="0" w:color="000000"/>
              <w:bottom w:val="dotted" w:sz="4" w:space="0" w:color="000000"/>
              <w:right w:val="dotted" w:sz="4" w:space="0" w:color="000000"/>
            </w:tcBorders>
          </w:tcPr>
          <w:p w14:paraId="44CD173A"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0.002</w:t>
            </w:r>
          </w:p>
        </w:tc>
      </w:tr>
      <w:tr w:rsidR="003A1A6C" w:rsidRPr="003A1A6C" w14:paraId="4F0D36CB" w14:textId="77777777" w:rsidTr="00843BF4">
        <w:trPr>
          <w:trHeight w:val="104"/>
        </w:trPr>
        <w:tc>
          <w:tcPr>
            <w:tcW w:w="1832" w:type="dxa"/>
            <w:tcBorders>
              <w:top w:val="dotted" w:sz="4" w:space="0" w:color="000000"/>
              <w:left w:val="dotted" w:sz="4" w:space="0" w:color="000000"/>
              <w:bottom w:val="dotted" w:sz="4" w:space="0" w:color="000000"/>
              <w:right w:val="dotted" w:sz="4" w:space="0" w:color="000000"/>
            </w:tcBorders>
          </w:tcPr>
          <w:p w14:paraId="39B80D64" w14:textId="77777777" w:rsidR="00601851" w:rsidRPr="003A1A6C" w:rsidRDefault="00601851" w:rsidP="00601851">
            <w:pPr>
              <w:spacing w:line="240" w:lineRule="auto"/>
              <w:rPr>
                <w:color w:val="000000" w:themeColor="text1"/>
                <w:sz w:val="20"/>
                <w:szCs w:val="20"/>
                <w:lang w:val="en-GB"/>
              </w:rPr>
            </w:pPr>
            <w:r w:rsidRPr="003A1A6C">
              <w:rPr>
                <w:b/>
                <w:bCs/>
                <w:color w:val="000000" w:themeColor="text1"/>
                <w:sz w:val="20"/>
                <w:szCs w:val="20"/>
                <w:lang w:val="en-GB"/>
              </w:rPr>
              <w:t>Marital status</w:t>
            </w:r>
          </w:p>
        </w:tc>
        <w:tc>
          <w:tcPr>
            <w:tcW w:w="1707" w:type="dxa"/>
            <w:tcBorders>
              <w:top w:val="dotted" w:sz="4" w:space="0" w:color="000000"/>
              <w:left w:val="dotted" w:sz="4" w:space="0" w:color="000000"/>
              <w:bottom w:val="dotted" w:sz="4" w:space="0" w:color="000000"/>
              <w:right w:val="dotted" w:sz="4" w:space="0" w:color="000000"/>
            </w:tcBorders>
          </w:tcPr>
          <w:p w14:paraId="64E680EE"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0.03</w:t>
            </w:r>
          </w:p>
        </w:tc>
        <w:tc>
          <w:tcPr>
            <w:tcW w:w="1325" w:type="dxa"/>
            <w:tcBorders>
              <w:top w:val="dotted" w:sz="4" w:space="0" w:color="000000"/>
              <w:left w:val="dotted" w:sz="4" w:space="0" w:color="000000"/>
              <w:bottom w:val="dotted" w:sz="4" w:space="0" w:color="000000"/>
              <w:right w:val="dotted" w:sz="4" w:space="0" w:color="000000"/>
            </w:tcBorders>
          </w:tcPr>
          <w:p w14:paraId="79ED0EDD"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0.11</w:t>
            </w:r>
          </w:p>
        </w:tc>
        <w:tc>
          <w:tcPr>
            <w:tcW w:w="1794" w:type="dxa"/>
            <w:tcBorders>
              <w:top w:val="dotted" w:sz="4" w:space="0" w:color="000000"/>
              <w:left w:val="dotted" w:sz="4" w:space="0" w:color="000000"/>
              <w:bottom w:val="dotted" w:sz="4" w:space="0" w:color="000000"/>
              <w:right w:val="dotted" w:sz="4" w:space="0" w:color="000000"/>
            </w:tcBorders>
          </w:tcPr>
          <w:p w14:paraId="16601D6A"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-0.01</w:t>
            </w:r>
          </w:p>
        </w:tc>
        <w:tc>
          <w:tcPr>
            <w:tcW w:w="1238" w:type="dxa"/>
            <w:tcBorders>
              <w:top w:val="dotted" w:sz="4" w:space="0" w:color="000000"/>
              <w:left w:val="dotted" w:sz="4" w:space="0" w:color="000000"/>
              <w:bottom w:val="dotted" w:sz="4" w:space="0" w:color="000000"/>
              <w:right w:val="dotted" w:sz="4" w:space="0" w:color="000000"/>
            </w:tcBorders>
          </w:tcPr>
          <w:p w14:paraId="005518FE"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0.98</w:t>
            </w:r>
          </w:p>
        </w:tc>
        <w:tc>
          <w:tcPr>
            <w:tcW w:w="1597" w:type="dxa"/>
            <w:tcBorders>
              <w:top w:val="dotted" w:sz="4" w:space="0" w:color="000000"/>
              <w:left w:val="dotted" w:sz="4" w:space="0" w:color="000000"/>
              <w:bottom w:val="dotted" w:sz="4" w:space="0" w:color="000000"/>
              <w:right w:val="dotted" w:sz="4" w:space="0" w:color="000000"/>
            </w:tcBorders>
          </w:tcPr>
          <w:p w14:paraId="5BAC8590"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0.47</w:t>
            </w:r>
          </w:p>
        </w:tc>
        <w:tc>
          <w:tcPr>
            <w:tcW w:w="1394" w:type="dxa"/>
            <w:tcBorders>
              <w:top w:val="dotted" w:sz="4" w:space="0" w:color="000000"/>
              <w:left w:val="dotted" w:sz="4" w:space="0" w:color="000000"/>
              <w:bottom w:val="dotted" w:sz="4" w:space="0" w:color="000000"/>
              <w:right w:val="dotted" w:sz="4" w:space="0" w:color="000000"/>
            </w:tcBorders>
          </w:tcPr>
          <w:p w14:paraId="048CD57C"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0.17</w:t>
            </w:r>
          </w:p>
        </w:tc>
        <w:tc>
          <w:tcPr>
            <w:tcW w:w="1582" w:type="dxa"/>
            <w:tcBorders>
              <w:top w:val="dotted" w:sz="4" w:space="0" w:color="000000"/>
              <w:left w:val="dotted" w:sz="4" w:space="0" w:color="000000"/>
              <w:bottom w:val="dotted" w:sz="4" w:space="0" w:color="000000"/>
            </w:tcBorders>
          </w:tcPr>
          <w:p w14:paraId="29E6B4B0"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0.11</w:t>
            </w:r>
          </w:p>
        </w:tc>
        <w:tc>
          <w:tcPr>
            <w:tcW w:w="1276" w:type="dxa"/>
            <w:tcBorders>
              <w:top w:val="dotted" w:sz="4" w:space="0" w:color="000000"/>
              <w:bottom w:val="dotted" w:sz="4" w:space="0" w:color="000000"/>
              <w:right w:val="dotted" w:sz="4" w:space="0" w:color="000000"/>
            </w:tcBorders>
          </w:tcPr>
          <w:p w14:paraId="12AE9816"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0.003</w:t>
            </w:r>
          </w:p>
        </w:tc>
      </w:tr>
      <w:tr w:rsidR="003A1A6C" w:rsidRPr="003A1A6C" w14:paraId="4630512F" w14:textId="77777777" w:rsidTr="00843BF4">
        <w:trPr>
          <w:trHeight w:val="211"/>
        </w:trPr>
        <w:tc>
          <w:tcPr>
            <w:tcW w:w="1832" w:type="dxa"/>
            <w:tcBorders>
              <w:top w:val="dotted" w:sz="4" w:space="0" w:color="000000"/>
              <w:left w:val="dotted" w:sz="4" w:space="0" w:color="000000"/>
              <w:bottom w:val="dotted" w:sz="4" w:space="0" w:color="000000"/>
              <w:right w:val="dotted" w:sz="4" w:space="0" w:color="000000"/>
            </w:tcBorders>
          </w:tcPr>
          <w:p w14:paraId="48FBE96E" w14:textId="77777777" w:rsidR="00601851" w:rsidRPr="003A1A6C" w:rsidRDefault="00601851" w:rsidP="00601851">
            <w:pPr>
              <w:spacing w:line="240" w:lineRule="auto"/>
              <w:rPr>
                <w:color w:val="000000" w:themeColor="text1"/>
                <w:sz w:val="20"/>
                <w:szCs w:val="20"/>
                <w:lang w:val="en-GB"/>
              </w:rPr>
            </w:pPr>
            <w:r w:rsidRPr="003A1A6C">
              <w:rPr>
                <w:b/>
                <w:bCs/>
                <w:color w:val="000000" w:themeColor="text1"/>
                <w:sz w:val="20"/>
                <w:szCs w:val="20"/>
                <w:lang w:val="en-GB"/>
              </w:rPr>
              <w:t>Disease duration</w:t>
            </w:r>
          </w:p>
        </w:tc>
        <w:tc>
          <w:tcPr>
            <w:tcW w:w="1707" w:type="dxa"/>
            <w:tcBorders>
              <w:top w:val="dotted" w:sz="4" w:space="0" w:color="000000"/>
              <w:left w:val="dotted" w:sz="4" w:space="0" w:color="000000"/>
              <w:bottom w:val="dotted" w:sz="4" w:space="0" w:color="000000"/>
              <w:right w:val="dotted" w:sz="4" w:space="0" w:color="000000"/>
            </w:tcBorders>
          </w:tcPr>
          <w:p w14:paraId="0336F915"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0.04</w:t>
            </w:r>
          </w:p>
        </w:tc>
        <w:tc>
          <w:tcPr>
            <w:tcW w:w="1325" w:type="dxa"/>
            <w:tcBorders>
              <w:top w:val="dotted" w:sz="4" w:space="0" w:color="000000"/>
              <w:left w:val="dotted" w:sz="4" w:space="0" w:color="000000"/>
              <w:bottom w:val="dotted" w:sz="4" w:space="0" w:color="000000"/>
              <w:right w:val="dotted" w:sz="4" w:space="0" w:color="000000"/>
            </w:tcBorders>
          </w:tcPr>
          <w:p w14:paraId="6EFE3F1E"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0.03</w:t>
            </w:r>
          </w:p>
        </w:tc>
        <w:tc>
          <w:tcPr>
            <w:tcW w:w="1794" w:type="dxa"/>
            <w:tcBorders>
              <w:top w:val="dotted" w:sz="4" w:space="0" w:color="000000"/>
              <w:left w:val="dotted" w:sz="4" w:space="0" w:color="000000"/>
              <w:bottom w:val="dotted" w:sz="4" w:space="0" w:color="000000"/>
              <w:right w:val="dotted" w:sz="4" w:space="0" w:color="000000"/>
            </w:tcBorders>
          </w:tcPr>
          <w:p w14:paraId="2AC84D59"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0.07</w:t>
            </w:r>
          </w:p>
        </w:tc>
        <w:tc>
          <w:tcPr>
            <w:tcW w:w="1238" w:type="dxa"/>
            <w:tcBorders>
              <w:top w:val="dotted" w:sz="4" w:space="0" w:color="000000"/>
              <w:left w:val="dotted" w:sz="4" w:space="0" w:color="000000"/>
              <w:bottom w:val="dotted" w:sz="4" w:space="0" w:color="000000"/>
              <w:right w:val="dotted" w:sz="4" w:space="0" w:color="000000"/>
            </w:tcBorders>
          </w:tcPr>
          <w:p w14:paraId="614C2C04"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0.01</w:t>
            </w:r>
          </w:p>
        </w:tc>
        <w:tc>
          <w:tcPr>
            <w:tcW w:w="1597" w:type="dxa"/>
            <w:tcBorders>
              <w:top w:val="dotted" w:sz="4" w:space="0" w:color="000000"/>
              <w:left w:val="dotted" w:sz="4" w:space="0" w:color="000000"/>
              <w:bottom w:val="dotted" w:sz="4" w:space="0" w:color="000000"/>
              <w:right w:val="dotted" w:sz="4" w:space="0" w:color="000000"/>
            </w:tcBorders>
          </w:tcPr>
          <w:p w14:paraId="424189BE"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0.05</w:t>
            </w:r>
          </w:p>
        </w:tc>
        <w:tc>
          <w:tcPr>
            <w:tcW w:w="1394" w:type="dxa"/>
            <w:tcBorders>
              <w:top w:val="dotted" w:sz="4" w:space="0" w:color="000000"/>
              <w:left w:val="dotted" w:sz="4" w:space="0" w:color="000000"/>
              <w:bottom w:val="dotted" w:sz="4" w:space="0" w:color="000000"/>
              <w:right w:val="dotted" w:sz="4" w:space="0" w:color="000000"/>
            </w:tcBorders>
          </w:tcPr>
          <w:p w14:paraId="674E1444"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0.19</w:t>
            </w:r>
          </w:p>
        </w:tc>
        <w:tc>
          <w:tcPr>
            <w:tcW w:w="1582" w:type="dxa"/>
            <w:tcBorders>
              <w:top w:val="dotted" w:sz="4" w:space="0" w:color="000000"/>
              <w:left w:val="dotted" w:sz="4" w:space="0" w:color="000000"/>
              <w:bottom w:val="dotted" w:sz="4" w:space="0" w:color="000000"/>
            </w:tcBorders>
          </w:tcPr>
          <w:p w14:paraId="396C512A"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-0.29</w:t>
            </w:r>
          </w:p>
        </w:tc>
        <w:tc>
          <w:tcPr>
            <w:tcW w:w="1276" w:type="dxa"/>
            <w:tcBorders>
              <w:top w:val="dotted" w:sz="4" w:space="0" w:color="000000"/>
              <w:right w:val="dotted" w:sz="4" w:space="0" w:color="000000"/>
            </w:tcBorders>
          </w:tcPr>
          <w:p w14:paraId="0B7297A5"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0.47</w:t>
            </w:r>
          </w:p>
        </w:tc>
      </w:tr>
      <w:tr w:rsidR="003A1A6C" w:rsidRPr="003A1A6C" w14:paraId="622E3D71" w14:textId="77777777" w:rsidTr="00843BF4">
        <w:trPr>
          <w:trHeight w:val="215"/>
        </w:trPr>
        <w:tc>
          <w:tcPr>
            <w:tcW w:w="1832" w:type="dxa"/>
            <w:tcBorders>
              <w:top w:val="dotted" w:sz="4" w:space="0" w:color="000000"/>
              <w:left w:val="dotted" w:sz="4" w:space="0" w:color="000000"/>
              <w:bottom w:val="dotted" w:sz="4" w:space="0" w:color="000000"/>
              <w:right w:val="dotted" w:sz="4" w:space="0" w:color="000000"/>
            </w:tcBorders>
          </w:tcPr>
          <w:p w14:paraId="46A75369" w14:textId="77777777" w:rsidR="00601851" w:rsidRPr="003A1A6C" w:rsidRDefault="00601851" w:rsidP="00601851">
            <w:pPr>
              <w:spacing w:line="240" w:lineRule="auto"/>
              <w:rPr>
                <w:color w:val="000000" w:themeColor="text1"/>
                <w:sz w:val="20"/>
                <w:szCs w:val="20"/>
                <w:lang w:val="en-GB"/>
              </w:rPr>
            </w:pPr>
            <w:r w:rsidRPr="003A1A6C">
              <w:rPr>
                <w:b/>
                <w:bCs/>
                <w:color w:val="000000" w:themeColor="text1"/>
                <w:sz w:val="20"/>
                <w:szCs w:val="20"/>
                <w:lang w:val="en-GB"/>
              </w:rPr>
              <w:t>DUFSS</w:t>
            </w:r>
          </w:p>
        </w:tc>
        <w:tc>
          <w:tcPr>
            <w:tcW w:w="1707" w:type="dxa"/>
            <w:tcBorders>
              <w:top w:val="dotted" w:sz="4" w:space="0" w:color="000000"/>
              <w:left w:val="dotted" w:sz="4" w:space="0" w:color="000000"/>
              <w:bottom w:val="dotted" w:sz="4" w:space="0" w:color="000000"/>
              <w:right w:val="dotted" w:sz="4" w:space="0" w:color="000000"/>
            </w:tcBorders>
          </w:tcPr>
          <w:p w14:paraId="1C37CD18"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0.39</w:t>
            </w:r>
          </w:p>
        </w:tc>
        <w:tc>
          <w:tcPr>
            <w:tcW w:w="1325" w:type="dxa"/>
            <w:tcBorders>
              <w:top w:val="dotted" w:sz="4" w:space="0" w:color="000000"/>
              <w:left w:val="dotted" w:sz="4" w:space="0" w:color="000000"/>
              <w:bottom w:val="dotted" w:sz="4" w:space="0" w:color="000000"/>
              <w:right w:val="dotted" w:sz="4" w:space="0" w:color="000000"/>
            </w:tcBorders>
          </w:tcPr>
          <w:p w14:paraId="23C3E56A"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&lt;0.001</w:t>
            </w:r>
          </w:p>
        </w:tc>
        <w:tc>
          <w:tcPr>
            <w:tcW w:w="1794" w:type="dxa"/>
            <w:tcBorders>
              <w:top w:val="dotted" w:sz="4" w:space="0" w:color="000000"/>
              <w:left w:val="dotted" w:sz="4" w:space="0" w:color="000000"/>
              <w:bottom w:val="dotted" w:sz="4" w:space="0" w:color="000000"/>
              <w:right w:val="dotted" w:sz="4" w:space="0" w:color="000000"/>
            </w:tcBorders>
          </w:tcPr>
          <w:p w14:paraId="2D44E93A"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0.33</w:t>
            </w:r>
          </w:p>
        </w:tc>
        <w:tc>
          <w:tcPr>
            <w:tcW w:w="1238" w:type="dxa"/>
            <w:tcBorders>
              <w:top w:val="dotted" w:sz="4" w:space="0" w:color="000000"/>
              <w:left w:val="dotted" w:sz="4" w:space="0" w:color="000000"/>
              <w:bottom w:val="dotted" w:sz="4" w:space="0" w:color="000000"/>
              <w:right w:val="dotted" w:sz="4" w:space="0" w:color="000000"/>
            </w:tcBorders>
          </w:tcPr>
          <w:p w14:paraId="47B4281E"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&lt;0.001</w:t>
            </w:r>
          </w:p>
        </w:tc>
        <w:tc>
          <w:tcPr>
            <w:tcW w:w="1597" w:type="dxa"/>
            <w:tcBorders>
              <w:top w:val="dotted" w:sz="4" w:space="0" w:color="000000"/>
              <w:left w:val="dotted" w:sz="4" w:space="0" w:color="000000"/>
              <w:bottom w:val="dotted" w:sz="4" w:space="0" w:color="000000"/>
              <w:right w:val="dotted" w:sz="4" w:space="0" w:color="000000"/>
            </w:tcBorders>
          </w:tcPr>
          <w:p w14:paraId="6573DCC4"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0.39</w:t>
            </w:r>
          </w:p>
        </w:tc>
        <w:tc>
          <w:tcPr>
            <w:tcW w:w="1394" w:type="dxa"/>
            <w:tcBorders>
              <w:top w:val="dotted" w:sz="4" w:space="0" w:color="000000"/>
              <w:left w:val="dotted" w:sz="4" w:space="0" w:color="000000"/>
              <w:bottom w:val="dotted" w:sz="4" w:space="0" w:color="000000"/>
              <w:right w:val="dotted" w:sz="4" w:space="0" w:color="000000"/>
            </w:tcBorders>
          </w:tcPr>
          <w:p w14:paraId="28E92B30"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&lt;0.001</w:t>
            </w:r>
          </w:p>
        </w:tc>
        <w:tc>
          <w:tcPr>
            <w:tcW w:w="1582" w:type="dxa"/>
            <w:tcBorders>
              <w:top w:val="dotted" w:sz="4" w:space="0" w:color="000000"/>
              <w:left w:val="dotted" w:sz="4" w:space="0" w:color="000000"/>
              <w:bottom w:val="dotted" w:sz="4" w:space="0" w:color="000000"/>
            </w:tcBorders>
          </w:tcPr>
          <w:p w14:paraId="142A9E11"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0.53</w:t>
            </w:r>
          </w:p>
        </w:tc>
        <w:tc>
          <w:tcPr>
            <w:tcW w:w="1276" w:type="dxa"/>
            <w:tcBorders>
              <w:bottom w:val="dotted" w:sz="4" w:space="0" w:color="000000"/>
              <w:right w:val="dotted" w:sz="4" w:space="0" w:color="000000"/>
            </w:tcBorders>
          </w:tcPr>
          <w:p w14:paraId="41FEAC8C" w14:textId="77777777" w:rsidR="00601851" w:rsidRPr="003A1A6C" w:rsidRDefault="00601851" w:rsidP="00601851">
            <w:pPr>
              <w:spacing w:line="240" w:lineRule="auto"/>
              <w:jc w:val="center"/>
              <w:rPr>
                <w:color w:val="000000" w:themeColor="text1"/>
                <w:sz w:val="20"/>
                <w:szCs w:val="20"/>
                <w:lang w:val="en-GB"/>
              </w:rPr>
            </w:pPr>
            <w:r w:rsidRPr="003A1A6C">
              <w:rPr>
                <w:color w:val="000000" w:themeColor="text1"/>
                <w:sz w:val="20"/>
                <w:szCs w:val="20"/>
                <w:lang w:val="en-GB"/>
              </w:rPr>
              <w:t>&lt;0.001</w:t>
            </w:r>
          </w:p>
        </w:tc>
      </w:tr>
      <w:tr w:rsidR="003A1A6C" w:rsidRPr="003A1A6C" w14:paraId="2398CA32" w14:textId="77777777" w:rsidTr="00843BF4">
        <w:trPr>
          <w:trHeight w:val="211"/>
        </w:trPr>
        <w:tc>
          <w:tcPr>
            <w:tcW w:w="1832" w:type="dxa"/>
            <w:tcBorders>
              <w:top w:val="dotted" w:sz="4" w:space="0" w:color="000000"/>
              <w:left w:val="dotted" w:sz="4" w:space="0" w:color="000000"/>
              <w:bottom w:val="dotted" w:sz="4" w:space="0" w:color="000000"/>
              <w:right w:val="dotted" w:sz="4" w:space="0" w:color="000000"/>
            </w:tcBorders>
          </w:tcPr>
          <w:p w14:paraId="22F7F5F0" w14:textId="77777777" w:rsidR="00601851" w:rsidRPr="003A1A6C" w:rsidRDefault="00601851" w:rsidP="005B07C9">
            <w:pPr>
              <w:spacing w:line="240" w:lineRule="auto"/>
              <w:rPr>
                <w:color w:val="000000" w:themeColor="text1"/>
                <w:sz w:val="20"/>
                <w:szCs w:val="20"/>
                <w:lang w:val="en-GB"/>
              </w:rPr>
            </w:pPr>
            <w:r w:rsidRPr="003A1A6C">
              <w:rPr>
                <w:b/>
                <w:bCs/>
                <w:color w:val="000000" w:themeColor="text1"/>
                <w:sz w:val="20"/>
                <w:szCs w:val="20"/>
                <w:lang w:val="en-GB"/>
              </w:rPr>
              <w:t>SLS-6</w:t>
            </w:r>
          </w:p>
        </w:tc>
        <w:tc>
          <w:tcPr>
            <w:tcW w:w="1707" w:type="dxa"/>
            <w:tcBorders>
              <w:top w:val="dotted" w:sz="4" w:space="0" w:color="000000"/>
              <w:left w:val="dotted" w:sz="4" w:space="0" w:color="000000"/>
              <w:bottom w:val="dotted" w:sz="4" w:space="0" w:color="000000"/>
              <w:right w:val="dotted" w:sz="4" w:space="0" w:color="000000"/>
            </w:tcBorders>
          </w:tcPr>
          <w:p w14:paraId="1DA2C285" w14:textId="77777777" w:rsidR="00601851" w:rsidRPr="003A1A6C" w:rsidRDefault="00601851" w:rsidP="005B07C9">
            <w:pPr>
              <w:spacing w:line="240" w:lineRule="auto"/>
              <w:jc w:val="center"/>
              <w:rPr>
                <w:color w:val="000000" w:themeColor="text1"/>
                <w:sz w:val="20"/>
                <w:szCs w:val="20"/>
                <w:lang w:val="en-GB"/>
              </w:rPr>
            </w:pPr>
            <w:r w:rsidRPr="003A1A6C">
              <w:rPr>
                <w:color w:val="000000" w:themeColor="text1"/>
                <w:sz w:val="20"/>
                <w:szCs w:val="20"/>
                <w:lang w:val="en-GB"/>
              </w:rPr>
              <w:t>0.37</w:t>
            </w:r>
          </w:p>
        </w:tc>
        <w:tc>
          <w:tcPr>
            <w:tcW w:w="1325" w:type="dxa"/>
            <w:tcBorders>
              <w:top w:val="dotted" w:sz="4" w:space="0" w:color="000000"/>
              <w:left w:val="dotted" w:sz="4" w:space="0" w:color="000000"/>
              <w:bottom w:val="dotted" w:sz="4" w:space="0" w:color="000000"/>
              <w:right w:val="dotted" w:sz="4" w:space="0" w:color="000000"/>
            </w:tcBorders>
          </w:tcPr>
          <w:p w14:paraId="080D22FD" w14:textId="77777777" w:rsidR="00601851" w:rsidRPr="003A1A6C" w:rsidRDefault="00601851" w:rsidP="005B07C9">
            <w:pPr>
              <w:spacing w:line="240" w:lineRule="auto"/>
              <w:jc w:val="center"/>
              <w:rPr>
                <w:color w:val="000000" w:themeColor="text1"/>
                <w:sz w:val="20"/>
                <w:szCs w:val="20"/>
                <w:lang w:val="en-GB"/>
              </w:rPr>
            </w:pPr>
            <w:r w:rsidRPr="003A1A6C">
              <w:rPr>
                <w:color w:val="000000" w:themeColor="text1"/>
                <w:sz w:val="20"/>
                <w:szCs w:val="20"/>
                <w:lang w:val="en-GB"/>
              </w:rPr>
              <w:t>&lt;0.001</w:t>
            </w:r>
          </w:p>
        </w:tc>
        <w:tc>
          <w:tcPr>
            <w:tcW w:w="1794" w:type="dxa"/>
            <w:tcBorders>
              <w:top w:val="dotted" w:sz="4" w:space="0" w:color="000000"/>
              <w:left w:val="dotted" w:sz="4" w:space="0" w:color="000000"/>
              <w:bottom w:val="dotted" w:sz="4" w:space="0" w:color="000000"/>
              <w:right w:val="dotted" w:sz="4" w:space="0" w:color="000000"/>
            </w:tcBorders>
          </w:tcPr>
          <w:p w14:paraId="7B040000" w14:textId="77777777" w:rsidR="00601851" w:rsidRPr="003A1A6C" w:rsidRDefault="00601851" w:rsidP="005B07C9">
            <w:pPr>
              <w:spacing w:line="240" w:lineRule="auto"/>
              <w:jc w:val="center"/>
              <w:rPr>
                <w:color w:val="000000" w:themeColor="text1"/>
                <w:sz w:val="20"/>
                <w:szCs w:val="20"/>
                <w:lang w:val="en-GB"/>
              </w:rPr>
            </w:pPr>
            <w:r w:rsidRPr="003A1A6C">
              <w:rPr>
                <w:color w:val="000000" w:themeColor="text1"/>
                <w:sz w:val="20"/>
                <w:szCs w:val="20"/>
                <w:lang w:val="en-GB"/>
              </w:rPr>
              <w:t>0.45</w:t>
            </w:r>
          </w:p>
        </w:tc>
        <w:tc>
          <w:tcPr>
            <w:tcW w:w="1238" w:type="dxa"/>
            <w:tcBorders>
              <w:top w:val="dotted" w:sz="4" w:space="0" w:color="000000"/>
              <w:left w:val="dotted" w:sz="4" w:space="0" w:color="000000"/>
              <w:bottom w:val="dotted" w:sz="4" w:space="0" w:color="000000"/>
              <w:right w:val="dotted" w:sz="4" w:space="0" w:color="000000"/>
            </w:tcBorders>
          </w:tcPr>
          <w:p w14:paraId="6380F3C3" w14:textId="77777777" w:rsidR="00601851" w:rsidRPr="003A1A6C" w:rsidRDefault="00601851" w:rsidP="005B07C9">
            <w:pPr>
              <w:spacing w:line="240" w:lineRule="auto"/>
              <w:jc w:val="center"/>
              <w:rPr>
                <w:color w:val="000000" w:themeColor="text1"/>
                <w:sz w:val="20"/>
                <w:szCs w:val="20"/>
                <w:lang w:val="en-GB"/>
              </w:rPr>
            </w:pPr>
            <w:r w:rsidRPr="003A1A6C">
              <w:rPr>
                <w:color w:val="000000" w:themeColor="text1"/>
                <w:sz w:val="20"/>
                <w:szCs w:val="20"/>
                <w:lang w:val="en-GB"/>
              </w:rPr>
              <w:t>&lt;0.001</w:t>
            </w:r>
          </w:p>
        </w:tc>
        <w:tc>
          <w:tcPr>
            <w:tcW w:w="1597" w:type="dxa"/>
            <w:tcBorders>
              <w:top w:val="dotted" w:sz="4" w:space="0" w:color="000000"/>
              <w:left w:val="dotted" w:sz="4" w:space="0" w:color="000000"/>
              <w:bottom w:val="dotted" w:sz="4" w:space="0" w:color="000000"/>
              <w:right w:val="dotted" w:sz="4" w:space="0" w:color="000000"/>
            </w:tcBorders>
          </w:tcPr>
          <w:p w14:paraId="6514721B" w14:textId="77777777" w:rsidR="00601851" w:rsidRPr="003A1A6C" w:rsidRDefault="00601851" w:rsidP="005B07C9">
            <w:pPr>
              <w:spacing w:line="240" w:lineRule="auto"/>
              <w:jc w:val="center"/>
              <w:rPr>
                <w:color w:val="000000" w:themeColor="text1"/>
                <w:sz w:val="20"/>
                <w:szCs w:val="20"/>
                <w:lang w:val="en-GB"/>
              </w:rPr>
            </w:pPr>
            <w:r w:rsidRPr="003A1A6C">
              <w:rPr>
                <w:color w:val="000000" w:themeColor="text1"/>
                <w:sz w:val="20"/>
                <w:szCs w:val="20"/>
                <w:lang w:val="en-GB"/>
              </w:rPr>
              <w:t>0.31</w:t>
            </w:r>
          </w:p>
        </w:tc>
        <w:tc>
          <w:tcPr>
            <w:tcW w:w="1394" w:type="dxa"/>
            <w:tcBorders>
              <w:top w:val="dotted" w:sz="4" w:space="0" w:color="000000"/>
              <w:left w:val="dotted" w:sz="4" w:space="0" w:color="000000"/>
              <w:bottom w:val="dotted" w:sz="4" w:space="0" w:color="000000"/>
              <w:right w:val="dotted" w:sz="4" w:space="0" w:color="000000"/>
            </w:tcBorders>
          </w:tcPr>
          <w:p w14:paraId="5C6A4FB9" w14:textId="77777777" w:rsidR="00601851" w:rsidRPr="003A1A6C" w:rsidRDefault="00601851" w:rsidP="005B07C9">
            <w:pPr>
              <w:spacing w:line="240" w:lineRule="auto"/>
              <w:jc w:val="center"/>
              <w:rPr>
                <w:color w:val="000000" w:themeColor="text1"/>
                <w:sz w:val="20"/>
                <w:szCs w:val="20"/>
                <w:lang w:val="en-GB"/>
              </w:rPr>
            </w:pPr>
            <w:r w:rsidRPr="003A1A6C">
              <w:rPr>
                <w:color w:val="000000" w:themeColor="text1"/>
                <w:sz w:val="20"/>
                <w:szCs w:val="20"/>
                <w:lang w:val="en-GB"/>
              </w:rPr>
              <w:t>&lt;0.001</w:t>
            </w:r>
          </w:p>
        </w:tc>
        <w:tc>
          <w:tcPr>
            <w:tcW w:w="1582" w:type="dxa"/>
            <w:tcBorders>
              <w:top w:val="dotted" w:sz="4" w:space="0" w:color="000000"/>
              <w:left w:val="dotted" w:sz="4" w:space="0" w:color="000000"/>
              <w:bottom w:val="dotted" w:sz="4" w:space="0" w:color="000000"/>
            </w:tcBorders>
          </w:tcPr>
          <w:p w14:paraId="758144D8" w14:textId="77777777" w:rsidR="00601851" w:rsidRPr="003A1A6C" w:rsidRDefault="00601851" w:rsidP="005B07C9">
            <w:pPr>
              <w:spacing w:line="240" w:lineRule="auto"/>
              <w:jc w:val="center"/>
              <w:rPr>
                <w:color w:val="000000" w:themeColor="text1"/>
                <w:sz w:val="20"/>
                <w:szCs w:val="20"/>
                <w:lang w:val="en-GB"/>
              </w:rPr>
            </w:pPr>
            <w:r w:rsidRPr="003A1A6C">
              <w:rPr>
                <w:color w:val="000000" w:themeColor="text1"/>
                <w:sz w:val="20"/>
                <w:szCs w:val="20"/>
                <w:lang w:val="en-GB"/>
              </w:rPr>
              <w:t>0.28</w:t>
            </w:r>
          </w:p>
        </w:tc>
        <w:tc>
          <w:tcPr>
            <w:tcW w:w="1276" w:type="dxa"/>
            <w:tcBorders>
              <w:top w:val="dotted" w:sz="4" w:space="0" w:color="000000"/>
              <w:bottom w:val="dotted" w:sz="4" w:space="0" w:color="000000"/>
              <w:right w:val="dotted" w:sz="4" w:space="0" w:color="000000"/>
            </w:tcBorders>
          </w:tcPr>
          <w:p w14:paraId="7B3B0E19" w14:textId="77777777" w:rsidR="00601851" w:rsidRPr="003A1A6C" w:rsidRDefault="00601851" w:rsidP="005B07C9">
            <w:pPr>
              <w:spacing w:line="240" w:lineRule="auto"/>
              <w:jc w:val="center"/>
              <w:rPr>
                <w:color w:val="000000" w:themeColor="text1"/>
                <w:sz w:val="20"/>
                <w:szCs w:val="20"/>
                <w:lang w:val="en-GB"/>
              </w:rPr>
            </w:pPr>
            <w:r w:rsidRPr="003A1A6C">
              <w:rPr>
                <w:color w:val="000000" w:themeColor="text1"/>
                <w:sz w:val="20"/>
                <w:szCs w:val="20"/>
                <w:lang w:val="en-GB"/>
              </w:rPr>
              <w:t>&lt;0.001</w:t>
            </w:r>
          </w:p>
        </w:tc>
      </w:tr>
      <w:tr w:rsidR="003A1A6C" w:rsidRPr="003A1A6C" w14:paraId="44E456C0" w14:textId="77777777" w:rsidTr="00843BF4">
        <w:trPr>
          <w:trHeight w:val="211"/>
        </w:trPr>
        <w:tc>
          <w:tcPr>
            <w:tcW w:w="1832" w:type="dxa"/>
            <w:tcBorders>
              <w:top w:val="dotted" w:sz="4" w:space="0" w:color="000000"/>
              <w:left w:val="dotted" w:sz="4" w:space="0" w:color="000000"/>
              <w:bottom w:val="single" w:sz="4" w:space="0" w:color="000000"/>
              <w:right w:val="dotted" w:sz="4" w:space="0" w:color="000000"/>
            </w:tcBorders>
          </w:tcPr>
          <w:p w14:paraId="3791B668" w14:textId="77777777" w:rsidR="00601851" w:rsidRPr="003A1A6C" w:rsidRDefault="00601851" w:rsidP="005B07C9">
            <w:pPr>
              <w:spacing w:line="240" w:lineRule="auto"/>
              <w:rPr>
                <w:color w:val="000000" w:themeColor="text1"/>
                <w:sz w:val="20"/>
                <w:szCs w:val="20"/>
                <w:lang w:val="en-GB"/>
              </w:rPr>
            </w:pPr>
            <w:r w:rsidRPr="003A1A6C">
              <w:rPr>
                <w:b/>
                <w:bCs/>
                <w:color w:val="000000" w:themeColor="text1"/>
                <w:sz w:val="20"/>
                <w:szCs w:val="20"/>
                <w:lang w:val="en-GB"/>
              </w:rPr>
              <w:t xml:space="preserve">Adj R-squared   </w:t>
            </w:r>
          </w:p>
        </w:tc>
        <w:tc>
          <w:tcPr>
            <w:tcW w:w="1707" w:type="dxa"/>
            <w:tcBorders>
              <w:top w:val="dotted" w:sz="4" w:space="0" w:color="000000"/>
              <w:left w:val="dotted" w:sz="4" w:space="0" w:color="000000"/>
              <w:bottom w:val="single" w:sz="4" w:space="0" w:color="000000"/>
              <w:right w:val="dotted" w:sz="4" w:space="0" w:color="000000"/>
            </w:tcBorders>
          </w:tcPr>
          <w:p w14:paraId="6C0F903E" w14:textId="77777777" w:rsidR="00601851" w:rsidRPr="003A1A6C" w:rsidRDefault="00601851" w:rsidP="005B07C9">
            <w:pPr>
              <w:spacing w:line="240" w:lineRule="auto"/>
              <w:jc w:val="center"/>
              <w:rPr>
                <w:color w:val="000000" w:themeColor="text1"/>
                <w:sz w:val="20"/>
                <w:szCs w:val="20"/>
                <w:lang w:val="en-GB"/>
              </w:rPr>
            </w:pPr>
            <w:r w:rsidRPr="003A1A6C">
              <w:rPr>
                <w:color w:val="000000" w:themeColor="text1"/>
                <w:sz w:val="20"/>
                <w:szCs w:val="20"/>
                <w:lang w:val="en-GB"/>
              </w:rPr>
              <w:t>0.49</w:t>
            </w:r>
          </w:p>
        </w:tc>
        <w:tc>
          <w:tcPr>
            <w:tcW w:w="1325" w:type="dxa"/>
            <w:tcBorders>
              <w:top w:val="dotted" w:sz="4" w:space="0" w:color="000000"/>
              <w:left w:val="dotted" w:sz="4" w:space="0" w:color="000000"/>
              <w:bottom w:val="single" w:sz="4" w:space="0" w:color="000000"/>
              <w:right w:val="dotted" w:sz="4" w:space="0" w:color="000000"/>
            </w:tcBorders>
          </w:tcPr>
          <w:p w14:paraId="2C1D79E9" w14:textId="77777777" w:rsidR="00601851" w:rsidRPr="003A1A6C" w:rsidRDefault="00601851" w:rsidP="005B07C9">
            <w:pPr>
              <w:spacing w:line="240" w:lineRule="auto"/>
              <w:rPr>
                <w:color w:val="000000" w:themeColor="text1"/>
                <w:sz w:val="20"/>
                <w:szCs w:val="20"/>
                <w:lang w:val="en-GB"/>
              </w:rPr>
            </w:pPr>
          </w:p>
        </w:tc>
        <w:tc>
          <w:tcPr>
            <w:tcW w:w="1794" w:type="dxa"/>
            <w:tcBorders>
              <w:top w:val="dotted" w:sz="4" w:space="0" w:color="000000"/>
              <w:left w:val="dotted" w:sz="4" w:space="0" w:color="000000"/>
              <w:bottom w:val="single" w:sz="4" w:space="0" w:color="000000"/>
              <w:right w:val="dotted" w:sz="4" w:space="0" w:color="000000"/>
            </w:tcBorders>
          </w:tcPr>
          <w:p w14:paraId="01DA9BF7" w14:textId="77777777" w:rsidR="00601851" w:rsidRPr="003A1A6C" w:rsidRDefault="00601851" w:rsidP="005B07C9">
            <w:pPr>
              <w:spacing w:line="240" w:lineRule="auto"/>
              <w:jc w:val="center"/>
              <w:rPr>
                <w:color w:val="000000" w:themeColor="text1"/>
                <w:sz w:val="20"/>
                <w:szCs w:val="20"/>
                <w:lang w:val="en-GB"/>
              </w:rPr>
            </w:pPr>
            <w:r w:rsidRPr="003A1A6C">
              <w:rPr>
                <w:color w:val="000000" w:themeColor="text1"/>
                <w:sz w:val="20"/>
                <w:szCs w:val="20"/>
                <w:lang w:val="en-GB"/>
              </w:rPr>
              <w:t>0.56</w:t>
            </w:r>
          </w:p>
        </w:tc>
        <w:tc>
          <w:tcPr>
            <w:tcW w:w="1238" w:type="dxa"/>
            <w:tcBorders>
              <w:top w:val="dotted" w:sz="4" w:space="0" w:color="000000"/>
              <w:left w:val="dotted" w:sz="4" w:space="0" w:color="000000"/>
              <w:bottom w:val="single" w:sz="4" w:space="0" w:color="000000"/>
              <w:right w:val="dotted" w:sz="4" w:space="0" w:color="000000"/>
            </w:tcBorders>
          </w:tcPr>
          <w:p w14:paraId="3A9E0EAC" w14:textId="77777777" w:rsidR="00601851" w:rsidRPr="003A1A6C" w:rsidRDefault="00601851" w:rsidP="005B07C9">
            <w:pPr>
              <w:spacing w:line="240" w:lineRule="auto"/>
              <w:rPr>
                <w:color w:val="000000" w:themeColor="text1"/>
                <w:sz w:val="20"/>
                <w:szCs w:val="20"/>
                <w:lang w:val="en-GB"/>
              </w:rPr>
            </w:pPr>
          </w:p>
        </w:tc>
        <w:tc>
          <w:tcPr>
            <w:tcW w:w="1597" w:type="dxa"/>
            <w:tcBorders>
              <w:top w:val="dotted" w:sz="4" w:space="0" w:color="000000"/>
              <w:left w:val="dotted" w:sz="4" w:space="0" w:color="000000"/>
              <w:bottom w:val="single" w:sz="4" w:space="0" w:color="000000"/>
              <w:right w:val="dotted" w:sz="4" w:space="0" w:color="000000"/>
            </w:tcBorders>
          </w:tcPr>
          <w:p w14:paraId="5CA5C250" w14:textId="77777777" w:rsidR="00601851" w:rsidRPr="003A1A6C" w:rsidRDefault="00601851" w:rsidP="005B07C9">
            <w:pPr>
              <w:spacing w:line="240" w:lineRule="auto"/>
              <w:jc w:val="center"/>
              <w:rPr>
                <w:color w:val="000000" w:themeColor="text1"/>
                <w:sz w:val="20"/>
                <w:szCs w:val="20"/>
                <w:lang w:val="en-GB"/>
              </w:rPr>
            </w:pPr>
            <w:r w:rsidRPr="003A1A6C">
              <w:rPr>
                <w:color w:val="000000" w:themeColor="text1"/>
                <w:sz w:val="20"/>
                <w:szCs w:val="20"/>
                <w:lang w:val="en-GB"/>
              </w:rPr>
              <w:t>0.41</w:t>
            </w:r>
          </w:p>
        </w:tc>
        <w:tc>
          <w:tcPr>
            <w:tcW w:w="1394" w:type="dxa"/>
            <w:tcBorders>
              <w:top w:val="dotted" w:sz="4" w:space="0" w:color="000000"/>
              <w:left w:val="dotted" w:sz="4" w:space="0" w:color="000000"/>
              <w:bottom w:val="single" w:sz="4" w:space="0" w:color="000000"/>
              <w:right w:val="dotted" w:sz="4" w:space="0" w:color="000000"/>
            </w:tcBorders>
          </w:tcPr>
          <w:p w14:paraId="5E1C6222" w14:textId="77777777" w:rsidR="00601851" w:rsidRPr="003A1A6C" w:rsidRDefault="00601851" w:rsidP="005B07C9">
            <w:pPr>
              <w:spacing w:line="240" w:lineRule="auto"/>
              <w:rPr>
                <w:color w:val="000000" w:themeColor="text1"/>
                <w:sz w:val="20"/>
                <w:szCs w:val="20"/>
                <w:lang w:val="en-GB"/>
              </w:rPr>
            </w:pPr>
          </w:p>
        </w:tc>
        <w:tc>
          <w:tcPr>
            <w:tcW w:w="1582" w:type="dxa"/>
            <w:tcBorders>
              <w:top w:val="dotted" w:sz="4" w:space="0" w:color="000000"/>
              <w:left w:val="dotted" w:sz="4" w:space="0" w:color="000000"/>
              <w:bottom w:val="single" w:sz="4" w:space="0" w:color="000000"/>
            </w:tcBorders>
          </w:tcPr>
          <w:p w14:paraId="01EDA1D9" w14:textId="77777777" w:rsidR="00601851" w:rsidRPr="003A1A6C" w:rsidRDefault="00601851" w:rsidP="005B07C9">
            <w:pPr>
              <w:spacing w:line="240" w:lineRule="auto"/>
              <w:jc w:val="center"/>
              <w:rPr>
                <w:color w:val="000000" w:themeColor="text1"/>
                <w:sz w:val="20"/>
                <w:szCs w:val="20"/>
                <w:lang w:val="en-GB"/>
              </w:rPr>
            </w:pPr>
            <w:r w:rsidRPr="003A1A6C">
              <w:rPr>
                <w:color w:val="000000" w:themeColor="text1"/>
                <w:sz w:val="20"/>
                <w:szCs w:val="20"/>
                <w:lang w:val="en-GB"/>
              </w:rPr>
              <w:t>0.48</w:t>
            </w:r>
          </w:p>
        </w:tc>
        <w:tc>
          <w:tcPr>
            <w:tcW w:w="1276" w:type="dxa"/>
            <w:tcBorders>
              <w:top w:val="dotted" w:sz="4" w:space="0" w:color="000000"/>
              <w:bottom w:val="single" w:sz="4" w:space="0" w:color="000000"/>
              <w:right w:val="dotted" w:sz="4" w:space="0" w:color="000000"/>
            </w:tcBorders>
          </w:tcPr>
          <w:p w14:paraId="1466C01A" w14:textId="77777777" w:rsidR="00601851" w:rsidRPr="003A1A6C" w:rsidRDefault="00601851" w:rsidP="005B07C9">
            <w:pPr>
              <w:spacing w:line="240" w:lineRule="auto"/>
              <w:rPr>
                <w:color w:val="000000" w:themeColor="text1"/>
                <w:sz w:val="20"/>
                <w:szCs w:val="20"/>
                <w:lang w:val="en-GB"/>
              </w:rPr>
            </w:pPr>
          </w:p>
        </w:tc>
      </w:tr>
    </w:tbl>
    <w:p w14:paraId="6F32A923" w14:textId="77777777" w:rsidR="005B07C9" w:rsidRPr="003A1A6C" w:rsidRDefault="005B07C9" w:rsidP="005B07C9">
      <w:pPr>
        <w:pStyle w:val="MDPI22heading2"/>
        <w:spacing w:before="0" w:after="0" w:line="240" w:lineRule="auto"/>
        <w:ind w:left="510" w:firstLine="510"/>
        <w:jc w:val="both"/>
        <w:rPr>
          <w:i w:val="0"/>
          <w:iCs/>
          <w:color w:val="000000" w:themeColor="text1"/>
          <w:sz w:val="18"/>
          <w:szCs w:val="18"/>
        </w:rPr>
      </w:pPr>
    </w:p>
    <w:p w14:paraId="2ECFA7DE" w14:textId="0DF4461E" w:rsidR="005B07C9" w:rsidRPr="003A1A6C" w:rsidRDefault="005B07C9" w:rsidP="005B07C9">
      <w:pPr>
        <w:pStyle w:val="MDPI22heading2"/>
        <w:spacing w:before="0" w:after="0" w:line="240" w:lineRule="auto"/>
        <w:ind w:left="510" w:firstLine="510"/>
        <w:jc w:val="both"/>
        <w:rPr>
          <w:i w:val="0"/>
          <w:iCs/>
          <w:color w:val="000000" w:themeColor="text1"/>
          <w:sz w:val="18"/>
          <w:szCs w:val="18"/>
        </w:rPr>
      </w:pPr>
      <w:r w:rsidRPr="003A1A6C">
        <w:rPr>
          <w:i w:val="0"/>
          <w:iCs/>
          <w:color w:val="000000" w:themeColor="text1"/>
          <w:sz w:val="18"/>
          <w:szCs w:val="18"/>
        </w:rPr>
        <w:t xml:space="preserve">LW-CI: Living with Chronic Illness scale; LW-CI-HF: Living with Chronic Illness – hearth failure scale; LW-CI-T2DM: Living with Chronic Illness – type 2 diabetes mellitus; LW-CI-COPD: Living with Chronic Illness – chronic obstructive pulmonary disease; DUFSS: Duke-UNC Functional Social Support Questionnaire; SLS-6: Satisfaction with Life Scale. </w:t>
      </w:r>
    </w:p>
    <w:p w14:paraId="115267AF" w14:textId="77777777" w:rsidR="005B07C9" w:rsidRPr="003A1A6C" w:rsidRDefault="005B07C9" w:rsidP="005B07C9">
      <w:pPr>
        <w:pStyle w:val="MDPI22heading2"/>
        <w:spacing w:before="0" w:after="0" w:line="240" w:lineRule="auto"/>
        <w:ind w:left="510" w:firstLine="510"/>
        <w:jc w:val="both"/>
        <w:rPr>
          <w:i w:val="0"/>
          <w:iCs/>
          <w:color w:val="000000" w:themeColor="text1"/>
          <w:sz w:val="18"/>
          <w:szCs w:val="18"/>
        </w:rPr>
      </w:pPr>
    </w:p>
    <w:p w14:paraId="029204D3" w14:textId="6D57A078" w:rsidR="003D7D52" w:rsidRPr="003A1A6C" w:rsidRDefault="003D7D52" w:rsidP="005B07C9">
      <w:pPr>
        <w:spacing w:line="240" w:lineRule="auto"/>
        <w:ind w:left="510" w:firstLine="510"/>
        <w:rPr>
          <w:color w:val="000000" w:themeColor="text1"/>
          <w:sz w:val="18"/>
          <w:szCs w:val="18"/>
          <w:lang w:val="en-GB"/>
        </w:rPr>
      </w:pPr>
      <w:r w:rsidRPr="003A1A6C">
        <w:rPr>
          <w:i/>
          <w:iCs/>
          <w:color w:val="000000" w:themeColor="text1"/>
          <w:sz w:val="18"/>
          <w:szCs w:val="18"/>
        </w:rPr>
        <w:t xml:space="preserve">* </w:t>
      </w:r>
      <w:r w:rsidRPr="003A1A6C">
        <w:rPr>
          <w:color w:val="000000" w:themeColor="text1"/>
          <w:sz w:val="18"/>
          <w:szCs w:val="18"/>
          <w:lang w:val="en-GB"/>
        </w:rPr>
        <w:t>Independent variables with at least one significant result (p&lt;0.05). Other variables included in the models were: gender, educational level, employment situation, and Patient Based Global Impression of Severity Scale (PGIS).</w:t>
      </w:r>
    </w:p>
    <w:p w14:paraId="595A9297" w14:textId="692651EA" w:rsidR="003D7D52" w:rsidRPr="003A1A6C" w:rsidRDefault="003D7D52" w:rsidP="003D7D52">
      <w:pPr>
        <w:pStyle w:val="MDPI22heading2"/>
        <w:spacing w:before="240"/>
        <w:ind w:left="0"/>
        <w:jc w:val="both"/>
        <w:rPr>
          <w:i w:val="0"/>
          <w:iCs/>
          <w:color w:val="000000" w:themeColor="text1"/>
        </w:rPr>
        <w:sectPr w:rsidR="003D7D52" w:rsidRPr="003A1A6C" w:rsidSect="00601851">
          <w:pgSz w:w="16838" w:h="11906" w:orient="landscape" w:code="9"/>
          <w:pgMar w:top="720" w:right="1077" w:bottom="720" w:left="1417" w:header="1020" w:footer="340" w:gutter="0"/>
          <w:lnNumType w:countBy="1" w:distance="255" w:restart="continuous"/>
          <w:pgNumType w:start="1"/>
          <w:cols w:space="425"/>
          <w:titlePg/>
          <w:bidi/>
          <w:docGrid w:type="lines" w:linePitch="326"/>
        </w:sectPr>
      </w:pPr>
    </w:p>
    <w:p w14:paraId="32BBCF60" w14:textId="77777777" w:rsidR="009E1510" w:rsidRPr="003A1A6C" w:rsidRDefault="009E1510" w:rsidP="009E1510">
      <w:pPr>
        <w:pStyle w:val="MDPI22heading2"/>
        <w:spacing w:before="240"/>
        <w:ind w:firstLine="452"/>
        <w:rPr>
          <w:i w:val="0"/>
          <w:iCs/>
          <w:color w:val="000000" w:themeColor="text1"/>
        </w:rPr>
      </w:pPr>
      <w:r w:rsidRPr="003A1A6C">
        <w:rPr>
          <w:i w:val="0"/>
          <w:iCs/>
          <w:color w:val="000000" w:themeColor="text1"/>
        </w:rPr>
        <w:lastRenderedPageBreak/>
        <w:t>DUFSS (β=0.33, p&lt;0.001) and SLS-6 (β=0.45, p&lt;0.001) together with age (β=-0.08, p=0.01) and disease duration (β=0.07, p=0.01) were also the main determinants for living with HF, accounting for 56% of the variance (see Table 3).</w:t>
      </w:r>
    </w:p>
    <w:p w14:paraId="6A0F6765" w14:textId="77777777" w:rsidR="009E1510" w:rsidRPr="003A1A6C" w:rsidRDefault="009E1510" w:rsidP="009E1510">
      <w:pPr>
        <w:pStyle w:val="MDPI22heading2"/>
        <w:spacing w:before="240"/>
        <w:ind w:firstLine="452"/>
        <w:rPr>
          <w:i w:val="0"/>
          <w:iCs/>
          <w:color w:val="000000" w:themeColor="text1"/>
        </w:rPr>
      </w:pPr>
      <w:r w:rsidRPr="003A1A6C">
        <w:rPr>
          <w:i w:val="0"/>
          <w:iCs/>
          <w:color w:val="000000" w:themeColor="text1"/>
        </w:rPr>
        <w:t>The LW-CI-T2DM results also showed that DUFSS (β=0.39, p&lt;0.001) and SLS-6 (β=0.31, p&lt;0.001) were the main determinants in a model accounting for 41% of the variance (Table 3).</w:t>
      </w:r>
    </w:p>
    <w:p w14:paraId="2F462025" w14:textId="5BF4A89D" w:rsidR="00905DEE" w:rsidRPr="003A1A6C" w:rsidRDefault="16A50153" w:rsidP="5E70B5F7">
      <w:pPr>
        <w:pStyle w:val="MDPI22heading2"/>
        <w:spacing w:before="240"/>
        <w:ind w:firstLine="452"/>
        <w:rPr>
          <w:i w:val="0"/>
          <w:color w:val="000000" w:themeColor="text1"/>
        </w:rPr>
      </w:pPr>
      <w:r w:rsidRPr="003A1A6C">
        <w:rPr>
          <w:i w:val="0"/>
          <w:color w:val="000000" w:themeColor="text1"/>
        </w:rPr>
        <w:t>As shown in Table 4, for LW-CI-COPD,</w:t>
      </w:r>
      <w:r w:rsidR="61533813" w:rsidRPr="003A1A6C">
        <w:rPr>
          <w:i w:val="0"/>
          <w:color w:val="000000" w:themeColor="text1"/>
        </w:rPr>
        <w:t xml:space="preserve"> the</w:t>
      </w:r>
      <w:r w:rsidRPr="003A1A6C">
        <w:rPr>
          <w:i w:val="0"/>
          <w:color w:val="000000" w:themeColor="text1"/>
        </w:rPr>
        <w:t xml:space="preserve"> country was a significant variable (β=-0.15, p=0.002). Thus, separate models were performed for Spain and Colombia.</w:t>
      </w:r>
    </w:p>
    <w:p w14:paraId="7298E1E1" w14:textId="724ADE9A" w:rsidR="00905DEE" w:rsidRPr="003A1A6C" w:rsidRDefault="009E1510" w:rsidP="00601851">
      <w:pPr>
        <w:pStyle w:val="MDPI22heading2"/>
        <w:spacing w:before="240"/>
        <w:ind w:left="0" w:firstLine="452"/>
        <w:rPr>
          <w:i w:val="0"/>
          <w:iCs/>
          <w:color w:val="000000" w:themeColor="text1"/>
        </w:rPr>
      </w:pPr>
      <w:r w:rsidRPr="003A1A6C">
        <w:rPr>
          <w:i w:val="0"/>
          <w:iCs/>
          <w:color w:val="000000" w:themeColor="text1"/>
        </w:rPr>
        <w:tab/>
      </w:r>
      <w:r w:rsidRPr="003A1A6C">
        <w:rPr>
          <w:i w:val="0"/>
          <w:iCs/>
          <w:color w:val="000000" w:themeColor="text1"/>
        </w:rPr>
        <w:tab/>
      </w:r>
      <w:r w:rsidRPr="003A1A6C">
        <w:rPr>
          <w:i w:val="0"/>
          <w:iCs/>
          <w:color w:val="000000" w:themeColor="text1"/>
        </w:rPr>
        <w:tab/>
      </w:r>
      <w:r w:rsidRPr="003A1A6C">
        <w:rPr>
          <w:i w:val="0"/>
          <w:iCs/>
          <w:color w:val="000000" w:themeColor="text1"/>
        </w:rPr>
        <w:tab/>
      </w:r>
      <w:r w:rsidRPr="003A1A6C">
        <w:rPr>
          <w:i w:val="0"/>
          <w:iCs/>
          <w:color w:val="000000" w:themeColor="text1"/>
        </w:rPr>
        <w:tab/>
      </w:r>
      <w:r w:rsidRPr="003A1A6C">
        <w:rPr>
          <w:i w:val="0"/>
          <w:iCs/>
          <w:color w:val="000000" w:themeColor="text1"/>
        </w:rPr>
        <w:tab/>
      </w:r>
      <w:r w:rsidRPr="003A1A6C">
        <w:rPr>
          <w:b/>
          <w:bCs/>
          <w:i w:val="0"/>
          <w:iCs/>
          <w:color w:val="000000" w:themeColor="text1"/>
        </w:rPr>
        <w:t xml:space="preserve">Table 4. </w:t>
      </w:r>
      <w:r w:rsidRPr="003A1A6C">
        <w:rPr>
          <w:i w:val="0"/>
          <w:iCs/>
          <w:color w:val="000000" w:themeColor="text1"/>
        </w:rPr>
        <w:t>Multiple linear regression models of LW-CI-COPD by country.</w:t>
      </w:r>
    </w:p>
    <w:tbl>
      <w:tblPr>
        <w:tblStyle w:val="Cuadrculadetablaclara1"/>
        <w:tblW w:w="7946" w:type="dxa"/>
        <w:tblInd w:w="2547" w:type="dxa"/>
        <w:tblLayout w:type="fixed"/>
        <w:tblLook w:val="04A0" w:firstRow="1" w:lastRow="0" w:firstColumn="1" w:lastColumn="0" w:noHBand="0" w:noVBand="1"/>
      </w:tblPr>
      <w:tblGrid>
        <w:gridCol w:w="1701"/>
        <w:gridCol w:w="1984"/>
        <w:gridCol w:w="1134"/>
        <w:gridCol w:w="1985"/>
        <w:gridCol w:w="1142"/>
      </w:tblGrid>
      <w:tr w:rsidR="003A1A6C" w:rsidRPr="003A1A6C" w14:paraId="07B3B5C7" w14:textId="77777777" w:rsidTr="0094333D">
        <w:trPr>
          <w:trHeight w:val="539"/>
        </w:trPr>
        <w:tc>
          <w:tcPr>
            <w:tcW w:w="1701" w:type="dxa"/>
            <w:tcBorders>
              <w:top w:val="single" w:sz="4" w:space="0" w:color="000000"/>
              <w:left w:val="dotted" w:sz="4" w:space="0" w:color="000000"/>
              <w:bottom w:val="single" w:sz="4" w:space="0" w:color="000000"/>
              <w:right w:val="dotted" w:sz="4" w:space="0" w:color="000000"/>
            </w:tcBorders>
          </w:tcPr>
          <w:p w14:paraId="2DF67032" w14:textId="77777777" w:rsidR="009E1510" w:rsidRPr="003A1A6C" w:rsidRDefault="009E1510" w:rsidP="009E1510">
            <w:pPr>
              <w:spacing w:line="240" w:lineRule="auto"/>
              <w:rPr>
                <w:color w:val="000000" w:themeColor="text1"/>
                <w:sz w:val="18"/>
                <w:szCs w:val="18"/>
                <w:lang w:val="en-GB"/>
              </w:rPr>
            </w:pPr>
            <w:r w:rsidRPr="003A1A6C">
              <w:rPr>
                <w:b/>
                <w:bCs/>
                <w:color w:val="000000" w:themeColor="text1"/>
                <w:sz w:val="18"/>
                <w:szCs w:val="18"/>
                <w:lang w:val="en-GB"/>
              </w:rPr>
              <w:t>Independent variables*</w:t>
            </w:r>
          </w:p>
        </w:tc>
        <w:tc>
          <w:tcPr>
            <w:tcW w:w="3118" w:type="dxa"/>
            <w:gridSpan w:val="2"/>
            <w:tcBorders>
              <w:top w:val="single" w:sz="4" w:space="0" w:color="000000"/>
              <w:left w:val="dotted" w:sz="4" w:space="0" w:color="000000"/>
              <w:bottom w:val="single" w:sz="4" w:space="0" w:color="000000"/>
              <w:right w:val="dotted" w:sz="4" w:space="0" w:color="000000"/>
            </w:tcBorders>
          </w:tcPr>
          <w:p w14:paraId="623AF9F4" w14:textId="77777777" w:rsidR="009E1510" w:rsidRPr="003A1A6C" w:rsidRDefault="009E1510" w:rsidP="009E1510">
            <w:pPr>
              <w:spacing w:line="240" w:lineRule="auto"/>
              <w:jc w:val="center"/>
              <w:rPr>
                <w:b/>
                <w:bCs/>
                <w:color w:val="000000" w:themeColor="text1"/>
                <w:sz w:val="18"/>
                <w:szCs w:val="18"/>
                <w:lang w:val="en-GB"/>
              </w:rPr>
            </w:pPr>
            <w:r w:rsidRPr="003A1A6C">
              <w:rPr>
                <w:b/>
                <w:bCs/>
                <w:color w:val="000000" w:themeColor="text1"/>
                <w:sz w:val="18"/>
                <w:szCs w:val="18"/>
                <w:lang w:val="en-GB"/>
              </w:rPr>
              <w:t>Spain</w:t>
            </w:r>
          </w:p>
          <w:p w14:paraId="0B93E84A" w14:textId="77777777" w:rsidR="009E1510" w:rsidRPr="003A1A6C" w:rsidRDefault="009E1510" w:rsidP="009E1510">
            <w:pPr>
              <w:spacing w:line="240" w:lineRule="auto"/>
              <w:jc w:val="center"/>
              <w:rPr>
                <w:color w:val="000000" w:themeColor="text1"/>
                <w:sz w:val="18"/>
                <w:szCs w:val="18"/>
                <w:lang w:val="en-GB"/>
              </w:rPr>
            </w:pPr>
            <w:r w:rsidRPr="003A1A6C">
              <w:rPr>
                <w:b/>
                <w:bCs/>
                <w:color w:val="000000" w:themeColor="text1"/>
                <w:sz w:val="18"/>
                <w:szCs w:val="18"/>
                <w:lang w:val="en-GB"/>
              </w:rPr>
              <w:t>(n=279)</w:t>
            </w:r>
          </w:p>
        </w:tc>
        <w:tc>
          <w:tcPr>
            <w:tcW w:w="3127" w:type="dxa"/>
            <w:gridSpan w:val="2"/>
            <w:tcBorders>
              <w:top w:val="single" w:sz="4" w:space="0" w:color="000000"/>
              <w:left w:val="dotted" w:sz="4" w:space="0" w:color="000000"/>
              <w:bottom w:val="single" w:sz="4" w:space="0" w:color="000000"/>
              <w:right w:val="dotted" w:sz="4" w:space="0" w:color="000000"/>
            </w:tcBorders>
          </w:tcPr>
          <w:p w14:paraId="44430432" w14:textId="77777777" w:rsidR="009E1510" w:rsidRPr="003A1A6C" w:rsidRDefault="009E1510" w:rsidP="009E1510">
            <w:pPr>
              <w:spacing w:line="240" w:lineRule="auto"/>
              <w:jc w:val="center"/>
              <w:rPr>
                <w:b/>
                <w:bCs/>
                <w:color w:val="000000" w:themeColor="text1"/>
                <w:sz w:val="18"/>
                <w:szCs w:val="18"/>
                <w:lang w:val="en-GB"/>
              </w:rPr>
            </w:pPr>
            <w:r w:rsidRPr="003A1A6C">
              <w:rPr>
                <w:b/>
                <w:bCs/>
                <w:color w:val="000000" w:themeColor="text1"/>
                <w:sz w:val="18"/>
                <w:szCs w:val="18"/>
                <w:lang w:val="en-GB"/>
              </w:rPr>
              <w:t>Colombia</w:t>
            </w:r>
          </w:p>
          <w:p w14:paraId="5A04DD89" w14:textId="77777777" w:rsidR="009E1510" w:rsidRPr="003A1A6C" w:rsidRDefault="009E1510" w:rsidP="009E1510">
            <w:pPr>
              <w:spacing w:line="240" w:lineRule="auto"/>
              <w:jc w:val="center"/>
              <w:rPr>
                <w:color w:val="000000" w:themeColor="text1"/>
                <w:sz w:val="18"/>
                <w:szCs w:val="18"/>
                <w:lang w:val="en-GB"/>
              </w:rPr>
            </w:pPr>
            <w:r w:rsidRPr="003A1A6C">
              <w:rPr>
                <w:b/>
                <w:bCs/>
                <w:color w:val="000000" w:themeColor="text1"/>
                <w:sz w:val="18"/>
                <w:szCs w:val="18"/>
                <w:lang w:val="en-GB"/>
              </w:rPr>
              <w:t>(n=333)</w:t>
            </w:r>
          </w:p>
        </w:tc>
      </w:tr>
      <w:tr w:rsidR="003A1A6C" w:rsidRPr="003A1A6C" w14:paraId="7D1D487E" w14:textId="77777777" w:rsidTr="0094333D">
        <w:trPr>
          <w:trHeight w:val="276"/>
        </w:trPr>
        <w:tc>
          <w:tcPr>
            <w:tcW w:w="1701" w:type="dxa"/>
            <w:tcBorders>
              <w:top w:val="single" w:sz="4" w:space="0" w:color="000000"/>
              <w:left w:val="dotted" w:sz="4" w:space="0" w:color="000000"/>
              <w:bottom w:val="dotted" w:sz="4" w:space="0" w:color="000000"/>
              <w:right w:val="dotted" w:sz="4" w:space="0" w:color="000000"/>
            </w:tcBorders>
          </w:tcPr>
          <w:p w14:paraId="14514114" w14:textId="77777777" w:rsidR="009E1510" w:rsidRPr="003A1A6C" w:rsidRDefault="009E1510" w:rsidP="009E1510">
            <w:pPr>
              <w:spacing w:line="240" w:lineRule="auto"/>
              <w:rPr>
                <w:color w:val="000000" w:themeColor="text1"/>
                <w:sz w:val="18"/>
                <w:szCs w:val="18"/>
                <w:lang w:val="en-GB"/>
              </w:rPr>
            </w:pPr>
          </w:p>
        </w:tc>
        <w:tc>
          <w:tcPr>
            <w:tcW w:w="1984" w:type="dxa"/>
            <w:tcBorders>
              <w:top w:val="single" w:sz="4" w:space="0" w:color="000000"/>
              <w:left w:val="dotted" w:sz="4" w:space="0" w:color="000000"/>
              <w:bottom w:val="dotted" w:sz="4" w:space="0" w:color="000000"/>
              <w:right w:val="dotted" w:sz="4" w:space="0" w:color="000000"/>
            </w:tcBorders>
          </w:tcPr>
          <w:p w14:paraId="0C3A4F12"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Standardized Beta</w:t>
            </w:r>
          </w:p>
        </w:tc>
        <w:tc>
          <w:tcPr>
            <w:tcW w:w="1134" w:type="dxa"/>
            <w:tcBorders>
              <w:top w:val="single" w:sz="4" w:space="0" w:color="000000"/>
              <w:left w:val="dotted" w:sz="4" w:space="0" w:color="000000"/>
              <w:bottom w:val="dotted" w:sz="4" w:space="0" w:color="000000"/>
              <w:right w:val="dotted" w:sz="4" w:space="0" w:color="000000"/>
            </w:tcBorders>
          </w:tcPr>
          <w:p w14:paraId="33F81EDC" w14:textId="77777777" w:rsidR="009E1510" w:rsidRPr="003A1A6C" w:rsidRDefault="009E1510" w:rsidP="009E1510">
            <w:pPr>
              <w:spacing w:line="240" w:lineRule="auto"/>
              <w:jc w:val="center"/>
              <w:rPr>
                <w:i/>
                <w:iCs/>
                <w:color w:val="000000" w:themeColor="text1"/>
                <w:sz w:val="18"/>
                <w:szCs w:val="18"/>
                <w:lang w:val="en-GB"/>
              </w:rPr>
            </w:pPr>
            <w:r w:rsidRPr="003A1A6C">
              <w:rPr>
                <w:i/>
                <w:iCs/>
                <w:color w:val="000000" w:themeColor="text1"/>
                <w:sz w:val="18"/>
                <w:szCs w:val="18"/>
                <w:lang w:val="en-GB"/>
              </w:rPr>
              <w:t>p</w:t>
            </w:r>
          </w:p>
        </w:tc>
        <w:tc>
          <w:tcPr>
            <w:tcW w:w="1985" w:type="dxa"/>
            <w:tcBorders>
              <w:top w:val="single" w:sz="4" w:space="0" w:color="000000"/>
              <w:left w:val="dotted" w:sz="4" w:space="0" w:color="000000"/>
              <w:bottom w:val="dotted" w:sz="4" w:space="0" w:color="000000"/>
              <w:right w:val="dotted" w:sz="4" w:space="0" w:color="000000"/>
            </w:tcBorders>
          </w:tcPr>
          <w:p w14:paraId="50C4B609"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Standardized Beta</w:t>
            </w:r>
          </w:p>
        </w:tc>
        <w:tc>
          <w:tcPr>
            <w:tcW w:w="1142" w:type="dxa"/>
            <w:tcBorders>
              <w:top w:val="single" w:sz="4" w:space="0" w:color="000000"/>
              <w:left w:val="dotted" w:sz="4" w:space="0" w:color="000000"/>
              <w:bottom w:val="dotted" w:sz="4" w:space="0" w:color="000000"/>
              <w:right w:val="dotted" w:sz="4" w:space="0" w:color="000000"/>
            </w:tcBorders>
          </w:tcPr>
          <w:p w14:paraId="2588687D" w14:textId="77777777" w:rsidR="009E1510" w:rsidRPr="003A1A6C" w:rsidRDefault="009E1510" w:rsidP="009E1510">
            <w:pPr>
              <w:spacing w:line="240" w:lineRule="auto"/>
              <w:jc w:val="center"/>
              <w:rPr>
                <w:i/>
                <w:iCs/>
                <w:color w:val="000000" w:themeColor="text1"/>
                <w:sz w:val="18"/>
                <w:szCs w:val="18"/>
                <w:lang w:val="en-GB"/>
              </w:rPr>
            </w:pPr>
            <w:r w:rsidRPr="003A1A6C">
              <w:rPr>
                <w:i/>
                <w:iCs/>
                <w:color w:val="000000" w:themeColor="text1"/>
                <w:sz w:val="18"/>
                <w:szCs w:val="18"/>
                <w:lang w:val="en-GB"/>
              </w:rPr>
              <w:t>p</w:t>
            </w:r>
          </w:p>
        </w:tc>
      </w:tr>
      <w:tr w:rsidR="003A1A6C" w:rsidRPr="003A1A6C" w14:paraId="0AE22716" w14:textId="77777777" w:rsidTr="0094333D">
        <w:trPr>
          <w:trHeight w:val="261"/>
        </w:trPr>
        <w:tc>
          <w:tcPr>
            <w:tcW w:w="1701" w:type="dxa"/>
            <w:tcBorders>
              <w:top w:val="dotted" w:sz="4" w:space="0" w:color="000000"/>
              <w:left w:val="dotted" w:sz="4" w:space="0" w:color="000000"/>
              <w:bottom w:val="dotted" w:sz="4" w:space="0" w:color="000000"/>
              <w:right w:val="dotted" w:sz="4" w:space="0" w:color="000000"/>
            </w:tcBorders>
          </w:tcPr>
          <w:p w14:paraId="6772F5BE" w14:textId="77777777" w:rsidR="009E1510" w:rsidRPr="003A1A6C" w:rsidRDefault="009E1510" w:rsidP="009E1510">
            <w:pPr>
              <w:spacing w:line="240" w:lineRule="auto"/>
              <w:rPr>
                <w:color w:val="000000" w:themeColor="text1"/>
                <w:sz w:val="18"/>
                <w:szCs w:val="18"/>
                <w:lang w:val="en-GB"/>
              </w:rPr>
            </w:pPr>
            <w:r w:rsidRPr="003A1A6C">
              <w:rPr>
                <w:b/>
                <w:bCs/>
                <w:color w:val="000000" w:themeColor="text1"/>
                <w:sz w:val="18"/>
                <w:szCs w:val="18"/>
                <w:lang w:val="en-GB"/>
              </w:rPr>
              <w:t>(Constant)</w:t>
            </w:r>
          </w:p>
        </w:tc>
        <w:tc>
          <w:tcPr>
            <w:tcW w:w="1984" w:type="dxa"/>
            <w:tcBorders>
              <w:top w:val="dotted" w:sz="4" w:space="0" w:color="000000"/>
              <w:left w:val="dotted" w:sz="4" w:space="0" w:color="000000"/>
              <w:bottom w:val="dotted" w:sz="4" w:space="0" w:color="000000"/>
              <w:right w:val="dotted" w:sz="4" w:space="0" w:color="000000"/>
            </w:tcBorders>
          </w:tcPr>
          <w:p w14:paraId="404A707C"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1.20</w:t>
            </w:r>
          </w:p>
        </w:tc>
        <w:tc>
          <w:tcPr>
            <w:tcW w:w="1134" w:type="dxa"/>
            <w:tcBorders>
              <w:top w:val="dotted" w:sz="4" w:space="0" w:color="000000"/>
              <w:left w:val="dotted" w:sz="4" w:space="0" w:color="000000"/>
              <w:bottom w:val="dotted" w:sz="4" w:space="0" w:color="000000"/>
              <w:right w:val="dotted" w:sz="4" w:space="0" w:color="000000"/>
            </w:tcBorders>
          </w:tcPr>
          <w:p w14:paraId="02CA258F"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0.24</w:t>
            </w:r>
          </w:p>
        </w:tc>
        <w:tc>
          <w:tcPr>
            <w:tcW w:w="1985" w:type="dxa"/>
            <w:tcBorders>
              <w:top w:val="dotted" w:sz="4" w:space="0" w:color="000000"/>
              <w:left w:val="dotted" w:sz="4" w:space="0" w:color="000000"/>
              <w:bottom w:val="dotted" w:sz="4" w:space="0" w:color="000000"/>
              <w:right w:val="dotted" w:sz="4" w:space="0" w:color="000000"/>
            </w:tcBorders>
          </w:tcPr>
          <w:p w14:paraId="200F90A1"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0.69</w:t>
            </w:r>
          </w:p>
        </w:tc>
        <w:tc>
          <w:tcPr>
            <w:tcW w:w="1142" w:type="dxa"/>
            <w:tcBorders>
              <w:top w:val="dotted" w:sz="4" w:space="0" w:color="000000"/>
              <w:left w:val="dotted" w:sz="4" w:space="0" w:color="000000"/>
              <w:bottom w:val="dotted" w:sz="4" w:space="0" w:color="000000"/>
              <w:right w:val="dotted" w:sz="4" w:space="0" w:color="000000"/>
            </w:tcBorders>
          </w:tcPr>
          <w:p w14:paraId="102C3461"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0.49</w:t>
            </w:r>
          </w:p>
        </w:tc>
      </w:tr>
      <w:tr w:rsidR="003A1A6C" w:rsidRPr="003A1A6C" w14:paraId="15BA2124" w14:textId="77777777" w:rsidTr="0094333D">
        <w:trPr>
          <w:trHeight w:val="276"/>
        </w:trPr>
        <w:tc>
          <w:tcPr>
            <w:tcW w:w="1701" w:type="dxa"/>
            <w:tcBorders>
              <w:left w:val="dotted" w:sz="4" w:space="0" w:color="000000"/>
              <w:bottom w:val="dotted" w:sz="4" w:space="0" w:color="000000"/>
              <w:right w:val="dotted" w:sz="4" w:space="0" w:color="000000"/>
            </w:tcBorders>
          </w:tcPr>
          <w:p w14:paraId="21023329" w14:textId="77777777" w:rsidR="009E1510" w:rsidRPr="003A1A6C" w:rsidRDefault="009E1510" w:rsidP="009E1510">
            <w:pPr>
              <w:spacing w:line="240" w:lineRule="auto"/>
              <w:rPr>
                <w:color w:val="000000" w:themeColor="text1"/>
                <w:sz w:val="18"/>
                <w:szCs w:val="18"/>
                <w:lang w:val="en-GB"/>
              </w:rPr>
            </w:pPr>
            <w:r w:rsidRPr="003A1A6C">
              <w:rPr>
                <w:b/>
                <w:bCs/>
                <w:color w:val="000000" w:themeColor="text1"/>
                <w:sz w:val="18"/>
                <w:szCs w:val="18"/>
                <w:lang w:val="en-GB"/>
              </w:rPr>
              <w:t>Marital status</w:t>
            </w:r>
          </w:p>
        </w:tc>
        <w:tc>
          <w:tcPr>
            <w:tcW w:w="1984" w:type="dxa"/>
            <w:tcBorders>
              <w:left w:val="dotted" w:sz="4" w:space="0" w:color="000000"/>
              <w:bottom w:val="dotted" w:sz="4" w:space="0" w:color="000000"/>
              <w:right w:val="dotted" w:sz="4" w:space="0" w:color="000000"/>
            </w:tcBorders>
          </w:tcPr>
          <w:p w14:paraId="6C718043"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0.38</w:t>
            </w:r>
          </w:p>
        </w:tc>
        <w:tc>
          <w:tcPr>
            <w:tcW w:w="1134" w:type="dxa"/>
            <w:tcBorders>
              <w:left w:val="dotted" w:sz="4" w:space="0" w:color="000000"/>
              <w:bottom w:val="dotted" w:sz="4" w:space="0" w:color="000000"/>
              <w:right w:val="dotted" w:sz="4" w:space="0" w:color="000000"/>
            </w:tcBorders>
          </w:tcPr>
          <w:p w14:paraId="59527869"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0.10</w:t>
            </w:r>
          </w:p>
        </w:tc>
        <w:tc>
          <w:tcPr>
            <w:tcW w:w="1985" w:type="dxa"/>
            <w:tcBorders>
              <w:left w:val="dotted" w:sz="4" w:space="0" w:color="000000"/>
              <w:bottom w:val="dotted" w:sz="4" w:space="0" w:color="000000"/>
              <w:right w:val="dotted" w:sz="4" w:space="0" w:color="000000"/>
            </w:tcBorders>
          </w:tcPr>
          <w:p w14:paraId="4BE2278A"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0.10</w:t>
            </w:r>
          </w:p>
        </w:tc>
        <w:tc>
          <w:tcPr>
            <w:tcW w:w="1142" w:type="dxa"/>
            <w:tcBorders>
              <w:left w:val="dotted" w:sz="4" w:space="0" w:color="000000"/>
              <w:bottom w:val="dotted" w:sz="4" w:space="0" w:color="000000"/>
              <w:right w:val="dotted" w:sz="4" w:space="0" w:color="000000"/>
            </w:tcBorders>
          </w:tcPr>
          <w:p w14:paraId="3E13B957"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0.01</w:t>
            </w:r>
          </w:p>
        </w:tc>
      </w:tr>
      <w:tr w:rsidR="003A1A6C" w:rsidRPr="003A1A6C" w14:paraId="4F7D1D4B" w14:textId="77777777" w:rsidTr="0094333D">
        <w:trPr>
          <w:trHeight w:val="261"/>
        </w:trPr>
        <w:tc>
          <w:tcPr>
            <w:tcW w:w="1701" w:type="dxa"/>
            <w:tcBorders>
              <w:top w:val="dotted" w:sz="4" w:space="0" w:color="000000"/>
              <w:left w:val="dotted" w:sz="4" w:space="0" w:color="000000"/>
              <w:bottom w:val="dotted" w:sz="4" w:space="0" w:color="000000"/>
              <w:right w:val="dotted" w:sz="4" w:space="0" w:color="000000"/>
            </w:tcBorders>
          </w:tcPr>
          <w:p w14:paraId="20961016" w14:textId="77777777" w:rsidR="009E1510" w:rsidRPr="003A1A6C" w:rsidRDefault="009E1510" w:rsidP="009E1510">
            <w:pPr>
              <w:spacing w:line="240" w:lineRule="auto"/>
              <w:rPr>
                <w:color w:val="000000" w:themeColor="text1"/>
                <w:sz w:val="18"/>
                <w:szCs w:val="18"/>
                <w:lang w:val="en-GB"/>
              </w:rPr>
            </w:pPr>
            <w:r w:rsidRPr="003A1A6C">
              <w:rPr>
                <w:b/>
                <w:bCs/>
                <w:color w:val="000000" w:themeColor="text1"/>
                <w:sz w:val="18"/>
                <w:szCs w:val="18"/>
                <w:lang w:val="en-GB"/>
              </w:rPr>
              <w:t>DUFSS</w:t>
            </w:r>
          </w:p>
        </w:tc>
        <w:tc>
          <w:tcPr>
            <w:tcW w:w="1984" w:type="dxa"/>
            <w:tcBorders>
              <w:top w:val="dotted" w:sz="4" w:space="0" w:color="000000"/>
              <w:left w:val="dotted" w:sz="4" w:space="0" w:color="000000"/>
              <w:bottom w:val="dotted" w:sz="4" w:space="0" w:color="000000"/>
              <w:right w:val="dotted" w:sz="4" w:space="0" w:color="000000"/>
            </w:tcBorders>
          </w:tcPr>
          <w:p w14:paraId="37F3E3B3"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0.29</w:t>
            </w:r>
          </w:p>
        </w:tc>
        <w:tc>
          <w:tcPr>
            <w:tcW w:w="1134" w:type="dxa"/>
            <w:tcBorders>
              <w:top w:val="dotted" w:sz="4" w:space="0" w:color="000000"/>
              <w:left w:val="dotted" w:sz="4" w:space="0" w:color="000000"/>
              <w:bottom w:val="dotted" w:sz="4" w:space="0" w:color="000000"/>
              <w:right w:val="dotted" w:sz="4" w:space="0" w:color="000000"/>
            </w:tcBorders>
          </w:tcPr>
          <w:p w14:paraId="22731D5A"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0.10</w:t>
            </w:r>
          </w:p>
        </w:tc>
        <w:tc>
          <w:tcPr>
            <w:tcW w:w="1985" w:type="dxa"/>
            <w:tcBorders>
              <w:top w:val="dotted" w:sz="4" w:space="0" w:color="000000"/>
              <w:left w:val="dotted" w:sz="4" w:space="0" w:color="000000"/>
              <w:bottom w:val="dotted" w:sz="4" w:space="0" w:color="000000"/>
              <w:right w:val="dotted" w:sz="4" w:space="0" w:color="000000"/>
            </w:tcBorders>
          </w:tcPr>
          <w:p w14:paraId="3539B893"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0.51</w:t>
            </w:r>
          </w:p>
        </w:tc>
        <w:tc>
          <w:tcPr>
            <w:tcW w:w="1142" w:type="dxa"/>
            <w:tcBorders>
              <w:top w:val="dotted" w:sz="4" w:space="0" w:color="000000"/>
              <w:left w:val="dotted" w:sz="4" w:space="0" w:color="000000"/>
              <w:bottom w:val="dotted" w:sz="4" w:space="0" w:color="000000"/>
              <w:right w:val="dotted" w:sz="4" w:space="0" w:color="000000"/>
            </w:tcBorders>
          </w:tcPr>
          <w:p w14:paraId="026A9FB2"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&lt;0.001</w:t>
            </w:r>
          </w:p>
        </w:tc>
      </w:tr>
      <w:tr w:rsidR="003A1A6C" w:rsidRPr="003A1A6C" w14:paraId="6E22DAE2" w14:textId="77777777" w:rsidTr="0094333D">
        <w:trPr>
          <w:trHeight w:val="261"/>
        </w:trPr>
        <w:tc>
          <w:tcPr>
            <w:tcW w:w="1701" w:type="dxa"/>
            <w:tcBorders>
              <w:top w:val="dotted" w:sz="4" w:space="0" w:color="000000"/>
              <w:left w:val="dotted" w:sz="4" w:space="0" w:color="000000"/>
              <w:bottom w:val="dotted" w:sz="4" w:space="0" w:color="000000"/>
              <w:right w:val="dotted" w:sz="4" w:space="0" w:color="000000"/>
            </w:tcBorders>
          </w:tcPr>
          <w:p w14:paraId="0DD9B7D8" w14:textId="77777777" w:rsidR="009E1510" w:rsidRPr="003A1A6C" w:rsidRDefault="009E1510" w:rsidP="009E1510">
            <w:pPr>
              <w:spacing w:line="240" w:lineRule="auto"/>
              <w:rPr>
                <w:color w:val="000000" w:themeColor="text1"/>
                <w:sz w:val="18"/>
                <w:szCs w:val="18"/>
                <w:lang w:val="en-GB"/>
              </w:rPr>
            </w:pPr>
            <w:r w:rsidRPr="003A1A6C">
              <w:rPr>
                <w:b/>
                <w:bCs/>
                <w:color w:val="000000" w:themeColor="text1"/>
                <w:sz w:val="18"/>
                <w:szCs w:val="18"/>
                <w:lang w:val="en-GB"/>
              </w:rPr>
              <w:t>SLS-6</w:t>
            </w:r>
          </w:p>
        </w:tc>
        <w:tc>
          <w:tcPr>
            <w:tcW w:w="1984" w:type="dxa"/>
            <w:tcBorders>
              <w:top w:val="dotted" w:sz="4" w:space="0" w:color="000000"/>
              <w:left w:val="dotted" w:sz="4" w:space="0" w:color="000000"/>
              <w:bottom w:val="dotted" w:sz="4" w:space="0" w:color="000000"/>
              <w:right w:val="dotted" w:sz="4" w:space="0" w:color="000000"/>
            </w:tcBorders>
          </w:tcPr>
          <w:p w14:paraId="746E8BAB"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0.09</w:t>
            </w:r>
          </w:p>
        </w:tc>
        <w:tc>
          <w:tcPr>
            <w:tcW w:w="1134" w:type="dxa"/>
            <w:tcBorders>
              <w:top w:val="dotted" w:sz="4" w:space="0" w:color="000000"/>
              <w:left w:val="dotted" w:sz="4" w:space="0" w:color="000000"/>
              <w:bottom w:val="dotted" w:sz="4" w:space="0" w:color="000000"/>
              <w:right w:val="dotted" w:sz="4" w:space="0" w:color="000000"/>
            </w:tcBorders>
          </w:tcPr>
          <w:p w14:paraId="4FF113C9"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0.58</w:t>
            </w:r>
          </w:p>
        </w:tc>
        <w:tc>
          <w:tcPr>
            <w:tcW w:w="1985" w:type="dxa"/>
            <w:tcBorders>
              <w:top w:val="dotted" w:sz="4" w:space="0" w:color="000000"/>
              <w:left w:val="dotted" w:sz="4" w:space="0" w:color="000000"/>
              <w:bottom w:val="dotted" w:sz="4" w:space="0" w:color="000000"/>
              <w:right w:val="dotted" w:sz="4" w:space="0" w:color="000000"/>
            </w:tcBorders>
          </w:tcPr>
          <w:p w14:paraId="6E90D8D0"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0.26</w:t>
            </w:r>
          </w:p>
        </w:tc>
        <w:tc>
          <w:tcPr>
            <w:tcW w:w="1142" w:type="dxa"/>
            <w:tcBorders>
              <w:top w:val="dotted" w:sz="4" w:space="0" w:color="000000"/>
              <w:left w:val="dotted" w:sz="4" w:space="0" w:color="000000"/>
              <w:bottom w:val="dotted" w:sz="4" w:space="0" w:color="000000"/>
              <w:right w:val="dotted" w:sz="4" w:space="0" w:color="000000"/>
            </w:tcBorders>
          </w:tcPr>
          <w:p w14:paraId="45DA98C0" w14:textId="77777777" w:rsidR="009E1510" w:rsidRPr="003A1A6C" w:rsidRDefault="009E1510" w:rsidP="009E1510">
            <w:pPr>
              <w:spacing w:line="240" w:lineRule="auto"/>
              <w:jc w:val="center"/>
              <w:rPr>
                <w:color w:val="000000" w:themeColor="text1"/>
                <w:sz w:val="18"/>
                <w:szCs w:val="18"/>
                <w:lang w:val="en-GB"/>
              </w:rPr>
            </w:pPr>
            <w:r w:rsidRPr="003A1A6C">
              <w:rPr>
                <w:color w:val="000000" w:themeColor="text1"/>
                <w:sz w:val="18"/>
                <w:szCs w:val="18"/>
                <w:lang w:val="en-GB"/>
              </w:rPr>
              <w:t>&lt;0.001</w:t>
            </w:r>
          </w:p>
        </w:tc>
      </w:tr>
      <w:tr w:rsidR="003A1A6C" w:rsidRPr="003A1A6C" w14:paraId="46AA7B87" w14:textId="77777777" w:rsidTr="0094333D">
        <w:trPr>
          <w:trHeight w:val="261"/>
        </w:trPr>
        <w:tc>
          <w:tcPr>
            <w:tcW w:w="1701" w:type="dxa"/>
            <w:tcBorders>
              <w:top w:val="dotted" w:sz="4" w:space="0" w:color="000000"/>
              <w:left w:val="dotted" w:sz="4" w:space="0" w:color="000000"/>
              <w:bottom w:val="single" w:sz="4" w:space="0" w:color="000000"/>
              <w:right w:val="dotted" w:sz="4" w:space="0" w:color="000000"/>
            </w:tcBorders>
          </w:tcPr>
          <w:p w14:paraId="4A3407D6" w14:textId="77777777" w:rsidR="009E1510" w:rsidRPr="003A1A6C" w:rsidRDefault="009E1510" w:rsidP="005B07C9">
            <w:pPr>
              <w:spacing w:line="240" w:lineRule="auto"/>
              <w:rPr>
                <w:color w:val="000000" w:themeColor="text1"/>
                <w:sz w:val="18"/>
                <w:szCs w:val="18"/>
                <w:lang w:val="en-GB"/>
              </w:rPr>
            </w:pPr>
            <w:r w:rsidRPr="003A1A6C">
              <w:rPr>
                <w:b/>
                <w:bCs/>
                <w:color w:val="000000" w:themeColor="text1"/>
                <w:sz w:val="18"/>
                <w:szCs w:val="18"/>
                <w:lang w:val="en-GB"/>
              </w:rPr>
              <w:t xml:space="preserve">Adj R-squared   </w:t>
            </w:r>
          </w:p>
        </w:tc>
        <w:tc>
          <w:tcPr>
            <w:tcW w:w="1984" w:type="dxa"/>
            <w:tcBorders>
              <w:top w:val="dotted" w:sz="4" w:space="0" w:color="000000"/>
              <w:left w:val="dotted" w:sz="4" w:space="0" w:color="000000"/>
              <w:bottom w:val="single" w:sz="4" w:space="0" w:color="000000"/>
              <w:right w:val="dotted" w:sz="4" w:space="0" w:color="000000"/>
            </w:tcBorders>
          </w:tcPr>
          <w:p w14:paraId="491D80C5" w14:textId="77777777" w:rsidR="009E1510" w:rsidRPr="003A1A6C" w:rsidRDefault="009E1510" w:rsidP="005B07C9">
            <w:pPr>
              <w:spacing w:line="240" w:lineRule="auto"/>
              <w:jc w:val="center"/>
              <w:rPr>
                <w:color w:val="000000" w:themeColor="text1"/>
                <w:sz w:val="18"/>
                <w:szCs w:val="18"/>
                <w:lang w:val="en-GB"/>
              </w:rPr>
            </w:pPr>
            <w:r w:rsidRPr="003A1A6C">
              <w:rPr>
                <w:color w:val="000000" w:themeColor="text1"/>
                <w:sz w:val="18"/>
                <w:szCs w:val="18"/>
                <w:lang w:val="en-GB"/>
              </w:rPr>
              <w:t>0.09</w:t>
            </w:r>
          </w:p>
        </w:tc>
        <w:tc>
          <w:tcPr>
            <w:tcW w:w="1134" w:type="dxa"/>
            <w:tcBorders>
              <w:top w:val="dotted" w:sz="4" w:space="0" w:color="000000"/>
              <w:left w:val="dotted" w:sz="4" w:space="0" w:color="000000"/>
              <w:bottom w:val="single" w:sz="4" w:space="0" w:color="000000"/>
              <w:right w:val="dotted" w:sz="4" w:space="0" w:color="000000"/>
            </w:tcBorders>
          </w:tcPr>
          <w:p w14:paraId="0BE1F237" w14:textId="77777777" w:rsidR="009E1510" w:rsidRPr="003A1A6C" w:rsidRDefault="009E1510" w:rsidP="005B07C9">
            <w:pPr>
              <w:spacing w:line="240" w:lineRule="auto"/>
              <w:rPr>
                <w:color w:val="000000" w:themeColor="text1"/>
                <w:sz w:val="18"/>
                <w:szCs w:val="18"/>
                <w:lang w:val="en-GB"/>
              </w:rPr>
            </w:pPr>
          </w:p>
        </w:tc>
        <w:tc>
          <w:tcPr>
            <w:tcW w:w="1985" w:type="dxa"/>
            <w:tcBorders>
              <w:top w:val="dotted" w:sz="4" w:space="0" w:color="000000"/>
              <w:left w:val="dotted" w:sz="4" w:space="0" w:color="000000"/>
              <w:bottom w:val="single" w:sz="4" w:space="0" w:color="000000"/>
              <w:right w:val="dotted" w:sz="4" w:space="0" w:color="000000"/>
            </w:tcBorders>
          </w:tcPr>
          <w:p w14:paraId="7615E9FD" w14:textId="77777777" w:rsidR="009E1510" w:rsidRPr="003A1A6C" w:rsidRDefault="009E1510" w:rsidP="005B07C9">
            <w:pPr>
              <w:spacing w:line="240" w:lineRule="auto"/>
              <w:jc w:val="center"/>
              <w:rPr>
                <w:color w:val="000000" w:themeColor="text1"/>
                <w:sz w:val="18"/>
                <w:szCs w:val="18"/>
                <w:lang w:val="en-GB"/>
              </w:rPr>
            </w:pPr>
            <w:r w:rsidRPr="003A1A6C">
              <w:rPr>
                <w:color w:val="000000" w:themeColor="text1"/>
                <w:sz w:val="18"/>
                <w:szCs w:val="18"/>
                <w:lang w:val="en-GB"/>
              </w:rPr>
              <w:t>0.52</w:t>
            </w:r>
          </w:p>
        </w:tc>
        <w:tc>
          <w:tcPr>
            <w:tcW w:w="1142" w:type="dxa"/>
            <w:tcBorders>
              <w:top w:val="dotted" w:sz="4" w:space="0" w:color="000000"/>
              <w:left w:val="dotted" w:sz="4" w:space="0" w:color="000000"/>
              <w:bottom w:val="single" w:sz="4" w:space="0" w:color="000000"/>
              <w:right w:val="dotted" w:sz="4" w:space="0" w:color="000000"/>
            </w:tcBorders>
          </w:tcPr>
          <w:p w14:paraId="41BE9016" w14:textId="77777777" w:rsidR="009E1510" w:rsidRPr="003A1A6C" w:rsidRDefault="009E1510" w:rsidP="005B07C9">
            <w:pPr>
              <w:spacing w:line="240" w:lineRule="auto"/>
              <w:rPr>
                <w:color w:val="000000" w:themeColor="text1"/>
                <w:sz w:val="18"/>
                <w:szCs w:val="18"/>
                <w:lang w:val="en-GB"/>
              </w:rPr>
            </w:pPr>
          </w:p>
        </w:tc>
      </w:tr>
    </w:tbl>
    <w:p w14:paraId="3544C977" w14:textId="5BC5AB32" w:rsidR="00B05578" w:rsidRPr="003A1A6C" w:rsidRDefault="005B07C9" w:rsidP="005B07C9">
      <w:pPr>
        <w:pStyle w:val="MDPI22heading2"/>
        <w:spacing w:before="0" w:after="0" w:line="240" w:lineRule="auto"/>
        <w:ind w:left="2550" w:firstLine="510"/>
        <w:jc w:val="both"/>
        <w:rPr>
          <w:i w:val="0"/>
          <w:iCs/>
          <w:color w:val="000000" w:themeColor="text1"/>
          <w:sz w:val="18"/>
          <w:szCs w:val="18"/>
          <w:lang w:val="en-GB"/>
        </w:rPr>
      </w:pPr>
      <w:r w:rsidRPr="003A1A6C">
        <w:rPr>
          <w:i w:val="0"/>
          <w:iCs/>
          <w:color w:val="000000" w:themeColor="text1"/>
          <w:sz w:val="18"/>
          <w:szCs w:val="18"/>
        </w:rPr>
        <w:t>LW-CI-COPD: Living with Chronic Illness – chronic obstructive pulmonary disease</w:t>
      </w:r>
      <w:r w:rsidR="00B05578" w:rsidRPr="003A1A6C">
        <w:rPr>
          <w:i w:val="0"/>
          <w:iCs/>
          <w:color w:val="000000" w:themeColor="text1"/>
          <w:sz w:val="18"/>
          <w:szCs w:val="18"/>
          <w:lang w:val="en-GB"/>
        </w:rPr>
        <w:t>; DUFSS: Duke-UNC Functional Social Support scale; SLS-6: Satisfaction with life scale.</w:t>
      </w:r>
    </w:p>
    <w:p w14:paraId="3D4AA4A5" w14:textId="2F579242" w:rsidR="009E1510" w:rsidRPr="003A1A6C" w:rsidRDefault="00B05578" w:rsidP="005B07C9">
      <w:pPr>
        <w:pStyle w:val="MDPI22heading2"/>
        <w:spacing w:before="240"/>
        <w:ind w:firstLine="452"/>
        <w:jc w:val="both"/>
        <w:rPr>
          <w:i w:val="0"/>
          <w:iCs/>
          <w:color w:val="000000" w:themeColor="text1"/>
          <w:sz w:val="18"/>
          <w:szCs w:val="18"/>
          <w:lang w:val="en-GB"/>
        </w:rPr>
      </w:pPr>
      <w:r w:rsidRPr="003A1A6C">
        <w:rPr>
          <w:i w:val="0"/>
          <w:iCs/>
          <w:color w:val="000000" w:themeColor="text1"/>
          <w:sz w:val="18"/>
          <w:szCs w:val="18"/>
          <w:lang w:val="en-GB"/>
        </w:rPr>
        <w:t>* Other variables included in the models: age, gender, educational level, employment situation, disease duration and Patient Based Global Impression of Severity Scale (PGIS).</w:t>
      </w:r>
    </w:p>
    <w:p w14:paraId="43B5BA2D" w14:textId="36736093" w:rsidR="009E1510" w:rsidRPr="003A1A6C" w:rsidRDefault="005B07C9" w:rsidP="005B07C9">
      <w:pPr>
        <w:pStyle w:val="MDPI22heading2"/>
        <w:spacing w:before="240"/>
        <w:ind w:firstLine="452"/>
        <w:jc w:val="both"/>
        <w:rPr>
          <w:i w:val="0"/>
          <w:iCs/>
          <w:color w:val="000000" w:themeColor="text1"/>
          <w:szCs w:val="20"/>
          <w:lang w:val="en-GB"/>
        </w:rPr>
      </w:pPr>
      <w:r w:rsidRPr="003A1A6C">
        <w:rPr>
          <w:i w:val="0"/>
          <w:iCs/>
          <w:color w:val="000000" w:themeColor="text1"/>
          <w:szCs w:val="20"/>
          <w:lang w:val="en-GB"/>
        </w:rPr>
        <w:t>For Spain, only marital status was significant (β=0.38, p&lt;0.01), accounting for 1% of the variance. For Colombia, DUFFS (β=0.51, p&lt;0.001), SLS-6 (β=0.26, p&lt;0.001) and marital status (β=0.10, p&lt;0.01) were significantly associated with LW-CI-COPD, accounting for 52% of the variance (Table 4).</w:t>
      </w:r>
    </w:p>
    <w:p w14:paraId="10CAB62C" w14:textId="77777777" w:rsidR="00522304" w:rsidRPr="003A1A6C" w:rsidRDefault="00522304" w:rsidP="00522304">
      <w:pPr>
        <w:pStyle w:val="MDPI21heading1"/>
        <w:rPr>
          <w:color w:val="000000" w:themeColor="text1"/>
        </w:rPr>
      </w:pPr>
      <w:r w:rsidRPr="003A1A6C">
        <w:rPr>
          <w:color w:val="000000" w:themeColor="text1"/>
        </w:rPr>
        <w:t>4. Discussion</w:t>
      </w:r>
    </w:p>
    <w:p w14:paraId="298B5CE3" w14:textId="77777777" w:rsidR="005B07C9" w:rsidRPr="003A1A6C" w:rsidRDefault="005B07C9" w:rsidP="005B07C9">
      <w:pPr>
        <w:pStyle w:val="MDPI21heading1"/>
        <w:ind w:firstLine="452"/>
        <w:jc w:val="both"/>
        <w:rPr>
          <w:b w:val="0"/>
          <w:color w:val="000000" w:themeColor="text1"/>
        </w:rPr>
      </w:pPr>
      <w:r w:rsidRPr="003A1A6C">
        <w:rPr>
          <w:b w:val="0"/>
          <w:color w:val="000000" w:themeColor="text1"/>
        </w:rPr>
        <w:t>To our knowledge, this is the first research study that focuses on the determinants in the process of living with LTCs from a comprehensive perspective.</w:t>
      </w:r>
    </w:p>
    <w:p w14:paraId="62772CA1" w14:textId="6FF2FD72" w:rsidR="005B07C9" w:rsidRPr="003A1A6C" w:rsidRDefault="005B07C9" w:rsidP="005B07C9">
      <w:pPr>
        <w:pStyle w:val="MDPI21heading1"/>
        <w:ind w:firstLine="452"/>
        <w:jc w:val="both"/>
        <w:rPr>
          <w:b w:val="0"/>
          <w:color w:val="000000" w:themeColor="text1"/>
        </w:rPr>
      </w:pPr>
      <w:r w:rsidRPr="003A1A6C">
        <w:rPr>
          <w:b w:val="0"/>
          <w:color w:val="000000" w:themeColor="text1"/>
        </w:rPr>
        <w:t xml:space="preserve">Data were captured on a wide sample of people with LTCs from two different Spanish-speaking countries, </w:t>
      </w:r>
      <w:r w:rsidR="00843BF4" w:rsidRPr="003A1A6C">
        <w:rPr>
          <w:b w:val="0"/>
          <w:color w:val="000000" w:themeColor="text1"/>
        </w:rPr>
        <w:t>Spain,</w:t>
      </w:r>
      <w:r w:rsidRPr="003A1A6C">
        <w:rPr>
          <w:b w:val="0"/>
          <w:color w:val="000000" w:themeColor="text1"/>
        </w:rPr>
        <w:t xml:space="preserve"> and Colombia. This fact allows an understanding of the process of living with LTCs in people with different backgrounds and cultural contexts. Specifically, it explored the determinants associated with living with COPD, HF and T2DM, pathologies with high prevalence worldwide and great impact on people’s life due to their symptoms and potential exacerbations [4]. Therefore, the sample size and its heterogeneity regarding the most prevalent conditions currently as well as the sociodemographic characteristics support its generalization to people living with these LTCs.</w:t>
      </w:r>
    </w:p>
    <w:p w14:paraId="10F81739" w14:textId="1CE2ADB1" w:rsidR="005B07C9" w:rsidRPr="003A1A6C" w:rsidRDefault="2B1C0B60" w:rsidP="005B07C9">
      <w:pPr>
        <w:pStyle w:val="MDPI21heading1"/>
        <w:ind w:firstLine="452"/>
        <w:jc w:val="both"/>
        <w:rPr>
          <w:b w:val="0"/>
          <w:color w:val="000000" w:themeColor="text1"/>
        </w:rPr>
      </w:pPr>
      <w:r w:rsidRPr="003A1A6C">
        <w:rPr>
          <w:b w:val="0"/>
          <w:color w:val="000000" w:themeColor="text1"/>
        </w:rPr>
        <w:t xml:space="preserve">Regarding the variables that influence the process of living with LTCs, results indicate that </w:t>
      </w:r>
      <w:r w:rsidR="21A5A412" w:rsidRPr="003A1A6C">
        <w:rPr>
          <w:b w:val="0"/>
          <w:color w:val="000000" w:themeColor="text1"/>
        </w:rPr>
        <w:t xml:space="preserve">the </w:t>
      </w:r>
      <w:r w:rsidRPr="003A1A6C">
        <w:rPr>
          <w:b w:val="0"/>
          <w:color w:val="000000" w:themeColor="text1"/>
        </w:rPr>
        <w:t>perceived social support and satisfaction with life were key aspects for people in this study. To our knowledge, social support includes health professionals’ support as well as family</w:t>
      </w:r>
      <w:r w:rsidR="25CABFFF" w:rsidRPr="003A1A6C">
        <w:rPr>
          <w:b w:val="0"/>
          <w:color w:val="000000" w:themeColor="text1"/>
        </w:rPr>
        <w:t>, partners</w:t>
      </w:r>
      <w:r w:rsidRPr="003A1A6C">
        <w:rPr>
          <w:b w:val="0"/>
          <w:color w:val="000000" w:themeColor="text1"/>
        </w:rPr>
        <w:t xml:space="preserve"> and friends’ and community groups and voluntary or charity </w:t>
      </w:r>
      <w:proofErr w:type="spellStart"/>
      <w:r w:rsidRPr="003A1A6C">
        <w:rPr>
          <w:b w:val="0"/>
          <w:color w:val="000000" w:themeColor="text1"/>
        </w:rPr>
        <w:t>organisations</w:t>
      </w:r>
      <w:proofErr w:type="spellEnd"/>
      <w:r w:rsidRPr="003A1A6C">
        <w:rPr>
          <w:b w:val="0"/>
          <w:color w:val="000000" w:themeColor="text1"/>
        </w:rPr>
        <w:t xml:space="preserve"> [11-13,38]. This support contributes to relieving people stress, improving their acceptance, coping and adjustment to the disease and reinforcing self-care and </w:t>
      </w:r>
      <w:r w:rsidRPr="003A1A6C">
        <w:rPr>
          <w:b w:val="0"/>
          <w:color w:val="000000" w:themeColor="text1"/>
        </w:rPr>
        <w:lastRenderedPageBreak/>
        <w:t>psychological well-being [11-13,38]. Our results are congruent with previous studies carried out in people living with different LTCs</w:t>
      </w:r>
      <w:r w:rsidR="00493964" w:rsidRPr="003A1A6C">
        <w:rPr>
          <w:b w:val="0"/>
          <w:color w:val="000000" w:themeColor="text1"/>
        </w:rPr>
        <w:t xml:space="preserve"> [38-41]</w:t>
      </w:r>
      <w:r w:rsidRPr="003A1A6C">
        <w:rPr>
          <w:b w:val="0"/>
          <w:color w:val="000000" w:themeColor="text1"/>
        </w:rPr>
        <w:t>, stressing that social support was related to better reported general and emotional health in people</w:t>
      </w:r>
      <w:r w:rsidR="12DE065A" w:rsidRPr="003A1A6C">
        <w:rPr>
          <w:b w:val="0"/>
          <w:color w:val="000000" w:themeColor="text1"/>
        </w:rPr>
        <w:t xml:space="preserve"> </w:t>
      </w:r>
      <w:r w:rsidR="36F4EB01" w:rsidRPr="003A1A6C">
        <w:rPr>
          <w:b w:val="0"/>
          <w:color w:val="000000" w:themeColor="text1"/>
        </w:rPr>
        <w:t xml:space="preserve">as well as </w:t>
      </w:r>
      <w:r w:rsidR="6D1DF7CB" w:rsidRPr="003A1A6C">
        <w:rPr>
          <w:b w:val="0"/>
          <w:color w:val="000000" w:themeColor="text1"/>
        </w:rPr>
        <w:t xml:space="preserve">well-being and </w:t>
      </w:r>
      <w:r w:rsidR="36F4EB01" w:rsidRPr="003A1A6C">
        <w:rPr>
          <w:b w:val="0"/>
          <w:color w:val="000000" w:themeColor="text1"/>
        </w:rPr>
        <w:t>quality of life</w:t>
      </w:r>
      <w:r w:rsidRPr="003A1A6C">
        <w:rPr>
          <w:b w:val="0"/>
          <w:color w:val="000000" w:themeColor="text1"/>
        </w:rPr>
        <w:t>. For example, mirroring previous stud</w:t>
      </w:r>
      <w:r w:rsidR="1BC33FD0" w:rsidRPr="003A1A6C">
        <w:rPr>
          <w:b w:val="0"/>
          <w:color w:val="000000" w:themeColor="text1"/>
        </w:rPr>
        <w:t>ies</w:t>
      </w:r>
      <w:r w:rsidRPr="003A1A6C">
        <w:rPr>
          <w:b w:val="0"/>
          <w:color w:val="000000" w:themeColor="text1"/>
        </w:rPr>
        <w:t xml:space="preserve"> carried out in people living with Parkinson’s disease [42]</w:t>
      </w:r>
      <w:r w:rsidR="54018E9D" w:rsidRPr="003A1A6C">
        <w:rPr>
          <w:b w:val="0"/>
          <w:color w:val="000000" w:themeColor="text1"/>
        </w:rPr>
        <w:t>,</w:t>
      </w:r>
      <w:r w:rsidRPr="003A1A6C">
        <w:rPr>
          <w:b w:val="0"/>
          <w:color w:val="000000" w:themeColor="text1"/>
        </w:rPr>
        <w:t xml:space="preserve"> social support was strongly correlated with the process of living with</w:t>
      </w:r>
      <w:r w:rsidR="7CED2F46" w:rsidRPr="003A1A6C">
        <w:rPr>
          <w:b w:val="0"/>
          <w:color w:val="000000" w:themeColor="text1"/>
        </w:rPr>
        <w:t xml:space="preserve"> the illness</w:t>
      </w:r>
      <w:r w:rsidRPr="003A1A6C">
        <w:rPr>
          <w:b w:val="0"/>
          <w:color w:val="000000" w:themeColor="text1"/>
        </w:rPr>
        <w:t xml:space="preserve">. This means that social support is a significant and independent influence on the process of living with different LTCs, such as Parkinson’s disease, COPD, HF and T2DM. This supports the fact there are important parallels between different LTCs that could result in common care pathways and interventions. Consequently, it is important to develop interventions to foster person’s living with LTCs, promoting better quality of life, psychosocial </w:t>
      </w:r>
      <w:r w:rsidR="004F2EF6" w:rsidRPr="003A1A6C">
        <w:rPr>
          <w:b w:val="0"/>
          <w:color w:val="000000" w:themeColor="text1"/>
        </w:rPr>
        <w:t>wellbeing,</w:t>
      </w:r>
      <w:r w:rsidRPr="003A1A6C">
        <w:rPr>
          <w:b w:val="0"/>
          <w:color w:val="000000" w:themeColor="text1"/>
        </w:rPr>
        <w:t xml:space="preserve"> and health related outcomes [16]. Other studies carried out with COPD population have identified associations between the social support received through a comprehensive intervention and the perceived symptoms and person’s quality of life [39,43-45]. Regarding people living with HF, some authors [24] highlighted that psychological health and social relationships were strongly related to the daily living of people, whereas physical health presented a slight association with living with HF. However, these results should be taken with caution because it is a qualitative study carried out in a non-generalizable HF population. Other studies [11,12,46] conducted in a population with T2DM also stressed the crucial role of social support, especially from the family, in people experience with the illness. Similar results were drawn in studies with neurological population, such as chronic stroke [47] and Parkinson’s disease [Ambrosio 2019] where the positive effect of social support programs had on the persons’ mental health and well-being is highlighted. Moreover, a study conducted with people living with Parkinson’s disease [42] indicated that social support was determinant for positive living with the disease, demonstrating that those with more perceived social support achieved more positive living with the illness. Regarding satisfaction with life, previous studies also found that a more satisfactory life was related to better daily living with LTCs, such as HF [24,48], COPD [25] and T2DM [49]. Therefore, it could be highlighted that social support and satisfaction with life seem to be key factors in the process of living with LTCs. These results are paramount for the development of mental health programs and person-</w:t>
      </w:r>
      <w:proofErr w:type="spellStart"/>
      <w:r w:rsidRPr="003A1A6C">
        <w:rPr>
          <w:b w:val="0"/>
          <w:color w:val="000000" w:themeColor="text1"/>
        </w:rPr>
        <w:t>centred</w:t>
      </w:r>
      <w:proofErr w:type="spellEnd"/>
      <w:r w:rsidRPr="003A1A6C">
        <w:rPr>
          <w:b w:val="0"/>
          <w:color w:val="000000" w:themeColor="text1"/>
        </w:rPr>
        <w:t xml:space="preserve"> pathways to promote a positive living with LTCs and </w:t>
      </w:r>
      <w:proofErr w:type="spellStart"/>
      <w:r w:rsidRPr="003A1A6C">
        <w:rPr>
          <w:b w:val="0"/>
          <w:color w:val="000000" w:themeColor="text1"/>
        </w:rPr>
        <w:t>maximise</w:t>
      </w:r>
      <w:proofErr w:type="spellEnd"/>
      <w:r w:rsidRPr="003A1A6C">
        <w:rPr>
          <w:b w:val="0"/>
          <w:color w:val="000000" w:themeColor="text1"/>
        </w:rPr>
        <w:t xml:space="preserve"> quality of life, </w:t>
      </w:r>
      <w:r w:rsidR="4D7D050E" w:rsidRPr="003A1A6C">
        <w:rPr>
          <w:b w:val="0"/>
          <w:color w:val="000000" w:themeColor="text1"/>
        </w:rPr>
        <w:t>wellbeing,</w:t>
      </w:r>
      <w:r w:rsidRPr="003A1A6C">
        <w:rPr>
          <w:b w:val="0"/>
          <w:color w:val="000000" w:themeColor="text1"/>
        </w:rPr>
        <w:t xml:space="preserve"> and health related outcomes, as satisfaction with life.</w:t>
      </w:r>
    </w:p>
    <w:p w14:paraId="189FAD6B" w14:textId="0788FC68" w:rsidR="005B07C9" w:rsidRPr="003A1A6C" w:rsidRDefault="2B1C0B60" w:rsidP="005B07C9">
      <w:pPr>
        <w:pStyle w:val="MDPI21heading1"/>
        <w:ind w:firstLine="452"/>
        <w:jc w:val="both"/>
        <w:rPr>
          <w:b w:val="0"/>
          <w:color w:val="000000" w:themeColor="text1"/>
        </w:rPr>
      </w:pPr>
      <w:r w:rsidRPr="003A1A6C">
        <w:rPr>
          <w:b w:val="0"/>
          <w:color w:val="000000" w:themeColor="text1"/>
        </w:rPr>
        <w:t>In line with previous publications</w:t>
      </w:r>
      <w:r w:rsidR="4DE84A53" w:rsidRPr="003A1A6C">
        <w:rPr>
          <w:b w:val="0"/>
          <w:color w:val="000000" w:themeColor="text1"/>
        </w:rPr>
        <w:t xml:space="preserve"> that have </w:t>
      </w:r>
      <w:r w:rsidR="3CAFE637" w:rsidRPr="003A1A6C">
        <w:rPr>
          <w:b w:val="0"/>
          <w:color w:val="000000" w:themeColor="text1"/>
        </w:rPr>
        <w:t>found strong</w:t>
      </w:r>
      <w:r w:rsidR="03ED6548" w:rsidRPr="003A1A6C">
        <w:rPr>
          <w:b w:val="0"/>
          <w:color w:val="000000" w:themeColor="text1"/>
        </w:rPr>
        <w:t xml:space="preserve"> associations of emotional and social support and participants’ self</w:t>
      </w:r>
      <w:r w:rsidR="27C72154" w:rsidRPr="003A1A6C">
        <w:rPr>
          <w:b w:val="0"/>
          <w:color w:val="000000" w:themeColor="text1"/>
        </w:rPr>
        <w:t>-</w:t>
      </w:r>
      <w:r w:rsidR="03ED6548" w:rsidRPr="003A1A6C">
        <w:rPr>
          <w:b w:val="0"/>
          <w:color w:val="000000" w:themeColor="text1"/>
        </w:rPr>
        <w:t>reported health</w:t>
      </w:r>
      <w:r w:rsidR="4DE84380" w:rsidRPr="003A1A6C">
        <w:rPr>
          <w:b w:val="0"/>
          <w:color w:val="000000" w:themeColor="text1"/>
        </w:rPr>
        <w:t xml:space="preserve">, </w:t>
      </w:r>
      <w:r w:rsidR="00A2724F" w:rsidRPr="003A1A6C">
        <w:rPr>
          <w:b w:val="0"/>
          <w:color w:val="000000" w:themeColor="text1"/>
        </w:rPr>
        <w:t>wellbeing,</w:t>
      </w:r>
      <w:r w:rsidR="4DE84380" w:rsidRPr="003A1A6C">
        <w:rPr>
          <w:b w:val="0"/>
          <w:color w:val="000000" w:themeColor="text1"/>
        </w:rPr>
        <w:t xml:space="preserve"> </w:t>
      </w:r>
      <w:r w:rsidR="03ED6548" w:rsidRPr="003A1A6C">
        <w:rPr>
          <w:b w:val="0"/>
          <w:color w:val="000000" w:themeColor="text1"/>
        </w:rPr>
        <w:t>and quality of life</w:t>
      </w:r>
      <w:r w:rsidRPr="003A1A6C">
        <w:rPr>
          <w:b w:val="0"/>
          <w:color w:val="000000" w:themeColor="text1"/>
        </w:rPr>
        <w:t xml:space="preserve"> [40,41], findings emerged in this study reveals some differences in the determinants of positive living depending on the pathology and people</w:t>
      </w:r>
      <w:r w:rsidR="1CC5EECB" w:rsidRPr="003A1A6C">
        <w:rPr>
          <w:b w:val="0"/>
          <w:color w:val="000000" w:themeColor="text1"/>
        </w:rPr>
        <w:t>’s</w:t>
      </w:r>
      <w:r w:rsidRPr="003A1A6C">
        <w:rPr>
          <w:b w:val="0"/>
          <w:color w:val="000000" w:themeColor="text1"/>
        </w:rPr>
        <w:t xml:space="preserve"> characteristics. For example, according to the results emerged in this study, age and duration of the illness are determinants in people living with HF. </w:t>
      </w:r>
      <w:r w:rsidR="00442F7E" w:rsidRPr="00442F7E">
        <w:rPr>
          <w:b w:val="0"/>
          <w:color w:val="FF0000"/>
        </w:rPr>
        <w:t>This is coherent with existing literature, showing that people living with HF have an important reduction of their quality of life due to the disease progression.</w:t>
      </w:r>
      <w:r w:rsidRPr="003A1A6C">
        <w:rPr>
          <w:b w:val="0"/>
          <w:color w:val="000000" w:themeColor="text1"/>
        </w:rPr>
        <w:t xml:space="preserve"> </w:t>
      </w:r>
      <w:r w:rsidRPr="00446637">
        <w:rPr>
          <w:b w:val="0"/>
          <w:color w:val="FF0000"/>
        </w:rPr>
        <w:t xml:space="preserve">Particularly, patients with HF in </w:t>
      </w:r>
      <w:r w:rsidR="00446637" w:rsidRPr="00446637">
        <w:rPr>
          <w:b w:val="0"/>
          <w:color w:val="FF0000"/>
        </w:rPr>
        <w:t>New York Heart Association Classification</w:t>
      </w:r>
      <w:r w:rsidR="00446637" w:rsidRPr="00446637">
        <w:rPr>
          <w:b w:val="0"/>
          <w:color w:val="FF0000"/>
        </w:rPr>
        <w:t xml:space="preserve"> </w:t>
      </w:r>
      <w:r w:rsidRPr="00446637">
        <w:rPr>
          <w:b w:val="0"/>
          <w:color w:val="FF0000"/>
        </w:rPr>
        <w:t xml:space="preserve">classes II </w:t>
      </w:r>
      <w:r w:rsidR="00446637">
        <w:rPr>
          <w:b w:val="0"/>
          <w:color w:val="FF0000"/>
        </w:rPr>
        <w:t>(m</w:t>
      </w:r>
      <w:r w:rsidR="00446637" w:rsidRPr="00446637">
        <w:rPr>
          <w:b w:val="0"/>
          <w:color w:val="FF0000"/>
        </w:rPr>
        <w:t>ild symptoms and slight limitation during ordinary activity</w:t>
      </w:r>
      <w:r w:rsidR="00446637">
        <w:rPr>
          <w:b w:val="0"/>
          <w:color w:val="FF0000"/>
        </w:rPr>
        <w:t>)</w:t>
      </w:r>
      <w:r w:rsidR="00446637" w:rsidRPr="00446637">
        <w:rPr>
          <w:b w:val="0"/>
          <w:color w:val="FF0000"/>
        </w:rPr>
        <w:t xml:space="preserve"> </w:t>
      </w:r>
      <w:r w:rsidRPr="00446637">
        <w:rPr>
          <w:b w:val="0"/>
          <w:color w:val="FF0000"/>
        </w:rPr>
        <w:t xml:space="preserve">and III </w:t>
      </w:r>
      <w:r w:rsidR="00446637">
        <w:rPr>
          <w:b w:val="0"/>
          <w:color w:val="FF0000"/>
        </w:rPr>
        <w:t>(m</w:t>
      </w:r>
      <w:r w:rsidR="00446637" w:rsidRPr="00446637">
        <w:rPr>
          <w:b w:val="0"/>
          <w:color w:val="FF0000"/>
        </w:rPr>
        <w:t xml:space="preserve">arked limitation in activity due to symptoms, </w:t>
      </w:r>
      <w:r w:rsidR="00446637">
        <w:rPr>
          <w:b w:val="0"/>
          <w:color w:val="FF0000"/>
        </w:rPr>
        <w:t>c</w:t>
      </w:r>
      <w:r w:rsidR="00446637" w:rsidRPr="00446637">
        <w:rPr>
          <w:b w:val="0"/>
          <w:color w:val="FF0000"/>
        </w:rPr>
        <w:t>omfortable only at rest</w:t>
      </w:r>
      <w:r w:rsidR="00446637">
        <w:rPr>
          <w:b w:val="0"/>
          <w:color w:val="FF0000"/>
        </w:rPr>
        <w:t>)</w:t>
      </w:r>
      <w:r w:rsidR="00446637" w:rsidRPr="00446637">
        <w:rPr>
          <w:b w:val="0"/>
          <w:color w:val="FF0000"/>
        </w:rPr>
        <w:t xml:space="preserve"> </w:t>
      </w:r>
      <w:r w:rsidRPr="003A1A6C">
        <w:rPr>
          <w:b w:val="0"/>
          <w:color w:val="000000" w:themeColor="text1"/>
        </w:rPr>
        <w:t>[50]. This variation has not been identified in people with other LTCs such as T2DM and COPD, so patients with HF may need a more exhaustive follow-up as the disease progresses [50].</w:t>
      </w:r>
    </w:p>
    <w:p w14:paraId="40CC8ED4" w14:textId="56FF154C" w:rsidR="005B07C9" w:rsidRPr="003A1A6C" w:rsidRDefault="2B1C0B60" w:rsidP="005B07C9">
      <w:pPr>
        <w:pStyle w:val="MDPI21heading1"/>
        <w:ind w:firstLine="452"/>
        <w:jc w:val="both"/>
        <w:rPr>
          <w:b w:val="0"/>
          <w:color w:val="000000" w:themeColor="text1"/>
        </w:rPr>
      </w:pPr>
      <w:r w:rsidRPr="003A1A6C">
        <w:rPr>
          <w:b w:val="0"/>
          <w:color w:val="000000" w:themeColor="text1"/>
        </w:rPr>
        <w:t xml:space="preserve">In none of the three pathologies (COPD, T2DM, HF), the treatment and its characteristics seemed to be determinants in the process of living with the illness. In other words, it seems that </w:t>
      </w:r>
      <w:r w:rsidR="00033399" w:rsidRPr="00033399">
        <w:rPr>
          <w:b w:val="0"/>
          <w:color w:val="FF0000"/>
        </w:rPr>
        <w:t>independent</w:t>
      </w:r>
      <w:r w:rsidRPr="00033399">
        <w:rPr>
          <w:b w:val="0"/>
          <w:color w:val="FF0000"/>
        </w:rPr>
        <w:t xml:space="preserve"> </w:t>
      </w:r>
      <w:r w:rsidRPr="003A1A6C">
        <w:rPr>
          <w:b w:val="0"/>
          <w:color w:val="000000" w:themeColor="text1"/>
        </w:rPr>
        <w:t xml:space="preserve">of the received treatment, the person could experience negative or positive living with the LTC. Similar results have been identified in previous studies with people living with other LTCs, such as Parkinson’s disease or chronic stroke [47]. Therefore, it could be concluded that in these LTCs (COPD, T2DM, HF, Parkinson’s </w:t>
      </w:r>
      <w:r w:rsidR="4D7D050E" w:rsidRPr="003A1A6C">
        <w:rPr>
          <w:b w:val="0"/>
          <w:color w:val="000000" w:themeColor="text1"/>
        </w:rPr>
        <w:t>disease,</w:t>
      </w:r>
      <w:r w:rsidRPr="003A1A6C">
        <w:rPr>
          <w:b w:val="0"/>
          <w:color w:val="000000" w:themeColor="text1"/>
        </w:rPr>
        <w:t xml:space="preserve"> or chronic stroke), living with the pathology is a process intrinsically related to the individual characteristics rather than to the illness and the treatment itself. In fact, out of </w:t>
      </w:r>
      <w:r w:rsidRPr="003A1A6C">
        <w:rPr>
          <w:b w:val="0"/>
          <w:color w:val="000000" w:themeColor="text1"/>
        </w:rPr>
        <w:lastRenderedPageBreak/>
        <w:t xml:space="preserve">the independent variables introduced in this study (age, gender, educational level, employment situation, disease duration and person’s perception of LTC severity), only social support and satisfaction with life seemed to be determinants in the process of living with LTCs. </w:t>
      </w:r>
      <w:r w:rsidR="5298B566" w:rsidRPr="003A1A6C">
        <w:rPr>
          <w:b w:val="0"/>
          <w:color w:val="000000" w:themeColor="text1"/>
        </w:rPr>
        <w:t xml:space="preserve">However, </w:t>
      </w:r>
      <w:r w:rsidR="01154F09" w:rsidRPr="003A1A6C">
        <w:rPr>
          <w:b w:val="0"/>
          <w:color w:val="000000" w:themeColor="text1"/>
        </w:rPr>
        <w:t xml:space="preserve">regarding the treatment, it is </w:t>
      </w:r>
      <w:r w:rsidR="4BFBFE82" w:rsidRPr="003A1A6C">
        <w:rPr>
          <w:b w:val="0"/>
          <w:color w:val="000000" w:themeColor="text1"/>
        </w:rPr>
        <w:t>important to</w:t>
      </w:r>
      <w:r w:rsidR="4F2F5D85" w:rsidRPr="003A1A6C">
        <w:rPr>
          <w:b w:val="0"/>
          <w:color w:val="000000" w:themeColor="text1"/>
        </w:rPr>
        <w:t xml:space="preserve"> highlight</w:t>
      </w:r>
      <w:r w:rsidR="5BF559EF" w:rsidRPr="003A1A6C">
        <w:rPr>
          <w:b w:val="0"/>
          <w:color w:val="000000" w:themeColor="text1"/>
        </w:rPr>
        <w:t xml:space="preserve"> </w:t>
      </w:r>
      <w:r w:rsidR="01FD3F02" w:rsidRPr="003A1A6C">
        <w:rPr>
          <w:b w:val="0"/>
          <w:color w:val="000000" w:themeColor="text1"/>
        </w:rPr>
        <w:t>the particular risk of</w:t>
      </w:r>
      <w:r w:rsidR="5BF559EF" w:rsidRPr="003A1A6C">
        <w:rPr>
          <w:b w:val="0"/>
          <w:color w:val="000000" w:themeColor="text1"/>
        </w:rPr>
        <w:t xml:space="preserve"> medical errors</w:t>
      </w:r>
      <w:r w:rsidR="6F2B27FA" w:rsidRPr="003A1A6C">
        <w:rPr>
          <w:b w:val="0"/>
          <w:color w:val="000000" w:themeColor="text1"/>
        </w:rPr>
        <w:t>. These errors,</w:t>
      </w:r>
      <w:r w:rsidR="4192EDF4" w:rsidRPr="003A1A6C">
        <w:rPr>
          <w:b w:val="0"/>
          <w:color w:val="000000" w:themeColor="text1"/>
        </w:rPr>
        <w:t xml:space="preserve"> </w:t>
      </w:r>
      <w:r w:rsidR="72FE0EBE" w:rsidRPr="003A1A6C">
        <w:rPr>
          <w:b w:val="0"/>
          <w:color w:val="000000" w:themeColor="text1"/>
        </w:rPr>
        <w:t>which</w:t>
      </w:r>
      <w:r w:rsidR="66072B9B" w:rsidRPr="003A1A6C">
        <w:rPr>
          <w:b w:val="0"/>
          <w:color w:val="000000" w:themeColor="text1"/>
        </w:rPr>
        <w:t xml:space="preserve"> in many cases occur in domestic settings</w:t>
      </w:r>
      <w:r w:rsidR="215681E4" w:rsidRPr="003A1A6C">
        <w:rPr>
          <w:b w:val="0"/>
          <w:color w:val="000000" w:themeColor="text1"/>
        </w:rPr>
        <w:t xml:space="preserve"> [51]</w:t>
      </w:r>
      <w:r w:rsidR="50B6CE6C" w:rsidRPr="003A1A6C">
        <w:rPr>
          <w:b w:val="0"/>
          <w:color w:val="000000" w:themeColor="text1"/>
        </w:rPr>
        <w:t>,</w:t>
      </w:r>
      <w:r w:rsidR="5BF559EF" w:rsidRPr="003A1A6C">
        <w:rPr>
          <w:b w:val="0"/>
          <w:color w:val="000000" w:themeColor="text1"/>
        </w:rPr>
        <w:t xml:space="preserve"> may have </w:t>
      </w:r>
      <w:r w:rsidR="5AF42609" w:rsidRPr="003A1A6C">
        <w:rPr>
          <w:b w:val="0"/>
          <w:color w:val="000000" w:themeColor="text1"/>
        </w:rPr>
        <w:t xml:space="preserve">a </w:t>
      </w:r>
      <w:r w:rsidR="5BF559EF" w:rsidRPr="003A1A6C">
        <w:rPr>
          <w:b w:val="0"/>
          <w:color w:val="000000" w:themeColor="text1"/>
        </w:rPr>
        <w:t xml:space="preserve">dramatic </w:t>
      </w:r>
      <w:r w:rsidR="7608DA1B" w:rsidRPr="003A1A6C">
        <w:rPr>
          <w:b w:val="0"/>
          <w:color w:val="000000" w:themeColor="text1"/>
        </w:rPr>
        <w:t>impact on</w:t>
      </w:r>
      <w:r w:rsidR="2BB95F50" w:rsidRPr="003A1A6C">
        <w:rPr>
          <w:b w:val="0"/>
          <w:color w:val="000000" w:themeColor="text1"/>
        </w:rPr>
        <w:t xml:space="preserve"> people with LTCs, b</w:t>
      </w:r>
      <w:r w:rsidR="78E07300" w:rsidRPr="003A1A6C">
        <w:rPr>
          <w:b w:val="0"/>
          <w:color w:val="000000" w:themeColor="text1"/>
        </w:rPr>
        <w:t>ei</w:t>
      </w:r>
      <w:r w:rsidR="2BB95F50" w:rsidRPr="003A1A6C">
        <w:rPr>
          <w:b w:val="0"/>
          <w:color w:val="000000" w:themeColor="text1"/>
        </w:rPr>
        <w:t xml:space="preserve">ng the responsible of </w:t>
      </w:r>
      <w:r w:rsidR="20A294D6" w:rsidRPr="003A1A6C">
        <w:rPr>
          <w:b w:val="0"/>
          <w:color w:val="000000" w:themeColor="text1"/>
        </w:rPr>
        <w:t>countless</w:t>
      </w:r>
      <w:r w:rsidR="2BB95F50" w:rsidRPr="003A1A6C">
        <w:rPr>
          <w:b w:val="0"/>
          <w:color w:val="000000" w:themeColor="text1"/>
        </w:rPr>
        <w:t xml:space="preserve"> adverse effects</w:t>
      </w:r>
      <w:r w:rsidR="3ED8FBB9" w:rsidRPr="003A1A6C">
        <w:rPr>
          <w:b w:val="0"/>
          <w:color w:val="000000" w:themeColor="text1"/>
        </w:rPr>
        <w:t xml:space="preserve"> and even</w:t>
      </w:r>
      <w:r w:rsidR="7184D100" w:rsidRPr="003A1A6C">
        <w:rPr>
          <w:b w:val="0"/>
          <w:color w:val="000000" w:themeColor="text1"/>
        </w:rPr>
        <w:t xml:space="preserve"> the</w:t>
      </w:r>
      <w:r w:rsidR="3ED8FBB9" w:rsidRPr="003A1A6C">
        <w:rPr>
          <w:b w:val="0"/>
          <w:color w:val="000000" w:themeColor="text1"/>
        </w:rPr>
        <w:t xml:space="preserve"> death o</w:t>
      </w:r>
      <w:r w:rsidR="2DA6DB5D" w:rsidRPr="003A1A6C">
        <w:rPr>
          <w:b w:val="0"/>
          <w:color w:val="000000" w:themeColor="text1"/>
        </w:rPr>
        <w:t>f</w:t>
      </w:r>
      <w:r w:rsidR="3ED8FBB9" w:rsidRPr="003A1A6C">
        <w:rPr>
          <w:b w:val="0"/>
          <w:color w:val="000000" w:themeColor="text1"/>
        </w:rPr>
        <w:t xml:space="preserve"> these persons</w:t>
      </w:r>
      <w:r w:rsidR="452DD83E" w:rsidRPr="003A1A6C">
        <w:rPr>
          <w:b w:val="0"/>
          <w:color w:val="000000" w:themeColor="text1"/>
        </w:rPr>
        <w:t xml:space="preserve"> [52]</w:t>
      </w:r>
      <w:r w:rsidR="3ED8FBB9" w:rsidRPr="003A1A6C">
        <w:rPr>
          <w:b w:val="0"/>
          <w:color w:val="000000" w:themeColor="text1"/>
        </w:rPr>
        <w:t>.</w:t>
      </w:r>
      <w:r w:rsidR="2BB95F50" w:rsidRPr="003A1A6C">
        <w:rPr>
          <w:b w:val="0"/>
          <w:color w:val="000000" w:themeColor="text1"/>
        </w:rPr>
        <w:t xml:space="preserve"> </w:t>
      </w:r>
      <w:r w:rsidR="5298B566" w:rsidRPr="003A1A6C">
        <w:rPr>
          <w:b w:val="0"/>
          <w:color w:val="000000" w:themeColor="text1"/>
        </w:rPr>
        <w:t>Therefore, t</w:t>
      </w:r>
      <w:r w:rsidRPr="003A1A6C">
        <w:rPr>
          <w:b w:val="0"/>
          <w:color w:val="000000" w:themeColor="text1"/>
        </w:rPr>
        <w:t>h</w:t>
      </w:r>
      <w:r w:rsidR="594241EF" w:rsidRPr="003A1A6C">
        <w:rPr>
          <w:b w:val="0"/>
          <w:color w:val="000000" w:themeColor="text1"/>
        </w:rPr>
        <w:t>e</w:t>
      </w:r>
      <w:r w:rsidRPr="003A1A6C">
        <w:rPr>
          <w:b w:val="0"/>
          <w:color w:val="000000" w:themeColor="text1"/>
        </w:rPr>
        <w:t>s</w:t>
      </w:r>
      <w:r w:rsidR="594241EF" w:rsidRPr="003A1A6C">
        <w:rPr>
          <w:b w:val="0"/>
          <w:color w:val="000000" w:themeColor="text1"/>
        </w:rPr>
        <w:t>e</w:t>
      </w:r>
      <w:r w:rsidRPr="003A1A6C">
        <w:rPr>
          <w:b w:val="0"/>
          <w:color w:val="000000" w:themeColor="text1"/>
        </w:rPr>
        <w:t xml:space="preserve"> </w:t>
      </w:r>
      <w:r w:rsidR="1C23C7C9" w:rsidRPr="003A1A6C">
        <w:rPr>
          <w:b w:val="0"/>
          <w:color w:val="000000" w:themeColor="text1"/>
        </w:rPr>
        <w:t>issue</w:t>
      </w:r>
      <w:r w:rsidR="271E6F94" w:rsidRPr="003A1A6C">
        <w:rPr>
          <w:b w:val="0"/>
          <w:color w:val="000000" w:themeColor="text1"/>
        </w:rPr>
        <w:t>s</w:t>
      </w:r>
      <w:r w:rsidRPr="003A1A6C">
        <w:rPr>
          <w:b w:val="0"/>
          <w:color w:val="000000" w:themeColor="text1"/>
        </w:rPr>
        <w:t xml:space="preserve"> </w:t>
      </w:r>
      <w:r w:rsidR="0BAC7E5D" w:rsidRPr="003A1A6C">
        <w:rPr>
          <w:b w:val="0"/>
          <w:color w:val="000000" w:themeColor="text1"/>
        </w:rPr>
        <w:t>and the potential impact on</w:t>
      </w:r>
      <w:r w:rsidR="571D64D0" w:rsidRPr="003A1A6C">
        <w:rPr>
          <w:b w:val="0"/>
          <w:color w:val="000000" w:themeColor="text1"/>
        </w:rPr>
        <w:t xml:space="preserve"> the</w:t>
      </w:r>
      <w:r w:rsidR="0BAC7E5D" w:rsidRPr="003A1A6C">
        <w:rPr>
          <w:b w:val="0"/>
          <w:color w:val="000000" w:themeColor="text1"/>
        </w:rPr>
        <w:t xml:space="preserve"> well-being and quality of life </w:t>
      </w:r>
      <w:r w:rsidR="7746C015" w:rsidRPr="003A1A6C">
        <w:rPr>
          <w:b w:val="0"/>
          <w:color w:val="000000" w:themeColor="text1"/>
        </w:rPr>
        <w:t xml:space="preserve">of people with different LTCs </w:t>
      </w:r>
      <w:r w:rsidRPr="003A1A6C">
        <w:rPr>
          <w:b w:val="0"/>
          <w:color w:val="000000" w:themeColor="text1"/>
        </w:rPr>
        <w:t>should be further explored in future research studies.</w:t>
      </w:r>
    </w:p>
    <w:p w14:paraId="02903442" w14:textId="56A22715" w:rsidR="005B07C9" w:rsidRPr="003A1A6C" w:rsidRDefault="2B1C0B60" w:rsidP="005B07C9">
      <w:pPr>
        <w:pStyle w:val="MDPI21heading1"/>
        <w:ind w:firstLine="425"/>
        <w:jc w:val="both"/>
        <w:rPr>
          <w:b w:val="0"/>
          <w:color w:val="000000" w:themeColor="text1"/>
        </w:rPr>
      </w:pPr>
      <w:r w:rsidRPr="003A1A6C">
        <w:rPr>
          <w:b w:val="0"/>
          <w:color w:val="000000" w:themeColor="text1"/>
        </w:rPr>
        <w:t xml:space="preserve">Regarding possible differences between countries, this was only noted in people living with COPD. For Colombian population, social support, satisfaction with life and marital status were determinants. However, in the Spanish population, only marital status was a determinant. This unexpected result could be explained by differences in people characteristics or in the care provided to this specific population in Latin America and European countries. To our understanding, most knowledge of COPD has been based on research done in Europe or North America, and there is a gap </w:t>
      </w:r>
      <w:r w:rsidR="407A3046" w:rsidRPr="003A1A6C">
        <w:rPr>
          <w:b w:val="0"/>
          <w:color w:val="000000" w:themeColor="text1"/>
        </w:rPr>
        <w:t>of</w:t>
      </w:r>
      <w:r w:rsidRPr="003A1A6C">
        <w:rPr>
          <w:b w:val="0"/>
          <w:color w:val="000000" w:themeColor="text1"/>
        </w:rPr>
        <w:t xml:space="preserve"> information about the prevalence, person’s </w:t>
      </w:r>
      <w:r w:rsidR="4D7D050E" w:rsidRPr="003A1A6C">
        <w:rPr>
          <w:b w:val="0"/>
          <w:color w:val="000000" w:themeColor="text1"/>
        </w:rPr>
        <w:t>characteristics,</w:t>
      </w:r>
      <w:r w:rsidRPr="003A1A6C">
        <w:rPr>
          <w:b w:val="0"/>
          <w:color w:val="000000" w:themeColor="text1"/>
        </w:rPr>
        <w:t xml:space="preserve"> and changes in lung function over time in people from Latin America [5</w:t>
      </w:r>
      <w:r w:rsidR="1DD4BE37" w:rsidRPr="003A1A6C">
        <w:rPr>
          <w:b w:val="0"/>
          <w:color w:val="000000" w:themeColor="text1"/>
        </w:rPr>
        <w:t>3</w:t>
      </w:r>
      <w:r w:rsidRPr="003A1A6C">
        <w:rPr>
          <w:b w:val="0"/>
          <w:color w:val="000000" w:themeColor="text1"/>
        </w:rPr>
        <w:t>,5</w:t>
      </w:r>
      <w:r w:rsidR="75E9F1DC" w:rsidRPr="003A1A6C">
        <w:rPr>
          <w:b w:val="0"/>
          <w:color w:val="000000" w:themeColor="text1"/>
        </w:rPr>
        <w:t>4</w:t>
      </w:r>
      <w:r w:rsidRPr="003A1A6C">
        <w:rPr>
          <w:b w:val="0"/>
          <w:color w:val="000000" w:themeColor="text1"/>
        </w:rPr>
        <w:t xml:space="preserve">]. Nevertheless, the model for the Spanish population accounted for only 1% of the variance. Therefore, it seems that in Spanish people living with COPD, there are other variables that could be determinant and have not been </w:t>
      </w:r>
      <w:proofErr w:type="gramStart"/>
      <w:r w:rsidRPr="003A1A6C">
        <w:rPr>
          <w:b w:val="0"/>
          <w:color w:val="000000" w:themeColor="text1"/>
        </w:rPr>
        <w:t>taken into account</w:t>
      </w:r>
      <w:proofErr w:type="gramEnd"/>
      <w:r w:rsidRPr="003A1A6C">
        <w:rPr>
          <w:b w:val="0"/>
          <w:color w:val="000000" w:themeColor="text1"/>
        </w:rPr>
        <w:t xml:space="preserve"> in this study. However, due to the lack of previous studies focused on these identified potential differences, it is not easy to provide an explanation for this finding, and more research is needed to explore these potential differences in detail.</w:t>
      </w:r>
    </w:p>
    <w:p w14:paraId="71318843" w14:textId="56965268" w:rsidR="005B07C9" w:rsidRPr="003A1A6C" w:rsidRDefault="2B1C0B60" w:rsidP="005B07C9">
      <w:pPr>
        <w:pStyle w:val="MDPI21heading1"/>
        <w:ind w:firstLine="425"/>
        <w:jc w:val="both"/>
        <w:rPr>
          <w:b w:val="0"/>
          <w:color w:val="000000" w:themeColor="text1"/>
        </w:rPr>
      </w:pPr>
      <w:r w:rsidRPr="003A1A6C">
        <w:rPr>
          <w:b w:val="0"/>
          <w:color w:val="000000" w:themeColor="text1"/>
        </w:rPr>
        <w:t xml:space="preserve">This study has some limitations that should be </w:t>
      </w:r>
      <w:proofErr w:type="gramStart"/>
      <w:r w:rsidRPr="003A1A6C">
        <w:rPr>
          <w:b w:val="0"/>
          <w:color w:val="000000" w:themeColor="text1"/>
        </w:rPr>
        <w:t>taken into account</w:t>
      </w:r>
      <w:proofErr w:type="gramEnd"/>
      <w:r w:rsidRPr="003A1A6C">
        <w:rPr>
          <w:b w:val="0"/>
          <w:color w:val="000000" w:themeColor="text1"/>
        </w:rPr>
        <w:t xml:space="preserve">. Although the variance explained by the models are relatively high, there could be other determinant variables in the process of living with LTCs that have not been included in this study, such as comorbidity or multimorbidity [21]. This study included people from two countries and with three specific LTCs, and the determinants in the process of living with LTCs could vary in people with other pathologies or living in different contexts. Therefore, caution is needed to extrapolate these results to other prototypical LTCs and other Spanish-speaking countries with different cultures. </w:t>
      </w:r>
      <w:r w:rsidR="6F9BD4E2" w:rsidRPr="003A1A6C">
        <w:rPr>
          <w:b w:val="0"/>
          <w:color w:val="000000" w:themeColor="text1"/>
          <w:szCs w:val="20"/>
        </w:rPr>
        <w:t xml:space="preserve">Moreover, </w:t>
      </w:r>
      <w:r w:rsidR="2539A71E" w:rsidRPr="00033399">
        <w:rPr>
          <w:rFonts w:ascii="Platino lino" w:eastAsia="Platino lino" w:hAnsi="Platino lino" w:cs="Platino lino"/>
          <w:b w:val="0"/>
          <w:color w:val="FF0000"/>
          <w:szCs w:val="20"/>
        </w:rPr>
        <w:t>it</w:t>
      </w:r>
      <w:r w:rsidR="6F9BD4E2" w:rsidRPr="00033399">
        <w:rPr>
          <w:rFonts w:ascii="Platino lino" w:eastAsia="Platino lino" w:hAnsi="Platino lino" w:cs="Platino lino"/>
          <w:b w:val="0"/>
          <w:color w:val="FF0000"/>
          <w:szCs w:val="20"/>
        </w:rPr>
        <w:t xml:space="preserve"> is a cross-sectional study</w:t>
      </w:r>
      <w:r w:rsidR="6F9BD4E2" w:rsidRPr="003A1A6C">
        <w:rPr>
          <w:rFonts w:ascii="Platino lino" w:eastAsia="Platino lino" w:hAnsi="Platino lino" w:cs="Platino lino"/>
          <w:b w:val="0"/>
          <w:color w:val="000000" w:themeColor="text1"/>
          <w:szCs w:val="20"/>
        </w:rPr>
        <w:t>, so it is difficult to establish causal relationships.</w:t>
      </w:r>
      <w:r w:rsidR="6F9BD4E2" w:rsidRPr="003A1A6C">
        <w:rPr>
          <w:rFonts w:ascii="Platino lino" w:eastAsia="Platino lino" w:hAnsi="Platino lino" w:cs="Platino lino"/>
          <w:color w:val="000000" w:themeColor="text1"/>
          <w:szCs w:val="20"/>
        </w:rPr>
        <w:t xml:space="preserve"> </w:t>
      </w:r>
      <w:r w:rsidR="6F9BD4E2" w:rsidRPr="003A1A6C">
        <w:rPr>
          <w:b w:val="0"/>
          <w:color w:val="000000" w:themeColor="text1"/>
          <w:szCs w:val="20"/>
        </w:rPr>
        <w:t>Therefore, f</w:t>
      </w:r>
      <w:r w:rsidRPr="003A1A6C">
        <w:rPr>
          <w:b w:val="0"/>
          <w:color w:val="000000" w:themeColor="text1"/>
          <w:szCs w:val="20"/>
        </w:rPr>
        <w:t>urther</w:t>
      </w:r>
      <w:r w:rsidR="45021A28" w:rsidRPr="003A1A6C">
        <w:rPr>
          <w:b w:val="0"/>
          <w:color w:val="000000" w:themeColor="text1"/>
          <w:szCs w:val="20"/>
        </w:rPr>
        <w:t xml:space="preserve"> analytic</w:t>
      </w:r>
      <w:r w:rsidRPr="003A1A6C">
        <w:rPr>
          <w:b w:val="0"/>
          <w:color w:val="000000" w:themeColor="text1"/>
          <w:szCs w:val="20"/>
        </w:rPr>
        <w:t xml:space="preserve"> studies including people from different countries and with other LTCs are highly recommended.</w:t>
      </w:r>
    </w:p>
    <w:p w14:paraId="14456CB4" w14:textId="77777777" w:rsidR="005B07C9" w:rsidRPr="003A1A6C" w:rsidRDefault="005B07C9" w:rsidP="005B07C9">
      <w:pPr>
        <w:pStyle w:val="MDPI21heading1"/>
        <w:ind w:firstLine="425"/>
        <w:jc w:val="both"/>
        <w:rPr>
          <w:b w:val="0"/>
          <w:color w:val="000000" w:themeColor="text1"/>
        </w:rPr>
      </w:pPr>
      <w:r w:rsidRPr="003A1A6C">
        <w:rPr>
          <w:b w:val="0"/>
          <w:color w:val="000000" w:themeColor="text1"/>
        </w:rPr>
        <w:t xml:space="preserve">This study also presents several strengths that should be highlighted: the large sample size; a heterogeneous representation of people living with different prototypical and highly prevalent LTCs (T2DM, COPD and HF); and participants from different settings, such as health care </w:t>
      </w:r>
      <w:proofErr w:type="spellStart"/>
      <w:r w:rsidRPr="003A1A6C">
        <w:rPr>
          <w:b w:val="0"/>
          <w:color w:val="000000" w:themeColor="text1"/>
        </w:rPr>
        <w:t>centres</w:t>
      </w:r>
      <w:proofErr w:type="spellEnd"/>
      <w:r w:rsidRPr="003A1A6C">
        <w:rPr>
          <w:b w:val="0"/>
          <w:color w:val="000000" w:themeColor="text1"/>
        </w:rPr>
        <w:t xml:space="preserve"> and community </w:t>
      </w:r>
      <w:proofErr w:type="spellStart"/>
      <w:r w:rsidRPr="003A1A6C">
        <w:rPr>
          <w:b w:val="0"/>
          <w:color w:val="000000" w:themeColor="text1"/>
        </w:rPr>
        <w:t>centres</w:t>
      </w:r>
      <w:proofErr w:type="spellEnd"/>
      <w:r w:rsidRPr="003A1A6C">
        <w:rPr>
          <w:b w:val="0"/>
          <w:color w:val="000000" w:themeColor="text1"/>
        </w:rPr>
        <w:t>, as well as two different Spanish-speaking countries. Therefore, this study could contribute to the achievement of knowledge across countries to identify synergies between professionals of different disciplines and sectors to address the process of living with LTCs from a person-</w:t>
      </w:r>
      <w:proofErr w:type="spellStart"/>
      <w:r w:rsidRPr="003A1A6C">
        <w:rPr>
          <w:b w:val="0"/>
          <w:color w:val="000000" w:themeColor="text1"/>
        </w:rPr>
        <w:t>centred</w:t>
      </w:r>
      <w:proofErr w:type="spellEnd"/>
      <w:r w:rsidRPr="003A1A6C">
        <w:rPr>
          <w:b w:val="0"/>
          <w:color w:val="000000" w:themeColor="text1"/>
        </w:rPr>
        <w:t xml:space="preserve"> perspective.</w:t>
      </w:r>
    </w:p>
    <w:p w14:paraId="14D9703E" w14:textId="77777777" w:rsidR="005B07C9" w:rsidRPr="003A1A6C" w:rsidRDefault="00522304" w:rsidP="005B07C9">
      <w:pPr>
        <w:pStyle w:val="MDPI21heading1"/>
        <w:rPr>
          <w:color w:val="000000" w:themeColor="text1"/>
        </w:rPr>
      </w:pPr>
      <w:r w:rsidRPr="003A1A6C">
        <w:rPr>
          <w:color w:val="000000" w:themeColor="text1"/>
        </w:rPr>
        <w:t>5. Conclusions</w:t>
      </w:r>
    </w:p>
    <w:p w14:paraId="2897437A" w14:textId="11D0DDCB" w:rsidR="005B07C9" w:rsidRPr="003A1A6C" w:rsidRDefault="005B07C9" w:rsidP="005B07C9">
      <w:pPr>
        <w:pStyle w:val="MDPI21heading1"/>
        <w:ind w:firstLine="425"/>
        <w:jc w:val="both"/>
        <w:rPr>
          <w:color w:val="000000" w:themeColor="text1"/>
        </w:rPr>
      </w:pPr>
      <w:r w:rsidRPr="003A1A6C">
        <w:rPr>
          <w:b w:val="0"/>
          <w:color w:val="000000" w:themeColor="text1"/>
        </w:rPr>
        <w:t xml:space="preserve">In conclusion, this study has allowed us to identify the variables associated with the process of living with LTCs, highlighting the necessity of a comprehensive approach involving health and social care, focused on the person and not on the disease. Satisfaction with life and social support have been demonstrated to be determinants for people living with LTCs. Therefore, social support assessment should be addressed in the health care and social system. This works leads to a new understanding of essential elements that self-management programs and health and social care interventions need to target for a more </w:t>
      </w:r>
      <w:r w:rsidRPr="003A1A6C">
        <w:rPr>
          <w:b w:val="0"/>
          <w:color w:val="000000" w:themeColor="text1"/>
        </w:rPr>
        <w:lastRenderedPageBreak/>
        <w:t xml:space="preserve">positive living with LTCs. In this sense, this research has highlighted the necessity of increasing the focus on capturing the determinants that are </w:t>
      </w:r>
      <w:proofErr w:type="gramStart"/>
      <w:r w:rsidRPr="003A1A6C">
        <w:rPr>
          <w:b w:val="0"/>
          <w:color w:val="000000" w:themeColor="text1"/>
        </w:rPr>
        <w:t>really important</w:t>
      </w:r>
      <w:proofErr w:type="gramEnd"/>
      <w:r w:rsidRPr="003A1A6C">
        <w:rPr>
          <w:b w:val="0"/>
          <w:color w:val="000000" w:themeColor="text1"/>
        </w:rPr>
        <w:t xml:space="preserve"> for people and could enhance their health outcomes, quality of life and process of living with LTCs. This study provides valuable information for the development of effective long-term care policies for the management of LTCs, one of the principal challenges faced by the modern society.</w:t>
      </w:r>
    </w:p>
    <w:p w14:paraId="28DD3FCF" w14:textId="1C7118AC" w:rsidR="00522304" w:rsidRPr="003A1A6C" w:rsidRDefault="00522304" w:rsidP="00183AB8">
      <w:pPr>
        <w:pStyle w:val="MDPI62BackMatter"/>
        <w:spacing w:before="240"/>
        <w:rPr>
          <w:color w:val="000000" w:themeColor="text1"/>
          <w:lang w:val="en-GB"/>
        </w:rPr>
      </w:pPr>
      <w:r w:rsidRPr="003A1A6C">
        <w:rPr>
          <w:b/>
          <w:color w:val="000000" w:themeColor="text1"/>
        </w:rPr>
        <w:t>Supplementary Materials:</w:t>
      </w:r>
      <w:r w:rsidRPr="003A1A6C">
        <w:rPr>
          <w:color w:val="000000" w:themeColor="text1"/>
        </w:rPr>
        <w:t xml:space="preserve"> The following are available online at www.mdpi.com/xxx/s1, Table S1:</w:t>
      </w:r>
      <w:r w:rsidR="002F534C" w:rsidRPr="003A1A6C">
        <w:rPr>
          <w:color w:val="000000" w:themeColor="text1"/>
        </w:rPr>
        <w:t xml:space="preserve"> Sociodemographic characteristics of the sample per long-term condition and historical data of the condition.</w:t>
      </w:r>
    </w:p>
    <w:p w14:paraId="4AE5A830" w14:textId="7B86B226" w:rsidR="00522304" w:rsidRPr="003A1A6C" w:rsidRDefault="00522304" w:rsidP="00522304">
      <w:pPr>
        <w:pStyle w:val="MDPI62BackMatter"/>
        <w:rPr>
          <w:color w:val="000000" w:themeColor="text1"/>
        </w:rPr>
      </w:pPr>
      <w:r w:rsidRPr="003A1A6C">
        <w:rPr>
          <w:b/>
          <w:color w:val="000000" w:themeColor="text1"/>
        </w:rPr>
        <w:t>Author Contributions:</w:t>
      </w:r>
      <w:r w:rsidRPr="003A1A6C">
        <w:rPr>
          <w:color w:val="000000" w:themeColor="text1"/>
        </w:rPr>
        <w:t xml:space="preserve"> Conceptualization, </w:t>
      </w:r>
      <w:r w:rsidR="005569A0" w:rsidRPr="003A1A6C">
        <w:rPr>
          <w:color w:val="000000" w:themeColor="text1"/>
        </w:rPr>
        <w:t xml:space="preserve">L.A. </w:t>
      </w:r>
      <w:r w:rsidRPr="003A1A6C">
        <w:rPr>
          <w:color w:val="000000" w:themeColor="text1"/>
        </w:rPr>
        <w:t xml:space="preserve">and </w:t>
      </w:r>
      <w:r w:rsidR="00D72FC2" w:rsidRPr="003A1A6C">
        <w:rPr>
          <w:color w:val="000000" w:themeColor="text1"/>
        </w:rPr>
        <w:t>C.R-B</w:t>
      </w:r>
      <w:r w:rsidRPr="003A1A6C">
        <w:rPr>
          <w:color w:val="000000" w:themeColor="text1"/>
        </w:rPr>
        <w:t xml:space="preserve">.; methodology, </w:t>
      </w:r>
      <w:r w:rsidR="00D72FC2" w:rsidRPr="003A1A6C">
        <w:rPr>
          <w:color w:val="000000" w:themeColor="text1"/>
        </w:rPr>
        <w:t>L.A. and C.R-B</w:t>
      </w:r>
      <w:r w:rsidRPr="003A1A6C">
        <w:rPr>
          <w:color w:val="000000" w:themeColor="text1"/>
        </w:rPr>
        <w:t xml:space="preserve">.; software, </w:t>
      </w:r>
      <w:r w:rsidR="00D72FC2" w:rsidRPr="003A1A6C">
        <w:rPr>
          <w:color w:val="000000" w:themeColor="text1"/>
        </w:rPr>
        <w:t>C.R-B</w:t>
      </w:r>
      <w:r w:rsidRPr="003A1A6C">
        <w:rPr>
          <w:color w:val="000000" w:themeColor="text1"/>
        </w:rPr>
        <w:t xml:space="preserve">.; validation, </w:t>
      </w:r>
      <w:r w:rsidR="00D72FC2" w:rsidRPr="003A1A6C">
        <w:rPr>
          <w:color w:val="000000" w:themeColor="text1"/>
        </w:rPr>
        <w:t>L.A. and C.R-B</w:t>
      </w:r>
      <w:r w:rsidRPr="003A1A6C">
        <w:rPr>
          <w:color w:val="000000" w:themeColor="text1"/>
        </w:rPr>
        <w:t xml:space="preserve">.; formal analysis, </w:t>
      </w:r>
      <w:r w:rsidR="00D72FC2" w:rsidRPr="003A1A6C">
        <w:rPr>
          <w:color w:val="000000" w:themeColor="text1"/>
        </w:rPr>
        <w:t>L.A. and C.R-B</w:t>
      </w:r>
      <w:r w:rsidRPr="003A1A6C">
        <w:rPr>
          <w:color w:val="000000" w:themeColor="text1"/>
        </w:rPr>
        <w:t xml:space="preserve">.; resources, </w:t>
      </w:r>
      <w:r w:rsidR="00D72FC2" w:rsidRPr="003A1A6C">
        <w:rPr>
          <w:color w:val="000000" w:themeColor="text1"/>
        </w:rPr>
        <w:t>L.A., C.R-B., S.C., A.M., M.A-G., L.L., M.E.U., M.V.N-S., M.C.P.</w:t>
      </w:r>
      <w:r w:rsidRPr="003A1A6C">
        <w:rPr>
          <w:color w:val="000000" w:themeColor="text1"/>
        </w:rPr>
        <w:t xml:space="preserve">; data curation, </w:t>
      </w:r>
      <w:r w:rsidR="00D72FC2" w:rsidRPr="003A1A6C">
        <w:rPr>
          <w:color w:val="000000" w:themeColor="text1"/>
        </w:rPr>
        <w:t>L.A., S.C., A.M., M.A-G., L.L., M.E.U., M.V.N-S</w:t>
      </w:r>
      <w:r w:rsidRPr="003A1A6C">
        <w:rPr>
          <w:color w:val="000000" w:themeColor="text1"/>
        </w:rPr>
        <w:t xml:space="preserve">.; writing—original draft preparation, </w:t>
      </w:r>
      <w:r w:rsidR="00D72FC2" w:rsidRPr="003A1A6C">
        <w:rPr>
          <w:color w:val="000000" w:themeColor="text1"/>
        </w:rPr>
        <w:t>L.A.</w:t>
      </w:r>
      <w:r w:rsidR="005A73CE" w:rsidRPr="003A1A6C">
        <w:rPr>
          <w:color w:val="000000" w:themeColor="text1"/>
        </w:rPr>
        <w:t xml:space="preserve">, </w:t>
      </w:r>
      <w:r w:rsidR="00D72FC2" w:rsidRPr="003A1A6C">
        <w:rPr>
          <w:color w:val="000000" w:themeColor="text1"/>
        </w:rPr>
        <w:t>S.C</w:t>
      </w:r>
      <w:r w:rsidRPr="003A1A6C">
        <w:rPr>
          <w:color w:val="000000" w:themeColor="text1"/>
        </w:rPr>
        <w:t>.</w:t>
      </w:r>
      <w:r w:rsidR="005A73CE" w:rsidRPr="003A1A6C">
        <w:rPr>
          <w:color w:val="000000" w:themeColor="text1"/>
        </w:rPr>
        <w:t xml:space="preserve"> and C.R-B.</w:t>
      </w:r>
      <w:r w:rsidRPr="003A1A6C">
        <w:rPr>
          <w:color w:val="000000" w:themeColor="text1"/>
        </w:rPr>
        <w:t xml:space="preserve">; writing—review and editing, </w:t>
      </w:r>
      <w:r w:rsidR="005569A0" w:rsidRPr="003A1A6C">
        <w:rPr>
          <w:color w:val="000000" w:themeColor="text1"/>
        </w:rPr>
        <w:t>L.A., S.C., C.R-B</w:t>
      </w:r>
      <w:r w:rsidRPr="003A1A6C">
        <w:rPr>
          <w:color w:val="000000" w:themeColor="text1"/>
        </w:rPr>
        <w:t xml:space="preserve">.; visualization, </w:t>
      </w:r>
      <w:r w:rsidR="00D72FC2" w:rsidRPr="003A1A6C">
        <w:rPr>
          <w:color w:val="000000" w:themeColor="text1"/>
        </w:rPr>
        <w:t>L.A. and C.R-B</w:t>
      </w:r>
      <w:r w:rsidRPr="003A1A6C">
        <w:rPr>
          <w:color w:val="000000" w:themeColor="text1"/>
        </w:rPr>
        <w:t xml:space="preserve">.; supervision, </w:t>
      </w:r>
      <w:r w:rsidR="00D72FC2" w:rsidRPr="003A1A6C">
        <w:rPr>
          <w:color w:val="000000" w:themeColor="text1"/>
        </w:rPr>
        <w:t>L.A</w:t>
      </w:r>
      <w:r w:rsidRPr="003A1A6C">
        <w:rPr>
          <w:color w:val="000000" w:themeColor="text1"/>
        </w:rPr>
        <w:t xml:space="preserve">.; project administration, </w:t>
      </w:r>
      <w:r w:rsidR="00D72FC2" w:rsidRPr="003A1A6C">
        <w:rPr>
          <w:color w:val="000000" w:themeColor="text1"/>
        </w:rPr>
        <w:t>L.A</w:t>
      </w:r>
      <w:r w:rsidRPr="003A1A6C">
        <w:rPr>
          <w:color w:val="000000" w:themeColor="text1"/>
        </w:rPr>
        <w:t xml:space="preserve">.; funding acquisition, </w:t>
      </w:r>
      <w:r w:rsidR="00D72FC2" w:rsidRPr="003A1A6C">
        <w:rPr>
          <w:color w:val="000000" w:themeColor="text1"/>
        </w:rPr>
        <w:t>L.A</w:t>
      </w:r>
      <w:r w:rsidRPr="003A1A6C">
        <w:rPr>
          <w:color w:val="000000" w:themeColor="text1"/>
        </w:rPr>
        <w:t>. All authors have read and agreed to the published version of the manuscript.</w:t>
      </w:r>
    </w:p>
    <w:p w14:paraId="677217EC" w14:textId="01B65FDE" w:rsidR="00522304" w:rsidRPr="003A1A6C" w:rsidRDefault="00522304" w:rsidP="00522304">
      <w:pPr>
        <w:pStyle w:val="MDPI62BackMatter"/>
        <w:rPr>
          <w:color w:val="000000" w:themeColor="text1"/>
        </w:rPr>
      </w:pPr>
      <w:r w:rsidRPr="003A1A6C">
        <w:rPr>
          <w:b/>
          <w:color w:val="000000" w:themeColor="text1"/>
        </w:rPr>
        <w:t>Funding:</w:t>
      </w:r>
      <w:r w:rsidRPr="003A1A6C">
        <w:rPr>
          <w:color w:val="000000" w:themeColor="text1"/>
        </w:rPr>
        <w:t xml:space="preserve"> </w:t>
      </w:r>
      <w:r w:rsidR="00C10342" w:rsidRPr="003A1A6C">
        <w:rPr>
          <w:color w:val="000000" w:themeColor="text1"/>
        </w:rPr>
        <w:t>This research was funded by Ministry of Science, Innovation and University of the Spanish Government (FEDER/</w:t>
      </w:r>
      <w:proofErr w:type="spellStart"/>
      <w:r w:rsidR="00C10342" w:rsidRPr="003A1A6C">
        <w:rPr>
          <w:color w:val="000000" w:themeColor="text1"/>
        </w:rPr>
        <w:t>Ministerio</w:t>
      </w:r>
      <w:proofErr w:type="spellEnd"/>
      <w:r w:rsidR="00C10342" w:rsidRPr="003A1A6C">
        <w:rPr>
          <w:color w:val="000000" w:themeColor="text1"/>
        </w:rPr>
        <w:t xml:space="preserve"> de </w:t>
      </w:r>
      <w:proofErr w:type="spellStart"/>
      <w:r w:rsidR="00C10342" w:rsidRPr="003A1A6C">
        <w:rPr>
          <w:color w:val="000000" w:themeColor="text1"/>
        </w:rPr>
        <w:t>Ciencia</w:t>
      </w:r>
      <w:proofErr w:type="spellEnd"/>
      <w:r w:rsidR="00C10342" w:rsidRPr="003A1A6C">
        <w:rPr>
          <w:color w:val="000000" w:themeColor="text1"/>
        </w:rPr>
        <w:t xml:space="preserve">, </w:t>
      </w:r>
      <w:proofErr w:type="spellStart"/>
      <w:r w:rsidR="00C10342" w:rsidRPr="003A1A6C">
        <w:rPr>
          <w:color w:val="000000" w:themeColor="text1"/>
        </w:rPr>
        <w:t>Innovación</w:t>
      </w:r>
      <w:proofErr w:type="spellEnd"/>
      <w:r w:rsidR="00C10342" w:rsidRPr="003A1A6C">
        <w:rPr>
          <w:color w:val="000000" w:themeColor="text1"/>
        </w:rPr>
        <w:t xml:space="preserve"> y </w:t>
      </w:r>
      <w:proofErr w:type="spellStart"/>
      <w:r w:rsidR="00C10342" w:rsidRPr="003A1A6C">
        <w:rPr>
          <w:color w:val="000000" w:themeColor="text1"/>
        </w:rPr>
        <w:t>Universidades</w:t>
      </w:r>
      <w:proofErr w:type="spellEnd"/>
      <w:r w:rsidR="00C10342" w:rsidRPr="003A1A6C">
        <w:rPr>
          <w:color w:val="000000" w:themeColor="text1"/>
        </w:rPr>
        <w:t xml:space="preserve"> – </w:t>
      </w:r>
      <w:proofErr w:type="spellStart"/>
      <w:r w:rsidR="00C10342" w:rsidRPr="003A1A6C">
        <w:rPr>
          <w:color w:val="000000" w:themeColor="text1"/>
        </w:rPr>
        <w:t>Agencia</w:t>
      </w:r>
      <w:proofErr w:type="spellEnd"/>
      <w:r w:rsidR="00C10342" w:rsidRPr="003A1A6C">
        <w:rPr>
          <w:color w:val="000000" w:themeColor="text1"/>
        </w:rPr>
        <w:t xml:space="preserve"> </w:t>
      </w:r>
      <w:proofErr w:type="spellStart"/>
      <w:r w:rsidR="00C10342" w:rsidRPr="003A1A6C">
        <w:rPr>
          <w:color w:val="000000" w:themeColor="text1"/>
        </w:rPr>
        <w:t>Estatal</w:t>
      </w:r>
      <w:proofErr w:type="spellEnd"/>
      <w:r w:rsidR="00C10342" w:rsidRPr="003A1A6C">
        <w:rPr>
          <w:color w:val="000000" w:themeColor="text1"/>
        </w:rPr>
        <w:t xml:space="preserve"> de </w:t>
      </w:r>
      <w:proofErr w:type="spellStart"/>
      <w:r w:rsidR="00C10342" w:rsidRPr="003A1A6C">
        <w:rPr>
          <w:color w:val="000000" w:themeColor="text1"/>
        </w:rPr>
        <w:t>Investigación</w:t>
      </w:r>
      <w:proofErr w:type="spellEnd"/>
      <w:r w:rsidR="00C10342" w:rsidRPr="003A1A6C">
        <w:rPr>
          <w:color w:val="000000" w:themeColor="text1"/>
        </w:rPr>
        <w:t>/ Proyecto), grant number CSO2017-82691-R.</w:t>
      </w:r>
    </w:p>
    <w:p w14:paraId="1F0C9473" w14:textId="6B71D95D" w:rsidR="00484C66" w:rsidRPr="003A1A6C" w:rsidRDefault="00484C66" w:rsidP="00484C66">
      <w:pPr>
        <w:pStyle w:val="MDPI62BackMatter"/>
        <w:rPr>
          <w:b/>
          <w:color w:val="000000" w:themeColor="text1"/>
        </w:rPr>
      </w:pPr>
      <w:bookmarkStart w:id="0" w:name="_Hlk60054323"/>
      <w:r w:rsidRPr="003A1A6C">
        <w:rPr>
          <w:b/>
          <w:color w:val="000000" w:themeColor="text1"/>
        </w:rPr>
        <w:t xml:space="preserve">Institutional Review Board Statement: </w:t>
      </w:r>
      <w:r w:rsidRPr="003A1A6C">
        <w:rPr>
          <w:color w:val="000000" w:themeColor="text1"/>
        </w:rPr>
        <w:t xml:space="preserve">The study was conducted according to the guidelines of the Declaration of </w:t>
      </w:r>
      <w:r w:rsidR="006C15A8" w:rsidRPr="003A1A6C">
        <w:rPr>
          <w:color w:val="000000" w:themeColor="text1"/>
        </w:rPr>
        <w:t>Helsinki and</w:t>
      </w:r>
      <w:r w:rsidRPr="003A1A6C">
        <w:rPr>
          <w:color w:val="000000" w:themeColor="text1"/>
        </w:rPr>
        <w:t xml:space="preserve"> approved by the Ethics Committee</w:t>
      </w:r>
      <w:r w:rsidR="00C10342" w:rsidRPr="003A1A6C">
        <w:rPr>
          <w:color w:val="000000" w:themeColor="text1"/>
        </w:rPr>
        <w:t xml:space="preserve"> </w:t>
      </w:r>
      <w:r w:rsidRPr="003A1A6C">
        <w:rPr>
          <w:color w:val="000000" w:themeColor="text1"/>
        </w:rPr>
        <w:t xml:space="preserve">of </w:t>
      </w:r>
      <w:r w:rsidR="00C10342" w:rsidRPr="003A1A6C">
        <w:rPr>
          <w:color w:val="000000" w:themeColor="text1"/>
        </w:rPr>
        <w:t>University of Navarra</w:t>
      </w:r>
      <w:r w:rsidRPr="003A1A6C">
        <w:rPr>
          <w:color w:val="000000" w:themeColor="text1"/>
        </w:rPr>
        <w:t xml:space="preserve"> (</w:t>
      </w:r>
      <w:r w:rsidR="00C10342" w:rsidRPr="003A1A6C">
        <w:rPr>
          <w:color w:val="000000" w:themeColor="text1"/>
        </w:rPr>
        <w:t>reference number: 2017.099).</w:t>
      </w:r>
    </w:p>
    <w:p w14:paraId="7E77808E" w14:textId="5E150927" w:rsidR="00484C66" w:rsidRPr="003A1A6C" w:rsidRDefault="00484C66" w:rsidP="00412892">
      <w:pPr>
        <w:pStyle w:val="MDPI62BackMatter"/>
        <w:spacing w:after="0"/>
        <w:rPr>
          <w:color w:val="000000" w:themeColor="text1"/>
        </w:rPr>
      </w:pPr>
      <w:r w:rsidRPr="003A1A6C">
        <w:rPr>
          <w:b/>
          <w:color w:val="000000" w:themeColor="text1"/>
        </w:rPr>
        <w:t xml:space="preserve">Informed Consent Statement: </w:t>
      </w:r>
      <w:r w:rsidRPr="003A1A6C">
        <w:rPr>
          <w:color w:val="000000" w:themeColor="text1"/>
        </w:rPr>
        <w:t>Informed consent was obtained from all subjects involved in the study.</w:t>
      </w:r>
    </w:p>
    <w:p w14:paraId="680D0C5C" w14:textId="77777777" w:rsidR="00412892" w:rsidRPr="003A1A6C" w:rsidRDefault="00412892" w:rsidP="00412892">
      <w:pPr>
        <w:pStyle w:val="MDPI62BackMatter"/>
        <w:spacing w:after="0"/>
        <w:rPr>
          <w:color w:val="000000" w:themeColor="text1"/>
        </w:rPr>
      </w:pPr>
    </w:p>
    <w:p w14:paraId="6B0229E6" w14:textId="58FBBD18" w:rsidR="00DE010E" w:rsidRPr="003A1A6C" w:rsidRDefault="00484C66" w:rsidP="00522304">
      <w:pPr>
        <w:pStyle w:val="MDPI62BackMatter"/>
        <w:rPr>
          <w:color w:val="000000" w:themeColor="text1"/>
        </w:rPr>
      </w:pPr>
      <w:r w:rsidRPr="003A1A6C">
        <w:rPr>
          <w:b/>
          <w:color w:val="000000" w:themeColor="text1"/>
        </w:rPr>
        <w:t xml:space="preserve">Data Availability Statement: </w:t>
      </w:r>
      <w:bookmarkEnd w:id="0"/>
      <w:r w:rsidR="00DE010E" w:rsidRPr="003A1A6C">
        <w:rPr>
          <w:color w:val="000000" w:themeColor="text1"/>
        </w:rPr>
        <w:t>The data presented in this study are available on request from the corresponding author. The data are not publicly available due to confidentiality of participants.</w:t>
      </w:r>
    </w:p>
    <w:p w14:paraId="79E1A33C" w14:textId="1831560F" w:rsidR="00C10342" w:rsidRPr="003A1A6C" w:rsidRDefault="00522304" w:rsidP="00522304">
      <w:pPr>
        <w:pStyle w:val="MDPI62BackMatter"/>
        <w:rPr>
          <w:color w:val="000000" w:themeColor="text1"/>
        </w:rPr>
      </w:pPr>
      <w:r w:rsidRPr="003A1A6C">
        <w:rPr>
          <w:b/>
          <w:color w:val="000000" w:themeColor="text1"/>
        </w:rPr>
        <w:t>Acknowledgments:</w:t>
      </w:r>
      <w:r w:rsidRPr="003A1A6C">
        <w:rPr>
          <w:color w:val="000000" w:themeColor="text1"/>
        </w:rPr>
        <w:t xml:space="preserve"> </w:t>
      </w:r>
      <w:r w:rsidR="00C10342" w:rsidRPr="003A1A6C">
        <w:rPr>
          <w:color w:val="000000" w:themeColor="text1"/>
        </w:rPr>
        <w:t xml:space="preserve">The authors sincerely thank each of the person living with LTCs such as COPD, HF and T2DM for their participation in this study. Besides, the authors would like to thank the primary and secondary healthcare </w:t>
      </w:r>
      <w:proofErr w:type="spellStart"/>
      <w:r w:rsidR="00C10342" w:rsidRPr="003A1A6C">
        <w:rPr>
          <w:color w:val="000000" w:themeColor="text1"/>
        </w:rPr>
        <w:t>centres</w:t>
      </w:r>
      <w:proofErr w:type="spellEnd"/>
      <w:r w:rsidR="00C10342" w:rsidRPr="003A1A6C">
        <w:rPr>
          <w:color w:val="000000" w:themeColor="text1"/>
        </w:rPr>
        <w:t xml:space="preserve"> involved in the data collection in Spain and Colombia. Moreover, the authors would like to thank the following members of the research team for their work during the data collection procedure:</w:t>
      </w:r>
      <w:r w:rsidR="00D72FC2" w:rsidRPr="003A1A6C">
        <w:rPr>
          <w:color w:val="000000" w:themeColor="text1"/>
        </w:rPr>
        <w:t xml:space="preserve"> </w:t>
      </w:r>
      <w:r w:rsidR="00C10342" w:rsidRPr="003A1A6C">
        <w:rPr>
          <w:color w:val="000000" w:themeColor="text1"/>
        </w:rPr>
        <w:t xml:space="preserve">Eva </w:t>
      </w:r>
      <w:proofErr w:type="spellStart"/>
      <w:r w:rsidR="00C10342" w:rsidRPr="003A1A6C">
        <w:rPr>
          <w:color w:val="000000" w:themeColor="text1"/>
        </w:rPr>
        <w:t>Timonet</w:t>
      </w:r>
      <w:proofErr w:type="spellEnd"/>
      <w:r w:rsidR="00C10342" w:rsidRPr="003A1A6C">
        <w:rPr>
          <w:color w:val="000000" w:themeColor="text1"/>
        </w:rPr>
        <w:t xml:space="preserve"> (Costa del Sol Hospital), </w:t>
      </w:r>
      <w:proofErr w:type="spellStart"/>
      <w:r w:rsidR="00C10342" w:rsidRPr="003A1A6C">
        <w:rPr>
          <w:color w:val="000000" w:themeColor="text1"/>
        </w:rPr>
        <w:t>Neus</w:t>
      </w:r>
      <w:proofErr w:type="spellEnd"/>
      <w:r w:rsidR="00C10342" w:rsidRPr="003A1A6C">
        <w:rPr>
          <w:color w:val="000000" w:themeColor="text1"/>
        </w:rPr>
        <w:t xml:space="preserve"> </w:t>
      </w:r>
      <w:proofErr w:type="spellStart"/>
      <w:r w:rsidR="00C10342" w:rsidRPr="003A1A6C">
        <w:rPr>
          <w:color w:val="000000" w:themeColor="text1"/>
        </w:rPr>
        <w:t>Caparros</w:t>
      </w:r>
      <w:proofErr w:type="spellEnd"/>
      <w:r w:rsidR="00C10342" w:rsidRPr="003A1A6C">
        <w:rPr>
          <w:color w:val="000000" w:themeColor="text1"/>
        </w:rPr>
        <w:t xml:space="preserve"> (University of La Rioja), Manuel Ignacio Ruiz de </w:t>
      </w:r>
      <w:proofErr w:type="spellStart"/>
      <w:r w:rsidR="00C10342" w:rsidRPr="003A1A6C">
        <w:rPr>
          <w:color w:val="000000" w:themeColor="text1"/>
        </w:rPr>
        <w:t>Ocenda</w:t>
      </w:r>
      <w:proofErr w:type="spellEnd"/>
      <w:r w:rsidR="00C10342" w:rsidRPr="003A1A6C">
        <w:rPr>
          <w:color w:val="000000" w:themeColor="text1"/>
        </w:rPr>
        <w:t xml:space="preserve"> (La Rioja Healthcare System), Jorge Caro-Bautista (Andalusian Public Health System), David Perez-Manchon (Camilo Jose </w:t>
      </w:r>
      <w:proofErr w:type="spellStart"/>
      <w:r w:rsidR="00C10342" w:rsidRPr="003A1A6C">
        <w:rPr>
          <w:color w:val="000000" w:themeColor="text1"/>
        </w:rPr>
        <w:t>Cela</w:t>
      </w:r>
      <w:proofErr w:type="spellEnd"/>
      <w:r w:rsidR="00C10342" w:rsidRPr="003A1A6C">
        <w:rPr>
          <w:color w:val="000000" w:themeColor="text1"/>
        </w:rPr>
        <w:t xml:space="preserve"> University), </w:t>
      </w:r>
      <w:proofErr w:type="spellStart"/>
      <w:r w:rsidR="00C10342" w:rsidRPr="003A1A6C">
        <w:rPr>
          <w:color w:val="000000" w:themeColor="text1"/>
        </w:rPr>
        <w:t>Nerea</w:t>
      </w:r>
      <w:proofErr w:type="spellEnd"/>
      <w:r w:rsidR="00C10342" w:rsidRPr="003A1A6C">
        <w:rPr>
          <w:color w:val="000000" w:themeColor="text1"/>
        </w:rPr>
        <w:t xml:space="preserve"> Elizondo (Navarra Healthcare System), Gloria Carvajal (University de La </w:t>
      </w:r>
      <w:proofErr w:type="spellStart"/>
      <w:r w:rsidR="00C10342" w:rsidRPr="003A1A6C">
        <w:rPr>
          <w:color w:val="000000" w:themeColor="text1"/>
        </w:rPr>
        <w:t>Sabana</w:t>
      </w:r>
      <w:proofErr w:type="spellEnd"/>
      <w:r w:rsidR="00C10342" w:rsidRPr="003A1A6C">
        <w:rPr>
          <w:color w:val="000000" w:themeColor="text1"/>
        </w:rPr>
        <w:t xml:space="preserve">) and Alejandra Fuentes-Ramirez (University de La </w:t>
      </w:r>
      <w:proofErr w:type="spellStart"/>
      <w:r w:rsidR="00C10342" w:rsidRPr="003A1A6C">
        <w:rPr>
          <w:color w:val="000000" w:themeColor="text1"/>
        </w:rPr>
        <w:t>Sabana</w:t>
      </w:r>
      <w:proofErr w:type="spellEnd"/>
      <w:r w:rsidR="00C10342" w:rsidRPr="003A1A6C">
        <w:rPr>
          <w:color w:val="000000" w:themeColor="text1"/>
        </w:rPr>
        <w:t>). Finally, the authors also thank the financial support received from the Spanish Ministry of Science, Innovation and Universities (FEDER/</w:t>
      </w:r>
      <w:proofErr w:type="spellStart"/>
      <w:r w:rsidR="00C10342" w:rsidRPr="003A1A6C">
        <w:rPr>
          <w:color w:val="000000" w:themeColor="text1"/>
        </w:rPr>
        <w:t>Ministerio</w:t>
      </w:r>
      <w:proofErr w:type="spellEnd"/>
      <w:r w:rsidR="00C10342" w:rsidRPr="003A1A6C">
        <w:rPr>
          <w:color w:val="000000" w:themeColor="text1"/>
        </w:rPr>
        <w:t xml:space="preserve"> de </w:t>
      </w:r>
      <w:proofErr w:type="spellStart"/>
      <w:r w:rsidR="00C10342" w:rsidRPr="003A1A6C">
        <w:rPr>
          <w:color w:val="000000" w:themeColor="text1"/>
        </w:rPr>
        <w:t>Ciencia</w:t>
      </w:r>
      <w:proofErr w:type="spellEnd"/>
      <w:r w:rsidR="00C10342" w:rsidRPr="003A1A6C">
        <w:rPr>
          <w:color w:val="000000" w:themeColor="text1"/>
        </w:rPr>
        <w:t xml:space="preserve">, </w:t>
      </w:r>
      <w:proofErr w:type="spellStart"/>
      <w:r w:rsidR="00C10342" w:rsidRPr="003A1A6C">
        <w:rPr>
          <w:color w:val="000000" w:themeColor="text1"/>
        </w:rPr>
        <w:t>Innovación</w:t>
      </w:r>
      <w:proofErr w:type="spellEnd"/>
      <w:r w:rsidR="00C10342" w:rsidRPr="003A1A6C">
        <w:rPr>
          <w:color w:val="000000" w:themeColor="text1"/>
        </w:rPr>
        <w:t xml:space="preserve"> y </w:t>
      </w:r>
      <w:proofErr w:type="spellStart"/>
      <w:r w:rsidR="00C10342" w:rsidRPr="003A1A6C">
        <w:rPr>
          <w:color w:val="000000" w:themeColor="text1"/>
        </w:rPr>
        <w:t>Universidades</w:t>
      </w:r>
      <w:proofErr w:type="spellEnd"/>
      <w:r w:rsidR="00C10342" w:rsidRPr="003A1A6C">
        <w:rPr>
          <w:color w:val="000000" w:themeColor="text1"/>
        </w:rPr>
        <w:t xml:space="preserve"> – </w:t>
      </w:r>
      <w:proofErr w:type="spellStart"/>
      <w:r w:rsidR="00C10342" w:rsidRPr="003A1A6C">
        <w:rPr>
          <w:color w:val="000000" w:themeColor="text1"/>
        </w:rPr>
        <w:t>Agencia</w:t>
      </w:r>
      <w:proofErr w:type="spellEnd"/>
      <w:r w:rsidR="00C10342" w:rsidRPr="003A1A6C">
        <w:rPr>
          <w:color w:val="000000" w:themeColor="text1"/>
        </w:rPr>
        <w:t xml:space="preserve"> </w:t>
      </w:r>
      <w:proofErr w:type="spellStart"/>
      <w:r w:rsidR="00C10342" w:rsidRPr="003A1A6C">
        <w:rPr>
          <w:color w:val="000000" w:themeColor="text1"/>
        </w:rPr>
        <w:t>Estatal</w:t>
      </w:r>
      <w:proofErr w:type="spellEnd"/>
      <w:r w:rsidR="00C10342" w:rsidRPr="003A1A6C">
        <w:rPr>
          <w:color w:val="000000" w:themeColor="text1"/>
        </w:rPr>
        <w:t xml:space="preserve"> de </w:t>
      </w:r>
      <w:proofErr w:type="spellStart"/>
      <w:r w:rsidR="00C10342" w:rsidRPr="003A1A6C">
        <w:rPr>
          <w:color w:val="000000" w:themeColor="text1"/>
        </w:rPr>
        <w:t>Investigación</w:t>
      </w:r>
      <w:proofErr w:type="spellEnd"/>
      <w:r w:rsidR="00C10342" w:rsidRPr="003A1A6C">
        <w:rPr>
          <w:color w:val="000000" w:themeColor="text1"/>
        </w:rPr>
        <w:t xml:space="preserve">/ Proyecto (CSO2017-82691-R)) and the University of La </w:t>
      </w:r>
      <w:proofErr w:type="spellStart"/>
      <w:r w:rsidR="00C10342" w:rsidRPr="003A1A6C">
        <w:rPr>
          <w:color w:val="000000" w:themeColor="text1"/>
        </w:rPr>
        <w:t>Sabana</w:t>
      </w:r>
      <w:proofErr w:type="spellEnd"/>
      <w:r w:rsidR="00C10342" w:rsidRPr="003A1A6C">
        <w:rPr>
          <w:color w:val="000000" w:themeColor="text1"/>
        </w:rPr>
        <w:t xml:space="preserve"> (EMF-28-2019).</w:t>
      </w:r>
    </w:p>
    <w:p w14:paraId="5C8D03A0" w14:textId="48DA264B" w:rsidR="00522304" w:rsidRPr="00613B31" w:rsidRDefault="00522304" w:rsidP="00522304">
      <w:pPr>
        <w:pStyle w:val="MDPI62BackMatter"/>
      </w:pPr>
      <w:r w:rsidRPr="003A1A6C">
        <w:rPr>
          <w:b/>
          <w:color w:val="000000" w:themeColor="text1"/>
        </w:rPr>
        <w:t>Conflicts of Interest:</w:t>
      </w:r>
      <w:r w:rsidRPr="003A1A6C">
        <w:rPr>
          <w:color w:val="000000" w:themeColor="text1"/>
        </w:rPr>
        <w:t xml:space="preserve"> The authors declare no conflict </w:t>
      </w:r>
      <w:r w:rsidRPr="00613B31">
        <w:t>of interest.</w:t>
      </w:r>
    </w:p>
    <w:p w14:paraId="7350434E" w14:textId="77777777" w:rsidR="00522304" w:rsidRPr="00FA04F1" w:rsidRDefault="00522304" w:rsidP="00183AB8">
      <w:pPr>
        <w:pStyle w:val="MDPI21heading1"/>
        <w:ind w:left="0"/>
      </w:pPr>
      <w:r w:rsidRPr="00FA04F1">
        <w:t>References</w:t>
      </w:r>
    </w:p>
    <w:p w14:paraId="4C5B2EB0" w14:textId="13D03F4D" w:rsidR="006D1210" w:rsidRDefault="006D1210" w:rsidP="009F5811">
      <w:pPr>
        <w:pStyle w:val="MDPI71References"/>
      </w:pPr>
      <w:r>
        <w:t xml:space="preserve">World Health Organization. Health systems respond for non-communicable diseases: time for ambition; 2019. [cited 2020 Nov 18]. Available from: </w:t>
      </w:r>
      <w:hyperlink r:id="rId24" w:history="1">
        <w:r w:rsidRPr="00AC6B53">
          <w:rPr>
            <w:rStyle w:val="Hipervnculo"/>
          </w:rPr>
          <w:t>http://www.who.int/topics/noncommunicable-diseases</w:t>
        </w:r>
      </w:hyperlink>
      <w:r>
        <w:t xml:space="preserve"> </w:t>
      </w:r>
      <w:r w:rsidR="009F5811" w:rsidRPr="009F5811">
        <w:t xml:space="preserve">(accessed on 21 January 2021). </w:t>
      </w:r>
    </w:p>
    <w:p w14:paraId="611AE210" w14:textId="31E05D05" w:rsidR="006D1210" w:rsidRDefault="006D1210" w:rsidP="0094333D">
      <w:pPr>
        <w:pStyle w:val="MDPI71References"/>
      </w:pPr>
      <w:r>
        <w:t xml:space="preserve">Mathers, C.D.; </w:t>
      </w:r>
      <w:proofErr w:type="spellStart"/>
      <w:r>
        <w:t>Loncar</w:t>
      </w:r>
      <w:proofErr w:type="spellEnd"/>
      <w:r>
        <w:t xml:space="preserve">, D. Projections of global mortality and burden of disease from 2002 to 2030. </w:t>
      </w:r>
      <w:proofErr w:type="spellStart"/>
      <w:r w:rsidRPr="006D1210">
        <w:rPr>
          <w:i/>
          <w:iCs/>
        </w:rPr>
        <w:t>PLoS</w:t>
      </w:r>
      <w:proofErr w:type="spellEnd"/>
      <w:r w:rsidRPr="006D1210">
        <w:rPr>
          <w:i/>
          <w:iCs/>
        </w:rPr>
        <w:t xml:space="preserve"> Med.</w:t>
      </w:r>
      <w:r>
        <w:t xml:space="preserve"> 2006 Nov; 3;11: e442.</w:t>
      </w:r>
      <w:r w:rsidR="0094333D">
        <w:t xml:space="preserve"> </w:t>
      </w:r>
      <w:r w:rsidR="0094333D" w:rsidRPr="0094333D">
        <w:t>Doi: 10.1371/journal.pmed.0030442.</w:t>
      </w:r>
    </w:p>
    <w:p w14:paraId="5F5F6EA1" w14:textId="7A142116" w:rsidR="006D1210" w:rsidRDefault="006D1210" w:rsidP="006D1210">
      <w:pPr>
        <w:pStyle w:val="MDPI71References"/>
      </w:pPr>
      <w:r>
        <w:t xml:space="preserve">World Health Organization. Key policy issues in long-term care. Geneva: WHO; 2003. [cited 2020 Nov 12]. Available from: </w:t>
      </w:r>
      <w:hyperlink r:id="rId25" w:history="1">
        <w:r w:rsidRPr="00AC6B53">
          <w:rPr>
            <w:rStyle w:val="Hipervnculo"/>
          </w:rPr>
          <w:t>https://www.who.int/chp/knowledge/publications/policy_issues_ltc.pdf</w:t>
        </w:r>
      </w:hyperlink>
      <w:r>
        <w:t xml:space="preserve"> </w:t>
      </w:r>
      <w:r w:rsidR="009F5811">
        <w:t>(</w:t>
      </w:r>
      <w:r w:rsidR="009F5811" w:rsidRPr="009F5811">
        <w:t>accessed on 21 January 2021).</w:t>
      </w:r>
    </w:p>
    <w:p w14:paraId="6B240920" w14:textId="77777777" w:rsidR="006D1210" w:rsidRDefault="006D1210" w:rsidP="006D1210">
      <w:pPr>
        <w:pStyle w:val="MDPI71References"/>
      </w:pPr>
      <w:r>
        <w:t>World Health Organization. Global health estimates 2016 (deaths by cause, age, sex, by country and by region, 2000–2016; and life expectancy, 2000–2016). Geneva: WHO; 2018.</w:t>
      </w:r>
    </w:p>
    <w:p w14:paraId="607F0D61" w14:textId="2D55FC76" w:rsidR="006D1210" w:rsidRDefault="006D1210" w:rsidP="006D1210">
      <w:pPr>
        <w:pStyle w:val="MDPI71References"/>
      </w:pPr>
      <w:r>
        <w:t xml:space="preserve">Emelia, J.; </w:t>
      </w:r>
      <w:proofErr w:type="spellStart"/>
      <w:r>
        <w:t>Munter</w:t>
      </w:r>
      <w:proofErr w:type="spellEnd"/>
      <w:r>
        <w:t xml:space="preserve">. P.; Alvaro, A.; </w:t>
      </w:r>
      <w:proofErr w:type="spellStart"/>
      <w:r>
        <w:t>Bittencourt</w:t>
      </w:r>
      <w:proofErr w:type="spellEnd"/>
      <w:r>
        <w:t xml:space="preserve">, M.S.; Callaway, C.W.; Carson, A.P. Heart Disease and Stroke Statistics — 2019 Update. A Report </w:t>
      </w:r>
      <w:proofErr w:type="gramStart"/>
      <w:r>
        <w:t>From</w:t>
      </w:r>
      <w:proofErr w:type="gramEnd"/>
      <w:r>
        <w:t xml:space="preserve"> the American Heart Association. Heart Disease and Stroke Statistics—2019 Update. </w:t>
      </w:r>
      <w:r w:rsidRPr="006D1210">
        <w:rPr>
          <w:i/>
          <w:iCs/>
        </w:rPr>
        <w:t>Circulation.</w:t>
      </w:r>
      <w:r>
        <w:t xml:space="preserve"> 2019;139: e56–e528. Doi:10.1161/CIR.0000000000000659</w:t>
      </w:r>
      <w:r w:rsidR="009F5811">
        <w:t>.</w:t>
      </w:r>
    </w:p>
    <w:p w14:paraId="05312CB7" w14:textId="718E3392" w:rsidR="006D1210" w:rsidRDefault="006D1210" w:rsidP="006D1210">
      <w:pPr>
        <w:pStyle w:val="MDPI71References"/>
      </w:pPr>
      <w:r>
        <w:t xml:space="preserve">National Administrative Department of Statistics Bogotá. Vital Statistics Technical Bulletin. 2019 [cited 2020 Nov 13]. Available from: </w:t>
      </w:r>
      <w:hyperlink r:id="rId26" w:history="1">
        <w:r w:rsidRPr="00AC6B53">
          <w:rPr>
            <w:rStyle w:val="Hipervnculo"/>
          </w:rPr>
          <w:t>https://www.dane.gov.co</w:t>
        </w:r>
      </w:hyperlink>
      <w:r w:rsidR="009F5811">
        <w:t xml:space="preserve"> (</w:t>
      </w:r>
      <w:r w:rsidR="009F5811" w:rsidRPr="009F5811">
        <w:t>accessed on 21 January 2021).</w:t>
      </w:r>
    </w:p>
    <w:p w14:paraId="4A8D203A" w14:textId="253598DF" w:rsidR="006D1210" w:rsidRDefault="006D1210" w:rsidP="006D1210">
      <w:pPr>
        <w:pStyle w:val="MDPI71References"/>
      </w:pPr>
      <w:r>
        <w:lastRenderedPageBreak/>
        <w:t xml:space="preserve">Rabe, K.F.; </w:t>
      </w:r>
      <w:proofErr w:type="spellStart"/>
      <w:r>
        <w:t>Watz</w:t>
      </w:r>
      <w:proofErr w:type="spellEnd"/>
      <w:r>
        <w:t xml:space="preserve">, H. Chronic obstructive pulmonary disease. </w:t>
      </w:r>
      <w:r w:rsidRPr="006D1210">
        <w:rPr>
          <w:i/>
          <w:iCs/>
        </w:rPr>
        <w:t xml:space="preserve">Lancet. </w:t>
      </w:r>
      <w:r>
        <w:t>2017;389(10082): 1931–</w:t>
      </w:r>
      <w:r w:rsidR="006120F2">
        <w:t>19</w:t>
      </w:r>
      <w:r>
        <w:t xml:space="preserve">40. </w:t>
      </w:r>
    </w:p>
    <w:p w14:paraId="231A304E" w14:textId="7B0A700B" w:rsidR="006D1210" w:rsidRDefault="006D1210" w:rsidP="006D1210">
      <w:pPr>
        <w:pStyle w:val="MDPI71References"/>
      </w:pPr>
      <w:r w:rsidRPr="006D1210">
        <w:t xml:space="preserve">Cho, N.H.; Shaw, J.E.; </w:t>
      </w:r>
      <w:proofErr w:type="spellStart"/>
      <w:r w:rsidRPr="006D1210">
        <w:t>Karuranga</w:t>
      </w:r>
      <w:proofErr w:type="spellEnd"/>
      <w:r w:rsidRPr="006D1210">
        <w:t>, S.; Huang, Y.; da Rocha Fernandes</w:t>
      </w:r>
      <w:r>
        <w:t>,</w:t>
      </w:r>
      <w:r w:rsidRPr="006D1210">
        <w:t xml:space="preserve"> J</w:t>
      </w:r>
      <w:r>
        <w:t>.</w:t>
      </w:r>
      <w:r w:rsidRPr="006D1210">
        <w:t>D</w:t>
      </w:r>
      <w:r>
        <w:t>.;</w:t>
      </w:r>
      <w:r w:rsidRPr="006D1210">
        <w:t xml:space="preserve"> </w:t>
      </w:r>
      <w:proofErr w:type="spellStart"/>
      <w:r w:rsidRPr="006D1210">
        <w:t>Ohlrogge</w:t>
      </w:r>
      <w:proofErr w:type="spellEnd"/>
      <w:r>
        <w:t>,</w:t>
      </w:r>
      <w:r w:rsidRPr="006D1210">
        <w:t xml:space="preserve"> A</w:t>
      </w:r>
      <w:r>
        <w:t>.</w:t>
      </w:r>
      <w:r w:rsidRPr="006D1210">
        <w:t xml:space="preserve">W, et al. </w:t>
      </w:r>
      <w:r>
        <w:t xml:space="preserve">IDF Diabetes Atlas: Global estimates of diabetes prevalence for 2017 and projections for 2045. </w:t>
      </w:r>
      <w:r w:rsidRPr="006D1210">
        <w:rPr>
          <w:i/>
          <w:iCs/>
        </w:rPr>
        <w:t xml:space="preserve">Diabetes Res. Clin. </w:t>
      </w:r>
      <w:proofErr w:type="spellStart"/>
      <w:r w:rsidRPr="006D1210">
        <w:rPr>
          <w:i/>
          <w:iCs/>
        </w:rPr>
        <w:t>Pract</w:t>
      </w:r>
      <w:proofErr w:type="spellEnd"/>
      <w:r>
        <w:t>. 2018;138: 271-81.</w:t>
      </w:r>
    </w:p>
    <w:p w14:paraId="3EBBF501" w14:textId="1454632E" w:rsidR="006D1210" w:rsidRDefault="006D1210" w:rsidP="006D1210">
      <w:pPr>
        <w:pStyle w:val="MDPI71References"/>
      </w:pPr>
      <w:proofErr w:type="spellStart"/>
      <w:r>
        <w:t>Blanquez</w:t>
      </w:r>
      <w:proofErr w:type="spellEnd"/>
      <w:r>
        <w:t xml:space="preserve">-Moreno, C.; </w:t>
      </w:r>
      <w:proofErr w:type="spellStart"/>
      <w:r>
        <w:t>Colungo</w:t>
      </w:r>
      <w:proofErr w:type="spellEnd"/>
      <w:r>
        <w:t xml:space="preserve"> Francia, C.; </w:t>
      </w:r>
      <w:proofErr w:type="spellStart"/>
      <w:r>
        <w:t>Alvira</w:t>
      </w:r>
      <w:proofErr w:type="spellEnd"/>
      <w:r>
        <w:t xml:space="preserve"> </w:t>
      </w:r>
      <w:proofErr w:type="spellStart"/>
      <w:r>
        <w:t>Balada</w:t>
      </w:r>
      <w:proofErr w:type="spellEnd"/>
      <w:r>
        <w:t xml:space="preserve">, M.C.; </w:t>
      </w:r>
      <w:proofErr w:type="spellStart"/>
      <w:r>
        <w:t>Kostov</w:t>
      </w:r>
      <w:proofErr w:type="spellEnd"/>
      <w:r>
        <w:t xml:space="preserve">, B.; González-de Paz, L.; </w:t>
      </w:r>
      <w:proofErr w:type="spellStart"/>
      <w:r>
        <w:t>Sisó-Almirall</w:t>
      </w:r>
      <w:proofErr w:type="spellEnd"/>
      <w:r>
        <w:t xml:space="preserve">, A. Effectiveness of an educational program for respiratory rehabilitation of Chronic Obstructive Pulmonary Disease patients in Primary Care in improving the quality of life, symptoms, and clinical risk. </w:t>
      </w:r>
      <w:r w:rsidRPr="006D1210">
        <w:rPr>
          <w:i/>
          <w:iCs/>
        </w:rPr>
        <w:t>Aten. Prim.</w:t>
      </w:r>
      <w:r>
        <w:t xml:space="preserve"> 2018;50(9): 539-546.</w:t>
      </w:r>
    </w:p>
    <w:p w14:paraId="4BB30AF1" w14:textId="0CF92101" w:rsidR="006D1210" w:rsidRDefault="006D1210" w:rsidP="006D1210">
      <w:pPr>
        <w:pStyle w:val="MDPI71References"/>
      </w:pPr>
      <w:proofErr w:type="spellStart"/>
      <w:r>
        <w:t>Onu</w:t>
      </w:r>
      <w:proofErr w:type="spellEnd"/>
      <w:r>
        <w:t xml:space="preserve">, D.U. Social support buffers the impacts of Diabetes distress on health-related quality of life among type 2 diabetic patients.  </w:t>
      </w:r>
      <w:r w:rsidRPr="006D1210">
        <w:rPr>
          <w:i/>
          <w:iCs/>
        </w:rPr>
        <w:t>J. Health. Psychol.</w:t>
      </w:r>
      <w:r>
        <w:t xml:space="preserve"> 2021 Doi: 10.1177/1359105320980821. </w:t>
      </w:r>
    </w:p>
    <w:p w14:paraId="2EB7A8C0" w14:textId="7BCE5112" w:rsidR="006D1210" w:rsidRDefault="006D1210" w:rsidP="006D1210">
      <w:pPr>
        <w:pStyle w:val="MDPI71References"/>
      </w:pPr>
      <w:proofErr w:type="spellStart"/>
      <w:r>
        <w:t>Koetsenruijiter</w:t>
      </w:r>
      <w:proofErr w:type="spellEnd"/>
      <w:r>
        <w:t xml:space="preserve">, J.; van </w:t>
      </w:r>
      <w:proofErr w:type="spellStart"/>
      <w:r>
        <w:t>Lieshout</w:t>
      </w:r>
      <w:proofErr w:type="spellEnd"/>
      <w:r>
        <w:t xml:space="preserve">, J.; </w:t>
      </w:r>
      <w:proofErr w:type="spellStart"/>
      <w:r>
        <w:t>Lionis</w:t>
      </w:r>
      <w:proofErr w:type="spellEnd"/>
      <w:r>
        <w:t xml:space="preserve">, C.; Portillo, M.C.; </w:t>
      </w:r>
      <w:proofErr w:type="spellStart"/>
      <w:r>
        <w:t>Vassilev</w:t>
      </w:r>
      <w:proofErr w:type="spellEnd"/>
      <w:r>
        <w:t xml:space="preserve">, I.; Todorova, E.; et al. Social Support and Health in Diabetes Patients: An Observational Study in Six European Countries in an Era of Austerity. </w:t>
      </w:r>
      <w:proofErr w:type="spellStart"/>
      <w:r w:rsidRPr="006D1210">
        <w:rPr>
          <w:i/>
          <w:iCs/>
        </w:rPr>
        <w:t>Plos</w:t>
      </w:r>
      <w:proofErr w:type="spellEnd"/>
      <w:r w:rsidRPr="006D1210">
        <w:rPr>
          <w:i/>
          <w:iCs/>
        </w:rPr>
        <w:t xml:space="preserve"> one.</w:t>
      </w:r>
      <w:r>
        <w:t xml:space="preserve"> 2015 Aug 10;8: e0135079. Doi: 10.1371/journal.pone.0135079.</w:t>
      </w:r>
    </w:p>
    <w:p w14:paraId="56D1A87D" w14:textId="76B87B9C" w:rsidR="006D1210" w:rsidRDefault="006D1210" w:rsidP="006D1210">
      <w:pPr>
        <w:pStyle w:val="MDPI71References"/>
      </w:pPr>
      <w:proofErr w:type="spellStart"/>
      <w:r>
        <w:t>Koetsenruijter</w:t>
      </w:r>
      <w:proofErr w:type="spellEnd"/>
      <w:r>
        <w:t xml:space="preserve">, J.; van </w:t>
      </w:r>
      <w:proofErr w:type="spellStart"/>
      <w:r>
        <w:t>Eikelenboom</w:t>
      </w:r>
      <w:proofErr w:type="spellEnd"/>
      <w:r>
        <w:t xml:space="preserve">, N.; van </w:t>
      </w:r>
      <w:proofErr w:type="spellStart"/>
      <w:r>
        <w:t>Lieshout</w:t>
      </w:r>
      <w:proofErr w:type="spellEnd"/>
      <w:r>
        <w:t xml:space="preserve">, J.; </w:t>
      </w:r>
      <w:proofErr w:type="spellStart"/>
      <w:r>
        <w:t>Vassilev</w:t>
      </w:r>
      <w:proofErr w:type="spellEnd"/>
      <w:r>
        <w:t xml:space="preserve">, I.; </w:t>
      </w:r>
      <w:proofErr w:type="spellStart"/>
      <w:r>
        <w:t>Lionis</w:t>
      </w:r>
      <w:proofErr w:type="spellEnd"/>
      <w:r>
        <w:t xml:space="preserve">, C.; Todorova, E. et al. </w:t>
      </w:r>
      <w:proofErr w:type="gramStart"/>
      <w:r>
        <w:t>Social</w:t>
      </w:r>
      <w:proofErr w:type="gramEnd"/>
      <w:r>
        <w:t xml:space="preserve"> support and self-management capabilities in diabetes patients: An international observational study. </w:t>
      </w:r>
      <w:r w:rsidRPr="006D1210">
        <w:rPr>
          <w:i/>
          <w:iCs/>
        </w:rPr>
        <w:t xml:space="preserve">Patient Educ. </w:t>
      </w:r>
      <w:proofErr w:type="spellStart"/>
      <w:r w:rsidRPr="006D1210">
        <w:rPr>
          <w:i/>
          <w:iCs/>
        </w:rPr>
        <w:t>Couns</w:t>
      </w:r>
      <w:proofErr w:type="spellEnd"/>
      <w:r>
        <w:t>. 2016 Apr 99;4: 638-643.</w:t>
      </w:r>
    </w:p>
    <w:p w14:paraId="44399BFA" w14:textId="7D2B70B4" w:rsidR="006D1210" w:rsidRDefault="006D1210" w:rsidP="006D1210">
      <w:pPr>
        <w:pStyle w:val="MDPI71References"/>
      </w:pPr>
      <w:r>
        <w:t>Kennedy</w:t>
      </w:r>
      <w:r w:rsidR="00713A5D">
        <w:t>,</w:t>
      </w:r>
      <w:r>
        <w:t xml:space="preserve"> A</w:t>
      </w:r>
      <w:r w:rsidR="00713A5D">
        <w:t>.;</w:t>
      </w:r>
      <w:r>
        <w:t xml:space="preserve"> Rodgers</w:t>
      </w:r>
      <w:r w:rsidR="00713A5D">
        <w:t>,</w:t>
      </w:r>
      <w:r>
        <w:t xml:space="preserve"> A</w:t>
      </w:r>
      <w:r w:rsidR="00713A5D">
        <w:t>.;</w:t>
      </w:r>
      <w:r>
        <w:t xml:space="preserve"> </w:t>
      </w:r>
      <w:proofErr w:type="spellStart"/>
      <w:r>
        <w:t>Vassilev</w:t>
      </w:r>
      <w:proofErr w:type="spellEnd"/>
      <w:r w:rsidR="00713A5D">
        <w:t>,</w:t>
      </w:r>
      <w:r>
        <w:t xml:space="preserve"> I</w:t>
      </w:r>
      <w:r w:rsidR="00713A5D">
        <w:t>.;</w:t>
      </w:r>
      <w:r>
        <w:t xml:space="preserve"> Todorova</w:t>
      </w:r>
      <w:r w:rsidR="00713A5D">
        <w:t>,</w:t>
      </w:r>
      <w:r>
        <w:t xml:space="preserve"> E</w:t>
      </w:r>
      <w:r w:rsidR="00713A5D">
        <w:t>.;</w:t>
      </w:r>
      <w:r>
        <w:t xml:space="preserve"> </w:t>
      </w:r>
      <w:proofErr w:type="spellStart"/>
      <w:r>
        <w:t>Roukova</w:t>
      </w:r>
      <w:proofErr w:type="spellEnd"/>
      <w:r w:rsidR="00713A5D">
        <w:t>,</w:t>
      </w:r>
      <w:r>
        <w:t xml:space="preserve"> P</w:t>
      </w:r>
      <w:r w:rsidR="00713A5D">
        <w:t>.;</w:t>
      </w:r>
      <w:r>
        <w:t xml:space="preserve"> Foss</w:t>
      </w:r>
      <w:r w:rsidR="00713A5D">
        <w:t>,</w:t>
      </w:r>
      <w:r>
        <w:t xml:space="preserve"> C</w:t>
      </w:r>
      <w:r w:rsidR="00713A5D">
        <w:t>.;</w:t>
      </w:r>
      <w:r>
        <w:t xml:space="preserve"> et al. Dynamics and nature of support in the personal networks of people with type 2 diabetes living in Europe: qualitative analysis of network properties. </w:t>
      </w:r>
      <w:r w:rsidRPr="00713A5D">
        <w:rPr>
          <w:i/>
          <w:iCs/>
        </w:rPr>
        <w:t>Health Expect</w:t>
      </w:r>
      <w:r>
        <w:t>. 2015 Dec 18;6: 3172-85. Doi:10.1111/hex.12306.</w:t>
      </w:r>
    </w:p>
    <w:p w14:paraId="7121941E" w14:textId="77777777" w:rsidR="006D1210" w:rsidRDefault="006D1210" w:rsidP="006D1210">
      <w:pPr>
        <w:pStyle w:val="MDPI71References"/>
      </w:pPr>
      <w:r>
        <w:t>Word Health Organization. Rio Political Declaration on Social Determinants of Health. Proceeding of the World Conference on Social Determinants of Health; 2011 Oct 19-21; Rio de Janeiro, Brazil: 2011.</w:t>
      </w:r>
    </w:p>
    <w:p w14:paraId="303C3BFC" w14:textId="0675FA0B" w:rsidR="006D1210" w:rsidRDefault="006D1210" w:rsidP="006D1210">
      <w:pPr>
        <w:pStyle w:val="MDPI71References"/>
      </w:pPr>
      <w:r>
        <w:t>Solar</w:t>
      </w:r>
      <w:r w:rsidR="00713A5D">
        <w:t>,</w:t>
      </w:r>
      <w:r>
        <w:t xml:space="preserve"> O</w:t>
      </w:r>
      <w:r w:rsidR="00713A5D">
        <w:t>.;</w:t>
      </w:r>
      <w:r>
        <w:t xml:space="preserve"> Irwin</w:t>
      </w:r>
      <w:r w:rsidR="00713A5D">
        <w:t>,</w:t>
      </w:r>
      <w:r>
        <w:t xml:space="preserve"> A. A conceptual framework for action on the social determinants of health. Social Determinants of Health Discussion Paper 2. Geneva: WHO; 2010.</w:t>
      </w:r>
    </w:p>
    <w:p w14:paraId="11D5FA68" w14:textId="1B0ECEF2" w:rsidR="006D1210" w:rsidRDefault="006D1210" w:rsidP="006D1210">
      <w:pPr>
        <w:pStyle w:val="MDPI71References"/>
      </w:pPr>
      <w:r w:rsidRPr="00713A5D">
        <w:t>Ambrosio</w:t>
      </w:r>
      <w:r w:rsidR="00713A5D" w:rsidRPr="00713A5D">
        <w:t>,</w:t>
      </w:r>
      <w:r w:rsidRPr="00713A5D">
        <w:t xml:space="preserve"> L</w:t>
      </w:r>
      <w:r w:rsidR="00713A5D" w:rsidRPr="00713A5D">
        <w:t>.;</w:t>
      </w:r>
      <w:r w:rsidRPr="00713A5D">
        <w:t xml:space="preserve"> </w:t>
      </w:r>
      <w:proofErr w:type="spellStart"/>
      <w:r w:rsidRPr="00713A5D">
        <w:t>Senosiain</w:t>
      </w:r>
      <w:proofErr w:type="spellEnd"/>
      <w:r w:rsidR="00713A5D" w:rsidRPr="00713A5D">
        <w:t>,</w:t>
      </w:r>
      <w:r w:rsidRPr="00713A5D">
        <w:t xml:space="preserve"> J</w:t>
      </w:r>
      <w:r w:rsidR="00713A5D" w:rsidRPr="00713A5D">
        <w:t>.</w:t>
      </w:r>
      <w:r w:rsidRPr="00713A5D">
        <w:t>M</w:t>
      </w:r>
      <w:r w:rsidR="00713A5D" w:rsidRPr="00713A5D">
        <w:t>.;</w:t>
      </w:r>
      <w:r w:rsidRPr="00713A5D">
        <w:t xml:space="preserve"> </w:t>
      </w:r>
      <w:proofErr w:type="spellStart"/>
      <w:r w:rsidRPr="00713A5D">
        <w:t>Riverol</w:t>
      </w:r>
      <w:proofErr w:type="spellEnd"/>
      <w:r w:rsidR="00713A5D" w:rsidRPr="00713A5D">
        <w:t xml:space="preserve">, </w:t>
      </w:r>
      <w:r w:rsidRPr="00713A5D">
        <w:t>M</w:t>
      </w:r>
      <w:r w:rsidR="00713A5D" w:rsidRPr="00713A5D">
        <w:t>.;</w:t>
      </w:r>
      <w:r w:rsidRPr="00713A5D">
        <w:t xml:space="preserve"> </w:t>
      </w:r>
      <w:proofErr w:type="spellStart"/>
      <w:r w:rsidRPr="00713A5D">
        <w:t>Anaut</w:t>
      </w:r>
      <w:proofErr w:type="spellEnd"/>
      <w:r w:rsidRPr="00713A5D">
        <w:t xml:space="preserve"> Bravo</w:t>
      </w:r>
      <w:r w:rsidR="00713A5D" w:rsidRPr="00713A5D">
        <w:t>,</w:t>
      </w:r>
      <w:r w:rsidRPr="00713A5D">
        <w:t xml:space="preserve"> S</w:t>
      </w:r>
      <w:r w:rsidR="00713A5D" w:rsidRPr="00713A5D">
        <w:t>.;</w:t>
      </w:r>
      <w:r w:rsidRPr="00713A5D">
        <w:t xml:space="preserve"> Díaz de </w:t>
      </w:r>
      <w:proofErr w:type="spellStart"/>
      <w:r w:rsidRPr="00713A5D">
        <w:t>Cerio</w:t>
      </w:r>
      <w:proofErr w:type="spellEnd"/>
      <w:r w:rsidRPr="00713A5D">
        <w:t xml:space="preserve"> </w:t>
      </w:r>
      <w:proofErr w:type="spellStart"/>
      <w:r w:rsidRPr="00713A5D">
        <w:t>Ayesa</w:t>
      </w:r>
      <w:proofErr w:type="spellEnd"/>
      <w:r w:rsidR="00713A5D" w:rsidRPr="00713A5D">
        <w:t xml:space="preserve">, </w:t>
      </w:r>
      <w:r w:rsidRPr="00713A5D">
        <w:t>S</w:t>
      </w:r>
      <w:r w:rsidR="00713A5D" w:rsidRPr="00713A5D">
        <w:t xml:space="preserve">.; </w:t>
      </w:r>
      <w:proofErr w:type="spellStart"/>
      <w:r w:rsidRPr="00713A5D">
        <w:t>Ursúa</w:t>
      </w:r>
      <w:proofErr w:type="spellEnd"/>
      <w:r w:rsidRPr="00713A5D">
        <w:t xml:space="preserve"> </w:t>
      </w:r>
      <w:proofErr w:type="spellStart"/>
      <w:r w:rsidRPr="00713A5D">
        <w:t>Sesma</w:t>
      </w:r>
      <w:proofErr w:type="spellEnd"/>
      <w:r w:rsidR="00713A5D" w:rsidRPr="00713A5D">
        <w:t>,</w:t>
      </w:r>
      <w:r w:rsidRPr="00713A5D">
        <w:t xml:space="preserve"> M</w:t>
      </w:r>
      <w:r w:rsidR="00713A5D" w:rsidRPr="00713A5D">
        <w:t>.</w:t>
      </w:r>
      <w:r w:rsidRPr="00713A5D">
        <w:t xml:space="preserve">E. </w:t>
      </w:r>
      <w:r>
        <w:t xml:space="preserve">Living with chronic illness in adults: a concept analysis. </w:t>
      </w:r>
      <w:r w:rsidRPr="00713A5D">
        <w:rPr>
          <w:i/>
          <w:iCs/>
        </w:rPr>
        <w:t>J</w:t>
      </w:r>
      <w:r w:rsidR="00713A5D" w:rsidRPr="00713A5D">
        <w:rPr>
          <w:i/>
          <w:iCs/>
        </w:rPr>
        <w:t>.</w:t>
      </w:r>
      <w:r w:rsidRPr="00713A5D">
        <w:rPr>
          <w:i/>
          <w:iCs/>
        </w:rPr>
        <w:t xml:space="preserve"> Clin</w:t>
      </w:r>
      <w:r w:rsidR="00713A5D" w:rsidRPr="00713A5D">
        <w:rPr>
          <w:i/>
          <w:iCs/>
        </w:rPr>
        <w:t>.</w:t>
      </w:r>
      <w:r w:rsidRPr="00713A5D">
        <w:rPr>
          <w:i/>
          <w:iCs/>
        </w:rPr>
        <w:t xml:space="preserve"> </w:t>
      </w:r>
      <w:proofErr w:type="spellStart"/>
      <w:r w:rsidRPr="00713A5D">
        <w:rPr>
          <w:i/>
          <w:iCs/>
        </w:rPr>
        <w:t>Nurs</w:t>
      </w:r>
      <w:proofErr w:type="spellEnd"/>
      <w:r>
        <w:t>. 2015;24(17-18): 2357-2367.</w:t>
      </w:r>
    </w:p>
    <w:p w14:paraId="58F422AC" w14:textId="097A9429" w:rsidR="006D1210" w:rsidRDefault="006D1210" w:rsidP="006D1210">
      <w:pPr>
        <w:pStyle w:val="MDPI71References"/>
      </w:pPr>
      <w:r>
        <w:t>Eaton</w:t>
      </w:r>
      <w:r w:rsidR="00713A5D">
        <w:t>,</w:t>
      </w:r>
      <w:r>
        <w:t xml:space="preserve"> S</w:t>
      </w:r>
      <w:r w:rsidR="00713A5D">
        <w:t>.;</w:t>
      </w:r>
      <w:r>
        <w:t xml:space="preserve"> Roberts</w:t>
      </w:r>
      <w:r w:rsidR="00713A5D">
        <w:t>,</w:t>
      </w:r>
      <w:r>
        <w:t xml:space="preserve"> S</w:t>
      </w:r>
      <w:r w:rsidR="00713A5D">
        <w:t>.;</w:t>
      </w:r>
      <w:r>
        <w:t xml:space="preserve"> </w:t>
      </w:r>
      <w:proofErr w:type="spellStart"/>
      <w:r>
        <w:t>Turne</w:t>
      </w:r>
      <w:proofErr w:type="spellEnd"/>
      <w:r w:rsidR="00713A5D">
        <w:t>,</w:t>
      </w:r>
      <w:r>
        <w:t xml:space="preserve"> B. Delivering person </w:t>
      </w:r>
      <w:proofErr w:type="spellStart"/>
      <w:r>
        <w:t>centred</w:t>
      </w:r>
      <w:proofErr w:type="spellEnd"/>
      <w:r>
        <w:t xml:space="preserve"> care in long term conditions. </w:t>
      </w:r>
      <w:r w:rsidRPr="00713A5D">
        <w:rPr>
          <w:i/>
          <w:iCs/>
        </w:rPr>
        <w:t>BMJ</w:t>
      </w:r>
      <w:r w:rsidR="006120F2">
        <w:t xml:space="preserve">. </w:t>
      </w:r>
      <w:r>
        <w:t xml:space="preserve">2015 Feb;350: h181. Doi: 10.1136/bmj.h181. </w:t>
      </w:r>
    </w:p>
    <w:p w14:paraId="28E317D9" w14:textId="2706EAA6" w:rsidR="006D1210" w:rsidRDefault="006D1210" w:rsidP="006D1210">
      <w:pPr>
        <w:pStyle w:val="MDPI71References"/>
      </w:pPr>
      <w:r>
        <w:t xml:space="preserve">Pemberton S. Long-Term Conditions - Condition Management or Managing to </w:t>
      </w:r>
      <w:proofErr w:type="gramStart"/>
      <w:r>
        <w:t>Live?.</w:t>
      </w:r>
      <w:proofErr w:type="gramEnd"/>
      <w:r>
        <w:t xml:space="preserve"> </w:t>
      </w:r>
      <w:r w:rsidRPr="005A4818">
        <w:rPr>
          <w:i/>
          <w:iCs/>
        </w:rPr>
        <w:t>British J</w:t>
      </w:r>
      <w:r w:rsidR="005A4818" w:rsidRPr="005A4818">
        <w:rPr>
          <w:i/>
          <w:iCs/>
        </w:rPr>
        <w:t>.</w:t>
      </w:r>
      <w:r w:rsidRPr="005A4818">
        <w:rPr>
          <w:i/>
          <w:iCs/>
        </w:rPr>
        <w:t xml:space="preserve"> </w:t>
      </w:r>
      <w:proofErr w:type="spellStart"/>
      <w:r w:rsidRPr="005A4818">
        <w:rPr>
          <w:i/>
          <w:iCs/>
        </w:rPr>
        <w:t>Occup</w:t>
      </w:r>
      <w:proofErr w:type="spellEnd"/>
      <w:r w:rsidR="005A4818" w:rsidRPr="005A4818">
        <w:rPr>
          <w:i/>
          <w:iCs/>
        </w:rPr>
        <w:t>.</w:t>
      </w:r>
      <w:r w:rsidRPr="005A4818">
        <w:rPr>
          <w:i/>
          <w:iCs/>
        </w:rPr>
        <w:t xml:space="preserve"> </w:t>
      </w:r>
      <w:proofErr w:type="spellStart"/>
      <w:r w:rsidRPr="005A4818">
        <w:rPr>
          <w:i/>
          <w:iCs/>
        </w:rPr>
        <w:t>Ther</w:t>
      </w:r>
      <w:proofErr w:type="spellEnd"/>
      <w:r>
        <w:t>. 2014 May 77;5: 221. Doi: 10.4276/030802214X13990455043322</w:t>
      </w:r>
    </w:p>
    <w:p w14:paraId="2B16A0DF" w14:textId="10F6607A" w:rsidR="006D1210" w:rsidRDefault="006D1210" w:rsidP="006D1210">
      <w:pPr>
        <w:pStyle w:val="MDPI71References"/>
      </w:pPr>
      <w:r>
        <w:t>Bao</w:t>
      </w:r>
      <w:r w:rsidR="00713A5D">
        <w:t>,</w:t>
      </w:r>
      <w:r>
        <w:t xml:space="preserve"> X</w:t>
      </w:r>
      <w:r w:rsidR="00713A5D">
        <w:t>.</w:t>
      </w:r>
      <w:r>
        <w:t>Y</w:t>
      </w:r>
      <w:r w:rsidR="00713A5D">
        <w:t>.;</w:t>
      </w:r>
      <w:r>
        <w:t xml:space="preserve"> </w:t>
      </w:r>
      <w:proofErr w:type="spellStart"/>
      <w:r>
        <w:t>Xie</w:t>
      </w:r>
      <w:proofErr w:type="spellEnd"/>
      <w:r w:rsidR="00713A5D">
        <w:t xml:space="preserve">, </w:t>
      </w:r>
      <w:r>
        <w:t>Y</w:t>
      </w:r>
      <w:r w:rsidR="00713A5D">
        <w:t>.</w:t>
      </w:r>
      <w:r>
        <w:t>X</w:t>
      </w:r>
      <w:r w:rsidR="00713A5D">
        <w:t>.;</w:t>
      </w:r>
      <w:r>
        <w:t xml:space="preserve"> Zhang</w:t>
      </w:r>
      <w:r w:rsidR="00713A5D">
        <w:t>,</w:t>
      </w:r>
      <w:r>
        <w:t xml:space="preserve"> X</w:t>
      </w:r>
      <w:r w:rsidR="00713A5D">
        <w:t>.</w:t>
      </w:r>
      <w:r>
        <w:t>X</w:t>
      </w:r>
      <w:r w:rsidR="00713A5D">
        <w:t>.;</w:t>
      </w:r>
      <w:r>
        <w:t xml:space="preserve"> Peng</w:t>
      </w:r>
      <w:r w:rsidR="00713A5D">
        <w:t xml:space="preserve">, </w:t>
      </w:r>
      <w:r>
        <w:t>X</w:t>
      </w:r>
      <w:r w:rsidR="00713A5D">
        <w:t>.;</w:t>
      </w:r>
      <w:r>
        <w:t xml:space="preserve"> Huang</w:t>
      </w:r>
      <w:r w:rsidR="00713A5D">
        <w:t>,</w:t>
      </w:r>
      <w:r>
        <w:t xml:space="preserve"> J</w:t>
      </w:r>
      <w:r w:rsidR="00713A5D">
        <w:t>.</w:t>
      </w:r>
      <w:r>
        <w:t>X</w:t>
      </w:r>
      <w:r w:rsidR="00713A5D">
        <w:t>.;</w:t>
      </w:r>
      <w:r>
        <w:t xml:space="preserve"> Du</w:t>
      </w:r>
      <w:r w:rsidR="00713A5D">
        <w:t>,</w:t>
      </w:r>
      <w:r>
        <w:t xml:space="preserve"> Q</w:t>
      </w:r>
      <w:r w:rsidR="00713A5D">
        <w:t>.F</w:t>
      </w:r>
      <w:r>
        <w:t xml:space="preserve">, et al. The association between multimorbidity and health-related quality of life: a cross-sectional survey among community middle-aged and elderly residents in southern China. </w:t>
      </w:r>
      <w:r w:rsidRPr="00713A5D">
        <w:rPr>
          <w:i/>
          <w:iCs/>
        </w:rPr>
        <w:t>Heath Qual</w:t>
      </w:r>
      <w:r w:rsidR="00713A5D" w:rsidRPr="00713A5D">
        <w:rPr>
          <w:i/>
          <w:iCs/>
        </w:rPr>
        <w:t>.</w:t>
      </w:r>
      <w:r w:rsidRPr="00713A5D">
        <w:rPr>
          <w:i/>
          <w:iCs/>
        </w:rPr>
        <w:t xml:space="preserve"> Life Outcomes.</w:t>
      </w:r>
      <w:r>
        <w:t xml:space="preserve"> 2019;17: 107.  </w:t>
      </w:r>
    </w:p>
    <w:p w14:paraId="1E2657F7" w14:textId="047E6199" w:rsidR="006D1210" w:rsidRDefault="006D1210" w:rsidP="006D1210">
      <w:pPr>
        <w:pStyle w:val="MDPI71References"/>
      </w:pPr>
      <w:r>
        <w:t>McCaffrey</w:t>
      </w:r>
      <w:r w:rsidR="00713A5D">
        <w:t>,</w:t>
      </w:r>
      <w:r>
        <w:t xml:space="preserve"> N</w:t>
      </w:r>
      <w:r w:rsidR="00713A5D">
        <w:t>.;</w:t>
      </w:r>
      <w:r>
        <w:t xml:space="preserve"> </w:t>
      </w:r>
      <w:proofErr w:type="spellStart"/>
      <w:r>
        <w:t>Kaambwa</w:t>
      </w:r>
      <w:proofErr w:type="spellEnd"/>
      <w:r w:rsidR="00713A5D">
        <w:t>,</w:t>
      </w:r>
      <w:r>
        <w:t xml:space="preserve"> B</w:t>
      </w:r>
      <w:r w:rsidR="00713A5D">
        <w:t>.;</w:t>
      </w:r>
      <w:r>
        <w:t xml:space="preserve"> </w:t>
      </w:r>
      <w:proofErr w:type="spellStart"/>
      <w:r>
        <w:t>Currow</w:t>
      </w:r>
      <w:proofErr w:type="spellEnd"/>
      <w:r w:rsidR="00713A5D">
        <w:t>,</w:t>
      </w:r>
      <w:r>
        <w:t xml:space="preserve"> D</w:t>
      </w:r>
      <w:r w:rsidR="00713A5D">
        <w:t>.;</w:t>
      </w:r>
      <w:r>
        <w:t xml:space="preserve"> Ratcliffe</w:t>
      </w:r>
      <w:r w:rsidR="00713A5D">
        <w:t>,</w:t>
      </w:r>
      <w:r>
        <w:t xml:space="preserve"> J. Health-related quality of life measured using the EQ-5D-5L: South Australian population norms. </w:t>
      </w:r>
      <w:r w:rsidRPr="00713A5D">
        <w:rPr>
          <w:i/>
          <w:iCs/>
        </w:rPr>
        <w:t>Health Qual</w:t>
      </w:r>
      <w:r w:rsidR="00713A5D" w:rsidRPr="00713A5D">
        <w:rPr>
          <w:i/>
          <w:iCs/>
        </w:rPr>
        <w:t>.</w:t>
      </w:r>
      <w:r w:rsidRPr="00713A5D">
        <w:rPr>
          <w:i/>
          <w:iCs/>
        </w:rPr>
        <w:t xml:space="preserve"> Life Outcomes</w:t>
      </w:r>
      <w:r>
        <w:t>. 2016 Sep 20;14(1): 133. Doi: 10.1186/s12955-016-0537-0.</w:t>
      </w:r>
    </w:p>
    <w:p w14:paraId="4009671D" w14:textId="08506E86" w:rsidR="006D1210" w:rsidRDefault="006D1210" w:rsidP="006D1210">
      <w:pPr>
        <w:pStyle w:val="MDPI71References"/>
      </w:pPr>
      <w:r>
        <w:t>Jing</w:t>
      </w:r>
      <w:r w:rsidR="00713A5D">
        <w:t>,</w:t>
      </w:r>
      <w:r>
        <w:t xml:space="preserve"> X</w:t>
      </w:r>
      <w:r w:rsidR="00713A5D">
        <w:t>.;</w:t>
      </w:r>
      <w:r>
        <w:t xml:space="preserve"> Chen</w:t>
      </w:r>
      <w:r w:rsidR="00713A5D">
        <w:t>,</w:t>
      </w:r>
      <w:r>
        <w:t xml:space="preserve"> J</w:t>
      </w:r>
      <w:r w:rsidR="00713A5D">
        <w:t>.;</w:t>
      </w:r>
      <w:r>
        <w:t xml:space="preserve"> Dong</w:t>
      </w:r>
      <w:r w:rsidR="00713A5D">
        <w:t>,</w:t>
      </w:r>
      <w:r>
        <w:t xml:space="preserve"> Y</w:t>
      </w:r>
      <w:r w:rsidR="00713A5D">
        <w:t>.;</w:t>
      </w:r>
      <w:r>
        <w:t xml:space="preserve"> Han</w:t>
      </w:r>
      <w:r w:rsidR="00713A5D">
        <w:t>,</w:t>
      </w:r>
      <w:r>
        <w:t xml:space="preserve"> D</w:t>
      </w:r>
      <w:r w:rsidR="00713A5D">
        <w:t>.;</w:t>
      </w:r>
      <w:r>
        <w:t xml:space="preserve"> Zhao</w:t>
      </w:r>
      <w:r w:rsidR="00713A5D">
        <w:t>,</w:t>
      </w:r>
      <w:r>
        <w:t xml:space="preserve"> H</w:t>
      </w:r>
      <w:r w:rsidR="00713A5D">
        <w:t>.;</w:t>
      </w:r>
      <w:r>
        <w:t xml:space="preserve"> Wang</w:t>
      </w:r>
      <w:r w:rsidR="00713A5D">
        <w:t>,</w:t>
      </w:r>
      <w:r>
        <w:t xml:space="preserve"> X</w:t>
      </w:r>
      <w:r w:rsidR="00713A5D">
        <w:t>.</w:t>
      </w:r>
      <w:r>
        <w:t xml:space="preserve"> et al. Related factors of quality of life of type 2 diabetes patients: a systematic review and meta-analysis. </w:t>
      </w:r>
      <w:r w:rsidRPr="00713A5D">
        <w:rPr>
          <w:i/>
          <w:iCs/>
        </w:rPr>
        <w:t>Health Qual</w:t>
      </w:r>
      <w:r w:rsidR="00713A5D" w:rsidRPr="00713A5D">
        <w:rPr>
          <w:i/>
          <w:iCs/>
        </w:rPr>
        <w:t>.</w:t>
      </w:r>
      <w:r w:rsidRPr="00713A5D">
        <w:rPr>
          <w:i/>
          <w:iCs/>
        </w:rPr>
        <w:t xml:space="preserve"> Life Outcomes</w:t>
      </w:r>
      <w:r>
        <w:t>.</w:t>
      </w:r>
      <w:r w:rsidR="00713A5D">
        <w:t xml:space="preserve"> </w:t>
      </w:r>
      <w:r>
        <w:t>2018 Sep 19;16(1): 189. Doi:10.1186/s12955-018-1021-9.</w:t>
      </w:r>
    </w:p>
    <w:p w14:paraId="43C588D8" w14:textId="6333EF1C" w:rsidR="006D1210" w:rsidRDefault="006D1210" w:rsidP="006D1210">
      <w:pPr>
        <w:pStyle w:val="MDPI71References"/>
      </w:pPr>
      <w:r>
        <w:t>Singh</w:t>
      </w:r>
      <w:r w:rsidR="00713A5D">
        <w:t>,</w:t>
      </w:r>
      <w:r>
        <w:t xml:space="preserve"> K</w:t>
      </w:r>
      <w:r w:rsidR="00713A5D">
        <w:t>.;</w:t>
      </w:r>
      <w:r>
        <w:t xml:space="preserve"> </w:t>
      </w:r>
      <w:proofErr w:type="spellStart"/>
      <w:r>
        <w:t>Kondal</w:t>
      </w:r>
      <w:proofErr w:type="spellEnd"/>
      <w:r w:rsidR="00713A5D">
        <w:t>,</w:t>
      </w:r>
      <w:r>
        <w:t xml:space="preserve"> D</w:t>
      </w:r>
      <w:r w:rsidR="00713A5D">
        <w:t>.;</w:t>
      </w:r>
      <w:r>
        <w:t xml:space="preserve"> Shivashankar</w:t>
      </w:r>
      <w:r w:rsidR="00713A5D">
        <w:t>,</w:t>
      </w:r>
      <w:r>
        <w:t xml:space="preserve"> R</w:t>
      </w:r>
      <w:r w:rsidR="00713A5D">
        <w:t>.;</w:t>
      </w:r>
      <w:r>
        <w:t xml:space="preserve"> Ali</w:t>
      </w:r>
      <w:r w:rsidR="00713A5D">
        <w:t>,</w:t>
      </w:r>
      <w:r>
        <w:t xml:space="preserve"> M</w:t>
      </w:r>
      <w:r w:rsidR="00713A5D">
        <w:t>.</w:t>
      </w:r>
      <w:r>
        <w:t>K</w:t>
      </w:r>
      <w:r w:rsidR="00713A5D">
        <w:t>.;</w:t>
      </w:r>
      <w:r>
        <w:t xml:space="preserve"> </w:t>
      </w:r>
      <w:proofErr w:type="spellStart"/>
      <w:r>
        <w:t>Pradeepa</w:t>
      </w:r>
      <w:proofErr w:type="spellEnd"/>
      <w:r w:rsidR="00713A5D">
        <w:t>,</w:t>
      </w:r>
      <w:r>
        <w:t xml:space="preserve"> R</w:t>
      </w:r>
      <w:r w:rsidR="00713A5D">
        <w:t>.;</w:t>
      </w:r>
      <w:r>
        <w:t xml:space="preserve"> Ajay</w:t>
      </w:r>
      <w:r w:rsidR="00713A5D">
        <w:t>,</w:t>
      </w:r>
      <w:r>
        <w:t xml:space="preserve"> V</w:t>
      </w:r>
      <w:r w:rsidR="00713A5D">
        <w:t>.</w:t>
      </w:r>
      <w:r>
        <w:t xml:space="preserve">S, et al.  Health-related quality of life variations by sociodemographic factors and chronic conditions in three metropolitan cities of South Asia: the CARRS study. </w:t>
      </w:r>
      <w:r w:rsidRPr="00713A5D">
        <w:rPr>
          <w:i/>
          <w:iCs/>
        </w:rPr>
        <w:t>BMJ Open.</w:t>
      </w:r>
      <w:r>
        <w:t xml:space="preserve"> 2017;7(10): e018424.</w:t>
      </w:r>
    </w:p>
    <w:p w14:paraId="0C1FA0FC" w14:textId="17BA014D" w:rsidR="006D1210" w:rsidRDefault="006D1210" w:rsidP="006D1210">
      <w:pPr>
        <w:pStyle w:val="MDPI71References"/>
      </w:pPr>
      <w:proofErr w:type="spellStart"/>
      <w:r>
        <w:t>Engerlhard</w:t>
      </w:r>
      <w:proofErr w:type="spellEnd"/>
      <w:r w:rsidR="005A4818">
        <w:t>,</w:t>
      </w:r>
      <w:r>
        <w:t xml:space="preserve"> E</w:t>
      </w:r>
      <w:r w:rsidR="005A4818">
        <w:t>.</w:t>
      </w:r>
      <w:r>
        <w:t>A</w:t>
      </w:r>
      <w:r w:rsidR="005A4818">
        <w:t>.</w:t>
      </w:r>
      <w:r>
        <w:t>N</w:t>
      </w:r>
      <w:r w:rsidR="005A4818">
        <w:t>.;</w:t>
      </w:r>
      <w:r>
        <w:t xml:space="preserve"> Smit</w:t>
      </w:r>
      <w:r w:rsidR="005A4818">
        <w:t>,</w:t>
      </w:r>
      <w:r>
        <w:t xml:space="preserve"> C</w:t>
      </w:r>
      <w:r w:rsidR="005A4818">
        <w:t>.;</w:t>
      </w:r>
      <w:r>
        <w:t xml:space="preserve"> van Dijk</w:t>
      </w:r>
      <w:r w:rsidR="005A4818">
        <w:t>,</w:t>
      </w:r>
      <w:r>
        <w:t xml:space="preserve"> P</w:t>
      </w:r>
      <w:r w:rsidR="005A4818">
        <w:t>.</w:t>
      </w:r>
      <w:r>
        <w:t>R</w:t>
      </w:r>
      <w:r w:rsidR="005A4818">
        <w:t>.;</w:t>
      </w:r>
      <w:r>
        <w:t xml:space="preserve"> </w:t>
      </w:r>
      <w:proofErr w:type="spellStart"/>
      <w:r>
        <w:t>Kuijper</w:t>
      </w:r>
      <w:proofErr w:type="spellEnd"/>
      <w:r w:rsidR="005A4818">
        <w:t xml:space="preserve">, </w:t>
      </w:r>
      <w:r>
        <w:t>T</w:t>
      </w:r>
      <w:r w:rsidR="005A4818">
        <w:t>.</w:t>
      </w:r>
      <w:r>
        <w:t>M</w:t>
      </w:r>
      <w:r w:rsidR="005A4818">
        <w:t>.;</w:t>
      </w:r>
      <w:r>
        <w:t xml:space="preserve"> </w:t>
      </w:r>
      <w:proofErr w:type="spellStart"/>
      <w:r>
        <w:t>Wermeling</w:t>
      </w:r>
      <w:proofErr w:type="spellEnd"/>
      <w:r w:rsidR="005A4818">
        <w:t>,</w:t>
      </w:r>
      <w:r>
        <w:t xml:space="preserve"> P</w:t>
      </w:r>
      <w:r w:rsidR="005A4818">
        <w:t>.</w:t>
      </w:r>
      <w:r>
        <w:t>R</w:t>
      </w:r>
      <w:r w:rsidR="005A4818">
        <w:t>.;</w:t>
      </w:r>
      <w:r>
        <w:t xml:space="preserve"> </w:t>
      </w:r>
      <w:proofErr w:type="spellStart"/>
      <w:r>
        <w:t>Weel</w:t>
      </w:r>
      <w:proofErr w:type="spellEnd"/>
      <w:r w:rsidR="005A4818">
        <w:t>,</w:t>
      </w:r>
      <w:r>
        <w:t xml:space="preserve"> A</w:t>
      </w:r>
      <w:r w:rsidR="005A4818">
        <w:t>.</w:t>
      </w:r>
      <w:r>
        <w:t>E</w:t>
      </w:r>
      <w:r w:rsidR="005A4818">
        <w:t>.;</w:t>
      </w:r>
      <w:r>
        <w:t xml:space="preserve"> et al. Health-related quality of life of people with HIV: an assessment of patient related factors and comparison with other chronic diseases. </w:t>
      </w:r>
      <w:r w:rsidRPr="005A4818">
        <w:rPr>
          <w:i/>
          <w:iCs/>
        </w:rPr>
        <w:t>AIDS.</w:t>
      </w:r>
      <w:r>
        <w:t xml:space="preserve"> 2018 Jan 2;32(1): 103-112. Doi: 10.1097/QAD.0000000000001672.</w:t>
      </w:r>
    </w:p>
    <w:p w14:paraId="346FA735" w14:textId="38488CCA" w:rsidR="006D1210" w:rsidRDefault="006D1210" w:rsidP="006D1210">
      <w:pPr>
        <w:pStyle w:val="MDPI71References"/>
      </w:pPr>
      <w:proofErr w:type="spellStart"/>
      <w:r>
        <w:t>Olano</w:t>
      </w:r>
      <w:proofErr w:type="spellEnd"/>
      <w:r w:rsidR="005A4818">
        <w:t>,</w:t>
      </w:r>
      <w:r>
        <w:t xml:space="preserve"> M</w:t>
      </w:r>
      <w:r w:rsidR="005A4818">
        <w:t>.;</w:t>
      </w:r>
      <w:r>
        <w:t xml:space="preserve"> Zaragoza</w:t>
      </w:r>
      <w:r w:rsidR="005A4818">
        <w:t>,</w:t>
      </w:r>
      <w:r>
        <w:t xml:space="preserve"> A</w:t>
      </w:r>
      <w:r w:rsidR="005A4818">
        <w:t>.;</w:t>
      </w:r>
      <w:r>
        <w:t xml:space="preserve"> Martín</w:t>
      </w:r>
      <w:r w:rsidR="005A4818">
        <w:t>, J.;</w:t>
      </w:r>
      <w:r>
        <w:t xml:space="preserve"> </w:t>
      </w:r>
      <w:proofErr w:type="spellStart"/>
      <w:r>
        <w:t>Saracíbar</w:t>
      </w:r>
      <w:proofErr w:type="spellEnd"/>
      <w:r w:rsidR="005A4818">
        <w:t xml:space="preserve">, </w:t>
      </w:r>
      <w:r>
        <w:t xml:space="preserve">M. Redefining a “new normality”: A hermeneutic phenomenological study of the experiences of patients with chronic heart failure. </w:t>
      </w:r>
      <w:r w:rsidRPr="005A4818">
        <w:rPr>
          <w:i/>
          <w:iCs/>
        </w:rPr>
        <w:t>J</w:t>
      </w:r>
      <w:r w:rsidR="005A4818" w:rsidRPr="005A4818">
        <w:rPr>
          <w:i/>
          <w:iCs/>
        </w:rPr>
        <w:t xml:space="preserve">. </w:t>
      </w:r>
      <w:r w:rsidRPr="005A4818">
        <w:rPr>
          <w:i/>
          <w:iCs/>
        </w:rPr>
        <w:t>Adv</w:t>
      </w:r>
      <w:r w:rsidR="005A4818" w:rsidRPr="005A4818">
        <w:rPr>
          <w:i/>
          <w:iCs/>
        </w:rPr>
        <w:t>.</w:t>
      </w:r>
      <w:r w:rsidRPr="005A4818">
        <w:rPr>
          <w:i/>
          <w:iCs/>
        </w:rPr>
        <w:t xml:space="preserve"> </w:t>
      </w:r>
      <w:proofErr w:type="spellStart"/>
      <w:r w:rsidRPr="005A4818">
        <w:rPr>
          <w:i/>
          <w:iCs/>
        </w:rPr>
        <w:t>Nurs</w:t>
      </w:r>
      <w:proofErr w:type="spellEnd"/>
      <w:r>
        <w:t>. 2020;76: 275-286. Doi:10.1111/jan.14237.</w:t>
      </w:r>
    </w:p>
    <w:p w14:paraId="3A6E76EB" w14:textId="7389C942" w:rsidR="006D1210" w:rsidRDefault="006D1210" w:rsidP="006D1210">
      <w:pPr>
        <w:pStyle w:val="MDPI71References"/>
      </w:pPr>
      <w:r>
        <w:t>Drop</w:t>
      </w:r>
      <w:r w:rsidR="005A4818">
        <w:t>.</w:t>
      </w:r>
      <w:r>
        <w:t xml:space="preserve"> B</w:t>
      </w:r>
      <w:r w:rsidR="005A4818">
        <w:t>.;</w:t>
      </w:r>
      <w:r>
        <w:t xml:space="preserve"> </w:t>
      </w:r>
      <w:proofErr w:type="spellStart"/>
      <w:r>
        <w:t>Janiszewska</w:t>
      </w:r>
      <w:proofErr w:type="spellEnd"/>
      <w:r w:rsidR="005A4818">
        <w:t>,</w:t>
      </w:r>
      <w:r>
        <w:t xml:space="preserve"> M</w:t>
      </w:r>
      <w:r w:rsidR="005A4818">
        <w:t>.;</w:t>
      </w:r>
      <w:r>
        <w:t xml:space="preserve"> </w:t>
      </w:r>
      <w:proofErr w:type="spellStart"/>
      <w:r>
        <w:t>Barańska</w:t>
      </w:r>
      <w:proofErr w:type="spellEnd"/>
      <w:r w:rsidR="005A4818">
        <w:t>,</w:t>
      </w:r>
      <w:r>
        <w:t xml:space="preserve"> A</w:t>
      </w:r>
      <w:r w:rsidR="005A4818">
        <w:t>.;</w:t>
      </w:r>
      <w:r>
        <w:t xml:space="preserve"> </w:t>
      </w:r>
      <w:proofErr w:type="spellStart"/>
      <w:r>
        <w:t>Kanecki</w:t>
      </w:r>
      <w:proofErr w:type="spellEnd"/>
      <w:r w:rsidR="005A4818">
        <w:t xml:space="preserve">, </w:t>
      </w:r>
      <w:r>
        <w:t>K</w:t>
      </w:r>
      <w:r w:rsidR="005A4818">
        <w:t>.;</w:t>
      </w:r>
      <w:r>
        <w:t xml:space="preserve"> Nitsch-</w:t>
      </w:r>
      <w:proofErr w:type="spellStart"/>
      <w:r>
        <w:t>Osuch</w:t>
      </w:r>
      <w:proofErr w:type="spellEnd"/>
      <w:r w:rsidR="005A4818">
        <w:t>,</w:t>
      </w:r>
      <w:r>
        <w:t xml:space="preserve"> A</w:t>
      </w:r>
      <w:r w:rsidR="005A4818">
        <w:t xml:space="preserve">.; </w:t>
      </w:r>
      <w:r>
        <w:t>Bogdan</w:t>
      </w:r>
      <w:r w:rsidR="005A4818">
        <w:t>,</w:t>
      </w:r>
      <w:r>
        <w:t xml:space="preserve"> M. Satisfaction with Life and Adaptive Reactions in People Treated for Chronic Obstructive Pulmonary Disease. </w:t>
      </w:r>
      <w:r w:rsidRPr="005A4818">
        <w:rPr>
          <w:i/>
          <w:iCs/>
        </w:rPr>
        <w:t>Clin</w:t>
      </w:r>
      <w:r w:rsidR="005A4818" w:rsidRPr="005A4818">
        <w:rPr>
          <w:i/>
          <w:iCs/>
        </w:rPr>
        <w:t>.</w:t>
      </w:r>
      <w:r w:rsidRPr="005A4818">
        <w:rPr>
          <w:i/>
          <w:iCs/>
        </w:rPr>
        <w:t xml:space="preserve"> </w:t>
      </w:r>
      <w:proofErr w:type="spellStart"/>
      <w:r w:rsidRPr="005A4818">
        <w:rPr>
          <w:i/>
          <w:iCs/>
        </w:rPr>
        <w:t>Pulm</w:t>
      </w:r>
      <w:proofErr w:type="spellEnd"/>
      <w:r w:rsidR="005A4818" w:rsidRPr="005A4818">
        <w:rPr>
          <w:i/>
          <w:iCs/>
        </w:rPr>
        <w:t>.</w:t>
      </w:r>
      <w:r w:rsidRPr="005A4818">
        <w:rPr>
          <w:i/>
          <w:iCs/>
        </w:rPr>
        <w:t xml:space="preserve"> Res.</w:t>
      </w:r>
      <w:r>
        <w:t xml:space="preserve"> 2018; 41-47.</w:t>
      </w:r>
    </w:p>
    <w:p w14:paraId="3AD4E6F8" w14:textId="40A4F066" w:rsidR="006D1210" w:rsidRDefault="006D1210" w:rsidP="006D1210">
      <w:pPr>
        <w:pStyle w:val="MDPI71References"/>
      </w:pPr>
      <w:r>
        <w:t>Polit</w:t>
      </w:r>
      <w:r w:rsidR="005A4818">
        <w:t>,</w:t>
      </w:r>
      <w:r>
        <w:t xml:space="preserve"> D</w:t>
      </w:r>
      <w:r w:rsidR="005A4818">
        <w:t>.</w:t>
      </w:r>
      <w:r>
        <w:t>F</w:t>
      </w:r>
      <w:r w:rsidR="005A4818">
        <w:t>.;</w:t>
      </w:r>
      <w:r>
        <w:t xml:space="preserve"> Beck</w:t>
      </w:r>
      <w:r w:rsidR="005A4818">
        <w:t xml:space="preserve">, </w:t>
      </w:r>
      <w:r>
        <w:t>C</w:t>
      </w:r>
      <w:r w:rsidR="005A4818">
        <w:t>.</w:t>
      </w:r>
      <w:r>
        <w:t>T. Essentials of Nursing Research: Appraising Evidence for Nursing Practice. Lippincott Williams &amp; Wilkins; 2009.</w:t>
      </w:r>
    </w:p>
    <w:p w14:paraId="14AD8A85" w14:textId="3F630BDE" w:rsidR="006D1210" w:rsidRDefault="006D1210" w:rsidP="006D1210">
      <w:pPr>
        <w:pStyle w:val="MDPI71References"/>
      </w:pPr>
      <w:r>
        <w:t>Bowling</w:t>
      </w:r>
      <w:r w:rsidR="005A4818">
        <w:t xml:space="preserve">, </w:t>
      </w:r>
      <w:r>
        <w:t xml:space="preserve">A. Research methods in health: investigating health and health services. 4rd ed. </w:t>
      </w:r>
      <w:proofErr w:type="spellStart"/>
      <w:proofErr w:type="gramStart"/>
      <w:r>
        <w:t>UK:McGraw</w:t>
      </w:r>
      <w:proofErr w:type="gramEnd"/>
      <w:r>
        <w:t>-Hill</w:t>
      </w:r>
      <w:proofErr w:type="spellEnd"/>
      <w:r>
        <w:t>; 2014.</w:t>
      </w:r>
    </w:p>
    <w:p w14:paraId="60A7BC4C" w14:textId="1EB7EDF5" w:rsidR="006D1210" w:rsidRDefault="006D1210" w:rsidP="006D1210">
      <w:pPr>
        <w:pStyle w:val="MDPI71References"/>
      </w:pPr>
      <w:proofErr w:type="spellStart"/>
      <w:r>
        <w:t>Peduzzi</w:t>
      </w:r>
      <w:proofErr w:type="spellEnd"/>
      <w:r w:rsidR="005A4818">
        <w:t>,</w:t>
      </w:r>
      <w:r>
        <w:t xml:space="preserve"> P</w:t>
      </w:r>
      <w:r w:rsidR="005A4818">
        <w:t xml:space="preserve">.; </w:t>
      </w:r>
      <w:proofErr w:type="spellStart"/>
      <w:r>
        <w:t>Concato</w:t>
      </w:r>
      <w:proofErr w:type="spellEnd"/>
      <w:r w:rsidR="005A4818">
        <w:t>,</w:t>
      </w:r>
      <w:r>
        <w:t xml:space="preserve"> J</w:t>
      </w:r>
      <w:r w:rsidR="005A4818">
        <w:t>.;</w:t>
      </w:r>
      <w:r>
        <w:t xml:space="preserve"> Kemper</w:t>
      </w:r>
      <w:r w:rsidR="005A4818">
        <w:t xml:space="preserve">, </w:t>
      </w:r>
      <w:r>
        <w:t>E</w:t>
      </w:r>
      <w:r w:rsidR="005A4818">
        <w:t>.;</w:t>
      </w:r>
      <w:r>
        <w:t xml:space="preserve"> Holford</w:t>
      </w:r>
      <w:r w:rsidR="005A4818">
        <w:t>,</w:t>
      </w:r>
      <w:r>
        <w:t xml:space="preserve"> T</w:t>
      </w:r>
      <w:r w:rsidR="005A4818">
        <w:t>.</w:t>
      </w:r>
      <w:r>
        <w:t>R</w:t>
      </w:r>
      <w:r w:rsidR="005A4818">
        <w:t>.;</w:t>
      </w:r>
      <w:r>
        <w:t xml:space="preserve"> Feinstein</w:t>
      </w:r>
      <w:r w:rsidR="005A4818">
        <w:t>,</w:t>
      </w:r>
      <w:r>
        <w:t xml:space="preserve"> A</w:t>
      </w:r>
      <w:r w:rsidR="005A4818">
        <w:t>.</w:t>
      </w:r>
      <w:r>
        <w:t xml:space="preserve">R. A simulation study of the number of events per variable in logistic regression analysis. </w:t>
      </w:r>
      <w:r w:rsidRPr="005A4818">
        <w:rPr>
          <w:i/>
          <w:iCs/>
        </w:rPr>
        <w:t>J</w:t>
      </w:r>
      <w:r w:rsidR="005A4818" w:rsidRPr="005A4818">
        <w:rPr>
          <w:i/>
          <w:iCs/>
        </w:rPr>
        <w:t>.</w:t>
      </w:r>
      <w:r w:rsidRPr="005A4818">
        <w:rPr>
          <w:i/>
          <w:iCs/>
        </w:rPr>
        <w:t xml:space="preserve"> Clin</w:t>
      </w:r>
      <w:r w:rsidR="005A4818" w:rsidRPr="005A4818">
        <w:rPr>
          <w:i/>
          <w:iCs/>
        </w:rPr>
        <w:t>.</w:t>
      </w:r>
      <w:r w:rsidRPr="005A4818">
        <w:rPr>
          <w:i/>
          <w:iCs/>
        </w:rPr>
        <w:t xml:space="preserve"> </w:t>
      </w:r>
      <w:proofErr w:type="spellStart"/>
      <w:r w:rsidRPr="005A4818">
        <w:rPr>
          <w:i/>
          <w:iCs/>
        </w:rPr>
        <w:t>Epidemiolo</w:t>
      </w:r>
      <w:proofErr w:type="spellEnd"/>
      <w:r>
        <w:t>. 1996;49(12): 1373-9.</w:t>
      </w:r>
    </w:p>
    <w:p w14:paraId="1DEFA15A" w14:textId="6BB6F8B6" w:rsidR="006D1210" w:rsidRDefault="006D1210" w:rsidP="006D1210">
      <w:pPr>
        <w:pStyle w:val="MDPI71References"/>
      </w:pPr>
      <w:proofErr w:type="spellStart"/>
      <w:r>
        <w:t>Stebbing</w:t>
      </w:r>
      <w:proofErr w:type="spellEnd"/>
      <w:r w:rsidR="005A4818">
        <w:t>,</w:t>
      </w:r>
      <w:r>
        <w:t xml:space="preserve"> G</w:t>
      </w:r>
      <w:r w:rsidR="005A4818">
        <w:t>.</w:t>
      </w:r>
      <w:r>
        <w:t xml:space="preserve">T. Clinical rating scale development. In: Sampaio CG, editor. Rating Scales in Parkinson’s Disease. Clinical Practice and Research. Oxford: University Press; 2012. pp. 3–9. </w:t>
      </w:r>
    </w:p>
    <w:p w14:paraId="0D0DC933" w14:textId="1C4712CB" w:rsidR="006D1210" w:rsidRPr="00935F4E" w:rsidRDefault="006D1210" w:rsidP="006D1210">
      <w:pPr>
        <w:pStyle w:val="MDPI71References"/>
        <w:rPr>
          <w:lang w:val="es-ES"/>
        </w:rPr>
      </w:pPr>
      <w:r w:rsidRPr="006D1210">
        <w:rPr>
          <w:lang w:val="es-ES"/>
        </w:rPr>
        <w:t>Meneses</w:t>
      </w:r>
      <w:r w:rsidR="005A4818">
        <w:rPr>
          <w:lang w:val="es-ES"/>
        </w:rPr>
        <w:t xml:space="preserve">, </w:t>
      </w:r>
      <w:r w:rsidRPr="006D1210">
        <w:rPr>
          <w:lang w:val="es-ES"/>
        </w:rPr>
        <w:t>A</w:t>
      </w:r>
      <w:r w:rsidR="005A4818">
        <w:rPr>
          <w:lang w:val="es-ES"/>
        </w:rPr>
        <w:t>.;</w:t>
      </w:r>
      <w:r w:rsidRPr="006D1210">
        <w:rPr>
          <w:lang w:val="es-ES"/>
        </w:rPr>
        <w:t xml:space="preserve"> </w:t>
      </w:r>
      <w:proofErr w:type="spellStart"/>
      <w:r w:rsidRPr="006D1210">
        <w:rPr>
          <w:lang w:val="es-ES"/>
        </w:rPr>
        <w:t>Rodriguez-Blazquez</w:t>
      </w:r>
      <w:proofErr w:type="spellEnd"/>
      <w:r w:rsidR="005A4818">
        <w:rPr>
          <w:lang w:val="es-ES"/>
        </w:rPr>
        <w:t>,</w:t>
      </w:r>
      <w:r w:rsidRPr="006D1210">
        <w:rPr>
          <w:lang w:val="es-ES"/>
        </w:rPr>
        <w:t xml:space="preserve"> C</w:t>
      </w:r>
      <w:r w:rsidR="005A4818">
        <w:rPr>
          <w:lang w:val="es-ES"/>
        </w:rPr>
        <w:t xml:space="preserve">.; </w:t>
      </w:r>
      <w:proofErr w:type="spellStart"/>
      <w:r w:rsidRPr="006D1210">
        <w:rPr>
          <w:lang w:val="es-ES"/>
        </w:rPr>
        <w:t>Ursúa</w:t>
      </w:r>
      <w:proofErr w:type="spellEnd"/>
      <w:r w:rsidR="005A4818">
        <w:rPr>
          <w:lang w:val="es-ES"/>
        </w:rPr>
        <w:t>,</w:t>
      </w:r>
      <w:r w:rsidRPr="006D1210">
        <w:rPr>
          <w:lang w:val="es-ES"/>
        </w:rPr>
        <w:t xml:space="preserve"> M</w:t>
      </w:r>
      <w:r w:rsidR="005A4818">
        <w:rPr>
          <w:lang w:val="es-ES"/>
        </w:rPr>
        <w:t>.</w:t>
      </w:r>
      <w:r w:rsidRPr="006D1210">
        <w:rPr>
          <w:lang w:val="es-ES"/>
        </w:rPr>
        <w:t>E</w:t>
      </w:r>
      <w:r w:rsidR="005A4818">
        <w:rPr>
          <w:lang w:val="es-ES"/>
        </w:rPr>
        <w:t>.;</w:t>
      </w:r>
      <w:r w:rsidRPr="006D1210">
        <w:rPr>
          <w:lang w:val="es-ES"/>
        </w:rPr>
        <w:t xml:space="preserve"> Caparrós</w:t>
      </w:r>
      <w:r w:rsidR="005A4818">
        <w:rPr>
          <w:lang w:val="es-ES"/>
        </w:rPr>
        <w:t>,</w:t>
      </w:r>
      <w:r w:rsidRPr="006D1210">
        <w:rPr>
          <w:lang w:val="es-ES"/>
        </w:rPr>
        <w:t xml:space="preserve"> N</w:t>
      </w:r>
      <w:r w:rsidR="005A4818">
        <w:rPr>
          <w:lang w:val="es-ES"/>
        </w:rPr>
        <w:t>.;</w:t>
      </w:r>
      <w:r w:rsidRPr="006D1210">
        <w:rPr>
          <w:lang w:val="es-ES"/>
        </w:rPr>
        <w:t xml:space="preserve"> Ruiz de </w:t>
      </w:r>
      <w:proofErr w:type="spellStart"/>
      <w:r w:rsidRPr="006D1210">
        <w:rPr>
          <w:lang w:val="es-ES"/>
        </w:rPr>
        <w:t>Ocenda</w:t>
      </w:r>
      <w:proofErr w:type="spellEnd"/>
      <w:r w:rsidR="005A4818">
        <w:rPr>
          <w:lang w:val="es-ES"/>
        </w:rPr>
        <w:t>,</w:t>
      </w:r>
      <w:r w:rsidRPr="006D1210">
        <w:rPr>
          <w:lang w:val="es-ES"/>
        </w:rPr>
        <w:t xml:space="preserve"> M</w:t>
      </w:r>
      <w:r w:rsidR="005A4818">
        <w:rPr>
          <w:lang w:val="es-ES"/>
        </w:rPr>
        <w:t>.</w:t>
      </w:r>
      <w:r w:rsidRPr="006D1210">
        <w:rPr>
          <w:lang w:val="es-ES"/>
        </w:rPr>
        <w:t>I</w:t>
      </w:r>
      <w:r w:rsidR="005A4818">
        <w:rPr>
          <w:lang w:val="es-ES"/>
        </w:rPr>
        <w:t>.;</w:t>
      </w:r>
      <w:r w:rsidRPr="006D1210">
        <w:rPr>
          <w:lang w:val="es-ES"/>
        </w:rPr>
        <w:t xml:space="preserve"> </w:t>
      </w:r>
      <w:proofErr w:type="spellStart"/>
      <w:r w:rsidRPr="006D1210">
        <w:rPr>
          <w:lang w:val="es-ES"/>
        </w:rPr>
        <w:t>Lopez</w:t>
      </w:r>
      <w:proofErr w:type="spellEnd"/>
      <w:r w:rsidR="005A4818">
        <w:rPr>
          <w:lang w:val="es-ES"/>
        </w:rPr>
        <w:t>,</w:t>
      </w:r>
      <w:r w:rsidRPr="006D1210">
        <w:rPr>
          <w:lang w:val="es-ES"/>
        </w:rPr>
        <w:t xml:space="preserve"> L</w:t>
      </w:r>
      <w:r w:rsidR="005A4818">
        <w:rPr>
          <w:lang w:val="es-ES"/>
        </w:rPr>
        <w:t>.;</w:t>
      </w:r>
      <w:r w:rsidRPr="006D1210">
        <w:rPr>
          <w:lang w:val="es-ES"/>
        </w:rPr>
        <w:t xml:space="preserve"> et al. Validación de la Escala de convivencia con artrosis en población española. </w:t>
      </w:r>
      <w:r w:rsidRPr="00935F4E">
        <w:rPr>
          <w:i/>
          <w:iCs/>
          <w:lang w:val="es-ES"/>
        </w:rPr>
        <w:t>At</w:t>
      </w:r>
      <w:r w:rsidR="005A4818" w:rsidRPr="00935F4E">
        <w:rPr>
          <w:i/>
          <w:iCs/>
          <w:lang w:val="es-ES"/>
        </w:rPr>
        <w:t>.</w:t>
      </w:r>
      <w:r w:rsidRPr="00935F4E">
        <w:rPr>
          <w:i/>
          <w:iCs/>
          <w:lang w:val="es-ES"/>
        </w:rPr>
        <w:t xml:space="preserve"> Prim</w:t>
      </w:r>
      <w:r w:rsidR="005A4818" w:rsidRPr="00935F4E">
        <w:rPr>
          <w:i/>
          <w:iCs/>
          <w:lang w:val="es-ES"/>
        </w:rPr>
        <w:t>.</w:t>
      </w:r>
      <w:r w:rsidRPr="00935F4E">
        <w:rPr>
          <w:lang w:val="es-ES"/>
        </w:rPr>
        <w:t xml:space="preserve"> 202</w:t>
      </w:r>
      <w:r w:rsidR="005A4818" w:rsidRPr="00935F4E">
        <w:rPr>
          <w:lang w:val="es-ES"/>
        </w:rPr>
        <w:t>1; 53 (102044), 1-9.</w:t>
      </w:r>
    </w:p>
    <w:p w14:paraId="64EC5249" w14:textId="066B6FBA" w:rsidR="006D1210" w:rsidRDefault="006D1210" w:rsidP="006D1210">
      <w:pPr>
        <w:pStyle w:val="MDPI71References"/>
      </w:pPr>
      <w:r w:rsidRPr="006D1210">
        <w:rPr>
          <w:lang w:val="es-ES"/>
        </w:rPr>
        <w:t>Ambrosio</w:t>
      </w:r>
      <w:r w:rsidR="005A4818">
        <w:rPr>
          <w:lang w:val="es-ES"/>
        </w:rPr>
        <w:t xml:space="preserve">, </w:t>
      </w:r>
      <w:r w:rsidRPr="006D1210">
        <w:rPr>
          <w:lang w:val="es-ES"/>
        </w:rPr>
        <w:t>L</w:t>
      </w:r>
      <w:r w:rsidR="005A4818">
        <w:rPr>
          <w:lang w:val="es-ES"/>
        </w:rPr>
        <w:t>.;</w:t>
      </w:r>
      <w:r w:rsidRPr="006D1210">
        <w:rPr>
          <w:lang w:val="es-ES"/>
        </w:rPr>
        <w:t xml:space="preserve"> </w:t>
      </w:r>
      <w:proofErr w:type="spellStart"/>
      <w:r w:rsidRPr="006D1210">
        <w:rPr>
          <w:lang w:val="es-ES"/>
        </w:rPr>
        <w:t>Perez-Manchon</w:t>
      </w:r>
      <w:proofErr w:type="spellEnd"/>
      <w:r w:rsidR="005A4818">
        <w:rPr>
          <w:lang w:val="es-ES"/>
        </w:rPr>
        <w:t>,</w:t>
      </w:r>
      <w:r w:rsidRPr="006D1210">
        <w:rPr>
          <w:lang w:val="es-ES"/>
        </w:rPr>
        <w:t xml:space="preserve"> D</w:t>
      </w:r>
      <w:r w:rsidR="005A4818">
        <w:rPr>
          <w:lang w:val="es-ES"/>
        </w:rPr>
        <w:t>.;</w:t>
      </w:r>
      <w:r w:rsidRPr="006D1210">
        <w:rPr>
          <w:lang w:val="es-ES"/>
        </w:rPr>
        <w:t xml:space="preserve"> </w:t>
      </w:r>
      <w:r w:rsidR="005A4818">
        <w:rPr>
          <w:lang w:val="es-ES"/>
        </w:rPr>
        <w:t>Carvajal,</w:t>
      </w:r>
      <w:r w:rsidRPr="006D1210">
        <w:rPr>
          <w:lang w:val="es-ES"/>
        </w:rPr>
        <w:t xml:space="preserve"> G</w:t>
      </w:r>
      <w:r w:rsidR="005A4818">
        <w:rPr>
          <w:lang w:val="es-ES"/>
        </w:rPr>
        <w:t>.;</w:t>
      </w:r>
      <w:r w:rsidRPr="006D1210">
        <w:rPr>
          <w:lang w:val="es-ES"/>
        </w:rPr>
        <w:t xml:space="preserve"> Fuentes</w:t>
      </w:r>
      <w:r w:rsidR="005A4818">
        <w:rPr>
          <w:lang w:val="es-ES"/>
        </w:rPr>
        <w:t xml:space="preserve">, </w:t>
      </w:r>
      <w:r w:rsidRPr="006D1210">
        <w:rPr>
          <w:lang w:val="es-ES"/>
        </w:rPr>
        <w:t>A</w:t>
      </w:r>
      <w:r w:rsidR="005A4818">
        <w:rPr>
          <w:lang w:val="es-ES"/>
        </w:rPr>
        <w:t>.;</w:t>
      </w:r>
      <w:r w:rsidRPr="006D1210">
        <w:rPr>
          <w:lang w:val="es-ES"/>
        </w:rPr>
        <w:t xml:space="preserve"> Caparros</w:t>
      </w:r>
      <w:r w:rsidR="005A4818">
        <w:rPr>
          <w:lang w:val="es-ES"/>
        </w:rPr>
        <w:t xml:space="preserve">, </w:t>
      </w:r>
      <w:r w:rsidRPr="006D1210">
        <w:rPr>
          <w:lang w:val="es-ES"/>
        </w:rPr>
        <w:t>N</w:t>
      </w:r>
      <w:r w:rsidR="005A4818">
        <w:rPr>
          <w:lang w:val="es-ES"/>
        </w:rPr>
        <w:t>.;</w:t>
      </w:r>
      <w:r w:rsidRPr="006D1210">
        <w:rPr>
          <w:lang w:val="es-ES"/>
        </w:rPr>
        <w:t xml:space="preserve"> Ruiz de </w:t>
      </w:r>
      <w:proofErr w:type="spellStart"/>
      <w:r w:rsidRPr="006D1210">
        <w:rPr>
          <w:lang w:val="es-ES"/>
        </w:rPr>
        <w:t>Ocenda</w:t>
      </w:r>
      <w:proofErr w:type="spellEnd"/>
      <w:r w:rsidR="005A4818">
        <w:rPr>
          <w:lang w:val="es-ES"/>
        </w:rPr>
        <w:t xml:space="preserve">, </w:t>
      </w:r>
      <w:r w:rsidRPr="006D1210">
        <w:rPr>
          <w:lang w:val="es-ES"/>
        </w:rPr>
        <w:t>M</w:t>
      </w:r>
      <w:r w:rsidR="005A4818">
        <w:rPr>
          <w:lang w:val="es-ES"/>
        </w:rPr>
        <w:t>.</w:t>
      </w:r>
      <w:r w:rsidRPr="006D1210">
        <w:rPr>
          <w:lang w:val="es-ES"/>
        </w:rPr>
        <w:t>I</w:t>
      </w:r>
      <w:r w:rsidR="005A4818">
        <w:rPr>
          <w:lang w:val="es-ES"/>
        </w:rPr>
        <w:t>.;</w:t>
      </w:r>
      <w:r w:rsidRPr="006D1210">
        <w:rPr>
          <w:lang w:val="es-ES"/>
        </w:rPr>
        <w:t xml:space="preserve"> et al. </w:t>
      </w:r>
      <w:r>
        <w:t xml:space="preserve">International psychometric validation of the </w:t>
      </w:r>
      <w:proofErr w:type="gramStart"/>
      <w:r>
        <w:t>Living</w:t>
      </w:r>
      <w:proofErr w:type="gramEnd"/>
      <w:r>
        <w:t xml:space="preserve"> with Chronic Illness Scale in Spanish speaking population with chronic heart failure. </w:t>
      </w:r>
      <w:r w:rsidRPr="005A4818">
        <w:rPr>
          <w:i/>
          <w:iCs/>
        </w:rPr>
        <w:t>IJERPH.</w:t>
      </w:r>
      <w:r>
        <w:t xml:space="preserve"> 2021 Jan 18;572: 1-13. Doi: 10.3390/ijerph18020572</w:t>
      </w:r>
    </w:p>
    <w:p w14:paraId="591DB387" w14:textId="0DE27DD7" w:rsidR="006D1210" w:rsidRPr="005A4818" w:rsidRDefault="006D1210" w:rsidP="006D1210">
      <w:pPr>
        <w:pStyle w:val="MDPI71References"/>
        <w:rPr>
          <w:lang w:val="es-ES"/>
        </w:rPr>
      </w:pPr>
      <w:r w:rsidRPr="006D1210">
        <w:rPr>
          <w:lang w:val="es-ES"/>
        </w:rPr>
        <w:t>Ambrosio</w:t>
      </w:r>
      <w:r w:rsidR="005A4818">
        <w:rPr>
          <w:lang w:val="es-ES"/>
        </w:rPr>
        <w:t xml:space="preserve">, </w:t>
      </w:r>
      <w:r w:rsidRPr="006D1210">
        <w:rPr>
          <w:lang w:val="es-ES"/>
        </w:rPr>
        <w:t>L</w:t>
      </w:r>
      <w:r w:rsidR="005A4818">
        <w:rPr>
          <w:lang w:val="es-ES"/>
        </w:rPr>
        <w:t>.;</w:t>
      </w:r>
      <w:r w:rsidRPr="006D1210">
        <w:rPr>
          <w:lang w:val="es-ES"/>
        </w:rPr>
        <w:t xml:space="preserve"> </w:t>
      </w:r>
      <w:proofErr w:type="spellStart"/>
      <w:r w:rsidRPr="006D1210">
        <w:rPr>
          <w:lang w:val="es-ES"/>
        </w:rPr>
        <w:t>Navarta-Sanchez</w:t>
      </w:r>
      <w:proofErr w:type="spellEnd"/>
      <w:r w:rsidR="005A4818">
        <w:rPr>
          <w:lang w:val="es-ES"/>
        </w:rPr>
        <w:t>,</w:t>
      </w:r>
      <w:r w:rsidRPr="006D1210">
        <w:rPr>
          <w:lang w:val="es-ES"/>
        </w:rPr>
        <w:t xml:space="preserve"> M</w:t>
      </w:r>
      <w:r w:rsidR="005A4818">
        <w:rPr>
          <w:lang w:val="es-ES"/>
        </w:rPr>
        <w:t>.</w:t>
      </w:r>
      <w:r w:rsidRPr="006D1210">
        <w:rPr>
          <w:lang w:val="es-ES"/>
        </w:rPr>
        <w:t>V</w:t>
      </w:r>
      <w:r w:rsidR="005A4818">
        <w:rPr>
          <w:lang w:val="es-ES"/>
        </w:rPr>
        <w:t>.;</w:t>
      </w:r>
      <w:r w:rsidRPr="006D1210">
        <w:rPr>
          <w:lang w:val="es-ES"/>
        </w:rPr>
        <w:t xml:space="preserve"> Meneses</w:t>
      </w:r>
      <w:r w:rsidR="005A4818">
        <w:rPr>
          <w:lang w:val="es-ES"/>
        </w:rPr>
        <w:t>,</w:t>
      </w:r>
      <w:r w:rsidRPr="006D1210">
        <w:rPr>
          <w:lang w:val="es-ES"/>
        </w:rPr>
        <w:t xml:space="preserve"> A</w:t>
      </w:r>
      <w:r w:rsidR="005A4818">
        <w:rPr>
          <w:lang w:val="es-ES"/>
        </w:rPr>
        <w:t>.;</w:t>
      </w:r>
      <w:r w:rsidRPr="006D1210">
        <w:rPr>
          <w:lang w:val="es-ES"/>
        </w:rPr>
        <w:t xml:space="preserve"> Rodríguez-Blázquez</w:t>
      </w:r>
      <w:r w:rsidR="005A4818">
        <w:rPr>
          <w:lang w:val="es-ES"/>
        </w:rPr>
        <w:t>,</w:t>
      </w:r>
      <w:r w:rsidRPr="006D1210">
        <w:rPr>
          <w:lang w:val="es-ES"/>
        </w:rPr>
        <w:t xml:space="preserve"> C. Escala de Convivencia con un proceso crónico: estudio piloto en pacientes con enfermedades crónicas. </w:t>
      </w:r>
      <w:r w:rsidRPr="005A4818">
        <w:rPr>
          <w:i/>
          <w:iCs/>
          <w:lang w:val="es-ES"/>
        </w:rPr>
        <w:t>Aten</w:t>
      </w:r>
      <w:r w:rsidR="005A4818" w:rsidRPr="005A4818">
        <w:rPr>
          <w:i/>
          <w:iCs/>
          <w:lang w:val="es-ES"/>
        </w:rPr>
        <w:t>.</w:t>
      </w:r>
      <w:r w:rsidRPr="005A4818">
        <w:rPr>
          <w:i/>
          <w:iCs/>
          <w:lang w:val="es-ES"/>
        </w:rPr>
        <w:t xml:space="preserve"> Prim. </w:t>
      </w:r>
      <w:r w:rsidRPr="005A4818">
        <w:rPr>
          <w:lang w:val="es-ES"/>
        </w:rPr>
        <w:t>2020;52(3): 142-150.</w:t>
      </w:r>
    </w:p>
    <w:p w14:paraId="637D294B" w14:textId="7400AEAC" w:rsidR="006D1210" w:rsidRDefault="006D1210" w:rsidP="006D1210">
      <w:pPr>
        <w:pStyle w:val="MDPI71References"/>
      </w:pPr>
      <w:r w:rsidRPr="006D1210">
        <w:rPr>
          <w:lang w:val="es-ES"/>
        </w:rPr>
        <w:t>Ayala</w:t>
      </w:r>
      <w:r w:rsidR="009B4AB1">
        <w:rPr>
          <w:lang w:val="es-ES"/>
        </w:rPr>
        <w:t xml:space="preserve">, </w:t>
      </w:r>
      <w:r w:rsidRPr="006D1210">
        <w:rPr>
          <w:lang w:val="es-ES"/>
        </w:rPr>
        <w:t>A</w:t>
      </w:r>
      <w:r w:rsidR="009B4AB1">
        <w:rPr>
          <w:lang w:val="es-ES"/>
        </w:rPr>
        <w:t>.;</w:t>
      </w:r>
      <w:r w:rsidRPr="006D1210">
        <w:rPr>
          <w:lang w:val="es-ES"/>
        </w:rPr>
        <w:t xml:space="preserve"> Rodríguez-Blázquez</w:t>
      </w:r>
      <w:r w:rsidR="009B4AB1">
        <w:rPr>
          <w:lang w:val="es-ES"/>
        </w:rPr>
        <w:t>,</w:t>
      </w:r>
      <w:r w:rsidRPr="006D1210">
        <w:rPr>
          <w:lang w:val="es-ES"/>
        </w:rPr>
        <w:t xml:space="preserve"> C</w:t>
      </w:r>
      <w:r w:rsidR="009B4AB1">
        <w:rPr>
          <w:lang w:val="es-ES"/>
        </w:rPr>
        <w:t>.;</w:t>
      </w:r>
      <w:r w:rsidRPr="006D1210">
        <w:rPr>
          <w:lang w:val="es-ES"/>
        </w:rPr>
        <w:t xml:space="preserve"> Frades-Payo</w:t>
      </w:r>
      <w:r w:rsidR="009B4AB1">
        <w:rPr>
          <w:lang w:val="es-ES"/>
        </w:rPr>
        <w:t xml:space="preserve">, </w:t>
      </w:r>
      <w:r w:rsidRPr="006D1210">
        <w:rPr>
          <w:lang w:val="es-ES"/>
        </w:rPr>
        <w:t>B</w:t>
      </w:r>
      <w:r w:rsidR="009B4AB1">
        <w:rPr>
          <w:lang w:val="es-ES"/>
        </w:rPr>
        <w:t>.;</w:t>
      </w:r>
      <w:r w:rsidRPr="006D1210">
        <w:rPr>
          <w:lang w:val="es-ES"/>
        </w:rPr>
        <w:t xml:space="preserve"> </w:t>
      </w:r>
      <w:proofErr w:type="spellStart"/>
      <w:r w:rsidRPr="006D1210">
        <w:rPr>
          <w:lang w:val="es-ES"/>
        </w:rPr>
        <w:t>Forjaz</w:t>
      </w:r>
      <w:proofErr w:type="spellEnd"/>
      <w:r w:rsidR="009B4AB1">
        <w:rPr>
          <w:lang w:val="es-ES"/>
        </w:rPr>
        <w:t xml:space="preserve">, </w:t>
      </w:r>
      <w:r w:rsidRPr="006D1210">
        <w:rPr>
          <w:lang w:val="es-ES"/>
        </w:rPr>
        <w:t>M</w:t>
      </w:r>
      <w:r w:rsidR="009B4AB1">
        <w:rPr>
          <w:lang w:val="es-ES"/>
        </w:rPr>
        <w:t>.</w:t>
      </w:r>
      <w:r w:rsidRPr="006D1210">
        <w:rPr>
          <w:lang w:val="es-ES"/>
        </w:rPr>
        <w:t>J</w:t>
      </w:r>
      <w:r w:rsidR="009B4AB1">
        <w:rPr>
          <w:lang w:val="es-ES"/>
        </w:rPr>
        <w:t>.;</w:t>
      </w:r>
      <w:r w:rsidRPr="006D1210">
        <w:rPr>
          <w:lang w:val="es-ES"/>
        </w:rPr>
        <w:t xml:space="preserve"> Martínez-Martín</w:t>
      </w:r>
      <w:r w:rsidR="009B4AB1">
        <w:rPr>
          <w:lang w:val="es-ES"/>
        </w:rPr>
        <w:t>,</w:t>
      </w:r>
      <w:r w:rsidRPr="006D1210">
        <w:rPr>
          <w:lang w:val="es-ES"/>
        </w:rPr>
        <w:t xml:space="preserve"> P</w:t>
      </w:r>
      <w:r w:rsidR="009B4AB1">
        <w:rPr>
          <w:lang w:val="es-ES"/>
        </w:rPr>
        <w:t>.;</w:t>
      </w:r>
      <w:r w:rsidRPr="006D1210">
        <w:rPr>
          <w:lang w:val="es-ES"/>
        </w:rPr>
        <w:t xml:space="preserve"> Fernández-Mayoralas</w:t>
      </w:r>
      <w:r w:rsidR="009B4AB1">
        <w:rPr>
          <w:lang w:val="es-ES"/>
        </w:rPr>
        <w:t>,</w:t>
      </w:r>
      <w:r w:rsidRPr="006D1210">
        <w:rPr>
          <w:lang w:val="es-ES"/>
        </w:rPr>
        <w:t xml:space="preserve"> G</w:t>
      </w:r>
      <w:r w:rsidR="009B4AB1">
        <w:rPr>
          <w:lang w:val="es-ES"/>
        </w:rPr>
        <w:t>.;</w:t>
      </w:r>
      <w:r w:rsidRPr="006D1210">
        <w:rPr>
          <w:lang w:val="es-ES"/>
        </w:rPr>
        <w:t xml:space="preserve"> et al. Propiedades psicométricas del Cuestionario de Apoyo Social Funcional y de la Escala de Soledad en adultos mayores no institucionalizados en España. </w:t>
      </w:r>
      <w:proofErr w:type="spellStart"/>
      <w:r w:rsidRPr="00935F4E">
        <w:rPr>
          <w:i/>
          <w:iCs/>
          <w:lang w:val="es-ES"/>
        </w:rPr>
        <w:t>Gac</w:t>
      </w:r>
      <w:proofErr w:type="spellEnd"/>
      <w:r w:rsidR="009B4AB1" w:rsidRPr="00935F4E">
        <w:rPr>
          <w:i/>
          <w:iCs/>
          <w:lang w:val="es-ES"/>
        </w:rPr>
        <w:t>.</w:t>
      </w:r>
      <w:r w:rsidRPr="00935F4E">
        <w:rPr>
          <w:i/>
          <w:iCs/>
          <w:lang w:val="es-ES"/>
        </w:rPr>
        <w:t xml:space="preserve"> </w:t>
      </w:r>
      <w:proofErr w:type="spellStart"/>
      <w:r w:rsidRPr="00935F4E">
        <w:rPr>
          <w:i/>
          <w:iCs/>
          <w:lang w:val="es-ES"/>
        </w:rPr>
        <w:t>Sanit</w:t>
      </w:r>
      <w:proofErr w:type="spellEnd"/>
      <w:r w:rsidRPr="00935F4E">
        <w:rPr>
          <w:i/>
          <w:iCs/>
          <w:lang w:val="es-ES"/>
        </w:rPr>
        <w:t>.</w:t>
      </w:r>
      <w:r w:rsidRPr="00935F4E">
        <w:rPr>
          <w:lang w:val="es-ES"/>
        </w:rPr>
        <w:t xml:space="preserve"> </w:t>
      </w:r>
      <w:r>
        <w:t>2012;26(4): 317-324.</w:t>
      </w:r>
    </w:p>
    <w:p w14:paraId="53A607A0" w14:textId="59FC3E45" w:rsidR="006D1210" w:rsidRDefault="006D1210" w:rsidP="006D1210">
      <w:pPr>
        <w:pStyle w:val="MDPI71References"/>
      </w:pPr>
      <w:r>
        <w:lastRenderedPageBreak/>
        <w:t>Broadhead</w:t>
      </w:r>
      <w:r w:rsidR="009B4AB1">
        <w:t xml:space="preserve">, </w:t>
      </w:r>
      <w:r>
        <w:t>W</w:t>
      </w:r>
      <w:r w:rsidR="009B4AB1">
        <w:t>.</w:t>
      </w:r>
      <w:r>
        <w:t>E</w:t>
      </w:r>
      <w:r w:rsidR="009B4AB1">
        <w:t>.;</w:t>
      </w:r>
      <w:r>
        <w:t xml:space="preserve"> </w:t>
      </w:r>
      <w:proofErr w:type="spellStart"/>
      <w:r>
        <w:t>Gehlbach</w:t>
      </w:r>
      <w:proofErr w:type="spellEnd"/>
      <w:r w:rsidR="009B4AB1">
        <w:t>,</w:t>
      </w:r>
      <w:r>
        <w:t xml:space="preserve"> S</w:t>
      </w:r>
      <w:r w:rsidR="009B4AB1">
        <w:t>.</w:t>
      </w:r>
      <w:r>
        <w:t>H</w:t>
      </w:r>
      <w:r w:rsidR="009B4AB1">
        <w:t>.;</w:t>
      </w:r>
      <w:r>
        <w:t xml:space="preserve"> de </w:t>
      </w:r>
      <w:proofErr w:type="spellStart"/>
      <w:r>
        <w:t>Gruy</w:t>
      </w:r>
      <w:proofErr w:type="spellEnd"/>
      <w:r w:rsidR="009B4AB1">
        <w:t xml:space="preserve">, </w:t>
      </w:r>
      <w:r>
        <w:t>F</w:t>
      </w:r>
      <w:r w:rsidR="009B4AB1">
        <w:t>.</w:t>
      </w:r>
      <w:r>
        <w:t>V</w:t>
      </w:r>
      <w:r w:rsidR="009B4AB1">
        <w:t>.;</w:t>
      </w:r>
      <w:r>
        <w:t xml:space="preserve"> Kaplan</w:t>
      </w:r>
      <w:r w:rsidR="009B4AB1">
        <w:t>,</w:t>
      </w:r>
      <w:r>
        <w:t xml:space="preserve"> B</w:t>
      </w:r>
      <w:r w:rsidR="009B4AB1">
        <w:t>.</w:t>
      </w:r>
      <w:r>
        <w:t xml:space="preserve">H. The </w:t>
      </w:r>
      <w:proofErr w:type="gramStart"/>
      <w:r>
        <w:t>Duke</w:t>
      </w:r>
      <w:proofErr w:type="gramEnd"/>
      <w:r>
        <w:t xml:space="preserve">-UNC Functional Social Support Questionnaire, Measurement of social support in family medicine patients. </w:t>
      </w:r>
      <w:r w:rsidRPr="009B4AB1">
        <w:rPr>
          <w:i/>
          <w:iCs/>
        </w:rPr>
        <w:t>Med</w:t>
      </w:r>
      <w:r w:rsidR="009B4AB1" w:rsidRPr="009B4AB1">
        <w:rPr>
          <w:i/>
          <w:iCs/>
        </w:rPr>
        <w:t>.</w:t>
      </w:r>
      <w:r w:rsidRPr="009B4AB1">
        <w:rPr>
          <w:i/>
          <w:iCs/>
        </w:rPr>
        <w:t xml:space="preserve"> Care.</w:t>
      </w:r>
      <w:r>
        <w:t xml:space="preserve"> 1988;26(7): 709-7.</w:t>
      </w:r>
    </w:p>
    <w:p w14:paraId="237F55C0" w14:textId="1ADA8A49" w:rsidR="006D1210" w:rsidRDefault="006D1210" w:rsidP="006D1210">
      <w:pPr>
        <w:pStyle w:val="MDPI71References"/>
      </w:pPr>
      <w:proofErr w:type="spellStart"/>
      <w:r>
        <w:t>Mazaheri</w:t>
      </w:r>
      <w:proofErr w:type="spellEnd"/>
      <w:r w:rsidR="00D76F5B">
        <w:t xml:space="preserve">, </w:t>
      </w:r>
      <w:r>
        <w:t>M</w:t>
      </w:r>
      <w:r w:rsidR="00D76F5B">
        <w:t>.;</w:t>
      </w:r>
      <w:r>
        <w:t xml:space="preserve"> </w:t>
      </w:r>
      <w:proofErr w:type="spellStart"/>
      <w:r>
        <w:t>Theuns</w:t>
      </w:r>
      <w:proofErr w:type="spellEnd"/>
      <w:r w:rsidR="00D76F5B">
        <w:t>,</w:t>
      </w:r>
      <w:r>
        <w:t xml:space="preserve"> P. A study of how satisfaction and dissatisfaction with life overall relate to satisfaction and dissatisfaction in specific life domains. </w:t>
      </w:r>
      <w:r w:rsidRPr="00D76F5B">
        <w:rPr>
          <w:i/>
          <w:iCs/>
        </w:rPr>
        <w:t>PRO Newsletter.</w:t>
      </w:r>
      <w:r>
        <w:t xml:space="preserve"> 2006;37: 24-27.</w:t>
      </w:r>
    </w:p>
    <w:p w14:paraId="67096B4F" w14:textId="0A6655B9" w:rsidR="006D1210" w:rsidRDefault="006D1210" w:rsidP="006D1210">
      <w:pPr>
        <w:pStyle w:val="MDPI71References"/>
      </w:pPr>
      <w:proofErr w:type="spellStart"/>
      <w:r>
        <w:t>Viktrup</w:t>
      </w:r>
      <w:proofErr w:type="spellEnd"/>
      <w:r w:rsidR="00E37D5C">
        <w:t xml:space="preserve">, </w:t>
      </w:r>
      <w:r>
        <w:t>L</w:t>
      </w:r>
      <w:r w:rsidR="00E37D5C">
        <w:t>.;</w:t>
      </w:r>
      <w:r>
        <w:t xml:space="preserve"> Hayes</w:t>
      </w:r>
      <w:r w:rsidR="00E37D5C">
        <w:t>,</w:t>
      </w:r>
      <w:r>
        <w:t xml:space="preserve"> R</w:t>
      </w:r>
      <w:r w:rsidR="00E37D5C">
        <w:t>.</w:t>
      </w:r>
      <w:r>
        <w:t>P</w:t>
      </w:r>
      <w:r w:rsidR="00E37D5C">
        <w:t>.;</w:t>
      </w:r>
      <w:r>
        <w:t xml:space="preserve"> Wang</w:t>
      </w:r>
      <w:r w:rsidR="00E37D5C">
        <w:t>,</w:t>
      </w:r>
      <w:r>
        <w:t xml:space="preserve"> P</w:t>
      </w:r>
      <w:r w:rsidR="00E37D5C">
        <w:t>.;</w:t>
      </w:r>
      <w:r>
        <w:t xml:space="preserve"> Shen</w:t>
      </w:r>
      <w:r w:rsidR="00E37D5C">
        <w:t>,</w:t>
      </w:r>
      <w:r>
        <w:t xml:space="preserve"> W. Construct validation of patient global impression of severity (PGI-S) and improvement (PGI-I) questionnaires in the treatment of men with lower urinary tract symptoms secondary to benign prostatic hyperplasia. </w:t>
      </w:r>
      <w:r w:rsidRPr="00E37D5C">
        <w:rPr>
          <w:i/>
          <w:iCs/>
        </w:rPr>
        <w:t xml:space="preserve">BMC </w:t>
      </w:r>
      <w:proofErr w:type="spellStart"/>
      <w:r w:rsidRPr="00E37D5C">
        <w:rPr>
          <w:i/>
          <w:iCs/>
        </w:rPr>
        <w:t>Pulm</w:t>
      </w:r>
      <w:proofErr w:type="spellEnd"/>
      <w:r w:rsidR="00E37D5C" w:rsidRPr="00E37D5C">
        <w:rPr>
          <w:i/>
          <w:iCs/>
        </w:rPr>
        <w:t>.</w:t>
      </w:r>
      <w:r w:rsidRPr="00E37D5C">
        <w:rPr>
          <w:i/>
          <w:iCs/>
        </w:rPr>
        <w:t xml:space="preserve"> Med.</w:t>
      </w:r>
      <w:r>
        <w:t xml:space="preserve"> 2011 Jun 1;11: 34. </w:t>
      </w:r>
    </w:p>
    <w:p w14:paraId="6F669741" w14:textId="1407C2DE" w:rsidR="006D1210" w:rsidRDefault="006D1210" w:rsidP="006D1210">
      <w:pPr>
        <w:pStyle w:val="MDPI71References"/>
      </w:pPr>
      <w:r>
        <w:t>Martinez</w:t>
      </w:r>
      <w:r w:rsidR="00E37D5C">
        <w:t>,</w:t>
      </w:r>
      <w:r>
        <w:t xml:space="preserve"> P</w:t>
      </w:r>
      <w:r w:rsidR="00E37D5C">
        <w:t>.;</w:t>
      </w:r>
      <w:r>
        <w:t xml:space="preserve"> Rodriguez</w:t>
      </w:r>
      <w:r w:rsidR="00E37D5C">
        <w:t>,</w:t>
      </w:r>
      <w:r>
        <w:t xml:space="preserve"> C</w:t>
      </w:r>
      <w:r w:rsidR="00E37D5C">
        <w:t>.;</w:t>
      </w:r>
      <w:r>
        <w:t xml:space="preserve"> Alvarez</w:t>
      </w:r>
      <w:r w:rsidR="00E37D5C">
        <w:t>,</w:t>
      </w:r>
      <w:r>
        <w:t xml:space="preserve"> M. Parkinson’s disease severity levels and MDS-Unified Parkinson’s Disease Rating Scale. </w:t>
      </w:r>
      <w:r w:rsidRPr="00E37D5C">
        <w:rPr>
          <w:i/>
          <w:iCs/>
        </w:rPr>
        <w:t>Parkinsonism &amp; Related Dis.</w:t>
      </w:r>
      <w:r>
        <w:t xml:space="preserve"> 2015;21: 50-54. </w:t>
      </w:r>
      <w:proofErr w:type="gramStart"/>
      <w:r>
        <w:t>Doi:10.1016/j.parkreldis</w:t>
      </w:r>
      <w:proofErr w:type="gramEnd"/>
      <w:r>
        <w:t>.2014.10.026.</w:t>
      </w:r>
    </w:p>
    <w:p w14:paraId="4DC5857C" w14:textId="77018A6D" w:rsidR="006D1210" w:rsidRDefault="006D1210" w:rsidP="006D1210">
      <w:pPr>
        <w:pStyle w:val="MDPI71References"/>
      </w:pPr>
      <w:r>
        <w:t>Portillo</w:t>
      </w:r>
      <w:r w:rsidR="00E37D5C">
        <w:t>,</w:t>
      </w:r>
      <w:r>
        <w:t xml:space="preserve"> M</w:t>
      </w:r>
      <w:r w:rsidR="00E37D5C">
        <w:t>.</w:t>
      </w:r>
      <w:r>
        <w:t>C</w:t>
      </w:r>
      <w:r w:rsidR="00E37D5C">
        <w:t>.;</w:t>
      </w:r>
      <w:r>
        <w:t xml:space="preserve"> Kennedy</w:t>
      </w:r>
      <w:r w:rsidR="00E37D5C">
        <w:t xml:space="preserve">, </w:t>
      </w:r>
      <w:r>
        <w:t>A</w:t>
      </w:r>
      <w:r w:rsidR="00E37D5C">
        <w:t>.;</w:t>
      </w:r>
      <w:r>
        <w:t xml:space="preserve"> Todorova</w:t>
      </w:r>
      <w:r w:rsidR="00E37D5C">
        <w:t xml:space="preserve">, </w:t>
      </w:r>
      <w:r>
        <w:t>E</w:t>
      </w:r>
      <w:r w:rsidR="00E37D5C">
        <w:t>.;</w:t>
      </w:r>
      <w:r>
        <w:t xml:space="preserve"> </w:t>
      </w:r>
      <w:proofErr w:type="spellStart"/>
      <w:r>
        <w:t>Regaira</w:t>
      </w:r>
      <w:proofErr w:type="spellEnd"/>
      <w:r w:rsidR="00E37D5C">
        <w:t>,</w:t>
      </w:r>
      <w:r>
        <w:t xml:space="preserve"> E</w:t>
      </w:r>
      <w:r w:rsidR="00E37D5C">
        <w:t>.;</w:t>
      </w:r>
      <w:r>
        <w:t xml:space="preserve"> </w:t>
      </w:r>
      <w:proofErr w:type="spellStart"/>
      <w:r>
        <w:t>Wensing</w:t>
      </w:r>
      <w:proofErr w:type="spellEnd"/>
      <w:r w:rsidR="00E37D5C">
        <w:t>,</w:t>
      </w:r>
      <w:r>
        <w:t xml:space="preserve"> M</w:t>
      </w:r>
      <w:r w:rsidR="00E37D5C">
        <w:t>.;</w:t>
      </w:r>
      <w:r>
        <w:t xml:space="preserve"> Foss</w:t>
      </w:r>
      <w:r w:rsidR="00E37D5C">
        <w:t>,</w:t>
      </w:r>
      <w:r>
        <w:t xml:space="preserve"> C</w:t>
      </w:r>
      <w:r w:rsidR="00E37D5C">
        <w:t>.</w:t>
      </w:r>
      <w:r>
        <w:t xml:space="preserve"> et al. Interventions and working relationships of voluntary </w:t>
      </w:r>
      <w:proofErr w:type="spellStart"/>
      <w:r>
        <w:t>organisations</w:t>
      </w:r>
      <w:proofErr w:type="spellEnd"/>
      <w:r>
        <w:t xml:space="preserve"> for diabetes self-management: A cross-national study. </w:t>
      </w:r>
      <w:r w:rsidRPr="00E37D5C">
        <w:rPr>
          <w:i/>
          <w:iCs/>
        </w:rPr>
        <w:t>Int</w:t>
      </w:r>
      <w:r w:rsidR="00E37D5C" w:rsidRPr="00E37D5C">
        <w:rPr>
          <w:i/>
          <w:iCs/>
        </w:rPr>
        <w:t>.</w:t>
      </w:r>
      <w:r w:rsidRPr="00E37D5C">
        <w:rPr>
          <w:i/>
          <w:iCs/>
        </w:rPr>
        <w:t xml:space="preserve"> J</w:t>
      </w:r>
      <w:r w:rsidR="00E37D5C" w:rsidRPr="00E37D5C">
        <w:rPr>
          <w:i/>
          <w:iCs/>
        </w:rPr>
        <w:t>.</w:t>
      </w:r>
      <w:r w:rsidRPr="00E37D5C">
        <w:rPr>
          <w:i/>
          <w:iCs/>
        </w:rPr>
        <w:t xml:space="preserve"> </w:t>
      </w:r>
      <w:proofErr w:type="spellStart"/>
      <w:r w:rsidRPr="00E37D5C">
        <w:rPr>
          <w:i/>
          <w:iCs/>
        </w:rPr>
        <w:t>Nurs</w:t>
      </w:r>
      <w:proofErr w:type="spellEnd"/>
      <w:r w:rsidR="00E37D5C" w:rsidRPr="00E37D5C">
        <w:rPr>
          <w:i/>
          <w:iCs/>
        </w:rPr>
        <w:t>.</w:t>
      </w:r>
      <w:r w:rsidRPr="00E37D5C">
        <w:rPr>
          <w:i/>
          <w:iCs/>
        </w:rPr>
        <w:t xml:space="preserve"> Stud.</w:t>
      </w:r>
      <w:r>
        <w:t xml:space="preserve"> 2017 May; 17:58-70. Doi: 10.1016/j.ijnurstu.2017.02.001.</w:t>
      </w:r>
    </w:p>
    <w:p w14:paraId="2D9EBD0A" w14:textId="5AAA2A5C" w:rsidR="006D1210" w:rsidRDefault="006D1210" w:rsidP="006D1210">
      <w:pPr>
        <w:pStyle w:val="MDPI71References"/>
      </w:pPr>
      <w:r>
        <w:t>Welch</w:t>
      </w:r>
      <w:r w:rsidR="00EF073D">
        <w:t>,</w:t>
      </w:r>
      <w:r>
        <w:t xml:space="preserve"> L</w:t>
      </w:r>
      <w:r w:rsidR="00EF073D">
        <w:t>.;</w:t>
      </w:r>
      <w:r>
        <w:t xml:space="preserve"> Orlando</w:t>
      </w:r>
      <w:r w:rsidR="00EF073D">
        <w:t>,</w:t>
      </w:r>
      <w:r>
        <w:t xml:space="preserve"> R</w:t>
      </w:r>
      <w:r w:rsidR="00EF073D">
        <w:t>.;</w:t>
      </w:r>
      <w:r>
        <w:t xml:space="preserve"> Lin</w:t>
      </w:r>
      <w:r w:rsidR="00EF073D">
        <w:t>,</w:t>
      </w:r>
      <w:r>
        <w:t xml:space="preserve"> S</w:t>
      </w:r>
      <w:r w:rsidR="00EF073D">
        <w:t>.</w:t>
      </w:r>
      <w:r>
        <w:t>X</w:t>
      </w:r>
      <w:r w:rsidR="00EF073D">
        <w:t>.;</w:t>
      </w:r>
      <w:r>
        <w:t xml:space="preserve"> </w:t>
      </w:r>
      <w:proofErr w:type="spellStart"/>
      <w:r>
        <w:t>Vassilev</w:t>
      </w:r>
      <w:proofErr w:type="spellEnd"/>
      <w:r w:rsidR="00EF073D">
        <w:t>,</w:t>
      </w:r>
      <w:r>
        <w:t xml:space="preserve"> I</w:t>
      </w:r>
      <w:r w:rsidR="00EF073D">
        <w:t>.;</w:t>
      </w:r>
      <w:r>
        <w:t xml:space="preserve"> Rogers</w:t>
      </w:r>
      <w:r w:rsidR="00EF073D">
        <w:t>,</w:t>
      </w:r>
      <w:r>
        <w:t xml:space="preserve"> A. Findings from a pilot </w:t>
      </w:r>
      <w:proofErr w:type="spellStart"/>
      <w:r>
        <w:t>randomised</w:t>
      </w:r>
      <w:proofErr w:type="spellEnd"/>
      <w:r>
        <w:t xml:space="preserve"> trial of a social network self-management intervention in COPD. </w:t>
      </w:r>
      <w:r w:rsidRPr="00EF073D">
        <w:rPr>
          <w:i/>
          <w:iCs/>
        </w:rPr>
        <w:t xml:space="preserve">MC </w:t>
      </w:r>
      <w:proofErr w:type="spellStart"/>
      <w:r w:rsidRPr="00EF073D">
        <w:rPr>
          <w:i/>
          <w:iCs/>
        </w:rPr>
        <w:t>Pulm</w:t>
      </w:r>
      <w:proofErr w:type="spellEnd"/>
      <w:r w:rsidR="00EF073D" w:rsidRPr="00EF073D">
        <w:rPr>
          <w:i/>
          <w:iCs/>
        </w:rPr>
        <w:t>.</w:t>
      </w:r>
      <w:r w:rsidRPr="00EF073D">
        <w:rPr>
          <w:i/>
          <w:iCs/>
        </w:rPr>
        <w:t xml:space="preserve"> Med.</w:t>
      </w:r>
      <w:r>
        <w:t xml:space="preserve"> 2020 Jun 8; 20(1): 162. Doi: 10.1186/s12890-020-1130-1.</w:t>
      </w:r>
    </w:p>
    <w:p w14:paraId="3DC6FE0D" w14:textId="06931E13" w:rsidR="006D1210" w:rsidRDefault="006D1210" w:rsidP="006D1210">
      <w:pPr>
        <w:pStyle w:val="MDPI71References"/>
      </w:pPr>
      <w:r>
        <w:t>Belanger</w:t>
      </w:r>
      <w:r w:rsidR="00560DF2">
        <w:t xml:space="preserve">, </w:t>
      </w:r>
      <w:r>
        <w:t>E</w:t>
      </w:r>
      <w:r w:rsidR="00560DF2">
        <w:t>.;</w:t>
      </w:r>
      <w:r>
        <w:t xml:space="preserve"> Ahmed</w:t>
      </w:r>
      <w:r w:rsidR="00560DF2">
        <w:t>,</w:t>
      </w:r>
      <w:r>
        <w:t xml:space="preserve"> T</w:t>
      </w:r>
      <w:r w:rsidR="00560DF2">
        <w:t>.;</w:t>
      </w:r>
      <w:r>
        <w:t xml:space="preserve"> </w:t>
      </w:r>
      <w:proofErr w:type="spellStart"/>
      <w:r>
        <w:t>Vafaei</w:t>
      </w:r>
      <w:proofErr w:type="spellEnd"/>
      <w:r w:rsidR="00560DF2">
        <w:t>,</w:t>
      </w:r>
      <w:r>
        <w:t xml:space="preserve"> A</w:t>
      </w:r>
      <w:r w:rsidR="00560DF2">
        <w:t>.;</w:t>
      </w:r>
      <w:r>
        <w:t xml:space="preserve"> Curcio</w:t>
      </w:r>
      <w:r w:rsidR="00560DF2">
        <w:t>,</w:t>
      </w:r>
      <w:r>
        <w:t xml:space="preserve"> C</w:t>
      </w:r>
      <w:r w:rsidR="00560DF2">
        <w:t>.</w:t>
      </w:r>
      <w:r>
        <w:t>L</w:t>
      </w:r>
      <w:r w:rsidR="00560DF2">
        <w:t>.;</w:t>
      </w:r>
      <w:r>
        <w:t xml:space="preserve"> Phillips</w:t>
      </w:r>
      <w:r w:rsidR="00560DF2">
        <w:t>,</w:t>
      </w:r>
      <w:r>
        <w:t xml:space="preserve"> S</w:t>
      </w:r>
      <w:r w:rsidR="00560DF2">
        <w:t>.</w:t>
      </w:r>
      <w:r>
        <w:t>P</w:t>
      </w:r>
      <w:r w:rsidR="00560DF2">
        <w:t>.;</w:t>
      </w:r>
      <w:r>
        <w:t xml:space="preserve"> </w:t>
      </w:r>
      <w:proofErr w:type="spellStart"/>
      <w:r>
        <w:t>Zunzunegui</w:t>
      </w:r>
      <w:proofErr w:type="spellEnd"/>
      <w:r w:rsidR="00560DF2">
        <w:t xml:space="preserve">, </w:t>
      </w:r>
      <w:r>
        <w:t>M</w:t>
      </w:r>
      <w:r w:rsidR="00560DF2">
        <w:t>.V</w:t>
      </w:r>
      <w:r>
        <w:t xml:space="preserve">. Sources of social support associated with health and quality of life: a cross-sectional study among Canadian and Latin American older adults. </w:t>
      </w:r>
      <w:r w:rsidRPr="00560DF2">
        <w:rPr>
          <w:i/>
          <w:iCs/>
        </w:rPr>
        <w:t>BMJ Open</w:t>
      </w:r>
      <w:r>
        <w:t>. 2016 Jun 28;6(6): e011503. Doi: 10.1136/bmjopen-2016-011503.</w:t>
      </w:r>
    </w:p>
    <w:p w14:paraId="160D1543" w14:textId="2A954E7A" w:rsidR="006D1210" w:rsidRDefault="006D1210" w:rsidP="006D1210">
      <w:pPr>
        <w:pStyle w:val="MDPI71References"/>
      </w:pPr>
      <w:r>
        <w:t>Heinze</w:t>
      </w:r>
      <w:r w:rsidR="00560DF2">
        <w:t>,</w:t>
      </w:r>
      <w:r>
        <w:t xml:space="preserve"> J</w:t>
      </w:r>
      <w:r w:rsidR="00560DF2">
        <w:t>.</w:t>
      </w:r>
      <w:r>
        <w:t>E</w:t>
      </w:r>
      <w:r w:rsidR="00560DF2">
        <w:t>.;</w:t>
      </w:r>
      <w:r>
        <w:t xml:space="preserve"> Kruger</w:t>
      </w:r>
      <w:r w:rsidR="00560DF2">
        <w:t>,</w:t>
      </w:r>
      <w:r>
        <w:t xml:space="preserve"> D</w:t>
      </w:r>
      <w:r w:rsidR="00560DF2">
        <w:t>.</w:t>
      </w:r>
      <w:r>
        <w:t>J</w:t>
      </w:r>
      <w:r w:rsidR="00560DF2">
        <w:t>.;</w:t>
      </w:r>
      <w:r>
        <w:t xml:space="preserve"> </w:t>
      </w:r>
      <w:proofErr w:type="spellStart"/>
      <w:r>
        <w:t>Reischl</w:t>
      </w:r>
      <w:proofErr w:type="spellEnd"/>
      <w:r w:rsidR="00560DF2">
        <w:t>,</w:t>
      </w:r>
      <w:r>
        <w:t xml:space="preserve"> T</w:t>
      </w:r>
      <w:r w:rsidR="00560DF2">
        <w:t>.</w:t>
      </w:r>
      <w:r>
        <w:t>M</w:t>
      </w:r>
      <w:r w:rsidR="00560DF2">
        <w:t>.;</w:t>
      </w:r>
      <w:r>
        <w:t xml:space="preserve"> </w:t>
      </w:r>
      <w:proofErr w:type="spellStart"/>
      <w:r>
        <w:t>Cupal</w:t>
      </w:r>
      <w:proofErr w:type="spellEnd"/>
      <w:r w:rsidR="00560DF2">
        <w:t>,</w:t>
      </w:r>
      <w:r>
        <w:t xml:space="preserve"> S</w:t>
      </w:r>
      <w:r w:rsidR="00560DF2">
        <w:t>.;</w:t>
      </w:r>
      <w:r>
        <w:t xml:space="preserve"> Zimmerman</w:t>
      </w:r>
      <w:r w:rsidR="00560DF2">
        <w:t>,</w:t>
      </w:r>
      <w:r>
        <w:t xml:space="preserve"> M</w:t>
      </w:r>
      <w:r w:rsidR="00560DF2">
        <w:t>.</w:t>
      </w:r>
      <w:r>
        <w:t xml:space="preserve">A. Relationships Among Disease, Social Support, and Perceived Health: A Lifespan Approach. </w:t>
      </w:r>
      <w:r w:rsidRPr="00560DF2">
        <w:rPr>
          <w:i/>
          <w:iCs/>
        </w:rPr>
        <w:t>Am</w:t>
      </w:r>
      <w:r w:rsidR="00560DF2" w:rsidRPr="00560DF2">
        <w:rPr>
          <w:i/>
          <w:iCs/>
        </w:rPr>
        <w:t>.</w:t>
      </w:r>
      <w:r w:rsidRPr="00560DF2">
        <w:rPr>
          <w:i/>
          <w:iCs/>
        </w:rPr>
        <w:t xml:space="preserve"> J</w:t>
      </w:r>
      <w:r w:rsidR="00560DF2" w:rsidRPr="00560DF2">
        <w:rPr>
          <w:i/>
          <w:iCs/>
        </w:rPr>
        <w:t>.</w:t>
      </w:r>
      <w:r w:rsidRPr="00560DF2">
        <w:rPr>
          <w:i/>
          <w:iCs/>
        </w:rPr>
        <w:t xml:space="preserve"> Community Psychol</w:t>
      </w:r>
      <w:r>
        <w:t>. 2015 Dec;56(3-4): 268-79. Doi: 10.1007/s10464-015-9758-3. PMID: 26462808.</w:t>
      </w:r>
    </w:p>
    <w:p w14:paraId="0EF56B55" w14:textId="3B40752A" w:rsidR="006D1210" w:rsidRDefault="006D1210" w:rsidP="006D1210">
      <w:pPr>
        <w:pStyle w:val="MDPI71References"/>
      </w:pPr>
      <w:r w:rsidRPr="006D1210">
        <w:rPr>
          <w:lang w:val="es-ES"/>
        </w:rPr>
        <w:t>Ambrosio</w:t>
      </w:r>
      <w:r w:rsidR="00560DF2">
        <w:rPr>
          <w:lang w:val="es-ES"/>
        </w:rPr>
        <w:t>,</w:t>
      </w:r>
      <w:r w:rsidRPr="006D1210">
        <w:rPr>
          <w:lang w:val="es-ES"/>
        </w:rPr>
        <w:t xml:space="preserve"> L</w:t>
      </w:r>
      <w:r w:rsidR="00560DF2">
        <w:rPr>
          <w:lang w:val="es-ES"/>
        </w:rPr>
        <w:t>.;</w:t>
      </w:r>
      <w:r w:rsidRPr="006D1210">
        <w:rPr>
          <w:lang w:val="es-ES"/>
        </w:rPr>
        <w:t xml:space="preserve"> Portillo</w:t>
      </w:r>
      <w:r w:rsidR="00560DF2">
        <w:rPr>
          <w:lang w:val="es-ES"/>
        </w:rPr>
        <w:t>,</w:t>
      </w:r>
      <w:r w:rsidRPr="006D1210">
        <w:rPr>
          <w:lang w:val="es-ES"/>
        </w:rPr>
        <w:t xml:space="preserve"> M</w:t>
      </w:r>
      <w:r w:rsidR="00560DF2">
        <w:rPr>
          <w:lang w:val="es-ES"/>
        </w:rPr>
        <w:t>.</w:t>
      </w:r>
      <w:r w:rsidRPr="006D1210">
        <w:rPr>
          <w:lang w:val="es-ES"/>
        </w:rPr>
        <w:t>C</w:t>
      </w:r>
      <w:r w:rsidR="00560DF2">
        <w:rPr>
          <w:lang w:val="es-ES"/>
        </w:rPr>
        <w:t>.;</w:t>
      </w:r>
      <w:r w:rsidRPr="006D1210">
        <w:rPr>
          <w:lang w:val="es-ES"/>
        </w:rPr>
        <w:t xml:space="preserve"> </w:t>
      </w:r>
      <w:proofErr w:type="spellStart"/>
      <w:r w:rsidRPr="006D1210">
        <w:rPr>
          <w:lang w:val="es-ES"/>
        </w:rPr>
        <w:t>Rodriguez-Blazquez</w:t>
      </w:r>
      <w:proofErr w:type="spellEnd"/>
      <w:r w:rsidR="00560DF2">
        <w:rPr>
          <w:lang w:val="es-ES"/>
        </w:rPr>
        <w:t>,</w:t>
      </w:r>
      <w:r w:rsidRPr="006D1210">
        <w:rPr>
          <w:lang w:val="es-ES"/>
        </w:rPr>
        <w:t xml:space="preserve"> C</w:t>
      </w:r>
      <w:r w:rsidR="00560DF2">
        <w:rPr>
          <w:lang w:val="es-ES"/>
        </w:rPr>
        <w:t>.;</w:t>
      </w:r>
      <w:r w:rsidRPr="006D1210">
        <w:rPr>
          <w:lang w:val="es-ES"/>
        </w:rPr>
        <w:t xml:space="preserve"> Rojo</w:t>
      </w:r>
      <w:r w:rsidR="00560DF2">
        <w:rPr>
          <w:lang w:val="es-ES"/>
        </w:rPr>
        <w:t>,</w:t>
      </w:r>
      <w:r w:rsidRPr="006D1210">
        <w:rPr>
          <w:lang w:val="es-ES"/>
        </w:rPr>
        <w:t xml:space="preserve"> J</w:t>
      </w:r>
      <w:r w:rsidR="00560DF2">
        <w:rPr>
          <w:lang w:val="es-ES"/>
        </w:rPr>
        <w:t>.</w:t>
      </w:r>
      <w:r w:rsidRPr="006D1210">
        <w:rPr>
          <w:lang w:val="es-ES"/>
        </w:rPr>
        <w:t>M</w:t>
      </w:r>
      <w:r w:rsidR="00560DF2">
        <w:rPr>
          <w:lang w:val="es-ES"/>
        </w:rPr>
        <w:t>.;</w:t>
      </w:r>
      <w:r w:rsidRPr="006D1210">
        <w:rPr>
          <w:lang w:val="es-ES"/>
        </w:rPr>
        <w:t xml:space="preserve"> </w:t>
      </w:r>
      <w:proofErr w:type="spellStart"/>
      <w:r w:rsidRPr="006D1210">
        <w:rPr>
          <w:lang w:val="es-ES"/>
        </w:rPr>
        <w:t>Martinez</w:t>
      </w:r>
      <w:proofErr w:type="spellEnd"/>
      <w:r w:rsidRPr="006D1210">
        <w:rPr>
          <w:lang w:val="es-ES"/>
        </w:rPr>
        <w:t>-Martin</w:t>
      </w:r>
      <w:r w:rsidR="00560DF2">
        <w:rPr>
          <w:lang w:val="es-ES"/>
        </w:rPr>
        <w:t>,</w:t>
      </w:r>
      <w:r w:rsidRPr="006D1210">
        <w:rPr>
          <w:lang w:val="es-ES"/>
        </w:rPr>
        <w:t xml:space="preserve"> P</w:t>
      </w:r>
      <w:r w:rsidR="00560DF2">
        <w:rPr>
          <w:lang w:val="es-ES"/>
        </w:rPr>
        <w:t>.;</w:t>
      </w:r>
      <w:r w:rsidRPr="006D1210">
        <w:rPr>
          <w:lang w:val="es-ES"/>
        </w:rPr>
        <w:t xml:space="preserve"> EC-PC. </w:t>
      </w:r>
      <w:r>
        <w:t xml:space="preserve">Validation Group. Influencing factors when living with Parkinson’s disease: A cross-sectional study. </w:t>
      </w:r>
      <w:r w:rsidRPr="00560DF2">
        <w:rPr>
          <w:i/>
          <w:iCs/>
        </w:rPr>
        <w:t>J</w:t>
      </w:r>
      <w:r w:rsidR="00560DF2" w:rsidRPr="00560DF2">
        <w:rPr>
          <w:i/>
          <w:iCs/>
        </w:rPr>
        <w:t>.</w:t>
      </w:r>
      <w:r w:rsidRPr="00560DF2">
        <w:rPr>
          <w:i/>
          <w:iCs/>
        </w:rPr>
        <w:t xml:space="preserve"> Clin</w:t>
      </w:r>
      <w:r w:rsidR="00560DF2" w:rsidRPr="00560DF2">
        <w:rPr>
          <w:i/>
          <w:iCs/>
        </w:rPr>
        <w:t>.</w:t>
      </w:r>
      <w:r w:rsidRPr="00560DF2">
        <w:rPr>
          <w:i/>
          <w:iCs/>
        </w:rPr>
        <w:t xml:space="preserve"> </w:t>
      </w:r>
      <w:proofErr w:type="spellStart"/>
      <w:r w:rsidRPr="00560DF2">
        <w:rPr>
          <w:i/>
          <w:iCs/>
        </w:rPr>
        <w:t>Nurs</w:t>
      </w:r>
      <w:proofErr w:type="spellEnd"/>
      <w:r w:rsidRPr="00560DF2">
        <w:rPr>
          <w:i/>
          <w:iCs/>
        </w:rPr>
        <w:t>.</w:t>
      </w:r>
      <w:r>
        <w:t xml:space="preserve"> 2019 Sep;28(17-18): 3168-3176. Doi: 10.1111/jocn.14868. </w:t>
      </w:r>
    </w:p>
    <w:p w14:paraId="782353FF" w14:textId="0F4E0669" w:rsidR="006D1210" w:rsidRPr="00560DF2" w:rsidRDefault="006D1210" w:rsidP="006D1210">
      <w:pPr>
        <w:pStyle w:val="MDPI71References"/>
        <w:rPr>
          <w:lang w:val="es-ES"/>
        </w:rPr>
      </w:pPr>
      <w:r w:rsidRPr="006D1210">
        <w:rPr>
          <w:lang w:val="es-ES"/>
        </w:rPr>
        <w:t>Costa</w:t>
      </w:r>
      <w:r w:rsidR="00560DF2">
        <w:rPr>
          <w:lang w:val="es-ES"/>
        </w:rPr>
        <w:t>,</w:t>
      </w:r>
      <w:r w:rsidRPr="006D1210">
        <w:rPr>
          <w:lang w:val="es-ES"/>
        </w:rPr>
        <w:t xml:space="preserve"> X</w:t>
      </w:r>
      <w:r w:rsidR="00560DF2">
        <w:rPr>
          <w:lang w:val="es-ES"/>
        </w:rPr>
        <w:t>.;</w:t>
      </w:r>
      <w:r w:rsidRPr="006D1210">
        <w:rPr>
          <w:lang w:val="es-ES"/>
        </w:rPr>
        <w:t xml:space="preserve"> Gómez-Batiste</w:t>
      </w:r>
      <w:r w:rsidR="00560DF2">
        <w:rPr>
          <w:lang w:val="es-ES"/>
        </w:rPr>
        <w:t>,</w:t>
      </w:r>
      <w:r w:rsidRPr="006D1210">
        <w:rPr>
          <w:lang w:val="es-ES"/>
        </w:rPr>
        <w:t xml:space="preserve"> X</w:t>
      </w:r>
      <w:r w:rsidR="00560DF2">
        <w:rPr>
          <w:lang w:val="es-ES"/>
        </w:rPr>
        <w:t>.;</w:t>
      </w:r>
      <w:r w:rsidRPr="006D1210">
        <w:rPr>
          <w:lang w:val="es-ES"/>
        </w:rPr>
        <w:t xml:space="preserve"> Pla</w:t>
      </w:r>
      <w:r w:rsidR="00560DF2">
        <w:rPr>
          <w:lang w:val="es-ES"/>
        </w:rPr>
        <w:t>,</w:t>
      </w:r>
      <w:r w:rsidRPr="006D1210">
        <w:rPr>
          <w:lang w:val="es-ES"/>
        </w:rPr>
        <w:t xml:space="preserve"> M</w:t>
      </w:r>
      <w:r w:rsidR="00560DF2">
        <w:rPr>
          <w:lang w:val="es-ES"/>
        </w:rPr>
        <w:t>.;</w:t>
      </w:r>
      <w:r w:rsidRPr="006D1210">
        <w:rPr>
          <w:lang w:val="es-ES"/>
        </w:rPr>
        <w:t xml:space="preserve"> Martínez-Muñoz</w:t>
      </w:r>
      <w:r w:rsidR="00560DF2">
        <w:rPr>
          <w:lang w:val="es-ES"/>
        </w:rPr>
        <w:t>,</w:t>
      </w:r>
      <w:r w:rsidRPr="006D1210">
        <w:rPr>
          <w:lang w:val="es-ES"/>
        </w:rPr>
        <w:t xml:space="preserve"> M</w:t>
      </w:r>
      <w:r w:rsidR="00560DF2">
        <w:rPr>
          <w:lang w:val="es-ES"/>
        </w:rPr>
        <w:t>.;</w:t>
      </w:r>
      <w:r w:rsidRPr="006D1210">
        <w:rPr>
          <w:lang w:val="es-ES"/>
        </w:rPr>
        <w:t xml:space="preserve"> Blay</w:t>
      </w:r>
      <w:r w:rsidR="00560DF2">
        <w:rPr>
          <w:lang w:val="es-ES"/>
        </w:rPr>
        <w:t>,</w:t>
      </w:r>
      <w:r w:rsidRPr="006D1210">
        <w:rPr>
          <w:lang w:val="es-ES"/>
        </w:rPr>
        <w:t xml:space="preserve"> C</w:t>
      </w:r>
      <w:r w:rsidR="00560DF2">
        <w:rPr>
          <w:lang w:val="es-ES"/>
        </w:rPr>
        <w:t>.;</w:t>
      </w:r>
      <w:r w:rsidRPr="006D1210">
        <w:rPr>
          <w:lang w:val="es-ES"/>
        </w:rPr>
        <w:t xml:space="preserve"> Vila</w:t>
      </w:r>
      <w:r w:rsidR="00560DF2">
        <w:rPr>
          <w:lang w:val="es-ES"/>
        </w:rPr>
        <w:t>,</w:t>
      </w:r>
      <w:r w:rsidRPr="006D1210">
        <w:rPr>
          <w:lang w:val="es-ES"/>
        </w:rPr>
        <w:t xml:space="preserve"> L. Vivir con la enfermedad pulmonar obstructiva crónica avanzada: el impacto de la disnea en los pacientes y cuidadores. </w:t>
      </w:r>
      <w:r w:rsidRPr="00560DF2">
        <w:rPr>
          <w:i/>
          <w:iCs/>
          <w:lang w:val="es-ES"/>
        </w:rPr>
        <w:t>Aten</w:t>
      </w:r>
      <w:r w:rsidR="00560DF2" w:rsidRPr="00560DF2">
        <w:rPr>
          <w:i/>
          <w:iCs/>
          <w:lang w:val="es-ES"/>
        </w:rPr>
        <w:t>.</w:t>
      </w:r>
      <w:r w:rsidRPr="00560DF2">
        <w:rPr>
          <w:i/>
          <w:iCs/>
          <w:lang w:val="es-ES"/>
        </w:rPr>
        <w:t xml:space="preserve"> Prim.</w:t>
      </w:r>
      <w:r w:rsidRPr="00560DF2">
        <w:rPr>
          <w:lang w:val="es-ES"/>
        </w:rPr>
        <w:t xml:space="preserve"> 2016;48(10): 665–673.</w:t>
      </w:r>
    </w:p>
    <w:p w14:paraId="7E5A5FB5" w14:textId="6C7FDE7E" w:rsidR="006D1210" w:rsidRDefault="006D1210" w:rsidP="006D1210">
      <w:pPr>
        <w:pStyle w:val="MDPI71References"/>
      </w:pPr>
      <w:r>
        <w:t>Gardener</w:t>
      </w:r>
      <w:r w:rsidR="00560DF2">
        <w:t xml:space="preserve">, </w:t>
      </w:r>
      <w:r>
        <w:t>A</w:t>
      </w:r>
      <w:r w:rsidR="00560DF2">
        <w:t>.</w:t>
      </w:r>
      <w:r>
        <w:t>C</w:t>
      </w:r>
      <w:r w:rsidR="00560DF2">
        <w:t>.;</w:t>
      </w:r>
      <w:r>
        <w:t xml:space="preserve"> Ewing</w:t>
      </w:r>
      <w:r w:rsidR="00560DF2">
        <w:t>,</w:t>
      </w:r>
      <w:r>
        <w:t xml:space="preserve"> G</w:t>
      </w:r>
      <w:r w:rsidR="00560DF2">
        <w:t>.;</w:t>
      </w:r>
      <w:r>
        <w:t xml:space="preserve"> Kuhn</w:t>
      </w:r>
      <w:r w:rsidR="00560DF2">
        <w:t xml:space="preserve">, </w:t>
      </w:r>
      <w:r>
        <w:t>I</w:t>
      </w:r>
      <w:r w:rsidR="00560DF2">
        <w:t>.;</w:t>
      </w:r>
      <w:r>
        <w:t xml:space="preserve"> Farquhar</w:t>
      </w:r>
      <w:r w:rsidR="00560DF2">
        <w:t>,</w:t>
      </w:r>
      <w:r>
        <w:t xml:space="preserve"> M. Support needs of patients with COPD: a systematic literature search and narrative review</w:t>
      </w:r>
      <w:r w:rsidRPr="00560DF2">
        <w:rPr>
          <w:i/>
          <w:iCs/>
        </w:rPr>
        <w:t>. Int</w:t>
      </w:r>
      <w:r w:rsidR="00560DF2" w:rsidRPr="00560DF2">
        <w:rPr>
          <w:i/>
          <w:iCs/>
        </w:rPr>
        <w:t>.</w:t>
      </w:r>
      <w:r w:rsidRPr="00560DF2">
        <w:rPr>
          <w:i/>
          <w:iCs/>
        </w:rPr>
        <w:t xml:space="preserve"> J</w:t>
      </w:r>
      <w:r w:rsidR="00560DF2" w:rsidRPr="00560DF2">
        <w:rPr>
          <w:i/>
          <w:iCs/>
        </w:rPr>
        <w:t>.</w:t>
      </w:r>
      <w:r w:rsidRPr="00560DF2">
        <w:rPr>
          <w:i/>
          <w:iCs/>
        </w:rPr>
        <w:t xml:space="preserve"> Chron</w:t>
      </w:r>
      <w:r w:rsidR="00560DF2" w:rsidRPr="00560DF2">
        <w:rPr>
          <w:i/>
          <w:iCs/>
        </w:rPr>
        <w:t>.</w:t>
      </w:r>
      <w:r w:rsidRPr="00560DF2">
        <w:rPr>
          <w:i/>
          <w:iCs/>
        </w:rPr>
        <w:t xml:space="preserve"> Obstruct</w:t>
      </w:r>
      <w:r w:rsidR="00560DF2" w:rsidRPr="00560DF2">
        <w:rPr>
          <w:i/>
          <w:iCs/>
        </w:rPr>
        <w:t>.</w:t>
      </w:r>
      <w:r w:rsidRPr="00560DF2">
        <w:rPr>
          <w:i/>
          <w:iCs/>
        </w:rPr>
        <w:t xml:space="preserve"> </w:t>
      </w:r>
      <w:proofErr w:type="spellStart"/>
      <w:r w:rsidRPr="00560DF2">
        <w:rPr>
          <w:i/>
          <w:iCs/>
        </w:rPr>
        <w:t>Pulmon</w:t>
      </w:r>
      <w:proofErr w:type="spellEnd"/>
      <w:r w:rsidR="00560DF2" w:rsidRPr="00560DF2">
        <w:rPr>
          <w:i/>
          <w:iCs/>
        </w:rPr>
        <w:t>.</w:t>
      </w:r>
      <w:r>
        <w:t xml:space="preserve"> Dis. 2018 Mar 26;13: 1021-1035. Doi: 10.2147/COPD.S155622.</w:t>
      </w:r>
    </w:p>
    <w:p w14:paraId="6C16AF8B" w14:textId="5C50DFF6" w:rsidR="006D1210" w:rsidRDefault="006D1210" w:rsidP="006D1210">
      <w:pPr>
        <w:pStyle w:val="MDPI71References"/>
      </w:pPr>
      <w:proofErr w:type="spellStart"/>
      <w:r>
        <w:t>Lenferink</w:t>
      </w:r>
      <w:proofErr w:type="spellEnd"/>
      <w:r w:rsidR="00560DF2">
        <w:t xml:space="preserve">, </w:t>
      </w:r>
      <w:r>
        <w:t>A</w:t>
      </w:r>
      <w:r w:rsidR="00560DF2">
        <w:t xml:space="preserve">.; </w:t>
      </w:r>
      <w:proofErr w:type="spellStart"/>
      <w:r>
        <w:t>Brusse</w:t>
      </w:r>
      <w:proofErr w:type="spellEnd"/>
      <w:r>
        <w:t>-Keizer</w:t>
      </w:r>
      <w:r w:rsidR="00560DF2">
        <w:t>,</w:t>
      </w:r>
      <w:r>
        <w:t xml:space="preserve"> M</w:t>
      </w:r>
      <w:r w:rsidR="00560DF2">
        <w:t xml:space="preserve">.; </w:t>
      </w:r>
      <w:r>
        <w:t xml:space="preserve">van der </w:t>
      </w:r>
      <w:proofErr w:type="spellStart"/>
      <w:r>
        <w:t>Val</w:t>
      </w:r>
      <w:r w:rsidR="00560DF2">
        <w:t>k</w:t>
      </w:r>
      <w:proofErr w:type="spellEnd"/>
      <w:r w:rsidR="00560DF2">
        <w:t>,</w:t>
      </w:r>
      <w:r>
        <w:t xml:space="preserve"> P</w:t>
      </w:r>
      <w:r w:rsidR="00560DF2">
        <w:t>.</w:t>
      </w:r>
      <w:r>
        <w:t>D</w:t>
      </w:r>
      <w:r w:rsidR="00560DF2">
        <w:t>.;</w:t>
      </w:r>
      <w:r>
        <w:t xml:space="preserve"> Frith</w:t>
      </w:r>
      <w:r w:rsidR="00560DF2">
        <w:t>,</w:t>
      </w:r>
      <w:r>
        <w:t xml:space="preserve"> P</w:t>
      </w:r>
      <w:r w:rsidR="00560DF2">
        <w:t>.</w:t>
      </w:r>
      <w:r>
        <w:t>A</w:t>
      </w:r>
      <w:r w:rsidR="00560DF2">
        <w:t>.;</w:t>
      </w:r>
      <w:r>
        <w:t xml:space="preserve"> </w:t>
      </w:r>
      <w:proofErr w:type="spellStart"/>
      <w:r>
        <w:t>Zwerink</w:t>
      </w:r>
      <w:proofErr w:type="spellEnd"/>
      <w:r w:rsidR="00560DF2">
        <w:t>,</w:t>
      </w:r>
      <w:r>
        <w:t xml:space="preserve"> M</w:t>
      </w:r>
      <w:r w:rsidR="00560DF2">
        <w:t>.;</w:t>
      </w:r>
      <w:r>
        <w:t xml:space="preserve"> </w:t>
      </w:r>
      <w:proofErr w:type="spellStart"/>
      <w:r>
        <w:t>Monninkhof</w:t>
      </w:r>
      <w:proofErr w:type="spellEnd"/>
      <w:r w:rsidR="00560DF2">
        <w:t>,</w:t>
      </w:r>
      <w:r>
        <w:t xml:space="preserve"> E</w:t>
      </w:r>
      <w:r w:rsidR="00560DF2">
        <w:t>.</w:t>
      </w:r>
      <w:r>
        <w:t xml:space="preserve">M, et al. Self-management interventions including action plans for exacerbations versus usual care in patients with chronic obstructive pulmonary disease. </w:t>
      </w:r>
      <w:r w:rsidRPr="00560DF2">
        <w:rPr>
          <w:i/>
          <w:iCs/>
        </w:rPr>
        <w:t>Cochrane Database Syst</w:t>
      </w:r>
      <w:r w:rsidR="00560DF2" w:rsidRPr="00560DF2">
        <w:rPr>
          <w:i/>
          <w:iCs/>
        </w:rPr>
        <w:t>.</w:t>
      </w:r>
      <w:r w:rsidRPr="00560DF2">
        <w:rPr>
          <w:i/>
          <w:iCs/>
        </w:rPr>
        <w:t xml:space="preserve"> Rev.</w:t>
      </w:r>
      <w:r>
        <w:t xml:space="preserve"> 2017;4,8. CD011682. Doi: 10.1002/14651858.CD011682.pub2.</w:t>
      </w:r>
    </w:p>
    <w:p w14:paraId="3D594D06" w14:textId="08ABF745" w:rsidR="006D1210" w:rsidRDefault="006D1210" w:rsidP="006D1210">
      <w:pPr>
        <w:pStyle w:val="MDPI71References"/>
      </w:pPr>
      <w:r w:rsidRPr="006D1210">
        <w:rPr>
          <w:lang w:val="es-ES"/>
        </w:rPr>
        <w:t>Pesantes</w:t>
      </w:r>
      <w:r w:rsidR="00560DF2">
        <w:rPr>
          <w:lang w:val="es-ES"/>
        </w:rPr>
        <w:t>,</w:t>
      </w:r>
      <w:r w:rsidRPr="006D1210">
        <w:rPr>
          <w:lang w:val="es-ES"/>
        </w:rPr>
        <w:t xml:space="preserve"> M</w:t>
      </w:r>
      <w:r w:rsidR="00560DF2">
        <w:rPr>
          <w:lang w:val="es-ES"/>
        </w:rPr>
        <w:t>.</w:t>
      </w:r>
      <w:r w:rsidRPr="006D1210">
        <w:rPr>
          <w:lang w:val="es-ES"/>
        </w:rPr>
        <w:t>A</w:t>
      </w:r>
      <w:r w:rsidR="00560DF2">
        <w:rPr>
          <w:lang w:val="es-ES"/>
        </w:rPr>
        <w:t>.;</w:t>
      </w:r>
      <w:r w:rsidRPr="006D1210">
        <w:rPr>
          <w:lang w:val="es-ES"/>
        </w:rPr>
        <w:t xml:space="preserve"> Del Valle</w:t>
      </w:r>
      <w:r w:rsidR="00560DF2">
        <w:rPr>
          <w:lang w:val="es-ES"/>
        </w:rPr>
        <w:t>,</w:t>
      </w:r>
      <w:r w:rsidRPr="006D1210">
        <w:rPr>
          <w:lang w:val="es-ES"/>
        </w:rPr>
        <w:t xml:space="preserve"> A</w:t>
      </w:r>
      <w:r w:rsidR="00560DF2">
        <w:rPr>
          <w:lang w:val="es-ES"/>
        </w:rPr>
        <w:t>.;</w:t>
      </w:r>
      <w:r w:rsidRPr="006D1210">
        <w:rPr>
          <w:lang w:val="es-ES"/>
        </w:rPr>
        <w:t xml:space="preserve"> Diez-Canseco</w:t>
      </w:r>
      <w:r w:rsidR="00560DF2">
        <w:rPr>
          <w:lang w:val="es-ES"/>
        </w:rPr>
        <w:t>,</w:t>
      </w:r>
      <w:r w:rsidRPr="006D1210">
        <w:rPr>
          <w:lang w:val="es-ES"/>
        </w:rPr>
        <w:t xml:space="preserve"> </w:t>
      </w:r>
      <w:r w:rsidR="00560DF2">
        <w:rPr>
          <w:lang w:val="es-ES"/>
        </w:rPr>
        <w:t>F.;</w:t>
      </w:r>
      <w:r w:rsidRPr="006D1210">
        <w:rPr>
          <w:lang w:val="es-ES"/>
        </w:rPr>
        <w:t xml:space="preserve"> Bernabé-Ortiz</w:t>
      </w:r>
      <w:r w:rsidR="00560DF2">
        <w:rPr>
          <w:lang w:val="es-ES"/>
        </w:rPr>
        <w:t>,</w:t>
      </w:r>
      <w:r w:rsidRPr="006D1210">
        <w:rPr>
          <w:lang w:val="es-ES"/>
        </w:rPr>
        <w:t xml:space="preserve"> A</w:t>
      </w:r>
      <w:r w:rsidR="00560DF2">
        <w:rPr>
          <w:lang w:val="es-ES"/>
        </w:rPr>
        <w:t>.;</w:t>
      </w:r>
      <w:r w:rsidRPr="006D1210">
        <w:rPr>
          <w:lang w:val="es-ES"/>
        </w:rPr>
        <w:t xml:space="preserve"> Portocarrero</w:t>
      </w:r>
      <w:r w:rsidR="00560DF2">
        <w:rPr>
          <w:lang w:val="es-ES"/>
        </w:rPr>
        <w:t>,</w:t>
      </w:r>
      <w:r w:rsidRPr="006D1210">
        <w:rPr>
          <w:lang w:val="es-ES"/>
        </w:rPr>
        <w:t xml:space="preserve"> J</w:t>
      </w:r>
      <w:r w:rsidR="00560DF2">
        <w:rPr>
          <w:lang w:val="es-ES"/>
        </w:rPr>
        <w:t>.;</w:t>
      </w:r>
      <w:r w:rsidRPr="006D1210">
        <w:rPr>
          <w:lang w:val="es-ES"/>
        </w:rPr>
        <w:t xml:space="preserve"> Trujillo</w:t>
      </w:r>
      <w:r w:rsidR="00560DF2">
        <w:rPr>
          <w:lang w:val="es-ES"/>
        </w:rPr>
        <w:t>,</w:t>
      </w:r>
      <w:r w:rsidRPr="006D1210">
        <w:rPr>
          <w:lang w:val="es-ES"/>
        </w:rPr>
        <w:t xml:space="preserve"> A, et al. </w:t>
      </w:r>
      <w:r>
        <w:t xml:space="preserve">Family Support and Diabetes: Patient's Experiences From a Public Hospital in Peru. </w:t>
      </w:r>
      <w:r w:rsidRPr="00560DF2">
        <w:rPr>
          <w:i/>
          <w:iCs/>
        </w:rPr>
        <w:t>Qual</w:t>
      </w:r>
      <w:r w:rsidR="00560DF2" w:rsidRPr="00560DF2">
        <w:rPr>
          <w:i/>
          <w:iCs/>
        </w:rPr>
        <w:t>.</w:t>
      </w:r>
      <w:r w:rsidRPr="00560DF2">
        <w:rPr>
          <w:i/>
          <w:iCs/>
        </w:rPr>
        <w:t xml:space="preserve"> Health Res.</w:t>
      </w:r>
      <w:r>
        <w:t xml:space="preserve"> 2018 Oct;28(12): 1871-1882.  Doi: 10.1177/1049732318784906.</w:t>
      </w:r>
    </w:p>
    <w:p w14:paraId="25ECBDD1" w14:textId="52117B11" w:rsidR="006D1210" w:rsidRDefault="006D1210" w:rsidP="006D1210">
      <w:pPr>
        <w:pStyle w:val="MDPI71References"/>
      </w:pPr>
      <w:r>
        <w:t>Lin</w:t>
      </w:r>
      <w:r w:rsidR="009E7F56">
        <w:t>,</w:t>
      </w:r>
      <w:r>
        <w:t xml:space="preserve"> F</w:t>
      </w:r>
      <w:r w:rsidR="009E7F56">
        <w:t>.</w:t>
      </w:r>
      <w:r>
        <w:t>H</w:t>
      </w:r>
      <w:r w:rsidR="009E7F56">
        <w:t>.;</w:t>
      </w:r>
      <w:r>
        <w:t xml:space="preserve"> </w:t>
      </w:r>
      <w:proofErr w:type="spellStart"/>
      <w:r>
        <w:t>Yih</w:t>
      </w:r>
      <w:proofErr w:type="spellEnd"/>
      <w:r w:rsidR="009E7F56">
        <w:t xml:space="preserve">, </w:t>
      </w:r>
      <w:r>
        <w:t>D</w:t>
      </w:r>
      <w:r w:rsidR="009E7F56">
        <w:t>.</w:t>
      </w:r>
      <w:r>
        <w:t>N</w:t>
      </w:r>
      <w:r w:rsidR="009E7F56">
        <w:t>.;</w:t>
      </w:r>
      <w:r>
        <w:t xml:space="preserve"> Shih</w:t>
      </w:r>
      <w:r w:rsidR="009E7F56">
        <w:t xml:space="preserve">, </w:t>
      </w:r>
      <w:r>
        <w:t>F</w:t>
      </w:r>
      <w:r w:rsidR="009E7F56">
        <w:t>.</w:t>
      </w:r>
      <w:r>
        <w:t>M</w:t>
      </w:r>
      <w:r w:rsidR="009E7F56">
        <w:t>.;</w:t>
      </w:r>
      <w:r>
        <w:t xml:space="preserve"> Chu</w:t>
      </w:r>
      <w:r w:rsidR="009E7F56">
        <w:t>,</w:t>
      </w:r>
      <w:r>
        <w:t xml:space="preserve"> C</w:t>
      </w:r>
      <w:r w:rsidR="009E7F56">
        <w:t>.</w:t>
      </w:r>
      <w:r>
        <w:t>M. Effect of social support and health education on depression scale scores of chronic stroke patients Medicine (Baltimore). 2019 Nov; 98(44): e17667. Doi: 10.1097/MD.0000000000017667.</w:t>
      </w:r>
    </w:p>
    <w:p w14:paraId="063ABE37" w14:textId="49A52D33" w:rsidR="006D1210" w:rsidRDefault="006D1210" w:rsidP="006D1210">
      <w:pPr>
        <w:pStyle w:val="MDPI71References"/>
      </w:pPr>
      <w:r>
        <w:t>Salyer</w:t>
      </w:r>
      <w:r w:rsidR="009E7F56">
        <w:t>,</w:t>
      </w:r>
      <w:r>
        <w:t xml:space="preserve"> J</w:t>
      </w:r>
      <w:r w:rsidR="009E7F56">
        <w:t>.;</w:t>
      </w:r>
      <w:r>
        <w:t xml:space="preserve"> Flattery</w:t>
      </w:r>
      <w:r w:rsidR="009E7F56">
        <w:t>,</w:t>
      </w:r>
      <w:r>
        <w:t xml:space="preserve"> M</w:t>
      </w:r>
      <w:r w:rsidR="009E7F56">
        <w:t xml:space="preserve">.; </w:t>
      </w:r>
      <w:r>
        <w:t>Lyon</w:t>
      </w:r>
      <w:r w:rsidR="009E7F56">
        <w:t>,</w:t>
      </w:r>
      <w:r>
        <w:t xml:space="preserve"> D</w:t>
      </w:r>
      <w:r w:rsidR="009E7F56">
        <w:t>.</w:t>
      </w:r>
      <w:r>
        <w:t xml:space="preserve">E. Heart failure symptom clusters and quality of life. </w:t>
      </w:r>
      <w:r w:rsidRPr="009E7F56">
        <w:rPr>
          <w:i/>
          <w:iCs/>
        </w:rPr>
        <w:t>Heart Lung</w:t>
      </w:r>
      <w:r>
        <w:t xml:space="preserve">. 2019;48: 366–372. </w:t>
      </w:r>
      <w:proofErr w:type="gramStart"/>
      <w:r>
        <w:t>Doi:10.1016/j.hrtlng</w:t>
      </w:r>
      <w:proofErr w:type="gramEnd"/>
      <w:r>
        <w:t>.2019.05.016.</w:t>
      </w:r>
    </w:p>
    <w:p w14:paraId="169FFBCE" w14:textId="7199CF03" w:rsidR="006D1210" w:rsidRDefault="006D1210" w:rsidP="006D1210">
      <w:pPr>
        <w:pStyle w:val="MDPI71References"/>
      </w:pPr>
      <w:proofErr w:type="spellStart"/>
      <w:r>
        <w:t>Traina</w:t>
      </w:r>
      <w:proofErr w:type="spellEnd"/>
      <w:r w:rsidR="009E7F56">
        <w:t>,</w:t>
      </w:r>
      <w:r>
        <w:t xml:space="preserve"> S</w:t>
      </w:r>
      <w:r w:rsidR="009E7F56">
        <w:t>.</w:t>
      </w:r>
      <w:r>
        <w:t>B</w:t>
      </w:r>
      <w:r w:rsidR="009E7F56">
        <w:t>.;</w:t>
      </w:r>
      <w:r>
        <w:t xml:space="preserve"> Colwell</w:t>
      </w:r>
      <w:r w:rsidR="009E7F56">
        <w:t>,</w:t>
      </w:r>
      <w:r>
        <w:t xml:space="preserve"> H</w:t>
      </w:r>
      <w:r w:rsidR="009E7F56">
        <w:t>.</w:t>
      </w:r>
      <w:r>
        <w:t>H</w:t>
      </w:r>
      <w:r w:rsidR="009E7F56">
        <w:t>.;</w:t>
      </w:r>
      <w:r>
        <w:t xml:space="preserve"> Crosby</w:t>
      </w:r>
      <w:r w:rsidR="009E7F56">
        <w:t>,</w:t>
      </w:r>
      <w:r>
        <w:t xml:space="preserve"> R</w:t>
      </w:r>
      <w:r w:rsidR="009E7F56">
        <w:t>.</w:t>
      </w:r>
      <w:r>
        <w:t>D</w:t>
      </w:r>
      <w:r w:rsidR="009E7F56">
        <w:t>.;</w:t>
      </w:r>
      <w:r>
        <w:t xml:space="preserve"> Mathias</w:t>
      </w:r>
      <w:r w:rsidR="009E7F56">
        <w:t>,</w:t>
      </w:r>
      <w:r>
        <w:t xml:space="preserve"> S</w:t>
      </w:r>
      <w:r w:rsidR="009E7F56">
        <w:t>.</w:t>
      </w:r>
      <w:r>
        <w:t>D. Pragmatic measurement of health satisfaction in people with type 2 diabetes mellitus using the Current Health Satisfaction Questionnaire</w:t>
      </w:r>
      <w:r w:rsidR="009E7F56">
        <w:t>.</w:t>
      </w:r>
      <w:r>
        <w:t xml:space="preserve"> </w:t>
      </w:r>
      <w:r w:rsidRPr="009E7F56">
        <w:rPr>
          <w:i/>
          <w:iCs/>
        </w:rPr>
        <w:t xml:space="preserve">Patient. </w:t>
      </w:r>
      <w:proofErr w:type="spellStart"/>
      <w:r w:rsidRPr="009E7F56">
        <w:rPr>
          <w:i/>
          <w:iCs/>
        </w:rPr>
        <w:t>Relat</w:t>
      </w:r>
      <w:proofErr w:type="spellEnd"/>
      <w:r w:rsidR="009E7F56" w:rsidRPr="009E7F56">
        <w:rPr>
          <w:i/>
          <w:iCs/>
        </w:rPr>
        <w:t>.</w:t>
      </w:r>
      <w:r w:rsidRPr="009E7F56">
        <w:rPr>
          <w:i/>
          <w:iCs/>
        </w:rPr>
        <w:t xml:space="preserve"> Outcome Meas.</w:t>
      </w:r>
      <w:r>
        <w:t xml:space="preserve"> 2015 Mar 26;6: 103-15. Doi: 10.2147/PROM.S79368.</w:t>
      </w:r>
    </w:p>
    <w:p w14:paraId="128BCDAE" w14:textId="7B2AA959" w:rsidR="006D1210" w:rsidRDefault="37F46E52" w:rsidP="006D1210">
      <w:pPr>
        <w:pStyle w:val="MDPI71References"/>
      </w:pPr>
      <w:proofErr w:type="spellStart"/>
      <w:r>
        <w:t>Juenger</w:t>
      </w:r>
      <w:proofErr w:type="spellEnd"/>
      <w:r w:rsidR="0EE74C95">
        <w:t>,</w:t>
      </w:r>
      <w:r>
        <w:t xml:space="preserve"> J</w:t>
      </w:r>
      <w:r w:rsidR="0EE74C95">
        <w:t>.;</w:t>
      </w:r>
      <w:r>
        <w:t xml:space="preserve"> </w:t>
      </w:r>
      <w:proofErr w:type="spellStart"/>
      <w:r>
        <w:t>Schellberg</w:t>
      </w:r>
      <w:proofErr w:type="spellEnd"/>
      <w:r w:rsidR="0EE74C95">
        <w:t xml:space="preserve">, </w:t>
      </w:r>
      <w:r>
        <w:t>D</w:t>
      </w:r>
      <w:r w:rsidR="0EE74C95">
        <w:t>.;</w:t>
      </w:r>
      <w:r>
        <w:t xml:space="preserve"> Kraemer</w:t>
      </w:r>
      <w:r w:rsidR="0EE74C95">
        <w:t>,</w:t>
      </w:r>
      <w:r>
        <w:t xml:space="preserve"> S</w:t>
      </w:r>
      <w:r w:rsidR="0EE74C95">
        <w:t>.;</w:t>
      </w:r>
      <w:r>
        <w:t xml:space="preserve"> </w:t>
      </w:r>
      <w:proofErr w:type="spellStart"/>
      <w:r>
        <w:t>Zugck</w:t>
      </w:r>
      <w:proofErr w:type="spellEnd"/>
      <w:r w:rsidR="0EE74C95">
        <w:t xml:space="preserve">, </w:t>
      </w:r>
      <w:r>
        <w:t>C</w:t>
      </w:r>
      <w:r w:rsidR="0EE74C95">
        <w:t>.;</w:t>
      </w:r>
      <w:r>
        <w:t xml:space="preserve"> Herzog</w:t>
      </w:r>
      <w:r w:rsidR="0EE74C95">
        <w:t>,</w:t>
      </w:r>
      <w:r>
        <w:t xml:space="preserve"> W</w:t>
      </w:r>
      <w:r w:rsidR="0EE74C95">
        <w:t>.;</w:t>
      </w:r>
      <w:r>
        <w:t xml:space="preserve"> </w:t>
      </w:r>
      <w:proofErr w:type="spellStart"/>
      <w:r>
        <w:t>Haass</w:t>
      </w:r>
      <w:proofErr w:type="spellEnd"/>
      <w:r w:rsidR="0EE74C95">
        <w:t>,</w:t>
      </w:r>
      <w:r>
        <w:t xml:space="preserve"> M. Health related quality of life in patients with congestive heart failure: comparison with other chronic diseases and relation to functional variables. </w:t>
      </w:r>
      <w:r w:rsidRPr="5E70B5F7">
        <w:rPr>
          <w:i/>
          <w:iCs/>
        </w:rPr>
        <w:t>Heart.</w:t>
      </w:r>
      <w:r>
        <w:t xml:space="preserve"> 2002;87(3): 235-241. Doi:10.1136/heart.87.3.235.</w:t>
      </w:r>
    </w:p>
    <w:p w14:paraId="6F2BC418" w14:textId="07B1A971" w:rsidR="689B3152" w:rsidRDefault="689B3152" w:rsidP="5E70B5F7">
      <w:pPr>
        <w:pStyle w:val="MDPI71References"/>
        <w:rPr>
          <w:rFonts w:ascii="Arial" w:eastAsia="Arial" w:hAnsi="Arial" w:cs="Arial"/>
          <w:color w:val="0A0A0A"/>
          <w:sz w:val="19"/>
          <w:szCs w:val="19"/>
          <w:lang w:val="en-GB"/>
        </w:rPr>
      </w:pPr>
      <w:r w:rsidRPr="5E70B5F7">
        <w:rPr>
          <w:rFonts w:eastAsia="Palatino Linotype" w:cs="Palatino Linotype"/>
          <w:color w:val="FF0000"/>
          <w:sz w:val="19"/>
          <w:szCs w:val="19"/>
          <w:lang w:val="en-GB"/>
        </w:rPr>
        <w:t xml:space="preserve">Barber, N.D.; </w:t>
      </w:r>
      <w:proofErr w:type="spellStart"/>
      <w:r w:rsidRPr="5E70B5F7">
        <w:rPr>
          <w:rFonts w:eastAsia="Palatino Linotype" w:cs="Palatino Linotype"/>
          <w:color w:val="FF0000"/>
          <w:sz w:val="19"/>
          <w:szCs w:val="19"/>
          <w:lang w:val="en-GB"/>
        </w:rPr>
        <w:t>Alldred</w:t>
      </w:r>
      <w:proofErr w:type="spellEnd"/>
      <w:r w:rsidRPr="5E70B5F7">
        <w:rPr>
          <w:rFonts w:eastAsia="Palatino Linotype" w:cs="Palatino Linotype"/>
          <w:color w:val="FF0000"/>
          <w:sz w:val="19"/>
          <w:szCs w:val="19"/>
          <w:lang w:val="en-GB"/>
        </w:rPr>
        <w:t>, D.P.; Raynor, D.K.;</w:t>
      </w:r>
      <w:r w:rsidR="5C4A9135" w:rsidRPr="5E70B5F7">
        <w:rPr>
          <w:rFonts w:eastAsia="Palatino Linotype" w:cs="Palatino Linotype"/>
          <w:color w:val="FF0000"/>
          <w:sz w:val="19"/>
          <w:szCs w:val="19"/>
          <w:lang w:val="en-GB"/>
        </w:rPr>
        <w:t xml:space="preserve"> Dickinson, R.; Garfield, S.; </w:t>
      </w:r>
      <w:proofErr w:type="spellStart"/>
      <w:r w:rsidR="5C4A9135" w:rsidRPr="5E70B5F7">
        <w:rPr>
          <w:rFonts w:eastAsia="Palatino Linotype" w:cs="Palatino Linotype"/>
          <w:color w:val="FF0000"/>
          <w:sz w:val="19"/>
          <w:szCs w:val="19"/>
          <w:lang w:val="en-GB"/>
        </w:rPr>
        <w:t>Jesson</w:t>
      </w:r>
      <w:proofErr w:type="spellEnd"/>
      <w:r w:rsidR="5C4A9135" w:rsidRPr="5E70B5F7">
        <w:rPr>
          <w:rFonts w:eastAsia="Palatino Linotype" w:cs="Palatino Linotype"/>
          <w:color w:val="FF0000"/>
          <w:sz w:val="19"/>
          <w:szCs w:val="19"/>
          <w:lang w:val="en-GB"/>
        </w:rPr>
        <w:t>, B.</w:t>
      </w:r>
      <w:r w:rsidRPr="5E70B5F7">
        <w:rPr>
          <w:rFonts w:eastAsia="Palatino Linotype" w:cs="Palatino Linotype"/>
          <w:color w:val="FF0000"/>
          <w:sz w:val="19"/>
          <w:szCs w:val="19"/>
          <w:lang w:val="en-GB"/>
        </w:rPr>
        <w:t xml:space="preserve"> </w:t>
      </w:r>
      <w:r w:rsidR="0F2B22FC" w:rsidRPr="5E70B5F7">
        <w:rPr>
          <w:rFonts w:eastAsia="Palatino Linotype" w:cs="Palatino Linotype"/>
          <w:color w:val="FF0000"/>
          <w:sz w:val="19"/>
          <w:szCs w:val="19"/>
          <w:lang w:val="en-GB"/>
        </w:rPr>
        <w:t>Care homes’ use of medicines study: Prevalence, causes and potential harm of medication errors in care homes for older people</w:t>
      </w:r>
      <w:r w:rsidR="5A9D34F5" w:rsidRPr="5E70B5F7">
        <w:rPr>
          <w:rFonts w:eastAsia="Palatino Linotype" w:cs="Palatino Linotype"/>
          <w:color w:val="FF0000"/>
          <w:sz w:val="19"/>
          <w:szCs w:val="19"/>
          <w:lang w:val="en-GB"/>
        </w:rPr>
        <w:t>.</w:t>
      </w:r>
      <w:r w:rsidR="5A9D34F5" w:rsidRPr="5E70B5F7">
        <w:rPr>
          <w:rFonts w:eastAsia="Palatino Linotype" w:cs="Palatino Linotype"/>
          <w:i/>
          <w:iCs/>
          <w:color w:val="FF0000"/>
          <w:sz w:val="19"/>
          <w:szCs w:val="19"/>
          <w:lang w:val="en-GB"/>
        </w:rPr>
        <w:t xml:space="preserve"> </w:t>
      </w:r>
      <w:r w:rsidR="443CCE0B" w:rsidRPr="5E70B5F7">
        <w:rPr>
          <w:rFonts w:eastAsia="Palatino Linotype" w:cs="Palatino Linotype"/>
          <w:i/>
          <w:iCs/>
          <w:color w:val="FF0000"/>
          <w:sz w:val="19"/>
          <w:szCs w:val="19"/>
          <w:lang w:val="en-GB"/>
        </w:rPr>
        <w:t xml:space="preserve">BMJ Qual </w:t>
      </w:r>
      <w:proofErr w:type="spellStart"/>
      <w:r w:rsidR="443CCE0B" w:rsidRPr="5E70B5F7">
        <w:rPr>
          <w:rFonts w:eastAsia="Palatino Linotype" w:cs="Palatino Linotype"/>
          <w:i/>
          <w:iCs/>
          <w:color w:val="FF0000"/>
          <w:sz w:val="19"/>
          <w:szCs w:val="19"/>
          <w:lang w:val="en-GB"/>
        </w:rPr>
        <w:t>Saf</w:t>
      </w:r>
      <w:proofErr w:type="spellEnd"/>
      <w:r w:rsidR="12DB83C3" w:rsidRPr="5E70B5F7">
        <w:rPr>
          <w:rFonts w:eastAsia="Palatino Linotype" w:cs="Palatino Linotype"/>
          <w:i/>
          <w:iCs/>
          <w:color w:val="FF0000"/>
          <w:sz w:val="19"/>
          <w:szCs w:val="19"/>
          <w:lang w:val="en-GB"/>
        </w:rPr>
        <w:t>.</w:t>
      </w:r>
      <w:r w:rsidR="12DB83C3" w:rsidRPr="5E70B5F7">
        <w:rPr>
          <w:rFonts w:eastAsia="Palatino Linotype" w:cs="Palatino Linotype"/>
          <w:color w:val="FF0000"/>
          <w:sz w:val="19"/>
          <w:szCs w:val="19"/>
          <w:lang w:val="en-GB"/>
        </w:rPr>
        <w:t xml:space="preserve"> 2009</w:t>
      </w:r>
      <w:r w:rsidR="63ABC7DC" w:rsidRPr="5E70B5F7">
        <w:rPr>
          <w:rFonts w:eastAsia="Palatino Linotype" w:cs="Palatino Linotype"/>
          <w:color w:val="FF0000"/>
          <w:sz w:val="19"/>
          <w:szCs w:val="19"/>
          <w:lang w:val="en-GB"/>
        </w:rPr>
        <w:t>;</w:t>
      </w:r>
      <w:r w:rsidR="0F2B22FC" w:rsidRPr="5E70B5F7">
        <w:rPr>
          <w:rFonts w:eastAsia="Palatino Linotype" w:cs="Palatino Linotype"/>
          <w:color w:val="FF0000"/>
          <w:sz w:val="19"/>
          <w:szCs w:val="19"/>
          <w:lang w:val="en-GB"/>
        </w:rPr>
        <w:t>18</w:t>
      </w:r>
      <w:r w:rsidR="36B53FCF" w:rsidRPr="5E70B5F7">
        <w:rPr>
          <w:rFonts w:eastAsia="Palatino Linotype" w:cs="Palatino Linotype"/>
          <w:color w:val="FF0000"/>
          <w:sz w:val="19"/>
          <w:szCs w:val="19"/>
          <w:lang w:val="en-GB"/>
        </w:rPr>
        <w:t xml:space="preserve">: </w:t>
      </w:r>
      <w:r w:rsidR="0F2B22FC" w:rsidRPr="5E70B5F7">
        <w:rPr>
          <w:rFonts w:eastAsia="Palatino Linotype" w:cs="Palatino Linotype"/>
          <w:color w:val="FF0000"/>
          <w:sz w:val="19"/>
          <w:szCs w:val="19"/>
          <w:lang w:val="en-GB"/>
        </w:rPr>
        <w:t>341–6.</w:t>
      </w:r>
    </w:p>
    <w:p w14:paraId="3D0E89B2" w14:textId="58C5CFF6" w:rsidR="0F2B22FC" w:rsidRDefault="0F2B22FC" w:rsidP="5E70B5F7">
      <w:pPr>
        <w:pStyle w:val="MDPI71References"/>
      </w:pPr>
      <w:r w:rsidRPr="5E70B5F7">
        <w:rPr>
          <w:rFonts w:asciiTheme="minorHAnsi" w:eastAsiaTheme="minorEastAsia" w:hAnsiTheme="minorHAnsi" w:cstheme="minorBidi"/>
          <w:color w:val="FF0000"/>
          <w:sz w:val="19"/>
          <w:szCs w:val="19"/>
          <w:lang w:val="en-GB"/>
        </w:rPr>
        <w:t xml:space="preserve">European Medicines Agency, Streamlining EMA public communication on medication errors. URL </w:t>
      </w:r>
      <w:hyperlink r:id="rId27">
        <w:r w:rsidRPr="5E70B5F7">
          <w:rPr>
            <w:rStyle w:val="Hipervnculo"/>
            <w:rFonts w:asciiTheme="minorHAnsi" w:eastAsiaTheme="minorEastAsia" w:hAnsiTheme="minorHAnsi" w:cstheme="minorBidi"/>
            <w:color w:val="FF0000"/>
            <w:sz w:val="19"/>
            <w:szCs w:val="19"/>
            <w:lang w:val="en-GB"/>
          </w:rPr>
          <w:t>https://www.ema.europa.eu/documents/other/streamlining-ema-public-communication-medication-errors_en.pdf</w:t>
        </w:r>
      </w:hyperlink>
      <w:r w:rsidR="00E63621">
        <w:rPr>
          <w:rStyle w:val="Hipervnculo"/>
          <w:rFonts w:asciiTheme="minorHAnsi" w:eastAsiaTheme="minorEastAsia" w:hAnsiTheme="minorHAnsi" w:cstheme="minorBidi"/>
          <w:color w:val="FF0000"/>
          <w:sz w:val="19"/>
          <w:szCs w:val="19"/>
          <w:lang w:val="en-GB"/>
        </w:rPr>
        <w:t xml:space="preserve"> ¡</w:t>
      </w:r>
    </w:p>
    <w:p w14:paraId="185E3666" w14:textId="0A42E93C" w:rsidR="006D1210" w:rsidRDefault="37F46E52" w:rsidP="006D1210">
      <w:pPr>
        <w:pStyle w:val="MDPI71References"/>
      </w:pPr>
      <w:r>
        <w:t>Grigsby</w:t>
      </w:r>
      <w:r w:rsidR="0EE74C95">
        <w:t xml:space="preserve">, </w:t>
      </w:r>
      <w:r>
        <w:t>M</w:t>
      </w:r>
      <w:r w:rsidR="0EE74C95">
        <w:t>.</w:t>
      </w:r>
      <w:r>
        <w:t>R</w:t>
      </w:r>
      <w:r w:rsidR="0EE74C95">
        <w:t>.;</w:t>
      </w:r>
      <w:r>
        <w:t xml:space="preserve"> </w:t>
      </w:r>
      <w:proofErr w:type="spellStart"/>
      <w:r>
        <w:t>Siddharthan</w:t>
      </w:r>
      <w:proofErr w:type="spellEnd"/>
      <w:r w:rsidR="0EE74C95">
        <w:t>,</w:t>
      </w:r>
      <w:r>
        <w:t xml:space="preserve"> T</w:t>
      </w:r>
      <w:r w:rsidR="0EE74C95">
        <w:t>.;</w:t>
      </w:r>
      <w:r>
        <w:t xml:space="preserve"> Pollard</w:t>
      </w:r>
      <w:r w:rsidR="0EE74C95">
        <w:t xml:space="preserve">, </w:t>
      </w:r>
      <w:r>
        <w:t>S</w:t>
      </w:r>
      <w:r w:rsidR="0EE74C95">
        <w:t>.</w:t>
      </w:r>
      <w:r>
        <w:t>L</w:t>
      </w:r>
      <w:r w:rsidR="0EE74C95">
        <w:t>.;</w:t>
      </w:r>
      <w:r>
        <w:t xml:space="preserve"> Chowdhury</w:t>
      </w:r>
      <w:r w:rsidR="0EE74C95">
        <w:t>,</w:t>
      </w:r>
      <w:r>
        <w:t xml:space="preserve"> M</w:t>
      </w:r>
      <w:r w:rsidR="0EE74C95">
        <w:t>.;</w:t>
      </w:r>
      <w:r>
        <w:t xml:space="preserve"> Rubinstein</w:t>
      </w:r>
      <w:r w:rsidR="0EE74C95">
        <w:t>,</w:t>
      </w:r>
      <w:r>
        <w:t xml:space="preserve"> A</w:t>
      </w:r>
      <w:r w:rsidR="0EE74C95">
        <w:t>.;</w:t>
      </w:r>
      <w:r>
        <w:t xml:space="preserve"> Miranda</w:t>
      </w:r>
      <w:r w:rsidR="0EE74C95">
        <w:t>,</w:t>
      </w:r>
      <w:r>
        <w:t xml:space="preserve"> J</w:t>
      </w:r>
      <w:r w:rsidR="0EE74C95">
        <w:t>.</w:t>
      </w:r>
      <w:r>
        <w:t xml:space="preserve">J, et al. Low Body Mass Index Is Associated with Higher Odds of COPD and Lower Lung Function in Low-and Middle-Income Countries. </w:t>
      </w:r>
      <w:r w:rsidRPr="5E70B5F7">
        <w:rPr>
          <w:i/>
          <w:iCs/>
        </w:rPr>
        <w:t>COPD</w:t>
      </w:r>
      <w:r>
        <w:t>. 2019;16(1): 58-65. Doi: 10.1080/15412555.2019.1589443.</w:t>
      </w:r>
    </w:p>
    <w:p w14:paraId="7159A4A5" w14:textId="1721A81D" w:rsidR="006D1210" w:rsidRDefault="37F46E52" w:rsidP="006D1210">
      <w:pPr>
        <w:pStyle w:val="MDPI71References"/>
      </w:pPr>
      <w:r w:rsidRPr="5E70B5F7">
        <w:rPr>
          <w:lang w:val="es-ES"/>
        </w:rPr>
        <w:t>Rubinstein</w:t>
      </w:r>
      <w:r w:rsidR="0EE74C95" w:rsidRPr="5E70B5F7">
        <w:rPr>
          <w:lang w:val="es-ES"/>
        </w:rPr>
        <w:t xml:space="preserve">, </w:t>
      </w:r>
      <w:r w:rsidRPr="5E70B5F7">
        <w:rPr>
          <w:lang w:val="es-ES"/>
        </w:rPr>
        <w:t>A</w:t>
      </w:r>
      <w:r w:rsidR="0EE74C95" w:rsidRPr="5E70B5F7">
        <w:rPr>
          <w:lang w:val="es-ES"/>
        </w:rPr>
        <w:t>.</w:t>
      </w:r>
      <w:r w:rsidRPr="5E70B5F7">
        <w:rPr>
          <w:lang w:val="es-ES"/>
        </w:rPr>
        <w:t>L</w:t>
      </w:r>
      <w:r w:rsidR="0EE74C95" w:rsidRPr="5E70B5F7">
        <w:rPr>
          <w:lang w:val="es-ES"/>
        </w:rPr>
        <w:t>.</w:t>
      </w:r>
      <w:r w:rsidR="4038245E" w:rsidRPr="5E70B5F7">
        <w:rPr>
          <w:lang w:val="es-ES"/>
        </w:rPr>
        <w:t>;</w:t>
      </w:r>
      <w:r w:rsidRPr="5E70B5F7">
        <w:rPr>
          <w:lang w:val="es-ES"/>
        </w:rPr>
        <w:t xml:space="preserve"> </w:t>
      </w:r>
      <w:proofErr w:type="spellStart"/>
      <w:r w:rsidRPr="5E70B5F7">
        <w:rPr>
          <w:lang w:val="es-ES"/>
        </w:rPr>
        <w:t>Irazola</w:t>
      </w:r>
      <w:proofErr w:type="spellEnd"/>
      <w:r w:rsidR="0EE74C95" w:rsidRPr="5E70B5F7">
        <w:rPr>
          <w:lang w:val="es-ES"/>
        </w:rPr>
        <w:t>,</w:t>
      </w:r>
      <w:r w:rsidRPr="5E70B5F7">
        <w:rPr>
          <w:lang w:val="es-ES"/>
        </w:rPr>
        <w:t xml:space="preserve"> V</w:t>
      </w:r>
      <w:r w:rsidR="0EE74C95" w:rsidRPr="5E70B5F7">
        <w:rPr>
          <w:lang w:val="es-ES"/>
        </w:rPr>
        <w:t>.</w:t>
      </w:r>
      <w:r w:rsidRPr="5E70B5F7">
        <w:rPr>
          <w:lang w:val="es-ES"/>
        </w:rPr>
        <w:t>E</w:t>
      </w:r>
      <w:r w:rsidR="0EE74C95" w:rsidRPr="5E70B5F7">
        <w:rPr>
          <w:lang w:val="es-ES"/>
        </w:rPr>
        <w:t>.;</w:t>
      </w:r>
      <w:r w:rsidRPr="5E70B5F7">
        <w:rPr>
          <w:lang w:val="es-ES"/>
        </w:rPr>
        <w:t xml:space="preserve"> </w:t>
      </w:r>
      <w:proofErr w:type="spellStart"/>
      <w:r w:rsidRPr="5E70B5F7">
        <w:rPr>
          <w:lang w:val="es-ES"/>
        </w:rPr>
        <w:t>Bazzano</w:t>
      </w:r>
      <w:proofErr w:type="spellEnd"/>
      <w:r w:rsidR="0EE74C95" w:rsidRPr="5E70B5F7">
        <w:rPr>
          <w:lang w:val="es-ES"/>
        </w:rPr>
        <w:t>,</w:t>
      </w:r>
      <w:r w:rsidRPr="5E70B5F7">
        <w:rPr>
          <w:lang w:val="es-ES"/>
        </w:rPr>
        <w:t xml:space="preserve"> L</w:t>
      </w:r>
      <w:r w:rsidR="0EE74C95" w:rsidRPr="5E70B5F7">
        <w:rPr>
          <w:lang w:val="es-ES"/>
        </w:rPr>
        <w:t>.</w:t>
      </w:r>
      <w:r w:rsidRPr="5E70B5F7">
        <w:rPr>
          <w:lang w:val="es-ES"/>
        </w:rPr>
        <w:t>A</w:t>
      </w:r>
      <w:r w:rsidR="0EE74C95" w:rsidRPr="5E70B5F7">
        <w:rPr>
          <w:lang w:val="es-ES"/>
        </w:rPr>
        <w:t>.;</w:t>
      </w:r>
      <w:r w:rsidRPr="5E70B5F7">
        <w:rPr>
          <w:lang w:val="es-ES"/>
        </w:rPr>
        <w:t xml:space="preserve"> Sobrino</w:t>
      </w:r>
      <w:r w:rsidR="0EE74C95" w:rsidRPr="5E70B5F7">
        <w:rPr>
          <w:lang w:val="es-ES"/>
        </w:rPr>
        <w:t>,</w:t>
      </w:r>
      <w:r w:rsidRPr="5E70B5F7">
        <w:rPr>
          <w:lang w:val="es-ES"/>
        </w:rPr>
        <w:t xml:space="preserve"> E</w:t>
      </w:r>
      <w:r w:rsidR="0EE74C95" w:rsidRPr="5E70B5F7">
        <w:rPr>
          <w:lang w:val="es-ES"/>
        </w:rPr>
        <w:t>.;</w:t>
      </w:r>
      <w:r w:rsidRPr="5E70B5F7">
        <w:rPr>
          <w:lang w:val="es-ES"/>
        </w:rPr>
        <w:t xml:space="preserve"> </w:t>
      </w:r>
      <w:proofErr w:type="spellStart"/>
      <w:r w:rsidRPr="5E70B5F7">
        <w:rPr>
          <w:lang w:val="es-ES"/>
        </w:rPr>
        <w:t>Calandrelli</w:t>
      </w:r>
      <w:proofErr w:type="spellEnd"/>
      <w:r w:rsidR="0EE74C95" w:rsidRPr="5E70B5F7">
        <w:rPr>
          <w:lang w:val="es-ES"/>
        </w:rPr>
        <w:t>,</w:t>
      </w:r>
      <w:r w:rsidRPr="5E70B5F7">
        <w:rPr>
          <w:lang w:val="es-ES"/>
        </w:rPr>
        <w:t xml:space="preserve"> M</w:t>
      </w:r>
      <w:r w:rsidR="0EE74C95" w:rsidRPr="5E70B5F7">
        <w:rPr>
          <w:lang w:val="es-ES"/>
        </w:rPr>
        <w:t>.;</w:t>
      </w:r>
      <w:r w:rsidRPr="5E70B5F7">
        <w:rPr>
          <w:lang w:val="es-ES"/>
        </w:rPr>
        <w:t xml:space="preserve"> Lanas</w:t>
      </w:r>
      <w:r w:rsidR="0EE74C95" w:rsidRPr="5E70B5F7">
        <w:rPr>
          <w:lang w:val="es-ES"/>
        </w:rPr>
        <w:t xml:space="preserve">, </w:t>
      </w:r>
      <w:r w:rsidRPr="5E70B5F7">
        <w:rPr>
          <w:lang w:val="es-ES"/>
        </w:rPr>
        <w:t>F</w:t>
      </w:r>
      <w:r w:rsidR="0EE74C95" w:rsidRPr="5E70B5F7">
        <w:rPr>
          <w:lang w:val="es-ES"/>
        </w:rPr>
        <w:t>,</w:t>
      </w:r>
      <w:r w:rsidRPr="5E70B5F7">
        <w:rPr>
          <w:lang w:val="es-ES"/>
        </w:rPr>
        <w:t xml:space="preserve"> et al. </w:t>
      </w:r>
      <w:r>
        <w:t xml:space="preserve">Detection and follow-up of chronic obstructive pulmonary disease (COPD) and risk factors in the Southern Cone of Latin America: the pulmonary risk in South America (PRISA) study. </w:t>
      </w:r>
      <w:r w:rsidRPr="5E70B5F7">
        <w:rPr>
          <w:i/>
          <w:iCs/>
        </w:rPr>
        <w:t xml:space="preserve">BMC </w:t>
      </w:r>
      <w:proofErr w:type="spellStart"/>
      <w:r w:rsidRPr="5E70B5F7">
        <w:rPr>
          <w:i/>
          <w:iCs/>
        </w:rPr>
        <w:t>Pulm</w:t>
      </w:r>
      <w:proofErr w:type="spellEnd"/>
      <w:r w:rsidR="0EE74C95" w:rsidRPr="5E70B5F7">
        <w:rPr>
          <w:i/>
          <w:iCs/>
        </w:rPr>
        <w:t>.</w:t>
      </w:r>
      <w:r w:rsidRPr="5E70B5F7">
        <w:rPr>
          <w:i/>
          <w:iCs/>
        </w:rPr>
        <w:t xml:space="preserve"> Med</w:t>
      </w:r>
      <w:r>
        <w:t>. 2011 Jun 1;11: 34. Doi: 10.1186/1471-2466-11-34.</w:t>
      </w:r>
    </w:p>
    <w:p w14:paraId="0858AF75" w14:textId="3BDC3B09" w:rsidR="00522304" w:rsidRDefault="00522304" w:rsidP="5E70B5F7">
      <w:pPr>
        <w:pStyle w:val="Prrafodelista"/>
        <w:rPr>
          <w:rFonts w:ascii="Open Sans" w:eastAsia="Open Sans" w:hAnsi="Open Sans" w:cs="Open Sans"/>
          <w:noProof w:val="0"/>
          <w:color w:val="333333"/>
          <w:sz w:val="21"/>
          <w:szCs w:val="21"/>
        </w:rPr>
      </w:pPr>
    </w:p>
    <w:sectPr w:rsidR="00522304" w:rsidSect="00601851">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0E69" w14:textId="77777777" w:rsidR="00E90E74" w:rsidRDefault="00E90E74">
      <w:pPr>
        <w:spacing w:line="240" w:lineRule="auto"/>
      </w:pPr>
      <w:r>
        <w:separator/>
      </w:r>
    </w:p>
  </w:endnote>
  <w:endnote w:type="continuationSeparator" w:id="0">
    <w:p w14:paraId="37DD3C09" w14:textId="77777777" w:rsidR="00E90E74" w:rsidRDefault="00E90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latino lino">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62F3" w14:textId="77777777" w:rsidR="005E213E" w:rsidRDefault="005E21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6B99" w14:textId="77777777" w:rsidR="00E90986" w:rsidRPr="00590BF9" w:rsidRDefault="00E90986" w:rsidP="00E90986">
    <w:pPr>
      <w:pStyle w:val="Piedepgina"/>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7070" w14:textId="77777777" w:rsidR="00953C94" w:rsidRDefault="00953C94" w:rsidP="00F32F04">
    <w:pPr>
      <w:pStyle w:val="MDPIfooterfirstpage"/>
      <w:pBdr>
        <w:top w:val="single" w:sz="4" w:space="0" w:color="000000"/>
      </w:pBdr>
      <w:adjustRightInd w:val="0"/>
      <w:snapToGrid w:val="0"/>
      <w:spacing w:before="480" w:line="100" w:lineRule="exact"/>
      <w:rPr>
        <w:i/>
        <w:szCs w:val="16"/>
      </w:rPr>
    </w:pPr>
  </w:p>
  <w:p w14:paraId="277A1C35" w14:textId="77777777" w:rsidR="00E90986" w:rsidRPr="008B308E" w:rsidRDefault="00E90986" w:rsidP="00B200C8">
    <w:pPr>
      <w:pStyle w:val="MDPIfooterfirstpage"/>
      <w:tabs>
        <w:tab w:val="clear" w:pos="8845"/>
        <w:tab w:val="right" w:pos="10466"/>
      </w:tabs>
      <w:spacing w:line="240" w:lineRule="auto"/>
      <w:jc w:val="both"/>
      <w:rPr>
        <w:lang w:val="fr-CH"/>
      </w:rPr>
    </w:pPr>
    <w:r w:rsidRPr="009231ED">
      <w:rPr>
        <w:i/>
        <w:szCs w:val="16"/>
      </w:rPr>
      <w:t>Int. J. Environ. Res. Public Health</w:t>
    </w:r>
    <w:r w:rsidRPr="009231ED">
      <w:rPr>
        <w:szCs w:val="16"/>
      </w:rPr>
      <w:t xml:space="preserve"> </w:t>
    </w:r>
    <w:r w:rsidR="00072F70" w:rsidRPr="00072F70">
      <w:rPr>
        <w:b/>
        <w:szCs w:val="16"/>
      </w:rPr>
      <w:t>2021</w:t>
    </w:r>
    <w:r w:rsidR="00AE348C" w:rsidRPr="00AE348C">
      <w:rPr>
        <w:szCs w:val="16"/>
      </w:rPr>
      <w:t xml:space="preserve">, </w:t>
    </w:r>
    <w:r w:rsidR="00072F70" w:rsidRPr="00072F70">
      <w:rPr>
        <w:i/>
        <w:szCs w:val="16"/>
      </w:rPr>
      <w:t>18</w:t>
    </w:r>
    <w:r w:rsidR="00AE348C" w:rsidRPr="00AE348C">
      <w:rPr>
        <w:szCs w:val="16"/>
      </w:rPr>
      <w:t xml:space="preserve">, </w:t>
    </w:r>
    <w:r w:rsidR="001F0C32">
      <w:rPr>
        <w:szCs w:val="16"/>
      </w:rPr>
      <w:t>x</w:t>
    </w:r>
    <w:r w:rsidR="00953C94">
      <w:rPr>
        <w:szCs w:val="16"/>
      </w:rPr>
      <w:t>. https://doi.org/10.3390/xxxxx</w:t>
    </w:r>
    <w:r w:rsidR="00B200C8" w:rsidRPr="008B308E">
      <w:rPr>
        <w:lang w:val="fr-CH"/>
      </w:rPr>
      <w:tab/>
    </w:r>
    <w:r w:rsidRPr="008B308E">
      <w:rPr>
        <w:lang w:val="fr-CH"/>
      </w:rPr>
      <w:t>www.mdpi.com/journal/</w:t>
    </w:r>
    <w:proofErr w:type="spellStart"/>
    <w:r>
      <w:t>ijerph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B0D4" w14:textId="77777777" w:rsidR="00E90E74" w:rsidRDefault="00E90E74">
      <w:pPr>
        <w:spacing w:line="240" w:lineRule="auto"/>
      </w:pPr>
      <w:r>
        <w:separator/>
      </w:r>
    </w:p>
  </w:footnote>
  <w:footnote w:type="continuationSeparator" w:id="0">
    <w:p w14:paraId="3D9381B6" w14:textId="77777777" w:rsidR="00E90E74" w:rsidRDefault="00E90E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6D37" w14:textId="77777777" w:rsidR="00E90986" w:rsidRDefault="00E90986" w:rsidP="00E90986">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ACDD" w14:textId="77777777" w:rsidR="00953C94" w:rsidRDefault="00E90986" w:rsidP="00B200C8">
    <w:pPr>
      <w:tabs>
        <w:tab w:val="right" w:pos="10466"/>
      </w:tabs>
      <w:adjustRightInd w:val="0"/>
      <w:snapToGrid w:val="0"/>
      <w:spacing w:line="240" w:lineRule="auto"/>
      <w:rPr>
        <w:sz w:val="16"/>
      </w:rPr>
    </w:pPr>
    <w:r>
      <w:rPr>
        <w:i/>
        <w:sz w:val="16"/>
      </w:rPr>
      <w:t xml:space="preserve">Int. J. Environ. Res. Public Health </w:t>
    </w:r>
    <w:r w:rsidR="00B432DE" w:rsidRPr="00B432DE">
      <w:rPr>
        <w:b/>
        <w:sz w:val="16"/>
      </w:rPr>
      <w:t>2021</w:t>
    </w:r>
    <w:r w:rsidR="00AE348C" w:rsidRPr="00AE348C">
      <w:rPr>
        <w:sz w:val="16"/>
      </w:rPr>
      <w:t xml:space="preserve">, </w:t>
    </w:r>
    <w:r w:rsidR="00B432DE" w:rsidRPr="00B432DE">
      <w:rPr>
        <w:i/>
        <w:sz w:val="16"/>
      </w:rPr>
      <w:t>18</w:t>
    </w:r>
    <w:r w:rsidR="001F0C32">
      <w:rPr>
        <w:sz w:val="16"/>
      </w:rPr>
      <w:t>, x FOR PEER REVIEW</w:t>
    </w:r>
    <w:r w:rsidR="00B200C8">
      <w:rPr>
        <w:sz w:val="16"/>
      </w:rPr>
      <w:tab/>
    </w:r>
    <w:r w:rsidR="001F0C32">
      <w:rPr>
        <w:sz w:val="16"/>
      </w:rPr>
      <w:fldChar w:fldCharType="begin"/>
    </w:r>
    <w:r w:rsidR="001F0C32">
      <w:rPr>
        <w:sz w:val="16"/>
      </w:rPr>
      <w:instrText xml:space="preserve"> PAGE   \* MERGEFORMAT </w:instrText>
    </w:r>
    <w:r w:rsidR="001F0C32">
      <w:rPr>
        <w:sz w:val="16"/>
      </w:rPr>
      <w:fldChar w:fldCharType="separate"/>
    </w:r>
    <w:r w:rsidR="009313EF">
      <w:rPr>
        <w:sz w:val="16"/>
      </w:rPr>
      <w:t>5</w:t>
    </w:r>
    <w:r w:rsidR="001F0C32">
      <w:rPr>
        <w:sz w:val="16"/>
      </w:rPr>
      <w:fldChar w:fldCharType="end"/>
    </w:r>
    <w:r w:rsidR="001F0C32">
      <w:rPr>
        <w:sz w:val="16"/>
      </w:rPr>
      <w:t xml:space="preserve"> of </w:t>
    </w:r>
    <w:r w:rsidR="001F0C32">
      <w:rPr>
        <w:sz w:val="16"/>
      </w:rPr>
      <w:fldChar w:fldCharType="begin"/>
    </w:r>
    <w:r w:rsidR="001F0C32">
      <w:rPr>
        <w:sz w:val="16"/>
      </w:rPr>
      <w:instrText xml:space="preserve"> NUMPAGES   \* MERGEFORMAT </w:instrText>
    </w:r>
    <w:r w:rsidR="001F0C32">
      <w:rPr>
        <w:sz w:val="16"/>
      </w:rPr>
      <w:fldChar w:fldCharType="separate"/>
    </w:r>
    <w:r w:rsidR="009313EF">
      <w:rPr>
        <w:sz w:val="16"/>
      </w:rPr>
      <w:t>5</w:t>
    </w:r>
    <w:r w:rsidR="001F0C32">
      <w:rPr>
        <w:sz w:val="16"/>
      </w:rPr>
      <w:fldChar w:fldCharType="end"/>
    </w:r>
  </w:p>
  <w:p w14:paraId="74B25357" w14:textId="77777777" w:rsidR="00E90986" w:rsidRPr="00305CED" w:rsidRDefault="00E90986" w:rsidP="00F32F0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953C94" w:rsidRPr="00B200C8" w14:paraId="53AB2DA1" w14:textId="77777777" w:rsidTr="00B200C8">
      <w:trPr>
        <w:trHeight w:val="686"/>
      </w:trPr>
      <w:tc>
        <w:tcPr>
          <w:tcW w:w="3679" w:type="dxa"/>
          <w:shd w:val="clear" w:color="auto" w:fill="auto"/>
          <w:vAlign w:val="center"/>
        </w:tcPr>
        <w:p w14:paraId="19818F0E" w14:textId="77777777" w:rsidR="00953C94" w:rsidRPr="006331AD" w:rsidRDefault="0088318A" w:rsidP="00B200C8">
          <w:pPr>
            <w:pStyle w:val="Encabezado"/>
            <w:pBdr>
              <w:bottom w:val="none" w:sz="0" w:space="0" w:color="auto"/>
            </w:pBdr>
            <w:jc w:val="left"/>
            <w:rPr>
              <w:rFonts w:eastAsia="DengXian"/>
              <w:b/>
              <w:bCs/>
            </w:rPr>
          </w:pPr>
          <w:r w:rsidRPr="006331AD">
            <w:rPr>
              <w:rFonts w:eastAsia="DengXian"/>
              <w:b/>
              <w:bCs/>
            </w:rPr>
            <w:drawing>
              <wp:inline distT="0" distB="0" distL="0" distR="0" wp14:anchorId="2E302D3C" wp14:editId="09441165">
                <wp:extent cx="1828800" cy="429260"/>
                <wp:effectExtent l="0" t="0" r="0" b="0"/>
                <wp:docPr id="1" name="Picture 3" descr="C:\Users\home\Desktop\logos\png\ijerp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png\ijerph-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29260"/>
                        </a:xfrm>
                        <a:prstGeom prst="rect">
                          <a:avLst/>
                        </a:prstGeom>
                        <a:noFill/>
                        <a:ln>
                          <a:noFill/>
                        </a:ln>
                      </pic:spPr>
                    </pic:pic>
                  </a:graphicData>
                </a:graphic>
              </wp:inline>
            </w:drawing>
          </w:r>
        </w:p>
      </w:tc>
      <w:tc>
        <w:tcPr>
          <w:tcW w:w="4535" w:type="dxa"/>
          <w:shd w:val="clear" w:color="auto" w:fill="auto"/>
          <w:vAlign w:val="center"/>
        </w:tcPr>
        <w:p w14:paraId="1A59CA0E" w14:textId="77777777" w:rsidR="00953C94" w:rsidRPr="006331AD" w:rsidRDefault="00953C94" w:rsidP="00B200C8">
          <w:pPr>
            <w:pStyle w:val="Encabezado"/>
            <w:pBdr>
              <w:bottom w:val="none" w:sz="0" w:space="0" w:color="auto"/>
            </w:pBdr>
            <w:rPr>
              <w:rFonts w:eastAsia="DengXian"/>
              <w:b/>
              <w:bCs/>
            </w:rPr>
          </w:pPr>
        </w:p>
      </w:tc>
      <w:tc>
        <w:tcPr>
          <w:tcW w:w="2273" w:type="dxa"/>
          <w:shd w:val="clear" w:color="auto" w:fill="auto"/>
          <w:vAlign w:val="center"/>
        </w:tcPr>
        <w:p w14:paraId="01A936E2" w14:textId="77777777" w:rsidR="00953C94" w:rsidRPr="006331AD" w:rsidRDefault="0088318A" w:rsidP="00B200C8">
          <w:pPr>
            <w:pStyle w:val="Encabezado"/>
            <w:pBdr>
              <w:bottom w:val="none" w:sz="0" w:space="0" w:color="auto"/>
            </w:pBdr>
            <w:jc w:val="right"/>
            <w:rPr>
              <w:rFonts w:eastAsia="DengXian"/>
              <w:b/>
              <w:bCs/>
            </w:rPr>
          </w:pPr>
          <w:r w:rsidRPr="006331AD">
            <w:rPr>
              <w:rFonts w:eastAsia="DengXian"/>
              <w:b/>
              <w:bCs/>
            </w:rPr>
            <w:drawing>
              <wp:inline distT="0" distB="0" distL="0" distR="0" wp14:anchorId="135C04D2" wp14:editId="4C319773">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690255CD" w14:textId="77777777" w:rsidR="00E90986" w:rsidRPr="00953C94" w:rsidRDefault="00E90986" w:rsidP="00F32F0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FFFFFFFF">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4ADC2881"/>
    <w:multiLevelType w:val="hybridMultilevel"/>
    <w:tmpl w:val="27F0A690"/>
    <w:lvl w:ilvl="0" w:tplc="822C66F4">
      <w:start w:val="1"/>
      <w:numFmt w:val="bullet"/>
      <w:lvlText w:val=""/>
      <w:lvlJc w:val="left"/>
      <w:pPr>
        <w:ind w:left="720" w:hanging="360"/>
      </w:pPr>
      <w:rPr>
        <w:rFonts w:ascii="Symbol" w:hAnsi="Symbol" w:hint="default"/>
      </w:rPr>
    </w:lvl>
    <w:lvl w:ilvl="1" w:tplc="25B02FC2">
      <w:start w:val="1"/>
      <w:numFmt w:val="bullet"/>
      <w:lvlText w:val="o"/>
      <w:lvlJc w:val="left"/>
      <w:pPr>
        <w:ind w:left="1440" w:hanging="360"/>
      </w:pPr>
      <w:rPr>
        <w:rFonts w:ascii="Courier New" w:hAnsi="Courier New" w:hint="default"/>
      </w:rPr>
    </w:lvl>
    <w:lvl w:ilvl="2" w:tplc="97C0068A">
      <w:start w:val="1"/>
      <w:numFmt w:val="bullet"/>
      <w:lvlText w:val=""/>
      <w:lvlJc w:val="left"/>
      <w:pPr>
        <w:ind w:left="2160" w:hanging="360"/>
      </w:pPr>
      <w:rPr>
        <w:rFonts w:ascii="Wingdings" w:hAnsi="Wingdings" w:hint="default"/>
      </w:rPr>
    </w:lvl>
    <w:lvl w:ilvl="3" w:tplc="4F8AD168">
      <w:start w:val="1"/>
      <w:numFmt w:val="bullet"/>
      <w:lvlText w:val=""/>
      <w:lvlJc w:val="left"/>
      <w:pPr>
        <w:ind w:left="2880" w:hanging="360"/>
      </w:pPr>
      <w:rPr>
        <w:rFonts w:ascii="Symbol" w:hAnsi="Symbol" w:hint="default"/>
      </w:rPr>
    </w:lvl>
    <w:lvl w:ilvl="4" w:tplc="08F88C78">
      <w:start w:val="1"/>
      <w:numFmt w:val="bullet"/>
      <w:lvlText w:val="o"/>
      <w:lvlJc w:val="left"/>
      <w:pPr>
        <w:ind w:left="3600" w:hanging="360"/>
      </w:pPr>
      <w:rPr>
        <w:rFonts w:ascii="Courier New" w:hAnsi="Courier New" w:hint="default"/>
      </w:rPr>
    </w:lvl>
    <w:lvl w:ilvl="5" w:tplc="52A88A38">
      <w:start w:val="1"/>
      <w:numFmt w:val="bullet"/>
      <w:lvlText w:val=""/>
      <w:lvlJc w:val="left"/>
      <w:pPr>
        <w:ind w:left="4320" w:hanging="360"/>
      </w:pPr>
      <w:rPr>
        <w:rFonts w:ascii="Wingdings" w:hAnsi="Wingdings" w:hint="default"/>
      </w:rPr>
    </w:lvl>
    <w:lvl w:ilvl="6" w:tplc="021E7D4A">
      <w:start w:val="1"/>
      <w:numFmt w:val="bullet"/>
      <w:lvlText w:val=""/>
      <w:lvlJc w:val="left"/>
      <w:pPr>
        <w:ind w:left="5040" w:hanging="360"/>
      </w:pPr>
      <w:rPr>
        <w:rFonts w:ascii="Symbol" w:hAnsi="Symbol" w:hint="default"/>
      </w:rPr>
    </w:lvl>
    <w:lvl w:ilvl="7" w:tplc="1EB68B60">
      <w:start w:val="1"/>
      <w:numFmt w:val="bullet"/>
      <w:lvlText w:val="o"/>
      <w:lvlJc w:val="left"/>
      <w:pPr>
        <w:ind w:left="5760" w:hanging="360"/>
      </w:pPr>
      <w:rPr>
        <w:rFonts w:ascii="Courier New" w:hAnsi="Courier New" w:hint="default"/>
      </w:rPr>
    </w:lvl>
    <w:lvl w:ilvl="8" w:tplc="65CE17EC">
      <w:start w:val="1"/>
      <w:numFmt w:val="bullet"/>
      <w:lvlText w:val=""/>
      <w:lvlJc w:val="left"/>
      <w:pPr>
        <w:ind w:left="6480"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6"/>
  </w:num>
  <w:num w:numId="2">
    <w:abstractNumId w:val="3"/>
  </w:num>
  <w:num w:numId="3">
    <w:abstractNumId w:val="5"/>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8"/>
  </w:num>
  <w:num w:numId="10">
    <w:abstractNumId w:val="1"/>
  </w:num>
  <w:num w:numId="11">
    <w:abstractNumId w:val="8"/>
  </w:num>
  <w:num w:numId="12">
    <w:abstractNumId w:val="1"/>
  </w:num>
  <w:num w:numId="13">
    <w:abstractNumId w:val="9"/>
  </w:num>
  <w:num w:numId="14">
    <w:abstractNumId w:val="8"/>
  </w:num>
  <w:num w:numId="15">
    <w:abstractNumId w:val="1"/>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18"/>
    <w:rsid w:val="0002554A"/>
    <w:rsid w:val="0003183D"/>
    <w:rsid w:val="00033399"/>
    <w:rsid w:val="00041937"/>
    <w:rsid w:val="00047C14"/>
    <w:rsid w:val="00047FFA"/>
    <w:rsid w:val="00062D64"/>
    <w:rsid w:val="00070BC3"/>
    <w:rsid w:val="00072F70"/>
    <w:rsid w:val="000946E3"/>
    <w:rsid w:val="000A619D"/>
    <w:rsid w:val="000C3D95"/>
    <w:rsid w:val="000D4CAC"/>
    <w:rsid w:val="001035B5"/>
    <w:rsid w:val="00113A18"/>
    <w:rsid w:val="00121956"/>
    <w:rsid w:val="001228BC"/>
    <w:rsid w:val="00177995"/>
    <w:rsid w:val="00183AB8"/>
    <w:rsid w:val="00194C32"/>
    <w:rsid w:val="001957FA"/>
    <w:rsid w:val="00199417"/>
    <w:rsid w:val="001A3009"/>
    <w:rsid w:val="001B5CEC"/>
    <w:rsid w:val="001D41F9"/>
    <w:rsid w:val="001E2AEB"/>
    <w:rsid w:val="001F0C32"/>
    <w:rsid w:val="001F53CA"/>
    <w:rsid w:val="001F6D18"/>
    <w:rsid w:val="002019E5"/>
    <w:rsid w:val="0020566A"/>
    <w:rsid w:val="00205AC7"/>
    <w:rsid w:val="0020625A"/>
    <w:rsid w:val="00214A6A"/>
    <w:rsid w:val="00223336"/>
    <w:rsid w:val="00257BA9"/>
    <w:rsid w:val="00284BEB"/>
    <w:rsid w:val="0028607E"/>
    <w:rsid w:val="002A558B"/>
    <w:rsid w:val="002D57A5"/>
    <w:rsid w:val="002E3019"/>
    <w:rsid w:val="002F3D49"/>
    <w:rsid w:val="002F534C"/>
    <w:rsid w:val="002F6C9F"/>
    <w:rsid w:val="00306807"/>
    <w:rsid w:val="00322BD2"/>
    <w:rsid w:val="00326141"/>
    <w:rsid w:val="00342B67"/>
    <w:rsid w:val="003663D4"/>
    <w:rsid w:val="0039002C"/>
    <w:rsid w:val="003938DA"/>
    <w:rsid w:val="003A1A6C"/>
    <w:rsid w:val="003D7D52"/>
    <w:rsid w:val="003F747E"/>
    <w:rsid w:val="00401B3A"/>
    <w:rsid w:val="00401D30"/>
    <w:rsid w:val="00407587"/>
    <w:rsid w:val="00412892"/>
    <w:rsid w:val="00414DE1"/>
    <w:rsid w:val="00417958"/>
    <w:rsid w:val="00421077"/>
    <w:rsid w:val="0042738E"/>
    <w:rsid w:val="00442F7E"/>
    <w:rsid w:val="00446637"/>
    <w:rsid w:val="0046726B"/>
    <w:rsid w:val="00484C66"/>
    <w:rsid w:val="00493964"/>
    <w:rsid w:val="004A751A"/>
    <w:rsid w:val="004B5280"/>
    <w:rsid w:val="004D5A80"/>
    <w:rsid w:val="004D6B8D"/>
    <w:rsid w:val="004F2EF6"/>
    <w:rsid w:val="00514646"/>
    <w:rsid w:val="00522304"/>
    <w:rsid w:val="00527484"/>
    <w:rsid w:val="005339E4"/>
    <w:rsid w:val="00547C19"/>
    <w:rsid w:val="005569A0"/>
    <w:rsid w:val="00560DF2"/>
    <w:rsid w:val="005617D6"/>
    <w:rsid w:val="00576272"/>
    <w:rsid w:val="005940DE"/>
    <w:rsid w:val="005A4818"/>
    <w:rsid w:val="005A73CE"/>
    <w:rsid w:val="005B07C9"/>
    <w:rsid w:val="005B0E8A"/>
    <w:rsid w:val="005B6C3D"/>
    <w:rsid w:val="005D71B5"/>
    <w:rsid w:val="005E04FC"/>
    <w:rsid w:val="005E213E"/>
    <w:rsid w:val="00601851"/>
    <w:rsid w:val="006120F2"/>
    <w:rsid w:val="00615FFE"/>
    <w:rsid w:val="006211DD"/>
    <w:rsid w:val="006331AD"/>
    <w:rsid w:val="00662E41"/>
    <w:rsid w:val="006822FA"/>
    <w:rsid w:val="00686327"/>
    <w:rsid w:val="00692393"/>
    <w:rsid w:val="006C15A8"/>
    <w:rsid w:val="006C61EE"/>
    <w:rsid w:val="006D1210"/>
    <w:rsid w:val="00711C0C"/>
    <w:rsid w:val="00713758"/>
    <w:rsid w:val="00713A5D"/>
    <w:rsid w:val="00723F1C"/>
    <w:rsid w:val="007A0755"/>
    <w:rsid w:val="007B3E14"/>
    <w:rsid w:val="007B71D1"/>
    <w:rsid w:val="007C437A"/>
    <w:rsid w:val="007D1435"/>
    <w:rsid w:val="007E5A5B"/>
    <w:rsid w:val="00826149"/>
    <w:rsid w:val="008333C2"/>
    <w:rsid w:val="00843BF4"/>
    <w:rsid w:val="0088318A"/>
    <w:rsid w:val="008B4E46"/>
    <w:rsid w:val="008C5CBF"/>
    <w:rsid w:val="008E00B4"/>
    <w:rsid w:val="008E3B5E"/>
    <w:rsid w:val="008E5FFC"/>
    <w:rsid w:val="00904094"/>
    <w:rsid w:val="00905DEE"/>
    <w:rsid w:val="009313EF"/>
    <w:rsid w:val="00935F4E"/>
    <w:rsid w:val="0094333D"/>
    <w:rsid w:val="00950618"/>
    <w:rsid w:val="00953C94"/>
    <w:rsid w:val="009545D7"/>
    <w:rsid w:val="00977387"/>
    <w:rsid w:val="00985746"/>
    <w:rsid w:val="00997B86"/>
    <w:rsid w:val="009A52C8"/>
    <w:rsid w:val="009B03B9"/>
    <w:rsid w:val="009B152D"/>
    <w:rsid w:val="009B4AB1"/>
    <w:rsid w:val="009E1510"/>
    <w:rsid w:val="009E7F56"/>
    <w:rsid w:val="009F274E"/>
    <w:rsid w:val="009F5811"/>
    <w:rsid w:val="009F70E6"/>
    <w:rsid w:val="00A0136F"/>
    <w:rsid w:val="00A02301"/>
    <w:rsid w:val="00A146C0"/>
    <w:rsid w:val="00A2724F"/>
    <w:rsid w:val="00A41EC8"/>
    <w:rsid w:val="00A64950"/>
    <w:rsid w:val="00A86D5B"/>
    <w:rsid w:val="00AC61B4"/>
    <w:rsid w:val="00AD2D7B"/>
    <w:rsid w:val="00AE0E14"/>
    <w:rsid w:val="00AE348C"/>
    <w:rsid w:val="00AF44C1"/>
    <w:rsid w:val="00B00E09"/>
    <w:rsid w:val="00B05578"/>
    <w:rsid w:val="00B06823"/>
    <w:rsid w:val="00B200C8"/>
    <w:rsid w:val="00B230E1"/>
    <w:rsid w:val="00B33A33"/>
    <w:rsid w:val="00B432DE"/>
    <w:rsid w:val="00B50111"/>
    <w:rsid w:val="00B670B5"/>
    <w:rsid w:val="00B91113"/>
    <w:rsid w:val="00B9729D"/>
    <w:rsid w:val="00BE6750"/>
    <w:rsid w:val="00BF437C"/>
    <w:rsid w:val="00C10342"/>
    <w:rsid w:val="00C13470"/>
    <w:rsid w:val="00C22823"/>
    <w:rsid w:val="00C243C9"/>
    <w:rsid w:val="00C639EA"/>
    <w:rsid w:val="00C65B0B"/>
    <w:rsid w:val="00C82596"/>
    <w:rsid w:val="00CA7505"/>
    <w:rsid w:val="00CB597B"/>
    <w:rsid w:val="00CC3BD2"/>
    <w:rsid w:val="00CC57CC"/>
    <w:rsid w:val="00CE6875"/>
    <w:rsid w:val="00D1351A"/>
    <w:rsid w:val="00D412C1"/>
    <w:rsid w:val="00D72FC2"/>
    <w:rsid w:val="00D75394"/>
    <w:rsid w:val="00D76F5B"/>
    <w:rsid w:val="00D81521"/>
    <w:rsid w:val="00D84E70"/>
    <w:rsid w:val="00D96023"/>
    <w:rsid w:val="00DC7F54"/>
    <w:rsid w:val="00DD5900"/>
    <w:rsid w:val="00DE010E"/>
    <w:rsid w:val="00E04E7D"/>
    <w:rsid w:val="00E37D5C"/>
    <w:rsid w:val="00E63621"/>
    <w:rsid w:val="00E66088"/>
    <w:rsid w:val="00E706A1"/>
    <w:rsid w:val="00E755FF"/>
    <w:rsid w:val="00E8273B"/>
    <w:rsid w:val="00E90986"/>
    <w:rsid w:val="00E90E74"/>
    <w:rsid w:val="00ED1BAB"/>
    <w:rsid w:val="00EF073D"/>
    <w:rsid w:val="00F005AA"/>
    <w:rsid w:val="00F01EEE"/>
    <w:rsid w:val="00F22F3D"/>
    <w:rsid w:val="00F32F04"/>
    <w:rsid w:val="00F35C92"/>
    <w:rsid w:val="00F54818"/>
    <w:rsid w:val="00F62C5C"/>
    <w:rsid w:val="00F64E0B"/>
    <w:rsid w:val="00F71EC5"/>
    <w:rsid w:val="00FA6084"/>
    <w:rsid w:val="00FB0D48"/>
    <w:rsid w:val="00FE6577"/>
    <w:rsid w:val="00FF1726"/>
    <w:rsid w:val="01154F09"/>
    <w:rsid w:val="01FD3F02"/>
    <w:rsid w:val="02599E10"/>
    <w:rsid w:val="02FE406C"/>
    <w:rsid w:val="03ABD281"/>
    <w:rsid w:val="03ED6548"/>
    <w:rsid w:val="05F9F08A"/>
    <w:rsid w:val="068501C5"/>
    <w:rsid w:val="0749CDFD"/>
    <w:rsid w:val="07D1B18F"/>
    <w:rsid w:val="09C2DED5"/>
    <w:rsid w:val="0B219C6B"/>
    <w:rsid w:val="0B2E0FB4"/>
    <w:rsid w:val="0B60F4B7"/>
    <w:rsid w:val="0BAC7E5D"/>
    <w:rsid w:val="0BBF68D0"/>
    <w:rsid w:val="0C3435F3"/>
    <w:rsid w:val="0C36AF7E"/>
    <w:rsid w:val="0EE74C95"/>
    <w:rsid w:val="0F2B22FC"/>
    <w:rsid w:val="0FC71336"/>
    <w:rsid w:val="0FFABBC6"/>
    <w:rsid w:val="1031D2F6"/>
    <w:rsid w:val="12DB83C3"/>
    <w:rsid w:val="12DE065A"/>
    <w:rsid w:val="132B02DB"/>
    <w:rsid w:val="1609BE97"/>
    <w:rsid w:val="1634F65B"/>
    <w:rsid w:val="16A50153"/>
    <w:rsid w:val="17F1E25B"/>
    <w:rsid w:val="17F7CC10"/>
    <w:rsid w:val="181DCD93"/>
    <w:rsid w:val="18F9909E"/>
    <w:rsid w:val="19708F4B"/>
    <w:rsid w:val="19FED24C"/>
    <w:rsid w:val="1A71F841"/>
    <w:rsid w:val="1A9C2610"/>
    <w:rsid w:val="1B05DE7F"/>
    <w:rsid w:val="1B44E6AC"/>
    <w:rsid w:val="1BC33FD0"/>
    <w:rsid w:val="1C23C7C9"/>
    <w:rsid w:val="1CC5EECB"/>
    <w:rsid w:val="1DD4BE37"/>
    <w:rsid w:val="1E0FECBC"/>
    <w:rsid w:val="1E84266D"/>
    <w:rsid w:val="205031A9"/>
    <w:rsid w:val="20A294D6"/>
    <w:rsid w:val="20E35032"/>
    <w:rsid w:val="215681E4"/>
    <w:rsid w:val="21A5A412"/>
    <w:rsid w:val="220287A2"/>
    <w:rsid w:val="23AA9B49"/>
    <w:rsid w:val="24DA625F"/>
    <w:rsid w:val="24E5E4CF"/>
    <w:rsid w:val="24EBF53D"/>
    <w:rsid w:val="2539A71E"/>
    <w:rsid w:val="25CABFFF"/>
    <w:rsid w:val="25E93852"/>
    <w:rsid w:val="269184F4"/>
    <w:rsid w:val="26AFB6F9"/>
    <w:rsid w:val="271E6F94"/>
    <w:rsid w:val="279C6F5F"/>
    <w:rsid w:val="27C72154"/>
    <w:rsid w:val="283BDEE3"/>
    <w:rsid w:val="28837AB8"/>
    <w:rsid w:val="298CFF8B"/>
    <w:rsid w:val="298EAA38"/>
    <w:rsid w:val="29FDAAF4"/>
    <w:rsid w:val="2AE0437B"/>
    <w:rsid w:val="2B1C0B60"/>
    <w:rsid w:val="2BB95F50"/>
    <w:rsid w:val="2D158C54"/>
    <w:rsid w:val="2DA6DB5D"/>
    <w:rsid w:val="2EF524B4"/>
    <w:rsid w:val="3013BA1A"/>
    <w:rsid w:val="334B5ADC"/>
    <w:rsid w:val="3357C5BE"/>
    <w:rsid w:val="339B5054"/>
    <w:rsid w:val="3501398E"/>
    <w:rsid w:val="3599349A"/>
    <w:rsid w:val="35DEAD6B"/>
    <w:rsid w:val="36B53FCF"/>
    <w:rsid w:val="36F4EB01"/>
    <w:rsid w:val="377EFA93"/>
    <w:rsid w:val="37F46E52"/>
    <w:rsid w:val="3903952D"/>
    <w:rsid w:val="39BAF484"/>
    <w:rsid w:val="3A81563E"/>
    <w:rsid w:val="3B4A798F"/>
    <w:rsid w:val="3CAFE637"/>
    <w:rsid w:val="3CE45C4A"/>
    <w:rsid w:val="3DB0EDCF"/>
    <w:rsid w:val="3DEED38F"/>
    <w:rsid w:val="3ED8FBB9"/>
    <w:rsid w:val="3F6AB682"/>
    <w:rsid w:val="4038245E"/>
    <w:rsid w:val="4043EC35"/>
    <w:rsid w:val="407A3046"/>
    <w:rsid w:val="416D4009"/>
    <w:rsid w:val="4192EDF4"/>
    <w:rsid w:val="41A35F6A"/>
    <w:rsid w:val="41B15E4E"/>
    <w:rsid w:val="41DEA86F"/>
    <w:rsid w:val="41DFBC96"/>
    <w:rsid w:val="42199FCC"/>
    <w:rsid w:val="42DAD522"/>
    <w:rsid w:val="42EC4CDC"/>
    <w:rsid w:val="443CCE0B"/>
    <w:rsid w:val="45021A28"/>
    <w:rsid w:val="452DD83E"/>
    <w:rsid w:val="47E36323"/>
    <w:rsid w:val="485463B8"/>
    <w:rsid w:val="49A39B6A"/>
    <w:rsid w:val="4BA759B5"/>
    <w:rsid w:val="4BFBFE82"/>
    <w:rsid w:val="4C0FFFDA"/>
    <w:rsid w:val="4C7A61CF"/>
    <w:rsid w:val="4D78FD9B"/>
    <w:rsid w:val="4D7D050E"/>
    <w:rsid w:val="4DE84380"/>
    <w:rsid w:val="4DE84A53"/>
    <w:rsid w:val="4F2839B2"/>
    <w:rsid w:val="4F2F5D85"/>
    <w:rsid w:val="4F8EF56B"/>
    <w:rsid w:val="4FD2BD6A"/>
    <w:rsid w:val="50683BB6"/>
    <w:rsid w:val="50B31A77"/>
    <w:rsid w:val="50B6CE6C"/>
    <w:rsid w:val="5298B566"/>
    <w:rsid w:val="52A50B20"/>
    <w:rsid w:val="52D07AF6"/>
    <w:rsid w:val="54018E9D"/>
    <w:rsid w:val="543E40A3"/>
    <w:rsid w:val="554ED373"/>
    <w:rsid w:val="55725B6B"/>
    <w:rsid w:val="571D64D0"/>
    <w:rsid w:val="5932C7D1"/>
    <w:rsid w:val="594241EF"/>
    <w:rsid w:val="5A81CF40"/>
    <w:rsid w:val="5A9D34F5"/>
    <w:rsid w:val="5AF42609"/>
    <w:rsid w:val="5B3731A1"/>
    <w:rsid w:val="5BF559EF"/>
    <w:rsid w:val="5C4A9135"/>
    <w:rsid w:val="5CB23C91"/>
    <w:rsid w:val="5CE7AC0A"/>
    <w:rsid w:val="5D3F34F7"/>
    <w:rsid w:val="5E70B5F7"/>
    <w:rsid w:val="60D54E19"/>
    <w:rsid w:val="61533813"/>
    <w:rsid w:val="61EEF5E9"/>
    <w:rsid w:val="62C2FDBE"/>
    <w:rsid w:val="63ABC7DC"/>
    <w:rsid w:val="63DA61B3"/>
    <w:rsid w:val="648A5CA7"/>
    <w:rsid w:val="66072B9B"/>
    <w:rsid w:val="666DC8DD"/>
    <w:rsid w:val="670919CB"/>
    <w:rsid w:val="67D49D23"/>
    <w:rsid w:val="67DACABC"/>
    <w:rsid w:val="67DEBC33"/>
    <w:rsid w:val="680058FF"/>
    <w:rsid w:val="689B3152"/>
    <w:rsid w:val="68EAB06A"/>
    <w:rsid w:val="69E27154"/>
    <w:rsid w:val="6A088BB1"/>
    <w:rsid w:val="6B368AEE"/>
    <w:rsid w:val="6B79D8A1"/>
    <w:rsid w:val="6BA649B8"/>
    <w:rsid w:val="6BBA2321"/>
    <w:rsid w:val="6D1DF7CB"/>
    <w:rsid w:val="6D402C73"/>
    <w:rsid w:val="6E84F467"/>
    <w:rsid w:val="6ED7719E"/>
    <w:rsid w:val="6EE0C9DA"/>
    <w:rsid w:val="6F2B27FA"/>
    <w:rsid w:val="6F75893A"/>
    <w:rsid w:val="6F9BD4E2"/>
    <w:rsid w:val="709715C4"/>
    <w:rsid w:val="713FA4F0"/>
    <w:rsid w:val="7184D100"/>
    <w:rsid w:val="71E5A3F5"/>
    <w:rsid w:val="72A43E77"/>
    <w:rsid w:val="72FE0EBE"/>
    <w:rsid w:val="7434E57A"/>
    <w:rsid w:val="75E9F1DC"/>
    <w:rsid w:val="7608DA1B"/>
    <w:rsid w:val="7691A4B2"/>
    <w:rsid w:val="7746C015"/>
    <w:rsid w:val="774CD28F"/>
    <w:rsid w:val="78A180F2"/>
    <w:rsid w:val="78E07300"/>
    <w:rsid w:val="798E7ED4"/>
    <w:rsid w:val="7BF7CA39"/>
    <w:rsid w:val="7CED2F46"/>
    <w:rsid w:val="7D831F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2C7E8"/>
  <w15:chartTrackingRefBased/>
  <w15:docId w15:val="{3D1F5D1E-FB37-E246-8C3B-F615A9D8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04"/>
    <w:pPr>
      <w:spacing w:line="260" w:lineRule="atLeast"/>
      <w:jc w:val="both"/>
    </w:pPr>
    <w:rPr>
      <w:rFonts w:ascii="Palatino Linotype" w:hAnsi="Palatino Linotype"/>
      <w:noProof/>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52230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a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22304"/>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522304"/>
    <w:rPr>
      <w:rFonts w:ascii="Palatino Linotype" w:hAnsi="Palatino Linotype"/>
      <w:noProof/>
      <w:color w:val="000000"/>
      <w:szCs w:val="18"/>
    </w:rPr>
  </w:style>
  <w:style w:type="paragraph" w:styleId="Encabezado">
    <w:name w:val="header"/>
    <w:basedOn w:val="Normal"/>
    <w:link w:val="EncabezadoC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2304"/>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2304"/>
    <w:pPr>
      <w:numPr>
        <w:numId w:val="1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E213E"/>
    <w:pPr>
      <w:numPr>
        <w:numId w:val="1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odeglobo">
    <w:name w:val="Balloon Text"/>
    <w:basedOn w:val="Normal"/>
    <w:link w:val="TextodegloboCar"/>
    <w:uiPriority w:val="99"/>
    <w:rsid w:val="00522304"/>
    <w:rPr>
      <w:rFonts w:cs="Tahoma"/>
      <w:szCs w:val="18"/>
    </w:rPr>
  </w:style>
  <w:style w:type="character" w:customStyle="1" w:styleId="TextodegloboCar">
    <w:name w:val="Texto de globo Car"/>
    <w:link w:val="Textodeglobo"/>
    <w:uiPriority w:val="99"/>
    <w:rsid w:val="00522304"/>
    <w:rPr>
      <w:rFonts w:ascii="Palatino Linotype" w:hAnsi="Palatino Linotype" w:cs="Tahoma"/>
      <w:noProof/>
      <w:color w:val="000000"/>
      <w:szCs w:val="18"/>
    </w:rPr>
  </w:style>
  <w:style w:type="character" w:styleId="Nmerodelnea">
    <w:name w:val="line number"/>
    <w:uiPriority w:val="99"/>
    <w:rsid w:val="00284BEB"/>
    <w:rPr>
      <w:rFonts w:ascii="Palatino Linotype" w:hAnsi="Palatino Linotype"/>
      <w:sz w:val="16"/>
    </w:rPr>
  </w:style>
  <w:style w:type="table" w:customStyle="1" w:styleId="MDPI41threelinetable">
    <w:name w:val="MDPI_4.1_three_line_table"/>
    <w:basedOn w:val="Tabla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522304"/>
    <w:rPr>
      <w:color w:val="0000FF"/>
      <w:u w:val="single"/>
    </w:rPr>
  </w:style>
  <w:style w:type="character" w:styleId="Mencinsinresolver">
    <w:name w:val="Unresolved Mention"/>
    <w:uiPriority w:val="99"/>
    <w:semiHidden/>
    <w:unhideWhenUsed/>
    <w:rsid w:val="00C243C9"/>
    <w:rPr>
      <w:color w:val="605E5C"/>
      <w:shd w:val="clear" w:color="auto" w:fill="E1DFDD"/>
    </w:rPr>
  </w:style>
  <w:style w:type="table" w:styleId="Tablanormal4">
    <w:name w:val="Plain Table 4"/>
    <w:basedOn w:val="Tabla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522304"/>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2230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a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22304"/>
  </w:style>
  <w:style w:type="paragraph" w:styleId="Bibliografa">
    <w:name w:val="Bibliography"/>
    <w:basedOn w:val="Normal"/>
    <w:next w:val="Normal"/>
    <w:uiPriority w:val="37"/>
    <w:semiHidden/>
    <w:unhideWhenUsed/>
    <w:rsid w:val="00522304"/>
  </w:style>
  <w:style w:type="paragraph" w:styleId="Textoindependiente">
    <w:name w:val="Body Text"/>
    <w:link w:val="TextoindependienteCar"/>
    <w:rsid w:val="00522304"/>
    <w:pPr>
      <w:spacing w:after="120" w:line="340" w:lineRule="atLeast"/>
      <w:jc w:val="both"/>
    </w:pPr>
    <w:rPr>
      <w:rFonts w:ascii="Palatino Linotype" w:hAnsi="Palatino Linotype"/>
      <w:color w:val="000000"/>
      <w:sz w:val="24"/>
      <w:lang w:eastAsia="de-DE"/>
    </w:rPr>
  </w:style>
  <w:style w:type="character" w:customStyle="1" w:styleId="TextoindependienteCar">
    <w:name w:val="Texto independiente Car"/>
    <w:link w:val="Textoindependiente"/>
    <w:rsid w:val="00522304"/>
    <w:rPr>
      <w:rFonts w:ascii="Palatino Linotype" w:hAnsi="Palatino Linotype"/>
      <w:color w:val="000000"/>
      <w:sz w:val="24"/>
      <w:lang w:eastAsia="de-DE"/>
    </w:rPr>
  </w:style>
  <w:style w:type="character" w:styleId="Refdecomentario">
    <w:name w:val="annotation reference"/>
    <w:rsid w:val="00522304"/>
    <w:rPr>
      <w:sz w:val="21"/>
      <w:szCs w:val="21"/>
    </w:rPr>
  </w:style>
  <w:style w:type="paragraph" w:styleId="Textocomentario">
    <w:name w:val="annotation text"/>
    <w:basedOn w:val="Normal"/>
    <w:link w:val="TextocomentarioCar"/>
    <w:rsid w:val="00522304"/>
  </w:style>
  <w:style w:type="character" w:customStyle="1" w:styleId="TextocomentarioCar">
    <w:name w:val="Texto comentario Car"/>
    <w:link w:val="Textocomentario"/>
    <w:rsid w:val="00522304"/>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522304"/>
    <w:rPr>
      <w:b/>
      <w:bCs/>
    </w:rPr>
  </w:style>
  <w:style w:type="character" w:customStyle="1" w:styleId="AsuntodelcomentarioCar">
    <w:name w:val="Asunto del comentario Car"/>
    <w:link w:val="Asuntodelcomentario"/>
    <w:rsid w:val="00522304"/>
    <w:rPr>
      <w:rFonts w:ascii="Palatino Linotype" w:hAnsi="Palatino Linotype"/>
      <w:b/>
      <w:bCs/>
      <w:noProof/>
      <w:color w:val="000000"/>
    </w:rPr>
  </w:style>
  <w:style w:type="character" w:styleId="Refdenotaalfinal">
    <w:name w:val="endnote reference"/>
    <w:rsid w:val="00522304"/>
    <w:rPr>
      <w:vertAlign w:val="superscript"/>
    </w:rPr>
  </w:style>
  <w:style w:type="paragraph" w:styleId="Textonotaalfinal">
    <w:name w:val="endnote text"/>
    <w:basedOn w:val="Normal"/>
    <w:link w:val="TextonotaalfinalCar"/>
    <w:semiHidden/>
    <w:unhideWhenUsed/>
    <w:rsid w:val="00522304"/>
    <w:pPr>
      <w:spacing w:line="240" w:lineRule="auto"/>
    </w:pPr>
  </w:style>
  <w:style w:type="character" w:customStyle="1" w:styleId="TextonotaalfinalCar">
    <w:name w:val="Texto nota al final Car"/>
    <w:link w:val="Textonotaalfinal"/>
    <w:semiHidden/>
    <w:rsid w:val="00522304"/>
    <w:rPr>
      <w:rFonts w:ascii="Palatino Linotype" w:hAnsi="Palatino Linotype"/>
      <w:noProof/>
      <w:color w:val="000000"/>
    </w:rPr>
  </w:style>
  <w:style w:type="character" w:styleId="Hipervnculovisitado">
    <w:name w:val="FollowedHyperlink"/>
    <w:rsid w:val="00522304"/>
    <w:rPr>
      <w:color w:val="954F72"/>
      <w:u w:val="single"/>
    </w:rPr>
  </w:style>
  <w:style w:type="paragraph" w:styleId="Textonotapie">
    <w:name w:val="footnote text"/>
    <w:basedOn w:val="Normal"/>
    <w:link w:val="TextonotapieCar"/>
    <w:semiHidden/>
    <w:unhideWhenUsed/>
    <w:rsid w:val="00522304"/>
    <w:pPr>
      <w:spacing w:line="240" w:lineRule="auto"/>
    </w:pPr>
  </w:style>
  <w:style w:type="character" w:customStyle="1" w:styleId="TextonotapieCar">
    <w:name w:val="Texto nota pie Car"/>
    <w:link w:val="Textonotapie"/>
    <w:semiHidden/>
    <w:rsid w:val="00522304"/>
    <w:rPr>
      <w:rFonts w:ascii="Palatino Linotype" w:hAnsi="Palatino Linotype"/>
      <w:noProof/>
      <w:color w:val="000000"/>
    </w:rPr>
  </w:style>
  <w:style w:type="paragraph" w:styleId="NormalWeb">
    <w:name w:val="Normal (Web)"/>
    <w:basedOn w:val="Normal"/>
    <w:uiPriority w:val="99"/>
    <w:rsid w:val="00522304"/>
    <w:rPr>
      <w:szCs w:val="24"/>
    </w:rPr>
  </w:style>
  <w:style w:type="paragraph" w:customStyle="1" w:styleId="MsoFootnoteText0">
    <w:name w:val="MsoFootnoteText"/>
    <w:basedOn w:val="NormalWeb"/>
    <w:qFormat/>
    <w:rsid w:val="00522304"/>
    <w:rPr>
      <w:rFonts w:ascii="Times New Roman" w:hAnsi="Times New Roman"/>
    </w:rPr>
  </w:style>
  <w:style w:type="character" w:styleId="Nmerodepgina">
    <w:name w:val="page number"/>
    <w:rsid w:val="00522304"/>
  </w:style>
  <w:style w:type="character" w:styleId="Textodelmarcadordeposicin">
    <w:name w:val="Placeholder Text"/>
    <w:uiPriority w:val="99"/>
    <w:semiHidden/>
    <w:rsid w:val="00522304"/>
    <w:rPr>
      <w:color w:val="808080"/>
    </w:rPr>
  </w:style>
  <w:style w:type="paragraph" w:customStyle="1" w:styleId="MDPI71FootNotes">
    <w:name w:val="MDPI_7.1_FootNotes"/>
    <w:qFormat/>
    <w:rsid w:val="008E00B4"/>
    <w:pPr>
      <w:numPr>
        <w:numId w:val="17"/>
      </w:numPr>
      <w:adjustRightInd w:val="0"/>
      <w:snapToGrid w:val="0"/>
      <w:spacing w:line="228" w:lineRule="auto"/>
      <w:jc w:val="both"/>
    </w:pPr>
    <w:rPr>
      <w:rFonts w:ascii="Palatino Linotype" w:eastAsiaTheme="minorEastAsia" w:hAnsi="Palatino Linotype"/>
      <w:noProof/>
      <w:color w:val="000000"/>
      <w:sz w:val="18"/>
    </w:rPr>
  </w:style>
  <w:style w:type="table" w:customStyle="1" w:styleId="Cuadrculadetablaclara1">
    <w:name w:val="Cuadrícula de tabla clara1"/>
    <w:basedOn w:val="Tablanormal"/>
    <w:uiPriority w:val="40"/>
    <w:rsid w:val="00B9729D"/>
    <w:rPr>
      <w:rFonts w:asciiTheme="minorHAnsi" w:eastAsiaTheme="minorHAnsi" w:hAnsiTheme="minorHAnsi" w:cstheme="minorBidi"/>
      <w:sz w:val="22"/>
      <w:szCs w:val="22"/>
      <w:lang w:val="es-E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741658">
      <w:bodyDiv w:val="1"/>
      <w:marLeft w:val="0"/>
      <w:marRight w:val="0"/>
      <w:marTop w:val="0"/>
      <w:marBottom w:val="0"/>
      <w:divBdr>
        <w:top w:val="none" w:sz="0" w:space="0" w:color="auto"/>
        <w:left w:val="none" w:sz="0" w:space="0" w:color="auto"/>
        <w:bottom w:val="none" w:sz="0" w:space="0" w:color="auto"/>
        <w:right w:val="none" w:sz="0" w:space="0" w:color="auto"/>
      </w:divBdr>
    </w:div>
    <w:div w:id="587230899">
      <w:bodyDiv w:val="1"/>
      <w:marLeft w:val="0"/>
      <w:marRight w:val="0"/>
      <w:marTop w:val="0"/>
      <w:marBottom w:val="0"/>
      <w:divBdr>
        <w:top w:val="none" w:sz="0" w:space="0" w:color="auto"/>
        <w:left w:val="none" w:sz="0" w:space="0" w:color="auto"/>
        <w:bottom w:val="none" w:sz="0" w:space="0" w:color="auto"/>
        <w:right w:val="none" w:sz="0" w:space="0" w:color="auto"/>
      </w:divBdr>
    </w:div>
    <w:div w:id="839850947">
      <w:bodyDiv w:val="1"/>
      <w:marLeft w:val="0"/>
      <w:marRight w:val="0"/>
      <w:marTop w:val="0"/>
      <w:marBottom w:val="0"/>
      <w:divBdr>
        <w:top w:val="none" w:sz="0" w:space="0" w:color="auto"/>
        <w:left w:val="none" w:sz="0" w:space="0" w:color="auto"/>
        <w:bottom w:val="none" w:sz="0" w:space="0" w:color="auto"/>
        <w:right w:val="none" w:sz="0" w:space="0" w:color="auto"/>
      </w:divBdr>
    </w:div>
    <w:div w:id="882330746">
      <w:bodyDiv w:val="1"/>
      <w:marLeft w:val="0"/>
      <w:marRight w:val="0"/>
      <w:marTop w:val="0"/>
      <w:marBottom w:val="0"/>
      <w:divBdr>
        <w:top w:val="none" w:sz="0" w:space="0" w:color="auto"/>
        <w:left w:val="none" w:sz="0" w:space="0" w:color="auto"/>
        <w:bottom w:val="none" w:sz="0" w:space="0" w:color="auto"/>
        <w:right w:val="none" w:sz="0" w:space="0" w:color="auto"/>
      </w:divBdr>
      <w:divsChild>
        <w:div w:id="697004708">
          <w:marLeft w:val="0"/>
          <w:marRight w:val="0"/>
          <w:marTop w:val="0"/>
          <w:marBottom w:val="0"/>
          <w:divBdr>
            <w:top w:val="none" w:sz="0" w:space="0" w:color="auto"/>
            <w:left w:val="none" w:sz="0" w:space="0" w:color="auto"/>
            <w:bottom w:val="none" w:sz="0" w:space="0" w:color="auto"/>
            <w:right w:val="none" w:sz="0" w:space="0" w:color="auto"/>
          </w:divBdr>
          <w:divsChild>
            <w:div w:id="884946979">
              <w:marLeft w:val="0"/>
              <w:marRight w:val="0"/>
              <w:marTop w:val="0"/>
              <w:marBottom w:val="0"/>
              <w:divBdr>
                <w:top w:val="none" w:sz="0" w:space="0" w:color="auto"/>
                <w:left w:val="none" w:sz="0" w:space="0" w:color="auto"/>
                <w:bottom w:val="none" w:sz="0" w:space="0" w:color="auto"/>
                <w:right w:val="none" w:sz="0" w:space="0" w:color="auto"/>
              </w:divBdr>
              <w:divsChild>
                <w:div w:id="4876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9251">
      <w:bodyDiv w:val="1"/>
      <w:marLeft w:val="0"/>
      <w:marRight w:val="0"/>
      <w:marTop w:val="0"/>
      <w:marBottom w:val="0"/>
      <w:divBdr>
        <w:top w:val="none" w:sz="0" w:space="0" w:color="auto"/>
        <w:left w:val="none" w:sz="0" w:space="0" w:color="auto"/>
        <w:bottom w:val="none" w:sz="0" w:space="0" w:color="auto"/>
        <w:right w:val="none" w:sz="0" w:space="0" w:color="auto"/>
      </w:divBdr>
    </w:div>
    <w:div w:id="1145778611">
      <w:bodyDiv w:val="1"/>
      <w:marLeft w:val="0"/>
      <w:marRight w:val="0"/>
      <w:marTop w:val="0"/>
      <w:marBottom w:val="0"/>
      <w:divBdr>
        <w:top w:val="none" w:sz="0" w:space="0" w:color="auto"/>
        <w:left w:val="none" w:sz="0" w:space="0" w:color="auto"/>
        <w:bottom w:val="none" w:sz="0" w:space="0" w:color="auto"/>
        <w:right w:val="none" w:sz="0" w:space="0" w:color="auto"/>
      </w:divBdr>
      <w:divsChild>
        <w:div w:id="503590360">
          <w:marLeft w:val="0"/>
          <w:marRight w:val="0"/>
          <w:marTop w:val="0"/>
          <w:marBottom w:val="0"/>
          <w:divBdr>
            <w:top w:val="none" w:sz="0" w:space="0" w:color="auto"/>
            <w:left w:val="none" w:sz="0" w:space="0" w:color="auto"/>
            <w:bottom w:val="none" w:sz="0" w:space="0" w:color="auto"/>
            <w:right w:val="none" w:sz="0" w:space="0" w:color="auto"/>
          </w:divBdr>
          <w:divsChild>
            <w:div w:id="2021658155">
              <w:marLeft w:val="0"/>
              <w:marRight w:val="0"/>
              <w:marTop w:val="0"/>
              <w:marBottom w:val="0"/>
              <w:divBdr>
                <w:top w:val="none" w:sz="0" w:space="0" w:color="auto"/>
                <w:left w:val="none" w:sz="0" w:space="0" w:color="auto"/>
                <w:bottom w:val="none" w:sz="0" w:space="0" w:color="auto"/>
                <w:right w:val="none" w:sz="0" w:space="0" w:color="auto"/>
              </w:divBdr>
              <w:divsChild>
                <w:div w:id="7639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30004">
      <w:bodyDiv w:val="1"/>
      <w:marLeft w:val="0"/>
      <w:marRight w:val="0"/>
      <w:marTop w:val="0"/>
      <w:marBottom w:val="0"/>
      <w:divBdr>
        <w:top w:val="none" w:sz="0" w:space="0" w:color="auto"/>
        <w:left w:val="none" w:sz="0" w:space="0" w:color="auto"/>
        <w:bottom w:val="none" w:sz="0" w:space="0" w:color="auto"/>
        <w:right w:val="none" w:sz="0" w:space="0" w:color="auto"/>
      </w:divBdr>
    </w:div>
    <w:div w:id="1255439175">
      <w:bodyDiv w:val="1"/>
      <w:marLeft w:val="0"/>
      <w:marRight w:val="0"/>
      <w:marTop w:val="0"/>
      <w:marBottom w:val="0"/>
      <w:divBdr>
        <w:top w:val="none" w:sz="0" w:space="0" w:color="auto"/>
        <w:left w:val="none" w:sz="0" w:space="0" w:color="auto"/>
        <w:bottom w:val="none" w:sz="0" w:space="0" w:color="auto"/>
        <w:right w:val="none" w:sz="0" w:space="0" w:color="auto"/>
      </w:divBdr>
    </w:div>
    <w:div w:id="1423650008">
      <w:bodyDiv w:val="1"/>
      <w:marLeft w:val="0"/>
      <w:marRight w:val="0"/>
      <w:marTop w:val="0"/>
      <w:marBottom w:val="0"/>
      <w:divBdr>
        <w:top w:val="none" w:sz="0" w:space="0" w:color="auto"/>
        <w:left w:val="none" w:sz="0" w:space="0" w:color="auto"/>
        <w:bottom w:val="none" w:sz="0" w:space="0" w:color="auto"/>
        <w:right w:val="none" w:sz="0" w:space="0" w:color="auto"/>
      </w:divBdr>
    </w:div>
    <w:div w:id="1661301707">
      <w:bodyDiv w:val="1"/>
      <w:marLeft w:val="0"/>
      <w:marRight w:val="0"/>
      <w:marTop w:val="0"/>
      <w:marBottom w:val="0"/>
      <w:divBdr>
        <w:top w:val="none" w:sz="0" w:space="0" w:color="auto"/>
        <w:left w:val="none" w:sz="0" w:space="0" w:color="auto"/>
        <w:bottom w:val="none" w:sz="0" w:space="0" w:color="auto"/>
        <w:right w:val="none" w:sz="0" w:space="0" w:color="auto"/>
      </w:divBdr>
    </w:div>
    <w:div w:id="1815951194">
      <w:bodyDiv w:val="1"/>
      <w:marLeft w:val="0"/>
      <w:marRight w:val="0"/>
      <w:marTop w:val="0"/>
      <w:marBottom w:val="0"/>
      <w:divBdr>
        <w:top w:val="none" w:sz="0" w:space="0" w:color="auto"/>
        <w:left w:val="none" w:sz="0" w:space="0" w:color="auto"/>
        <w:bottom w:val="none" w:sz="0" w:space="0" w:color="auto"/>
        <w:right w:val="none" w:sz="0" w:space="0" w:color="auto"/>
      </w:divBdr>
    </w:div>
    <w:div w:id="2064060129">
      <w:bodyDiv w:val="1"/>
      <w:marLeft w:val="0"/>
      <w:marRight w:val="0"/>
      <w:marTop w:val="0"/>
      <w:marBottom w:val="0"/>
      <w:divBdr>
        <w:top w:val="none" w:sz="0" w:space="0" w:color="auto"/>
        <w:left w:val="none" w:sz="0" w:space="0" w:color="auto"/>
        <w:bottom w:val="none" w:sz="0" w:space="0" w:color="auto"/>
        <w:right w:val="none" w:sz="0" w:space="0" w:color="auto"/>
      </w:divBdr>
    </w:div>
    <w:div w:id="2075279139">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Corchon@uv.es" TargetMode="External"/><Relationship Id="rId13" Type="http://schemas.openxmlformats.org/officeDocument/2006/relationships/hyperlink" Target="mailto:eugenia.ursua.sesma@navarra.es" TargetMode="External"/><Relationship Id="rId18" Type="http://schemas.openxmlformats.org/officeDocument/2006/relationships/header" Target="header1.xml"/><Relationship Id="rId26" Type="http://schemas.openxmlformats.org/officeDocument/2006/relationships/hyperlink" Target="https://www.dane.gov.co"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lorenabarbara1805@gmail.com" TargetMode="External"/><Relationship Id="rId17" Type="http://schemas.openxmlformats.org/officeDocument/2006/relationships/hyperlink" Target="mailto:lag1v19@soton.ac.uk" TargetMode="External"/><Relationship Id="rId25" Type="http://schemas.openxmlformats.org/officeDocument/2006/relationships/hyperlink" Target="https://www.who.int/chp/knowledge/publications/policy_issues_ltc.pdf" TargetMode="External"/><Relationship Id="rId2" Type="http://schemas.openxmlformats.org/officeDocument/2006/relationships/styles" Target="styles.xml"/><Relationship Id="rId16" Type="http://schemas.openxmlformats.org/officeDocument/2006/relationships/hyperlink" Target="mailto:lag1v19@soton.ac.uk"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anda@hcs.es" TargetMode="External"/><Relationship Id="rId24" Type="http://schemas.openxmlformats.org/officeDocument/2006/relationships/hyperlink" Target="http://www.who.int/topics/noncommunicable-diseases"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M.C.Portillo-Vega@soton.ac.uk"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mailto:ameneses@enf.ucm.es" TargetMode="External"/><Relationship Id="rId19" Type="http://schemas.openxmlformats.org/officeDocument/2006/relationships/header" Target="header2.xm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crodb@isciii.es" TargetMode="External"/><Relationship Id="rId14" Type="http://schemas.openxmlformats.org/officeDocument/2006/relationships/hyperlink" Target="mailto:maria.navarta@uam.es" TargetMode="External"/><Relationship Id="rId22" Type="http://schemas.openxmlformats.org/officeDocument/2006/relationships/header" Target="header3.xml"/><Relationship Id="rId27" Type="http://schemas.openxmlformats.org/officeDocument/2006/relationships/hyperlink" Target="https://www.ema.europa.eu/documents/other/streamlining-ema-public-communication-medication-errors_en.pdf" TargetMode="External"/><Relationship Id="rId30" Type="http://schemas.openxmlformats.org/officeDocument/2006/relationships/customXml" Target="../customXml/item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8" ma:contentTypeDescription="Create a new document." ma:contentTypeScope="" ma:versionID="749fa0c4f2566f7ed4231babf7680e3d">
  <xsd:schema xmlns:xsd="http://www.w3.org/2001/XMLSchema" xmlns:xs="http://www.w3.org/2001/XMLSchema" xmlns:p="http://schemas.microsoft.com/office/2006/metadata/properties" xmlns:ns2="349c52c3-7488-4a9e-99a0-500ebff2edd8" targetNamespace="http://schemas.microsoft.com/office/2006/metadata/properties" ma:root="true" ma:fieldsID="d6772444f1053776fbccdaf0e906c39e" ns2:_="">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05862-0D7D-4072-8FD5-B92145185878}"/>
</file>

<file path=customXml/itemProps2.xml><?xml version="1.0" encoding="utf-8"?>
<ds:datastoreItem xmlns:ds="http://schemas.openxmlformats.org/officeDocument/2006/customXml" ds:itemID="{641ED834-3E42-493D-AAC2-7770C7E7BA21}"/>
</file>

<file path=customXml/itemProps3.xml><?xml version="1.0" encoding="utf-8"?>
<ds:datastoreItem xmlns:ds="http://schemas.openxmlformats.org/officeDocument/2006/customXml" ds:itemID="{3C69B085-45C7-4DE6-86CD-797F179FEF63}"/>
</file>

<file path=docProps/app.xml><?xml version="1.0" encoding="utf-8"?>
<Properties xmlns="http://schemas.openxmlformats.org/officeDocument/2006/extended-properties" xmlns:vt="http://schemas.openxmlformats.org/officeDocument/2006/docPropsVTypes">
  <Template>Normal.dotm</Template>
  <TotalTime>11</TotalTime>
  <Pages>12</Pages>
  <Words>6893</Words>
  <Characters>37916</Characters>
  <Application>Microsoft Office Word</Application>
  <DocSecurity>0</DocSecurity>
  <Lines>315</Lines>
  <Paragraphs>89</Paragraphs>
  <ScaleCrop>false</ScaleCrop>
  <Company/>
  <LinksUpToDate>false</LinksUpToDate>
  <CharactersWithSpaces>44720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Leire Ambrosio</dc:creator>
  <cp:keywords/>
  <dc:description/>
  <cp:lastModifiedBy>Leire Ambrosio</cp:lastModifiedBy>
  <cp:revision>6</cp:revision>
  <cp:lastPrinted>2021-08-31T02:33:00Z</cp:lastPrinted>
  <dcterms:created xsi:type="dcterms:W3CDTF">2021-09-26T08:37:00Z</dcterms:created>
  <dcterms:modified xsi:type="dcterms:W3CDTF">2021-09-26T08:56:00Z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