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E7F40" w14:textId="53B1538E" w:rsidR="00FB2754" w:rsidRPr="00242F5C" w:rsidRDefault="00184B5D" w:rsidP="004D20E7">
      <w:pPr>
        <w:adjustRightInd w:val="0"/>
        <w:spacing w:line="480" w:lineRule="auto"/>
      </w:pPr>
      <w:bookmarkStart w:id="0" w:name="_GoBack"/>
      <w:bookmarkEnd w:id="0"/>
      <w:r w:rsidRPr="00242F5C">
        <w:rPr>
          <w:b/>
          <w:bCs/>
        </w:rPr>
        <w:t>Title:</w:t>
      </w:r>
      <w:r w:rsidRPr="00242F5C">
        <w:t xml:space="preserve"> Efficacy of Platinum Rechallenge in Metastatic Urothelial Carcinoma after Previous Platinum-Based Chemotherapy for Metastatic Disease</w:t>
      </w:r>
    </w:p>
    <w:p w14:paraId="1419B100" w14:textId="77777777" w:rsidR="00FB2754" w:rsidRPr="00242F5C" w:rsidRDefault="00FB2754" w:rsidP="004D20E7">
      <w:pPr>
        <w:adjustRightInd w:val="0"/>
        <w:spacing w:line="480" w:lineRule="auto"/>
        <w:rPr>
          <w:u w:val="single"/>
        </w:rPr>
      </w:pPr>
    </w:p>
    <w:p w14:paraId="24B056D4" w14:textId="7D969A5B" w:rsidR="00FB2754" w:rsidRPr="00242F5C" w:rsidRDefault="00184B5D" w:rsidP="004D20E7">
      <w:pPr>
        <w:adjustRightInd w:val="0"/>
        <w:spacing w:line="480" w:lineRule="auto"/>
      </w:pPr>
      <w:r w:rsidRPr="00242F5C">
        <w:rPr>
          <w:b/>
          <w:bCs/>
        </w:rPr>
        <w:t xml:space="preserve">Running </w:t>
      </w:r>
      <w:r w:rsidR="000A4DB6">
        <w:rPr>
          <w:b/>
          <w:bCs/>
        </w:rPr>
        <w:t>Head</w:t>
      </w:r>
      <w:r w:rsidRPr="00242F5C">
        <w:rPr>
          <w:b/>
          <w:bCs/>
        </w:rPr>
        <w:t xml:space="preserve">: </w:t>
      </w:r>
      <w:r w:rsidRPr="00242F5C">
        <w:t xml:space="preserve">Platinum Rechallenge in </w:t>
      </w:r>
      <w:r w:rsidR="001945F7">
        <w:t>Metastatic Urothelial Ca</w:t>
      </w:r>
    </w:p>
    <w:p w14:paraId="21496CEF" w14:textId="77777777" w:rsidR="00FB2754" w:rsidRPr="00242F5C" w:rsidRDefault="00FB2754" w:rsidP="004D20E7">
      <w:pPr>
        <w:adjustRightInd w:val="0"/>
        <w:spacing w:line="480" w:lineRule="auto"/>
      </w:pPr>
    </w:p>
    <w:p w14:paraId="08F789A7" w14:textId="4D33C968" w:rsidR="00FB2754" w:rsidRPr="00242F5C" w:rsidRDefault="00184B5D" w:rsidP="004D20E7">
      <w:pPr>
        <w:adjustRightInd w:val="0"/>
        <w:spacing w:line="480" w:lineRule="auto"/>
        <w:rPr>
          <w:b/>
          <w:bCs/>
          <w:color w:val="000000" w:themeColor="text1"/>
        </w:rPr>
      </w:pPr>
      <w:r w:rsidRPr="00242F5C">
        <w:rPr>
          <w:b/>
          <w:bCs/>
          <w:color w:val="000000" w:themeColor="text1"/>
        </w:rPr>
        <w:t>Authors and Affiliations:</w:t>
      </w:r>
    </w:p>
    <w:p w14:paraId="3507D413" w14:textId="3172FD6E" w:rsidR="00FB2754" w:rsidRPr="00242F5C" w:rsidRDefault="00184B5D" w:rsidP="004D20E7">
      <w:pPr>
        <w:adjustRightInd w:val="0"/>
        <w:spacing w:line="480" w:lineRule="auto"/>
        <w:rPr>
          <w:color w:val="000000" w:themeColor="text1"/>
        </w:rPr>
      </w:pPr>
      <w:r w:rsidRPr="00242F5C">
        <w:rPr>
          <w:color w:val="000000" w:themeColor="text1"/>
        </w:rPr>
        <w:t>Risa L. Wong, MD</w:t>
      </w:r>
      <w:r w:rsidRPr="00242F5C">
        <w:rPr>
          <w:color w:val="000000" w:themeColor="text1"/>
          <w:vertAlign w:val="superscript"/>
        </w:rPr>
        <w:t>†1,2</w:t>
      </w:r>
      <w:r w:rsidR="00B2472A">
        <w:rPr>
          <w:color w:val="000000" w:themeColor="text1"/>
        </w:rPr>
        <w:t>;</w:t>
      </w:r>
      <w:r w:rsidRPr="00242F5C">
        <w:rPr>
          <w:color w:val="000000" w:themeColor="text1"/>
          <w:vertAlign w:val="superscript"/>
        </w:rPr>
        <w:t xml:space="preserve"> </w:t>
      </w:r>
      <w:r w:rsidRPr="00242F5C">
        <w:rPr>
          <w:color w:val="000000" w:themeColor="text1"/>
        </w:rPr>
        <w:t>Lorin A. Ferris, BA</w:t>
      </w:r>
      <w:r w:rsidRPr="00242F5C">
        <w:rPr>
          <w:color w:val="000000" w:themeColor="text1"/>
          <w:vertAlign w:val="superscript"/>
        </w:rPr>
        <w:t>†1</w:t>
      </w:r>
      <w:r w:rsidR="00B2472A">
        <w:rPr>
          <w:color w:val="000000" w:themeColor="text1"/>
        </w:rPr>
        <w:t>;</w:t>
      </w:r>
      <w:r w:rsidRPr="00242F5C">
        <w:rPr>
          <w:color w:val="000000" w:themeColor="text1"/>
        </w:rPr>
        <w:t xml:space="preserve"> Olivia A. Do, BS</w:t>
      </w:r>
      <w:r w:rsidRPr="00242F5C">
        <w:rPr>
          <w:color w:val="000000" w:themeColor="text1"/>
          <w:vertAlign w:val="superscript"/>
        </w:rPr>
        <w:t>1</w:t>
      </w:r>
      <w:r w:rsidR="00B2472A">
        <w:rPr>
          <w:color w:val="000000" w:themeColor="text1"/>
        </w:rPr>
        <w:t>;</w:t>
      </w:r>
      <w:r w:rsidRPr="00242F5C">
        <w:rPr>
          <w:color w:val="000000" w:themeColor="text1"/>
        </w:rPr>
        <w:t xml:space="preserve"> Sarah K. Holt, PhD</w:t>
      </w:r>
      <w:r w:rsidRPr="00242F5C">
        <w:rPr>
          <w:color w:val="000000" w:themeColor="text1"/>
          <w:vertAlign w:val="superscript"/>
        </w:rPr>
        <w:t>3</w:t>
      </w:r>
      <w:r w:rsidR="00B2472A">
        <w:rPr>
          <w:color w:val="000000" w:themeColor="text1"/>
        </w:rPr>
        <w:t>;</w:t>
      </w:r>
      <w:r w:rsidRPr="00242F5C">
        <w:rPr>
          <w:color w:val="000000" w:themeColor="text1"/>
        </w:rPr>
        <w:t xml:space="preserve"> Jorge D. Ramos, DO</w:t>
      </w:r>
      <w:r w:rsidR="00FB2754" w:rsidRPr="00242F5C">
        <w:rPr>
          <w:color w:val="000000" w:themeColor="text1"/>
          <w:vertAlign w:val="superscript"/>
        </w:rPr>
        <w:t>‡1,2</w:t>
      </w:r>
      <w:r w:rsidR="00B2472A">
        <w:rPr>
          <w:color w:val="000000" w:themeColor="text1"/>
        </w:rPr>
        <w:t>;</w:t>
      </w:r>
      <w:r w:rsidRPr="00242F5C">
        <w:rPr>
          <w:color w:val="000000" w:themeColor="text1"/>
        </w:rPr>
        <w:t xml:space="preserve"> Simon J. Crabb, MRCP, PhD</w:t>
      </w:r>
      <w:r w:rsidR="00FB2754" w:rsidRPr="00242F5C">
        <w:rPr>
          <w:color w:val="000000" w:themeColor="text1"/>
          <w:vertAlign w:val="superscript"/>
        </w:rPr>
        <w:t>4</w:t>
      </w:r>
      <w:r w:rsidR="00B2472A">
        <w:rPr>
          <w:color w:val="000000" w:themeColor="text1"/>
        </w:rPr>
        <w:t>;</w:t>
      </w:r>
      <w:r w:rsidRPr="00242F5C">
        <w:rPr>
          <w:color w:val="000000" w:themeColor="text1"/>
        </w:rPr>
        <w:t xml:space="preserve"> Cora N. Sternberg, MD</w:t>
      </w:r>
      <w:r w:rsidR="00FB2754" w:rsidRPr="00242F5C">
        <w:rPr>
          <w:color w:val="000000" w:themeColor="text1"/>
          <w:vertAlign w:val="superscript"/>
        </w:rPr>
        <w:t>5</w:t>
      </w:r>
      <w:r w:rsidR="00B2472A">
        <w:rPr>
          <w:color w:val="000000" w:themeColor="text1"/>
        </w:rPr>
        <w:t>;</w:t>
      </w:r>
      <w:r w:rsidRPr="00242F5C">
        <w:rPr>
          <w:color w:val="000000" w:themeColor="text1"/>
        </w:rPr>
        <w:t xml:space="preserve"> Joaquim Bellmunt, MD, PhD</w:t>
      </w:r>
      <w:r w:rsidR="00FB2754" w:rsidRPr="00242F5C">
        <w:rPr>
          <w:color w:val="000000" w:themeColor="text1"/>
          <w:vertAlign w:val="superscript"/>
        </w:rPr>
        <w:t>6</w:t>
      </w:r>
      <w:r w:rsidR="00B2472A">
        <w:rPr>
          <w:color w:val="000000" w:themeColor="text1"/>
        </w:rPr>
        <w:t>;</w:t>
      </w:r>
      <w:r w:rsidRPr="00242F5C">
        <w:rPr>
          <w:color w:val="000000" w:themeColor="text1"/>
        </w:rPr>
        <w:t xml:space="preserve"> Sylvain Ladoire, MD, PhD</w:t>
      </w:r>
      <w:r w:rsidR="00FB2754" w:rsidRPr="00242F5C">
        <w:rPr>
          <w:color w:val="000000" w:themeColor="text1"/>
          <w:vertAlign w:val="superscript"/>
        </w:rPr>
        <w:t>7</w:t>
      </w:r>
      <w:r w:rsidR="00B2472A">
        <w:rPr>
          <w:color w:val="000000" w:themeColor="text1"/>
        </w:rPr>
        <w:t>;</w:t>
      </w:r>
      <w:r w:rsidRPr="00242F5C">
        <w:rPr>
          <w:color w:val="000000" w:themeColor="text1"/>
        </w:rPr>
        <w:t xml:space="preserve"> Ugo De Giorgi, MD</w:t>
      </w:r>
      <w:r w:rsidR="00FB2754" w:rsidRPr="00242F5C">
        <w:rPr>
          <w:color w:val="000000" w:themeColor="text1"/>
          <w:vertAlign w:val="superscript"/>
        </w:rPr>
        <w:t>8</w:t>
      </w:r>
      <w:r w:rsidR="00B2472A">
        <w:rPr>
          <w:color w:val="000000" w:themeColor="text1"/>
        </w:rPr>
        <w:t>;</w:t>
      </w:r>
      <w:r w:rsidRPr="00242F5C">
        <w:rPr>
          <w:color w:val="000000" w:themeColor="text1"/>
        </w:rPr>
        <w:t xml:space="preserve"> Lauren C. Harshman, MD</w:t>
      </w:r>
      <w:r w:rsidR="00FB2754" w:rsidRPr="00242F5C">
        <w:rPr>
          <w:color w:val="000000" w:themeColor="text1"/>
          <w:vertAlign w:val="superscript"/>
        </w:rPr>
        <w:t>‡9</w:t>
      </w:r>
      <w:r w:rsidR="00B2472A">
        <w:rPr>
          <w:color w:val="000000" w:themeColor="text1"/>
        </w:rPr>
        <w:t>;</w:t>
      </w:r>
      <w:r w:rsidRPr="00242F5C">
        <w:rPr>
          <w:color w:val="000000" w:themeColor="text1"/>
        </w:rPr>
        <w:t xml:space="preserve"> Ulka N. Vaishampayan, MD</w:t>
      </w:r>
      <w:r w:rsidR="00C659DD" w:rsidRPr="00242F5C">
        <w:rPr>
          <w:color w:val="000000" w:themeColor="text1"/>
          <w:vertAlign w:val="superscript"/>
        </w:rPr>
        <w:t>‡</w:t>
      </w:r>
      <w:r w:rsidRPr="00242F5C">
        <w:rPr>
          <w:color w:val="000000" w:themeColor="text1"/>
          <w:vertAlign w:val="superscript"/>
        </w:rPr>
        <w:t>1</w:t>
      </w:r>
      <w:r w:rsidR="00FB2754" w:rsidRPr="00242F5C">
        <w:rPr>
          <w:color w:val="000000" w:themeColor="text1"/>
          <w:vertAlign w:val="superscript"/>
        </w:rPr>
        <w:t>0</w:t>
      </w:r>
      <w:r w:rsidR="00B2472A">
        <w:rPr>
          <w:color w:val="000000" w:themeColor="text1"/>
        </w:rPr>
        <w:t>;</w:t>
      </w:r>
      <w:r w:rsidRPr="00242F5C">
        <w:rPr>
          <w:color w:val="000000" w:themeColor="text1"/>
        </w:rPr>
        <w:t xml:space="preserve"> Andrea Necchi, MD</w:t>
      </w:r>
      <w:r w:rsidRPr="00242F5C">
        <w:rPr>
          <w:color w:val="000000" w:themeColor="text1"/>
          <w:vertAlign w:val="superscript"/>
        </w:rPr>
        <w:t>1</w:t>
      </w:r>
      <w:r w:rsidR="00FB2754" w:rsidRPr="00242F5C">
        <w:rPr>
          <w:color w:val="000000" w:themeColor="text1"/>
          <w:vertAlign w:val="superscript"/>
        </w:rPr>
        <w:t>1</w:t>
      </w:r>
      <w:r w:rsidR="00B2472A">
        <w:rPr>
          <w:color w:val="000000" w:themeColor="text1"/>
        </w:rPr>
        <w:t>;</w:t>
      </w:r>
      <w:r w:rsidRPr="00242F5C">
        <w:rPr>
          <w:color w:val="000000" w:themeColor="text1"/>
        </w:rPr>
        <w:t xml:space="preserve"> Sandy Srinivas, MD</w:t>
      </w:r>
      <w:r w:rsidRPr="00242F5C">
        <w:rPr>
          <w:color w:val="000000" w:themeColor="text1"/>
          <w:vertAlign w:val="superscript"/>
        </w:rPr>
        <w:t>1</w:t>
      </w:r>
      <w:r w:rsidR="00FB2754" w:rsidRPr="00242F5C">
        <w:rPr>
          <w:color w:val="000000" w:themeColor="text1"/>
          <w:vertAlign w:val="superscript"/>
        </w:rPr>
        <w:t>2</w:t>
      </w:r>
      <w:r w:rsidR="00B2472A">
        <w:rPr>
          <w:color w:val="000000" w:themeColor="text1"/>
        </w:rPr>
        <w:t>;</w:t>
      </w:r>
      <w:r w:rsidRPr="00242F5C">
        <w:rPr>
          <w:color w:val="000000" w:themeColor="text1"/>
        </w:rPr>
        <w:t xml:space="preserve"> Sumanta K. Pal, MD</w:t>
      </w:r>
      <w:r w:rsidRPr="00242F5C">
        <w:rPr>
          <w:color w:val="000000" w:themeColor="text1"/>
          <w:vertAlign w:val="superscript"/>
        </w:rPr>
        <w:t>1</w:t>
      </w:r>
      <w:r w:rsidR="00FB2754" w:rsidRPr="00242F5C">
        <w:rPr>
          <w:color w:val="000000" w:themeColor="text1"/>
          <w:vertAlign w:val="superscript"/>
        </w:rPr>
        <w:t>3</w:t>
      </w:r>
      <w:r w:rsidR="00B2472A">
        <w:rPr>
          <w:color w:val="000000" w:themeColor="text1"/>
        </w:rPr>
        <w:t>;</w:t>
      </w:r>
      <w:r w:rsidRPr="00242F5C">
        <w:rPr>
          <w:color w:val="000000" w:themeColor="text1"/>
        </w:rPr>
        <w:t xml:space="preserve"> Guenter Niegisch, MD</w:t>
      </w:r>
      <w:r w:rsidRPr="00242F5C">
        <w:rPr>
          <w:color w:val="000000" w:themeColor="text1"/>
          <w:vertAlign w:val="superscript"/>
        </w:rPr>
        <w:t>1</w:t>
      </w:r>
      <w:r w:rsidR="00C659DD" w:rsidRPr="00242F5C">
        <w:rPr>
          <w:color w:val="000000" w:themeColor="text1"/>
          <w:vertAlign w:val="superscript"/>
        </w:rPr>
        <w:t>4</w:t>
      </w:r>
      <w:r w:rsidR="00B2472A">
        <w:rPr>
          <w:color w:val="000000" w:themeColor="text1"/>
        </w:rPr>
        <w:t>;</w:t>
      </w:r>
      <w:r w:rsidRPr="00242F5C">
        <w:rPr>
          <w:color w:val="000000" w:themeColor="text1"/>
        </w:rPr>
        <w:t xml:space="preserve"> Tanya B. Dorff, MD</w:t>
      </w:r>
      <w:r w:rsidR="00E4465F" w:rsidRPr="00242F5C">
        <w:rPr>
          <w:color w:val="000000" w:themeColor="text1"/>
          <w:vertAlign w:val="superscript"/>
        </w:rPr>
        <w:t>‡</w:t>
      </w:r>
      <w:r w:rsidRPr="00242F5C">
        <w:rPr>
          <w:color w:val="000000" w:themeColor="text1"/>
          <w:vertAlign w:val="superscript"/>
        </w:rPr>
        <w:t>1</w:t>
      </w:r>
      <w:r w:rsidR="00C659DD" w:rsidRPr="00242F5C">
        <w:rPr>
          <w:color w:val="000000" w:themeColor="text1"/>
          <w:vertAlign w:val="superscript"/>
        </w:rPr>
        <w:t>5</w:t>
      </w:r>
      <w:r w:rsidR="00B2472A">
        <w:rPr>
          <w:color w:val="000000" w:themeColor="text1"/>
        </w:rPr>
        <w:t>;</w:t>
      </w:r>
      <w:r w:rsidRPr="00242F5C">
        <w:rPr>
          <w:color w:val="000000" w:themeColor="text1"/>
        </w:rPr>
        <w:t xml:space="preserve"> Matthew D. Galsky, MD</w:t>
      </w:r>
      <w:r w:rsidRPr="00242F5C">
        <w:rPr>
          <w:color w:val="000000" w:themeColor="text1"/>
          <w:vertAlign w:val="superscript"/>
        </w:rPr>
        <w:t>16</w:t>
      </w:r>
      <w:r w:rsidR="00B2472A">
        <w:rPr>
          <w:color w:val="000000" w:themeColor="text1"/>
        </w:rPr>
        <w:t>;</w:t>
      </w:r>
      <w:r w:rsidRPr="00242F5C">
        <w:rPr>
          <w:color w:val="000000" w:themeColor="text1"/>
        </w:rPr>
        <w:t xml:space="preserve"> Evan Y. Yu, MD</w:t>
      </w:r>
      <w:r w:rsidRPr="00242F5C">
        <w:rPr>
          <w:color w:val="000000" w:themeColor="text1"/>
          <w:vertAlign w:val="superscript"/>
        </w:rPr>
        <w:t>1,2</w:t>
      </w:r>
      <w:r w:rsidRPr="00242F5C">
        <w:rPr>
          <w:color w:val="000000" w:themeColor="text1"/>
        </w:rPr>
        <w:t xml:space="preserve"> </w:t>
      </w:r>
    </w:p>
    <w:p w14:paraId="1B7E3277" w14:textId="77777777" w:rsidR="00FB2754" w:rsidRPr="00242F5C" w:rsidRDefault="00FB2754" w:rsidP="004D20E7">
      <w:pPr>
        <w:adjustRightInd w:val="0"/>
        <w:spacing w:line="480" w:lineRule="auto"/>
        <w:rPr>
          <w:color w:val="000000" w:themeColor="text1"/>
          <w:vertAlign w:val="superscript"/>
        </w:rPr>
      </w:pPr>
    </w:p>
    <w:p w14:paraId="49E562EB" w14:textId="554F9395" w:rsidR="00FB2754" w:rsidRPr="00242F5C" w:rsidRDefault="00184B5D" w:rsidP="004D20E7">
      <w:pPr>
        <w:adjustRightInd w:val="0"/>
        <w:spacing w:line="480" w:lineRule="auto"/>
      </w:pPr>
      <w:r w:rsidRPr="00242F5C">
        <w:rPr>
          <w:vertAlign w:val="superscript"/>
        </w:rPr>
        <w:t>†</w:t>
      </w:r>
      <w:r w:rsidR="00F85EB8">
        <w:t>RLW and LAF should be considered joint first author</w:t>
      </w:r>
      <w:r w:rsidRPr="00242F5C">
        <w:t>.</w:t>
      </w:r>
    </w:p>
    <w:p w14:paraId="638DCDF1" w14:textId="41F42C22" w:rsidR="00FB2754" w:rsidRPr="00242F5C" w:rsidRDefault="00FB2754" w:rsidP="004D20E7">
      <w:pPr>
        <w:adjustRightInd w:val="0"/>
        <w:spacing w:line="480" w:lineRule="auto"/>
      </w:pPr>
      <w:r w:rsidRPr="00242F5C">
        <w:rPr>
          <w:color w:val="000000" w:themeColor="text1"/>
          <w:vertAlign w:val="superscript"/>
        </w:rPr>
        <w:t>‡</w:t>
      </w:r>
      <w:r w:rsidR="001977C5" w:rsidRPr="00242F5C">
        <w:rPr>
          <w:color w:val="000000" w:themeColor="text1"/>
        </w:rPr>
        <w:t xml:space="preserve">Current author affiliations: </w:t>
      </w:r>
      <w:r w:rsidRPr="00242F5C">
        <w:rPr>
          <w:color w:val="000000" w:themeColor="text1"/>
        </w:rPr>
        <w:t>JDR</w:t>
      </w:r>
      <w:r w:rsidR="001977C5" w:rsidRPr="00242F5C">
        <w:rPr>
          <w:color w:val="000000" w:themeColor="text1"/>
        </w:rPr>
        <w:t xml:space="preserve">, </w:t>
      </w:r>
      <w:r w:rsidRPr="00242F5C">
        <w:rPr>
          <w:color w:val="000000" w:themeColor="text1"/>
        </w:rPr>
        <w:t>Sea</w:t>
      </w:r>
      <w:r w:rsidR="00B853B2" w:rsidRPr="00242F5C">
        <w:rPr>
          <w:color w:val="000000" w:themeColor="text1"/>
        </w:rPr>
        <w:t>g</w:t>
      </w:r>
      <w:r w:rsidRPr="00242F5C">
        <w:rPr>
          <w:color w:val="000000" w:themeColor="text1"/>
        </w:rPr>
        <w:t>en Inc, Bothell, WA</w:t>
      </w:r>
      <w:r w:rsidR="001977C5" w:rsidRPr="00242F5C">
        <w:rPr>
          <w:color w:val="000000" w:themeColor="text1"/>
        </w:rPr>
        <w:t>;</w:t>
      </w:r>
      <w:r w:rsidRPr="00242F5C">
        <w:rPr>
          <w:color w:val="000000" w:themeColor="text1"/>
        </w:rPr>
        <w:t xml:space="preserve"> LCH</w:t>
      </w:r>
      <w:r w:rsidR="001977C5" w:rsidRPr="00242F5C">
        <w:rPr>
          <w:color w:val="000000" w:themeColor="text1"/>
        </w:rPr>
        <w:t xml:space="preserve">, </w:t>
      </w:r>
      <w:r w:rsidRPr="00242F5C">
        <w:rPr>
          <w:color w:val="000000" w:themeColor="text1"/>
        </w:rPr>
        <w:t>Surface Oncology Inc, Cambridge, MA</w:t>
      </w:r>
      <w:r w:rsidR="001977C5" w:rsidRPr="00242F5C">
        <w:rPr>
          <w:color w:val="000000" w:themeColor="text1"/>
        </w:rPr>
        <w:t xml:space="preserve">; </w:t>
      </w:r>
      <w:r w:rsidR="00C659DD" w:rsidRPr="00242F5C">
        <w:rPr>
          <w:color w:val="000000" w:themeColor="text1"/>
        </w:rPr>
        <w:t>UNV</w:t>
      </w:r>
      <w:r w:rsidR="001977C5" w:rsidRPr="00242F5C">
        <w:rPr>
          <w:color w:val="000000" w:themeColor="text1"/>
        </w:rPr>
        <w:t xml:space="preserve">, </w:t>
      </w:r>
      <w:r w:rsidR="00C659DD" w:rsidRPr="00242F5C">
        <w:t>University of Michigan, Ann Arbor, MI</w:t>
      </w:r>
      <w:r w:rsidR="001977C5" w:rsidRPr="00242F5C">
        <w:t xml:space="preserve">; </w:t>
      </w:r>
      <w:r w:rsidR="00C659DD" w:rsidRPr="00242F5C">
        <w:t>TBD</w:t>
      </w:r>
      <w:r w:rsidR="001977C5" w:rsidRPr="00242F5C">
        <w:t xml:space="preserve">, </w:t>
      </w:r>
      <w:r w:rsidR="00C659DD" w:rsidRPr="00242F5C">
        <w:t>City of Hope Comprehensive Cancer Center, Duarte, CA.</w:t>
      </w:r>
      <w:r w:rsidR="00184B5D" w:rsidRPr="00242F5C">
        <w:rPr>
          <w:vertAlign w:val="superscript"/>
        </w:rPr>
        <w:br/>
      </w:r>
    </w:p>
    <w:p w14:paraId="4588E024" w14:textId="77777777" w:rsidR="00FB2754" w:rsidRPr="00242F5C" w:rsidRDefault="00184B5D" w:rsidP="004D20E7">
      <w:pPr>
        <w:numPr>
          <w:ilvl w:val="0"/>
          <w:numId w:val="1"/>
        </w:numPr>
        <w:adjustRightInd w:val="0"/>
        <w:spacing w:line="480" w:lineRule="auto"/>
      </w:pPr>
      <w:r w:rsidRPr="00242F5C">
        <w:t>Department of Medicine, University of Washington, Seattle, WA</w:t>
      </w:r>
    </w:p>
    <w:p w14:paraId="2F0BA7C3" w14:textId="77777777" w:rsidR="00FB2754" w:rsidRPr="00242F5C" w:rsidRDefault="00184B5D" w:rsidP="004D20E7">
      <w:pPr>
        <w:numPr>
          <w:ilvl w:val="0"/>
          <w:numId w:val="1"/>
        </w:numPr>
        <w:adjustRightInd w:val="0"/>
        <w:spacing w:line="480" w:lineRule="auto"/>
      </w:pPr>
      <w:r w:rsidRPr="00242F5C">
        <w:t>Fred Hutchinson Cancer Research Center, Seattle, WA</w:t>
      </w:r>
    </w:p>
    <w:p w14:paraId="6D2F9FC8" w14:textId="77777777" w:rsidR="00FB2754" w:rsidRPr="00242F5C" w:rsidRDefault="00184B5D" w:rsidP="004D20E7">
      <w:pPr>
        <w:numPr>
          <w:ilvl w:val="0"/>
          <w:numId w:val="1"/>
        </w:numPr>
        <w:adjustRightInd w:val="0"/>
        <w:spacing w:line="480" w:lineRule="auto"/>
      </w:pPr>
      <w:r w:rsidRPr="00242F5C">
        <w:t>Department of Urology, University of Washington, Seattle, WA</w:t>
      </w:r>
    </w:p>
    <w:p w14:paraId="5A6CE631" w14:textId="246B6E43" w:rsidR="00FB2754" w:rsidRPr="00242F5C" w:rsidRDefault="00CF767A" w:rsidP="004D20E7">
      <w:pPr>
        <w:numPr>
          <w:ilvl w:val="0"/>
          <w:numId w:val="1"/>
        </w:numPr>
        <w:adjustRightInd w:val="0"/>
        <w:spacing w:line="480" w:lineRule="auto"/>
      </w:pPr>
      <w:r w:rsidRPr="00242F5C">
        <w:t xml:space="preserve">Cancer Sciences Unit, </w:t>
      </w:r>
      <w:r w:rsidR="00184B5D" w:rsidRPr="00242F5C">
        <w:t>University of Southampton, Southampton, UK</w:t>
      </w:r>
    </w:p>
    <w:p w14:paraId="1EC7BEF8" w14:textId="77777777" w:rsidR="00FB2754" w:rsidRPr="00242F5C" w:rsidRDefault="00184B5D" w:rsidP="004D20E7">
      <w:pPr>
        <w:numPr>
          <w:ilvl w:val="0"/>
          <w:numId w:val="1"/>
        </w:numPr>
        <w:adjustRightInd w:val="0"/>
        <w:spacing w:line="480" w:lineRule="auto"/>
      </w:pPr>
      <w:r w:rsidRPr="00242F5C">
        <w:t>Englander Institute for Precision Medicine, Weill Cornell Medicine, New York, NY</w:t>
      </w:r>
    </w:p>
    <w:p w14:paraId="6FF5E969" w14:textId="77777777" w:rsidR="00FB2754" w:rsidRPr="00242F5C" w:rsidRDefault="00184B5D" w:rsidP="004D20E7">
      <w:pPr>
        <w:numPr>
          <w:ilvl w:val="0"/>
          <w:numId w:val="1"/>
        </w:numPr>
        <w:adjustRightInd w:val="0"/>
        <w:spacing w:line="480" w:lineRule="auto"/>
      </w:pPr>
      <w:r w:rsidRPr="00242F5C">
        <w:t>Hospital Del Mar, Barcelona, Spain</w:t>
      </w:r>
    </w:p>
    <w:p w14:paraId="48085FA0" w14:textId="77777777" w:rsidR="00FB2754" w:rsidRPr="00242F5C" w:rsidRDefault="00184B5D" w:rsidP="004D20E7">
      <w:pPr>
        <w:numPr>
          <w:ilvl w:val="0"/>
          <w:numId w:val="1"/>
        </w:numPr>
        <w:adjustRightInd w:val="0"/>
        <w:spacing w:line="480" w:lineRule="auto"/>
      </w:pPr>
      <w:r w:rsidRPr="00242F5C">
        <w:lastRenderedPageBreak/>
        <w:t>Georges-François Leclerc Cancer Center, Dijon, France</w:t>
      </w:r>
    </w:p>
    <w:p w14:paraId="044947FB" w14:textId="77777777" w:rsidR="00FB2754" w:rsidRPr="00242F5C" w:rsidRDefault="00184B5D" w:rsidP="004D20E7">
      <w:pPr>
        <w:numPr>
          <w:ilvl w:val="0"/>
          <w:numId w:val="1"/>
        </w:numPr>
        <w:adjustRightInd w:val="0"/>
        <w:spacing w:line="480" w:lineRule="auto"/>
        <w:rPr>
          <w:lang w:val="it-IT"/>
        </w:rPr>
      </w:pPr>
      <w:r w:rsidRPr="00242F5C">
        <w:rPr>
          <w:lang w:val="it-IT"/>
        </w:rPr>
        <w:t>Istituto Scientifico Romagnolo per lo Studio e la Cura dei Tumori (IRST) IRCCS, Meldola, Italy</w:t>
      </w:r>
    </w:p>
    <w:p w14:paraId="0A5B2D45" w14:textId="77777777" w:rsidR="00FB2754" w:rsidRPr="00242F5C" w:rsidRDefault="00184B5D" w:rsidP="004D20E7">
      <w:pPr>
        <w:numPr>
          <w:ilvl w:val="0"/>
          <w:numId w:val="1"/>
        </w:numPr>
        <w:adjustRightInd w:val="0"/>
        <w:spacing w:line="480" w:lineRule="auto"/>
      </w:pPr>
      <w:r w:rsidRPr="00242F5C">
        <w:t>Dana-Farber Cancer Institute, Boston, MA</w:t>
      </w:r>
    </w:p>
    <w:p w14:paraId="66E475AC" w14:textId="1E4B6DE8" w:rsidR="00FB2754" w:rsidRPr="00242F5C" w:rsidRDefault="00C659DD" w:rsidP="004D20E7">
      <w:pPr>
        <w:numPr>
          <w:ilvl w:val="0"/>
          <w:numId w:val="1"/>
        </w:numPr>
        <w:adjustRightInd w:val="0"/>
        <w:spacing w:line="480" w:lineRule="auto"/>
      </w:pPr>
      <w:r w:rsidRPr="00242F5C">
        <w:t>Wayne State</w:t>
      </w:r>
      <w:r w:rsidR="000D41C5" w:rsidRPr="00242F5C">
        <w:t xml:space="preserve"> University</w:t>
      </w:r>
      <w:r w:rsidR="007E0D7B" w:rsidRPr="00242F5C">
        <w:t xml:space="preserve"> Karmanos Cancer Institute</w:t>
      </w:r>
      <w:r w:rsidRPr="00242F5C">
        <w:t>, Detroit, MI</w:t>
      </w:r>
    </w:p>
    <w:p w14:paraId="65833DDE" w14:textId="77777777" w:rsidR="00FB2754" w:rsidRPr="00242F5C" w:rsidRDefault="00184B5D" w:rsidP="004D20E7">
      <w:pPr>
        <w:numPr>
          <w:ilvl w:val="0"/>
          <w:numId w:val="1"/>
        </w:numPr>
        <w:adjustRightInd w:val="0"/>
        <w:spacing w:line="480" w:lineRule="auto"/>
      </w:pPr>
      <w:r w:rsidRPr="00242F5C">
        <w:t>Fondazione IRCCS Istituto Nazionale dei Tumori, Milan, Italy</w:t>
      </w:r>
    </w:p>
    <w:p w14:paraId="76E96D8C" w14:textId="77777777" w:rsidR="00FB2754" w:rsidRPr="00242F5C" w:rsidRDefault="00184B5D" w:rsidP="004D20E7">
      <w:pPr>
        <w:numPr>
          <w:ilvl w:val="0"/>
          <w:numId w:val="1"/>
        </w:numPr>
        <w:adjustRightInd w:val="0"/>
        <w:spacing w:line="480" w:lineRule="auto"/>
      </w:pPr>
      <w:r w:rsidRPr="00242F5C">
        <w:t>Stanford University, Palo Alto, CA</w:t>
      </w:r>
    </w:p>
    <w:p w14:paraId="741C9662" w14:textId="77777777" w:rsidR="00FB2754" w:rsidRPr="00242F5C" w:rsidRDefault="00184B5D" w:rsidP="004D20E7">
      <w:pPr>
        <w:numPr>
          <w:ilvl w:val="0"/>
          <w:numId w:val="1"/>
        </w:numPr>
        <w:adjustRightInd w:val="0"/>
        <w:spacing w:line="480" w:lineRule="auto"/>
      </w:pPr>
      <w:r w:rsidRPr="00242F5C">
        <w:t>City of Hope Comprehensive Cancer Center, Duarte, CA</w:t>
      </w:r>
    </w:p>
    <w:p w14:paraId="07C217A1" w14:textId="04D8C0CC" w:rsidR="00FB2754" w:rsidRPr="00242F5C" w:rsidRDefault="00184B5D" w:rsidP="004D20E7">
      <w:pPr>
        <w:numPr>
          <w:ilvl w:val="0"/>
          <w:numId w:val="1"/>
        </w:numPr>
        <w:adjustRightInd w:val="0"/>
        <w:spacing w:line="480" w:lineRule="auto"/>
      </w:pPr>
      <w:r w:rsidRPr="00242F5C">
        <w:t>Department of Urology, Medical Faculty, Heinrich-Heine-University, Germany</w:t>
      </w:r>
    </w:p>
    <w:p w14:paraId="0A6914B9" w14:textId="6B04A270" w:rsidR="00C659DD" w:rsidRPr="00242F5C" w:rsidRDefault="00C659DD" w:rsidP="004D20E7">
      <w:pPr>
        <w:numPr>
          <w:ilvl w:val="0"/>
          <w:numId w:val="1"/>
        </w:numPr>
        <w:adjustRightInd w:val="0"/>
        <w:spacing w:line="480" w:lineRule="auto"/>
      </w:pPr>
      <w:r w:rsidRPr="00242F5C">
        <w:t>University of Southern California Norris Comprehensive Cancer Center, Los Angeles, CA</w:t>
      </w:r>
    </w:p>
    <w:p w14:paraId="5AAC8076" w14:textId="5362C091" w:rsidR="00FB2754" w:rsidRPr="00242F5C" w:rsidRDefault="00184B5D" w:rsidP="004D20E7">
      <w:pPr>
        <w:numPr>
          <w:ilvl w:val="0"/>
          <w:numId w:val="1"/>
        </w:numPr>
        <w:adjustRightInd w:val="0"/>
        <w:spacing w:line="480" w:lineRule="auto"/>
      </w:pPr>
      <w:r w:rsidRPr="00242F5C">
        <w:t>Mount Sinai Medical Center, New York, NY</w:t>
      </w:r>
    </w:p>
    <w:p w14:paraId="0E826381" w14:textId="77777777" w:rsidR="00FB2754" w:rsidRPr="00242F5C" w:rsidRDefault="00FB2754" w:rsidP="004D20E7">
      <w:pPr>
        <w:adjustRightInd w:val="0"/>
        <w:spacing w:line="480" w:lineRule="auto"/>
        <w:ind w:left="720"/>
      </w:pPr>
    </w:p>
    <w:p w14:paraId="51488965" w14:textId="7B2D3DB4" w:rsidR="00FB2754" w:rsidRPr="00242F5C" w:rsidRDefault="00184B5D" w:rsidP="004D20E7">
      <w:pPr>
        <w:adjustRightInd w:val="0"/>
        <w:spacing w:line="480" w:lineRule="auto"/>
        <w:rPr>
          <w:b/>
          <w:bCs/>
        </w:rPr>
      </w:pPr>
      <w:r w:rsidRPr="00242F5C">
        <w:rPr>
          <w:b/>
          <w:bCs/>
        </w:rPr>
        <w:t>Corresponding Author:</w:t>
      </w:r>
    </w:p>
    <w:p w14:paraId="7FD6DD26" w14:textId="4ADB32FB" w:rsidR="00FB2754" w:rsidRPr="00242F5C" w:rsidRDefault="001945F7" w:rsidP="004D20E7">
      <w:pPr>
        <w:adjustRightInd w:val="0"/>
        <w:spacing w:line="480" w:lineRule="auto"/>
      </w:pPr>
      <w:r>
        <w:t>Evan Y. Yu</w:t>
      </w:r>
      <w:r w:rsidR="00184B5D" w:rsidRPr="00242F5C">
        <w:t>, MD</w:t>
      </w:r>
    </w:p>
    <w:p w14:paraId="5C269914" w14:textId="4C592204" w:rsidR="00FB2754" w:rsidRPr="00242F5C" w:rsidRDefault="00184B5D" w:rsidP="004D20E7">
      <w:pPr>
        <w:adjustRightInd w:val="0"/>
        <w:spacing w:line="480" w:lineRule="auto"/>
      </w:pPr>
      <w:r w:rsidRPr="00242F5C">
        <w:t>825 Eastlake Ave E, G4-8</w:t>
      </w:r>
      <w:r w:rsidR="001945F7">
        <w:t>3</w:t>
      </w:r>
      <w:r w:rsidRPr="00242F5C">
        <w:t>0</w:t>
      </w:r>
    </w:p>
    <w:p w14:paraId="7FFE2D2A" w14:textId="51DB0BAF" w:rsidR="00FB2754" w:rsidRPr="00242F5C" w:rsidRDefault="00184B5D" w:rsidP="004D20E7">
      <w:pPr>
        <w:adjustRightInd w:val="0"/>
        <w:spacing w:line="480" w:lineRule="auto"/>
      </w:pPr>
      <w:r w:rsidRPr="00242F5C">
        <w:t>Box 358081</w:t>
      </w:r>
    </w:p>
    <w:p w14:paraId="74680F57" w14:textId="553B8C48" w:rsidR="00FB2754" w:rsidRPr="00242F5C" w:rsidRDefault="00184B5D" w:rsidP="004D20E7">
      <w:pPr>
        <w:adjustRightInd w:val="0"/>
        <w:spacing w:line="480" w:lineRule="auto"/>
      </w:pPr>
      <w:r w:rsidRPr="00242F5C">
        <w:t>Seattle, WA 98109-1023</w:t>
      </w:r>
    </w:p>
    <w:p w14:paraId="2309E030" w14:textId="7FEB8328" w:rsidR="00FB2754" w:rsidRDefault="00184B5D" w:rsidP="004D20E7">
      <w:pPr>
        <w:adjustRightInd w:val="0"/>
        <w:spacing w:line="480" w:lineRule="auto"/>
      </w:pPr>
      <w:r w:rsidRPr="00242F5C">
        <w:t>Phone: 206-606-</w:t>
      </w:r>
      <w:r w:rsidR="001945F7">
        <w:t>6292</w:t>
      </w:r>
    </w:p>
    <w:p w14:paraId="63646597" w14:textId="0FEC75B9" w:rsidR="001945F7" w:rsidRPr="00242F5C" w:rsidRDefault="001945F7" w:rsidP="004D20E7">
      <w:pPr>
        <w:adjustRightInd w:val="0"/>
        <w:spacing w:line="480" w:lineRule="auto"/>
      </w:pPr>
      <w:r>
        <w:t>Fax: 206-606-6414</w:t>
      </w:r>
    </w:p>
    <w:p w14:paraId="100612B3" w14:textId="31B74C73" w:rsidR="00FB2754" w:rsidRPr="00242F5C" w:rsidRDefault="00184B5D" w:rsidP="004D20E7">
      <w:pPr>
        <w:adjustRightInd w:val="0"/>
        <w:spacing w:line="480" w:lineRule="auto"/>
      </w:pPr>
      <w:r w:rsidRPr="00242F5C">
        <w:t xml:space="preserve">Email: </w:t>
      </w:r>
      <w:r w:rsidR="001945F7">
        <w:t>evanyu</w:t>
      </w:r>
      <w:r w:rsidRPr="00242F5C">
        <w:t>@uw.edu</w:t>
      </w:r>
    </w:p>
    <w:p w14:paraId="71153267" w14:textId="77777777" w:rsidR="00FB2754" w:rsidRPr="00242F5C" w:rsidRDefault="00FB2754" w:rsidP="004D20E7">
      <w:pPr>
        <w:adjustRightInd w:val="0"/>
        <w:spacing w:line="480" w:lineRule="auto"/>
      </w:pPr>
    </w:p>
    <w:p w14:paraId="41F15CE8" w14:textId="77777777" w:rsidR="001945F7" w:rsidRDefault="00184B5D" w:rsidP="004D20E7">
      <w:pPr>
        <w:adjustRightInd w:val="0"/>
        <w:spacing w:line="480" w:lineRule="auto"/>
      </w:pPr>
      <w:r w:rsidRPr="00242F5C">
        <w:rPr>
          <w:b/>
          <w:bCs/>
        </w:rPr>
        <w:lastRenderedPageBreak/>
        <w:t>Funding</w:t>
      </w:r>
      <w:r w:rsidR="00E019AA">
        <w:rPr>
          <w:b/>
          <w:bCs/>
        </w:rPr>
        <w:t xml:space="preserve"> Support</w:t>
      </w:r>
      <w:r w:rsidRPr="00242F5C">
        <w:rPr>
          <w:b/>
          <w:bCs/>
        </w:rPr>
        <w:t xml:space="preserve">: </w:t>
      </w:r>
      <w:r w:rsidR="00E019AA">
        <w:t>Risa L. Wong</w:t>
      </w:r>
      <w:r w:rsidR="00E4465F" w:rsidRPr="00242F5C">
        <w:t xml:space="preserve"> is supported by </w:t>
      </w:r>
      <w:r w:rsidR="007E0D7B" w:rsidRPr="00242F5C">
        <w:t xml:space="preserve">the </w:t>
      </w:r>
      <w:r w:rsidR="00E4465F" w:rsidRPr="00242F5C">
        <w:t>Fred Hutchinson Cancer Research Center</w:t>
      </w:r>
      <w:r w:rsidR="007E0D7B" w:rsidRPr="00242F5C">
        <w:t xml:space="preserve"> in</w:t>
      </w:r>
      <w:r w:rsidR="00E4465F" w:rsidRPr="00242F5C">
        <w:t xml:space="preserve"> Seattle, WA.</w:t>
      </w:r>
    </w:p>
    <w:p w14:paraId="27A99FA9" w14:textId="77777777" w:rsidR="001945F7" w:rsidRDefault="001945F7" w:rsidP="004D20E7">
      <w:pPr>
        <w:adjustRightInd w:val="0"/>
        <w:spacing w:line="480" w:lineRule="auto"/>
      </w:pPr>
    </w:p>
    <w:p w14:paraId="4197BBEB" w14:textId="1FC05BAA" w:rsidR="00FB2754" w:rsidRPr="001945F7" w:rsidRDefault="001945F7" w:rsidP="004D20E7">
      <w:pPr>
        <w:adjustRightInd w:val="0"/>
        <w:spacing w:line="480" w:lineRule="auto"/>
      </w:pPr>
      <w:r w:rsidRPr="00242F5C">
        <w:rPr>
          <w:b/>
          <w:bCs/>
        </w:rPr>
        <w:t xml:space="preserve">Keywords: </w:t>
      </w:r>
      <w:r w:rsidRPr="00242F5C">
        <w:t>Urologic Neoplasms; Urinary Bladder Neoplasms; Platinum Compounds; Cisplatin, Carboplatin; Drug Therapy, Combination; Antineoplastic Agents</w:t>
      </w:r>
      <w:r w:rsidR="00184B5D" w:rsidRPr="00242F5C">
        <w:rPr>
          <w:b/>
          <w:bCs/>
        </w:rPr>
        <w:br w:type="page"/>
      </w:r>
    </w:p>
    <w:p w14:paraId="444A2402" w14:textId="171382A6" w:rsidR="00F63670" w:rsidRDefault="00F63670" w:rsidP="004D20E7">
      <w:pPr>
        <w:adjustRightInd w:val="0"/>
        <w:spacing w:before="160" w:line="480" w:lineRule="auto"/>
        <w:rPr>
          <w:b/>
          <w:bCs/>
        </w:rPr>
      </w:pPr>
      <w:r>
        <w:rPr>
          <w:b/>
          <w:bCs/>
        </w:rPr>
        <w:lastRenderedPageBreak/>
        <w:t>Abstract</w:t>
      </w:r>
    </w:p>
    <w:p w14:paraId="30C24255" w14:textId="7092A17D" w:rsidR="00FB2754" w:rsidRPr="00242F5C" w:rsidRDefault="00184B5D" w:rsidP="004D20E7">
      <w:pPr>
        <w:adjustRightInd w:val="0"/>
        <w:spacing w:before="160" w:line="480" w:lineRule="auto"/>
      </w:pPr>
      <w:r w:rsidRPr="00242F5C">
        <w:rPr>
          <w:b/>
          <w:bCs/>
        </w:rPr>
        <w:t>Background:</w:t>
      </w:r>
    </w:p>
    <w:p w14:paraId="27778555" w14:textId="3CBB692B" w:rsidR="00FB2754" w:rsidRPr="00242F5C" w:rsidRDefault="00184B5D" w:rsidP="004D20E7">
      <w:pPr>
        <w:adjustRightInd w:val="0"/>
        <w:spacing w:before="160" w:line="480" w:lineRule="auto"/>
      </w:pPr>
      <w:r w:rsidRPr="00242F5C">
        <w:t>Fit patients with metastatic urothelial carcinoma (mUC) receive first-line platinum-based combination chemotherapy (fPBC) as standard of care, and may receive additional later-line chemotherapy after progression. Our study compares outcomes with subsequent platinum-based chemotherapy (sPBC) versus subsequent non-platinum-based chemotherapy (sNPBC).</w:t>
      </w:r>
    </w:p>
    <w:p w14:paraId="2F42C82D" w14:textId="3EB5606E" w:rsidR="00FB2754" w:rsidRPr="00242F5C" w:rsidRDefault="00F63670" w:rsidP="004D20E7">
      <w:pPr>
        <w:adjustRightInd w:val="0"/>
        <w:spacing w:before="160" w:line="480" w:lineRule="auto"/>
        <w:rPr>
          <w:b/>
          <w:bCs/>
        </w:rPr>
      </w:pPr>
      <w:r>
        <w:rPr>
          <w:b/>
          <w:bCs/>
        </w:rPr>
        <w:t xml:space="preserve">Materials and </w:t>
      </w:r>
      <w:r w:rsidR="00184B5D" w:rsidRPr="00242F5C">
        <w:rPr>
          <w:b/>
          <w:bCs/>
        </w:rPr>
        <w:t>Methods:</w:t>
      </w:r>
    </w:p>
    <w:p w14:paraId="300625F7" w14:textId="6161D591" w:rsidR="00FB2754" w:rsidRPr="00242F5C" w:rsidRDefault="00184B5D" w:rsidP="004D20E7">
      <w:pPr>
        <w:adjustRightInd w:val="0"/>
        <w:spacing w:before="160" w:line="480" w:lineRule="auto"/>
      </w:pPr>
      <w:r w:rsidRPr="00242F5C">
        <w:t xml:space="preserve">Patients from 28 international centers in the Retrospective International Study of Cancers of the Urothelium (RISC) who received fPBC for mUC and </w:t>
      </w:r>
      <w:r w:rsidRPr="00242F5C">
        <w:rPr>
          <w:color w:val="222222"/>
          <w:shd w:val="clear" w:color="auto" w:fill="FFFFFF"/>
        </w:rPr>
        <w:t>≥</w:t>
      </w:r>
      <w:r w:rsidRPr="00242F5C">
        <w:t>2 cycles of subsequent chemotherapy were included in this study. A multivaria</w:t>
      </w:r>
      <w:r w:rsidR="00980BCA">
        <w:t>ble</w:t>
      </w:r>
      <w:r w:rsidRPr="00242F5C">
        <w:t xml:space="preserve"> Cox proportional hazards model compared overall survival (OS) and progression-free survival (PFS).</w:t>
      </w:r>
    </w:p>
    <w:p w14:paraId="76EB305F" w14:textId="44A6B624" w:rsidR="00FB2754" w:rsidRPr="00242F5C" w:rsidRDefault="00184B5D" w:rsidP="004D20E7">
      <w:pPr>
        <w:adjustRightInd w:val="0"/>
        <w:spacing w:before="160" w:line="480" w:lineRule="auto"/>
      </w:pPr>
      <w:r w:rsidRPr="00242F5C">
        <w:rPr>
          <w:b/>
          <w:bCs/>
        </w:rPr>
        <w:t>Results:</w:t>
      </w:r>
    </w:p>
    <w:p w14:paraId="37AB9CD4" w14:textId="4FD10215" w:rsidR="00FB2754" w:rsidRPr="00242F5C" w:rsidRDefault="00184B5D" w:rsidP="004D20E7">
      <w:pPr>
        <w:adjustRightInd w:val="0"/>
        <w:spacing w:before="160" w:line="480" w:lineRule="auto"/>
      </w:pPr>
      <w:r w:rsidRPr="00242F5C">
        <w:t xml:space="preserve">135 patients received sPBC and 161 received sNPBC. Baseline characteristics were similar between groups, except patients who received sPBC had higher baseline hemoglobin, </w:t>
      </w:r>
      <w:r w:rsidR="00F023AC" w:rsidRPr="00242F5C">
        <w:t>higher disease control rate</w:t>
      </w:r>
      <w:r w:rsidRPr="00242F5C">
        <w:t xml:space="preserve"> with fPBC, and longer time since fPBC. OS was superior in the sPBC group (median 7.9 vs 5.5 months) in a model adjusting for comorbidity burden, performance status, liver metastases, number of fPBC cycles received, best response to fPBC, and time since fPBC (hazard ratio, 0.72; 95% CI, 0.53-0.98 [p=0.035]). There was no difference in PFS. More patients in the sPBC group achieved </w:t>
      </w:r>
      <w:r w:rsidR="00063143" w:rsidRPr="00242F5C">
        <w:t>disease control</w:t>
      </w:r>
      <w:r w:rsidRPr="00242F5C">
        <w:t xml:space="preserve"> than in the sNPBC group (57.4% vs 44.8%, p=0.041). Factors associated with achieving </w:t>
      </w:r>
      <w:r w:rsidR="00063143" w:rsidRPr="00242F5C">
        <w:t>disease control</w:t>
      </w:r>
      <w:r w:rsidRPr="00242F5C">
        <w:t xml:space="preserve"> in the sPBC group but not the sNPBC group included longer time since fPBC, achieving </w:t>
      </w:r>
      <w:r w:rsidR="00063143" w:rsidRPr="00242F5C">
        <w:t>disease control</w:t>
      </w:r>
      <w:r w:rsidRPr="00242F5C">
        <w:t xml:space="preserve"> with fPBC, and absence of liver metastases. </w:t>
      </w:r>
    </w:p>
    <w:p w14:paraId="4DAC55A5" w14:textId="4F41442D" w:rsidR="00FB2754" w:rsidRPr="00242F5C" w:rsidRDefault="00184B5D" w:rsidP="004D20E7">
      <w:pPr>
        <w:adjustRightInd w:val="0"/>
        <w:spacing w:before="160" w:line="480" w:lineRule="auto"/>
      </w:pPr>
      <w:r w:rsidRPr="00242F5C">
        <w:rPr>
          <w:b/>
          <w:bCs/>
        </w:rPr>
        <w:lastRenderedPageBreak/>
        <w:t>Conclusion:</w:t>
      </w:r>
    </w:p>
    <w:p w14:paraId="675E729B" w14:textId="31894BD2" w:rsidR="00FB2754" w:rsidRDefault="00184B5D" w:rsidP="004D20E7">
      <w:pPr>
        <w:adjustRightInd w:val="0"/>
        <w:spacing w:before="160" w:line="480" w:lineRule="auto"/>
      </w:pPr>
      <w:r w:rsidRPr="00242F5C">
        <w:t xml:space="preserve">After receiving fPBC for mUC, patients </w:t>
      </w:r>
      <w:r w:rsidR="006065A2" w:rsidRPr="00242F5C">
        <w:t xml:space="preserve">who </w:t>
      </w:r>
      <w:r w:rsidRPr="00242F5C">
        <w:t>receiv</w:t>
      </w:r>
      <w:r w:rsidR="006065A2" w:rsidRPr="00242F5C">
        <w:t>ed</w:t>
      </w:r>
      <w:r w:rsidRPr="00242F5C">
        <w:t xml:space="preserve"> sPBC had better OS and disease </w:t>
      </w:r>
      <w:r w:rsidR="00063143" w:rsidRPr="00242F5C">
        <w:t>control</w:t>
      </w:r>
      <w:r w:rsidRPr="00242F5C">
        <w:t>. This may help inform the choice of subsequent chemotherapy in patients with mUC.</w:t>
      </w:r>
    </w:p>
    <w:p w14:paraId="7B2E8091" w14:textId="42072D3E" w:rsidR="001945F7" w:rsidRDefault="001945F7" w:rsidP="004D20E7">
      <w:pPr>
        <w:adjustRightInd w:val="0"/>
        <w:spacing w:before="160" w:line="480" w:lineRule="auto"/>
      </w:pPr>
    </w:p>
    <w:p w14:paraId="285F7306" w14:textId="70CC7C4D" w:rsidR="001945F7" w:rsidRDefault="001945F7" w:rsidP="004D20E7">
      <w:pPr>
        <w:adjustRightInd w:val="0"/>
        <w:spacing w:before="160" w:line="480" w:lineRule="auto"/>
      </w:pPr>
    </w:p>
    <w:p w14:paraId="6FC98EFB" w14:textId="0128D9A7" w:rsidR="001945F7" w:rsidRPr="00242F5C" w:rsidRDefault="001945F7" w:rsidP="004D20E7">
      <w:pPr>
        <w:adjustRightInd w:val="0"/>
        <w:spacing w:line="480" w:lineRule="auto"/>
      </w:pPr>
      <w:r>
        <w:rPr>
          <w:b/>
          <w:bCs/>
        </w:rPr>
        <w:t>Implications for Practice</w:t>
      </w:r>
      <w:r w:rsidRPr="00242F5C">
        <w:rPr>
          <w:b/>
          <w:bCs/>
        </w:rPr>
        <w:t xml:space="preserve">: </w:t>
      </w:r>
      <w:r w:rsidRPr="00242F5C">
        <w:t xml:space="preserve">Patients with </w:t>
      </w:r>
      <w:r>
        <w:t>progressive metastatic urothelial carcinoma</w:t>
      </w:r>
      <w:r w:rsidRPr="00242F5C">
        <w:t xml:space="preserve"> after </w:t>
      </w:r>
      <w:r>
        <w:t>first-line</w:t>
      </w:r>
      <w:r w:rsidRPr="00242F5C">
        <w:t xml:space="preserve"> platinum-based combination chemotherapy</w:t>
      </w:r>
      <w:r>
        <w:t xml:space="preserve"> may</w:t>
      </w:r>
      <w:r w:rsidRPr="00242F5C">
        <w:t xml:space="preserve"> now receive immuno-oncology agents, erdafitinib, or enfortumab vedotin; however, </w:t>
      </w:r>
      <w:r>
        <w:t>those</w:t>
      </w:r>
      <w:r w:rsidRPr="00242F5C">
        <w:t xml:space="preserve"> ineligible for these </w:t>
      </w:r>
      <w:r>
        <w:t xml:space="preserve">later-line </w:t>
      </w:r>
      <w:r w:rsidRPr="00242F5C">
        <w:t xml:space="preserve">therapies or who progress after receiving them may be considered for subsequent chemotherapy. In </w:t>
      </w:r>
      <w:r>
        <w:t xml:space="preserve">this retrospective study of 296 patients, </w:t>
      </w:r>
      <w:r w:rsidRPr="00242F5C">
        <w:t>survival outcomes</w:t>
      </w:r>
      <w:r>
        <w:t xml:space="preserve"> and disease control rates</w:t>
      </w:r>
      <w:r w:rsidRPr="00242F5C">
        <w:t xml:space="preserve"> were better in those receiving subsequent platinum-based rechallenge </w:t>
      </w:r>
      <w:r>
        <w:t>compared to</w:t>
      </w:r>
      <w:r w:rsidRPr="00242F5C">
        <w:t xml:space="preserve"> non-platinum-based chemotherapy</w:t>
      </w:r>
      <w:r>
        <w:t xml:space="preserve">, suggesting </w:t>
      </w:r>
      <w:r w:rsidRPr="00242F5C">
        <w:t>that patients should receive platinum rechallenge if clinically able.</w:t>
      </w:r>
      <w:r>
        <w:t xml:space="preserve"> </w:t>
      </w:r>
      <w:r w:rsidRPr="00242F5C">
        <w:t xml:space="preserve">Disease control </w:t>
      </w:r>
      <w:r>
        <w:t>with platinum rechallenge was more likely with</w:t>
      </w:r>
      <w:r w:rsidRPr="00242F5C">
        <w:t xml:space="preserve"> </w:t>
      </w:r>
      <w:r>
        <w:t xml:space="preserve">prior </w:t>
      </w:r>
      <w:r w:rsidRPr="00242F5C">
        <w:t>first-line platinum</w:t>
      </w:r>
      <w:r>
        <w:t xml:space="preserve"> having achieved disease control</w:t>
      </w:r>
      <w:r w:rsidRPr="00242F5C">
        <w:t xml:space="preserve">, longer time </w:t>
      </w:r>
      <w:r>
        <w:t xml:space="preserve">since </w:t>
      </w:r>
      <w:r w:rsidRPr="00242F5C">
        <w:t>first-line platinum</w:t>
      </w:r>
      <w:r>
        <w:t>,</w:t>
      </w:r>
      <w:r w:rsidRPr="00242F5C">
        <w:t xml:space="preserve"> and </w:t>
      </w:r>
      <w:r>
        <w:t>absence of</w:t>
      </w:r>
      <w:r w:rsidRPr="00242F5C">
        <w:t xml:space="preserve"> liver metastases</w:t>
      </w:r>
      <w:r>
        <w:t>.</w:t>
      </w:r>
    </w:p>
    <w:p w14:paraId="576C1D32" w14:textId="77777777" w:rsidR="008140F9" w:rsidRPr="00242F5C" w:rsidRDefault="00184B5D" w:rsidP="004D20E7">
      <w:pPr>
        <w:adjustRightInd w:val="0"/>
        <w:spacing w:before="160" w:line="480" w:lineRule="auto"/>
      </w:pPr>
      <w:r w:rsidRPr="00242F5C">
        <w:rPr>
          <w:b/>
          <w:bCs/>
        </w:rPr>
        <w:br w:type="page"/>
      </w:r>
      <w:r w:rsidR="008140F9" w:rsidRPr="00242F5C">
        <w:rPr>
          <w:b/>
          <w:bCs/>
        </w:rPr>
        <w:lastRenderedPageBreak/>
        <w:t>Introduction</w:t>
      </w:r>
    </w:p>
    <w:p w14:paraId="0DF23EDE" w14:textId="68358E62" w:rsidR="008140F9" w:rsidRPr="00242F5C" w:rsidRDefault="00184B5D" w:rsidP="004D20E7">
      <w:pPr>
        <w:adjustRightInd w:val="0"/>
        <w:spacing w:before="160" w:line="480" w:lineRule="auto"/>
        <w:ind w:firstLine="720"/>
        <w:rPr>
          <w:vertAlign w:val="superscript"/>
        </w:rPr>
      </w:pPr>
      <w:r w:rsidRPr="00242F5C">
        <w:t>The standard of care for fit patients with metastatic urothelial carcinoma (mUC) is first-line platinum-based combination chemotherapy (fPBC) with gemcitabine and cisplatin</w:t>
      </w:r>
      <w:r w:rsidR="00063143" w:rsidRPr="00242F5C">
        <w:t xml:space="preserve"> or</w:t>
      </w:r>
      <w:r w:rsidRPr="00242F5C">
        <w:t xml:space="preserve"> </w:t>
      </w:r>
      <w:r w:rsidR="00FB522E" w:rsidRPr="00242F5C">
        <w:t>the combination of methotrexate, vinblastine, doxorubicin, and cisplatin (MVAC)</w:t>
      </w:r>
      <w:r w:rsidR="00063143" w:rsidRPr="00242F5C">
        <w:t xml:space="preserve">. Cisplatin-ineligible patients may receive </w:t>
      </w:r>
      <w:r w:rsidRPr="00242F5C">
        <w:t>gemcitabine and carboplatin</w:t>
      </w:r>
      <w:r w:rsidR="00063143" w:rsidRPr="00242F5C">
        <w:t xml:space="preserve"> or immune checkpoint inhibitors atezolizumab or pembrolizumab</w:t>
      </w:r>
      <w:r w:rsidRPr="00242F5C">
        <w:t>.</w:t>
      </w:r>
      <w:r w:rsidR="00590F4E">
        <w:rPr>
          <w:vertAlign w:val="superscript"/>
        </w:rPr>
        <w:t>1</w:t>
      </w:r>
      <w:r w:rsidRPr="00242F5C">
        <w:rPr>
          <w:vertAlign w:val="superscript"/>
        </w:rPr>
        <w:t xml:space="preserve"> </w:t>
      </w:r>
      <w:r w:rsidRPr="00242F5C">
        <w:t>Until recent years, options for subsequent therap</w:t>
      </w:r>
      <w:r w:rsidR="00FF4BC1" w:rsidRPr="00242F5C">
        <w:t>ies that improved survival</w:t>
      </w:r>
      <w:r w:rsidRPr="00242F5C">
        <w:t xml:space="preserve"> after progression </w:t>
      </w:r>
      <w:r w:rsidR="00FF4BC1" w:rsidRPr="00242F5C">
        <w:t xml:space="preserve">on a platinum-based therapy </w:t>
      </w:r>
      <w:r w:rsidRPr="00242F5C">
        <w:t xml:space="preserve">were limited, and </w:t>
      </w:r>
      <w:r w:rsidR="00FF4BC1" w:rsidRPr="00242F5C">
        <w:t xml:space="preserve">generally </w:t>
      </w:r>
      <w:r w:rsidRPr="00242F5C">
        <w:t xml:space="preserve">consisted of further cytotoxic chemotherapy with either platinum-based or non-platinum-based regimens. </w:t>
      </w:r>
      <w:r w:rsidR="00FF4BC1" w:rsidRPr="00242F5C">
        <w:t xml:space="preserve">Lacking evidence to inform the </w:t>
      </w:r>
      <w:r w:rsidRPr="00242F5C">
        <w:t xml:space="preserve">choice </w:t>
      </w:r>
      <w:r w:rsidR="00FF4BC1" w:rsidRPr="00242F5C">
        <w:t>between</w:t>
      </w:r>
      <w:r w:rsidRPr="00242F5C">
        <w:t xml:space="preserve"> rechalleng</w:t>
      </w:r>
      <w:r w:rsidR="00FF4BC1" w:rsidRPr="00242F5C">
        <w:t>ing</w:t>
      </w:r>
      <w:r w:rsidRPr="00242F5C">
        <w:t xml:space="preserve"> with platinum-based chemotherapy or switch</w:t>
      </w:r>
      <w:r w:rsidR="00FF4BC1" w:rsidRPr="00242F5C">
        <w:t>ing</w:t>
      </w:r>
      <w:r w:rsidRPr="00242F5C">
        <w:t xml:space="preserve"> to other cytotoxic chemotherapy agents associated with different mechanisms of action, providers often considered</w:t>
      </w:r>
      <w:r w:rsidR="00FF4BC1" w:rsidRPr="00242F5C">
        <w:t xml:space="preserve"> clinical</w:t>
      </w:r>
      <w:r w:rsidRPr="00242F5C">
        <w:t xml:space="preserve"> features such as prior response to platinum and time from prior platinum chemotherapy to help guide the choice of subsequent regimen.</w:t>
      </w:r>
      <w:r w:rsidR="006D0E2B">
        <w:rPr>
          <w:vertAlign w:val="superscript"/>
        </w:rPr>
        <w:t>2</w:t>
      </w:r>
      <w:r w:rsidRPr="00242F5C">
        <w:rPr>
          <w:vertAlign w:val="superscript"/>
        </w:rPr>
        <w:t>-</w:t>
      </w:r>
      <w:r w:rsidR="006D0E2B">
        <w:rPr>
          <w:vertAlign w:val="superscript"/>
        </w:rPr>
        <w:t>4</w:t>
      </w:r>
    </w:p>
    <w:p w14:paraId="631877F5" w14:textId="24B5C0E9" w:rsidR="00FB2754" w:rsidRPr="00242F5C" w:rsidRDefault="00184B5D" w:rsidP="004D20E7">
      <w:pPr>
        <w:adjustRightInd w:val="0"/>
        <w:spacing w:before="160" w:line="480" w:lineRule="auto"/>
        <w:ind w:firstLine="720"/>
        <w:rPr>
          <w:b/>
          <w:bCs/>
        </w:rPr>
      </w:pPr>
      <w:r w:rsidRPr="00242F5C">
        <w:t>Fortunately, since 2016, the</w:t>
      </w:r>
      <w:r w:rsidR="00FB522E" w:rsidRPr="00242F5C">
        <w:t xml:space="preserve"> United States Food and Drug Administration</w:t>
      </w:r>
      <w:r w:rsidRPr="00242F5C">
        <w:t xml:space="preserve"> </w:t>
      </w:r>
      <w:r w:rsidR="00FB522E" w:rsidRPr="00242F5C">
        <w:t>(</w:t>
      </w:r>
      <w:r w:rsidRPr="00242F5C">
        <w:t>FDA</w:t>
      </w:r>
      <w:r w:rsidR="00FB522E" w:rsidRPr="00242F5C">
        <w:t>)</w:t>
      </w:r>
      <w:r w:rsidRPr="00242F5C">
        <w:t xml:space="preserve"> has approved immune checkpoint inhibitors targeting PD-1 or PD-L1 for </w:t>
      </w:r>
      <w:r w:rsidR="004B22B9" w:rsidRPr="00242F5C">
        <w:t>the post-platinum</w:t>
      </w:r>
      <w:r w:rsidRPr="00242F5C">
        <w:t xml:space="preserve"> mUC</w:t>
      </w:r>
      <w:r w:rsidR="004B22B9" w:rsidRPr="00242F5C">
        <w:t xml:space="preserve"> setting</w:t>
      </w:r>
      <w:r w:rsidRPr="00242F5C">
        <w:t>, including the drugs avelumab, nivolumab, and pembrolizumab</w:t>
      </w:r>
      <w:r w:rsidR="004B22B9" w:rsidRPr="00242F5C">
        <w:t>.</w:t>
      </w:r>
      <w:r w:rsidR="006D0E2B">
        <w:rPr>
          <w:vertAlign w:val="superscript"/>
        </w:rPr>
        <w:t>5-7</w:t>
      </w:r>
      <w:r w:rsidRPr="00242F5C">
        <w:rPr>
          <w:vertAlign w:val="superscript"/>
        </w:rPr>
        <w:t xml:space="preserve"> </w:t>
      </w:r>
      <w:r w:rsidR="004B22B9" w:rsidRPr="00242F5C">
        <w:t>A</w:t>
      </w:r>
      <w:r w:rsidRPr="00242F5C">
        <w:t>velumab</w:t>
      </w:r>
      <w:r w:rsidR="004B22B9" w:rsidRPr="00242F5C">
        <w:t>, used</w:t>
      </w:r>
      <w:r w:rsidRPr="00242F5C">
        <w:t xml:space="preserve"> for maintenance therapy after fPBC</w:t>
      </w:r>
      <w:r w:rsidR="004B22B9" w:rsidRPr="00242F5C">
        <w:t xml:space="preserve"> for patients </w:t>
      </w:r>
      <w:r w:rsidR="00941F7D">
        <w:t>who have not progressed</w:t>
      </w:r>
      <w:r w:rsidR="004B22B9" w:rsidRPr="00242F5C">
        <w:t>, has demonstrated an overall survival benefit over placebo</w:t>
      </w:r>
      <w:r w:rsidRPr="00242F5C">
        <w:t>.</w:t>
      </w:r>
      <w:r w:rsidR="006D0E2B">
        <w:rPr>
          <w:vertAlign w:val="superscript"/>
        </w:rPr>
        <w:t>8</w:t>
      </w:r>
      <w:r w:rsidRPr="00242F5C">
        <w:t xml:space="preserve"> Patients with fibroblast growth factor receptor (FGFR) </w:t>
      </w:r>
      <w:r w:rsidR="00563B8A" w:rsidRPr="00242F5C">
        <w:t xml:space="preserve">2 or 3 </w:t>
      </w:r>
      <w:r w:rsidRPr="00242F5C">
        <w:t xml:space="preserve">alterations are now also eligible for erdafitinib as </w:t>
      </w:r>
      <w:r w:rsidR="00563B8A" w:rsidRPr="00242F5C">
        <w:t>post-platinum</w:t>
      </w:r>
      <w:r w:rsidRPr="00242F5C">
        <w:t xml:space="preserve"> therapy</w:t>
      </w:r>
      <w:r w:rsidR="004F300C" w:rsidRPr="00242F5C">
        <w:t>.</w:t>
      </w:r>
      <w:r w:rsidR="006D0E2B">
        <w:rPr>
          <w:vertAlign w:val="superscript"/>
        </w:rPr>
        <w:t>9</w:t>
      </w:r>
      <w:r w:rsidRPr="00242F5C">
        <w:t xml:space="preserve"> </w:t>
      </w:r>
      <w:r w:rsidR="004F300C" w:rsidRPr="00242F5C">
        <w:t>R</w:t>
      </w:r>
      <w:r w:rsidRPr="00242F5C">
        <w:t>ecently</w:t>
      </w:r>
      <w:r w:rsidR="004F300C" w:rsidRPr="00242F5C">
        <w:t>,</w:t>
      </w:r>
      <w:r w:rsidRPr="00242F5C">
        <w:t xml:space="preserve"> enfortumab vedotin, an antibody-drug conjugate targeting Nectin-4, was approved in the </w:t>
      </w:r>
      <w:r w:rsidR="004F300C" w:rsidRPr="00242F5C">
        <w:t>post-platinum and post</w:t>
      </w:r>
      <w:r w:rsidR="00676C0A" w:rsidRPr="00242F5C">
        <w:t>-</w:t>
      </w:r>
      <w:r w:rsidR="004F300C" w:rsidRPr="00242F5C">
        <w:t xml:space="preserve">anti-PD-1 or -PD-L1 </w:t>
      </w:r>
      <w:r w:rsidRPr="00242F5C">
        <w:t>setting.</w:t>
      </w:r>
      <w:r w:rsidR="006D0E2B">
        <w:rPr>
          <w:vertAlign w:val="superscript"/>
        </w:rPr>
        <w:t>10</w:t>
      </w:r>
      <w:r w:rsidRPr="00242F5C">
        <w:t xml:space="preserve"> However, despite these vast improvements in the landscape of treatment for mUC, patients who are ineligible for these therapies or who subsequently progress may still be considered for further cytotoxic chemotherapy. Therefore, the </w:t>
      </w:r>
      <w:r w:rsidRPr="00242F5C">
        <w:lastRenderedPageBreak/>
        <w:t>question of optimal subsequent chemotherapy regimen after fPBC remains a clinically relevant one.</w:t>
      </w:r>
    </w:p>
    <w:p w14:paraId="5488DB7B" w14:textId="47AC4E1F" w:rsidR="00FB2754" w:rsidRPr="00242F5C" w:rsidRDefault="00184B5D" w:rsidP="004D20E7">
      <w:pPr>
        <w:keepLines/>
        <w:spacing w:before="160" w:line="480" w:lineRule="auto"/>
        <w:ind w:firstLine="720"/>
      </w:pPr>
      <w:r w:rsidRPr="00242F5C">
        <w:t>To help address this gap in knowledge, we examine</w:t>
      </w:r>
      <w:r w:rsidR="00FF4BC1" w:rsidRPr="00242F5C">
        <w:t>d</w:t>
      </w:r>
      <w:r w:rsidRPr="00242F5C">
        <w:t xml:space="preserve"> differences in outcomes for patients treated with fPBC for mUC who later received subsequent platinum-based chemotherapy (sPBC) </w:t>
      </w:r>
      <w:r w:rsidR="005E6C5D" w:rsidRPr="00242F5C">
        <w:t xml:space="preserve">or </w:t>
      </w:r>
      <w:r w:rsidRPr="00242F5C">
        <w:t xml:space="preserve">subsequent non-platinum-based chemotherapy (sNPBC). We also sought to identify </w:t>
      </w:r>
      <w:r w:rsidR="00FF4BC1" w:rsidRPr="00242F5C">
        <w:t xml:space="preserve">clinical </w:t>
      </w:r>
      <w:r w:rsidRPr="00242F5C">
        <w:t xml:space="preserve">factors </w:t>
      </w:r>
      <w:r w:rsidR="005E6C5D" w:rsidRPr="00242F5C">
        <w:t xml:space="preserve">that were associated </w:t>
      </w:r>
      <w:r w:rsidRPr="00242F5C">
        <w:t xml:space="preserve">with better outcomes with sPBC or sNPBC. </w:t>
      </w:r>
    </w:p>
    <w:p w14:paraId="4FB264A6" w14:textId="77777777" w:rsidR="00FB2754" w:rsidRPr="00242F5C" w:rsidRDefault="00FB2754" w:rsidP="004D20E7">
      <w:pPr>
        <w:keepLines/>
        <w:spacing w:before="160" w:line="480" w:lineRule="auto"/>
      </w:pPr>
    </w:p>
    <w:p w14:paraId="68A21A16" w14:textId="27F802DD" w:rsidR="00FB2754" w:rsidRPr="00242F5C" w:rsidRDefault="00F63670" w:rsidP="004D20E7">
      <w:pPr>
        <w:adjustRightInd w:val="0"/>
        <w:spacing w:before="160" w:line="480" w:lineRule="auto"/>
      </w:pPr>
      <w:r>
        <w:rPr>
          <w:b/>
          <w:bCs/>
        </w:rPr>
        <w:t xml:space="preserve">Materials and </w:t>
      </w:r>
      <w:r w:rsidR="00184B5D" w:rsidRPr="00242F5C">
        <w:rPr>
          <w:b/>
          <w:bCs/>
        </w:rPr>
        <w:t>Methods</w:t>
      </w:r>
    </w:p>
    <w:p w14:paraId="23092FC8" w14:textId="6BB67CFD" w:rsidR="00FB2754" w:rsidRPr="00242F5C" w:rsidRDefault="00184B5D" w:rsidP="004D20E7">
      <w:pPr>
        <w:spacing w:before="160" w:line="480" w:lineRule="auto"/>
        <w:ind w:firstLine="720"/>
      </w:pPr>
      <w:r w:rsidRPr="00242F5C">
        <w:t xml:space="preserve">Data was abstracted from the Retrospective International Study of Cancers of the Urothelium (RISC), comprising 3,025 patients with muscle-invasive or advanced urothelial cancers treated at 28 international centers between 2005 and 2012. Patients were included for </w:t>
      </w:r>
      <w:r w:rsidR="00802F20" w:rsidRPr="00242F5C">
        <w:t xml:space="preserve">this </w:t>
      </w:r>
      <w:r w:rsidRPr="00242F5C">
        <w:t xml:space="preserve">analysis if they had mUC (either at diagnosis or after progression of localized disease), had received fPBC in the metastatic setting, and had received </w:t>
      </w:r>
      <w:r w:rsidRPr="00242F5C">
        <w:rPr>
          <w:color w:val="222222"/>
          <w:shd w:val="clear" w:color="auto" w:fill="FFFFFF"/>
        </w:rPr>
        <w:t xml:space="preserve">≥2 cycles of later-line chemotherapy after fPBC. </w:t>
      </w:r>
      <w:r w:rsidRPr="00242F5C">
        <w:t>Patients who received prior platinum-based chemotherapy in the non-metastatic setting were excluded, as were patients with missing or incomplete data for treatment dates or survival status. Additional exclusion criteria are detailed in Figure 1. The primary endpoint of our study was overall survival (OS), with secondary endpoints including investigator-designated progression-free survival (PFS) and investigator-designated best response to subsequent chemotherapy.</w:t>
      </w:r>
      <w:r w:rsidR="006A6186" w:rsidRPr="00242F5C">
        <w:t xml:space="preserve"> Disease control was defined as having an investigator-designated best response of stable disease, partial response, or complete response.</w:t>
      </w:r>
    </w:p>
    <w:p w14:paraId="0611A21E" w14:textId="3531750C" w:rsidR="00FB2754" w:rsidRPr="00242F5C" w:rsidRDefault="00184B5D" w:rsidP="004D20E7">
      <w:pPr>
        <w:adjustRightInd w:val="0"/>
        <w:spacing w:before="160" w:line="480" w:lineRule="auto"/>
        <w:rPr>
          <w:i/>
          <w:iCs/>
          <w:u w:val="single"/>
        </w:rPr>
      </w:pPr>
      <w:r w:rsidRPr="00242F5C">
        <w:rPr>
          <w:i/>
          <w:iCs/>
          <w:u w:val="single"/>
        </w:rPr>
        <w:t>Statistical Analyses</w:t>
      </w:r>
    </w:p>
    <w:p w14:paraId="34566AB7" w14:textId="728E0038" w:rsidR="00FB2754" w:rsidRPr="00242F5C" w:rsidRDefault="00184B5D" w:rsidP="004D20E7">
      <w:pPr>
        <w:adjustRightInd w:val="0"/>
        <w:spacing w:before="160" w:line="480" w:lineRule="auto"/>
        <w:ind w:firstLine="720"/>
        <w:rPr>
          <w:u w:val="single"/>
          <w:shd w:val="clear" w:color="auto" w:fill="FFFFFF"/>
        </w:rPr>
      </w:pPr>
      <w:r w:rsidRPr="00242F5C">
        <w:lastRenderedPageBreak/>
        <w:t xml:space="preserve">Descriptive statistics, </w:t>
      </w:r>
      <w:r w:rsidRPr="00242F5C">
        <w:rPr>
          <w:color w:val="222222"/>
          <w:shd w:val="clear" w:color="auto" w:fill="FFFFFF"/>
        </w:rPr>
        <w:t>χ</w:t>
      </w:r>
      <w:r w:rsidRPr="00242F5C">
        <w:rPr>
          <w:color w:val="222222"/>
          <w:shd w:val="clear" w:color="auto" w:fill="FFFFFF"/>
          <w:vertAlign w:val="superscript"/>
        </w:rPr>
        <w:t>2</w:t>
      </w:r>
      <w:r w:rsidRPr="00242F5C">
        <w:t xml:space="preserve">, student’s </w:t>
      </w:r>
      <w:r w:rsidRPr="00242F5C">
        <w:rPr>
          <w:i/>
          <w:iCs/>
        </w:rPr>
        <w:t>t</w:t>
      </w:r>
      <w:r w:rsidRPr="00242F5C">
        <w:t>-test, and Mann-Whitney U-test were used to report and compare patient characteristics by sPBC versus sNPBC group. Kaplan-Meier curves for OS and PFS were performed, with time-to-event calculations starting from the first day of the first cycle of sPBC or sNPBC. A multivaria</w:t>
      </w:r>
      <w:r w:rsidR="00980BCA">
        <w:t>ble</w:t>
      </w:r>
      <w:r w:rsidRPr="00242F5C">
        <w:t xml:space="preserve"> Cox proportional hazards model was used to adjust for Eastern Cooperative Oncology Group performance status (ECOG PS), Charlson Comorbidity Index (CCI), presence of liver metastas</w:t>
      </w:r>
      <w:r w:rsidR="00216514">
        <w:t>e</w:t>
      </w:r>
      <w:r w:rsidRPr="00242F5C">
        <w:t xml:space="preserve">s, number of fPBC cycles received, investigator-designated best response to fPBC, and time since completion of fPBC. Hemoglobin and albumin levels were excluded from the multivariable model due to </w:t>
      </w:r>
      <w:r w:rsidR="00153A49" w:rsidRPr="00242F5C">
        <w:t xml:space="preserve">a </w:t>
      </w:r>
      <w:r w:rsidRPr="00242F5C">
        <w:t xml:space="preserve">high proportion of missing values for these parameters. Analyses were performed using SAS (version 9.4, Cary NC). A two-sided p-value of </w:t>
      </w:r>
      <w:r w:rsidRPr="00242F5C">
        <w:rPr>
          <w:shd w:val="clear" w:color="auto" w:fill="FFFFFF"/>
        </w:rPr>
        <w:t xml:space="preserve">≤0.05 was considered statistically significant. </w:t>
      </w:r>
    </w:p>
    <w:p w14:paraId="5F66C7E0" w14:textId="77777777" w:rsidR="00FB2754" w:rsidRPr="00242F5C" w:rsidRDefault="00FB2754" w:rsidP="004D20E7">
      <w:pPr>
        <w:adjustRightInd w:val="0"/>
        <w:spacing w:before="160" w:line="480" w:lineRule="auto"/>
      </w:pPr>
    </w:p>
    <w:p w14:paraId="6E0B9A05" w14:textId="5186AF13" w:rsidR="00FB2754" w:rsidRPr="00242F5C" w:rsidRDefault="00184B5D" w:rsidP="004D20E7">
      <w:pPr>
        <w:adjustRightInd w:val="0"/>
        <w:spacing w:before="160" w:line="480" w:lineRule="auto"/>
      </w:pPr>
      <w:r w:rsidRPr="00242F5C">
        <w:rPr>
          <w:b/>
          <w:bCs/>
        </w:rPr>
        <w:t>Results</w:t>
      </w:r>
    </w:p>
    <w:p w14:paraId="0A5226D7" w14:textId="07E11430" w:rsidR="00FB2754" w:rsidRPr="00242F5C" w:rsidRDefault="00184B5D" w:rsidP="004D20E7">
      <w:pPr>
        <w:adjustRightInd w:val="0"/>
        <w:spacing w:before="160" w:line="480" w:lineRule="auto"/>
        <w:ind w:firstLine="720"/>
      </w:pPr>
      <w:r w:rsidRPr="00242F5C">
        <w:t xml:space="preserve">From 2005 to 2012, a total of 3,025 patients were enrolled in the RISC database. After exclusion criteria were applied, 296 patients were eligible for analysis (Figure 1). 135 were treated with sPBC and 161 patients received sNPBC; the most common sNPBC regimens included taxanes (71.4%), gemcitabine (11.8%), or pemetrexed (5.0%). </w:t>
      </w:r>
    </w:p>
    <w:p w14:paraId="6DA40A44" w14:textId="1B7D6995" w:rsidR="00FB2754" w:rsidRPr="00242F5C" w:rsidRDefault="00184B5D" w:rsidP="004D20E7">
      <w:pPr>
        <w:adjustRightInd w:val="0"/>
        <w:spacing w:before="160" w:line="480" w:lineRule="auto"/>
        <w:ind w:firstLine="720"/>
      </w:pPr>
      <w:r w:rsidRPr="00242F5C">
        <w:t xml:space="preserve">Patient characteristics for the sPBC and sNPBC groups are compared in Table 1. The majority of baseline characteristics were similar between cohorts, including ECOG PS and comorbidity burden as assessed by the CCI. However, for the 251 patients for whom baseline hemoglobin at the start of fPBC was recorded, those who received sPBC tended to have higher baseline hemoglobin values (median 11.9 vs. 11.1 g/dL, p=0.004). Patients who received sPBC also tended to have better responses to fPBC compared to patients who received sNPBC </w:t>
      </w:r>
      <w:r w:rsidRPr="00242F5C">
        <w:lastRenderedPageBreak/>
        <w:t>(p=0.030) and to have experienced longer time between receipt of fPBC and initiation of subsequent chemotherapy (median 4.4 vs. 2.2 months, p=0.010).</w:t>
      </w:r>
    </w:p>
    <w:p w14:paraId="388FFEE0" w14:textId="7B57722A" w:rsidR="00FB2754" w:rsidRPr="00242F5C" w:rsidRDefault="00184B5D" w:rsidP="004D20E7">
      <w:pPr>
        <w:adjustRightInd w:val="0"/>
        <w:spacing w:before="160" w:line="480" w:lineRule="auto"/>
        <w:ind w:firstLine="720"/>
      </w:pPr>
      <w:r w:rsidRPr="00242F5C">
        <w:t>OS curves for patients who received sPBC or sNPBC are displayed in Figure 2. OS was superior for patients receiving sPBC (median 7.9 months) compared to sNPBC (median 5.5 months) in a multivaria</w:t>
      </w:r>
      <w:r w:rsidR="00980BCA">
        <w:t>ble</w:t>
      </w:r>
      <w:r w:rsidRPr="00242F5C">
        <w:t xml:space="preserve"> model adjusting for CCI, ECOG PS, presence of liver metastases, number of fPBC cycles received, best response to fPBC, and time since fPBC (HR 0.72, 95% CI 0.53-0.98, p=0.035) (Table 2). A similar analysis was performed for PFS (Figure 3, Table 2). In the </w:t>
      </w:r>
      <w:r w:rsidR="00980BCA" w:rsidRPr="00242F5C">
        <w:t>multivaria</w:t>
      </w:r>
      <w:r w:rsidR="00980BCA">
        <w:t>ble</w:t>
      </w:r>
      <w:r w:rsidR="00980BCA" w:rsidRPr="00242F5C">
        <w:t xml:space="preserve"> </w:t>
      </w:r>
      <w:r w:rsidRPr="00242F5C">
        <w:t xml:space="preserve">model, there was no statistical difference in PFS for sPBC versus sNPBC (HR 0.83, 95% CI 0.64-1.08, p=0.159). Median PFS was 4.1 and 2.6 months for sPBC and sNPBC, respectively. </w:t>
      </w:r>
    </w:p>
    <w:p w14:paraId="442BCD23" w14:textId="35483DEA" w:rsidR="00FB2754" w:rsidRPr="00242F5C" w:rsidRDefault="00184B5D" w:rsidP="004D20E7">
      <w:pPr>
        <w:adjustRightInd w:val="0"/>
        <w:spacing w:before="160" w:line="480" w:lineRule="auto"/>
        <w:ind w:firstLine="720"/>
      </w:pPr>
      <w:r w:rsidRPr="00242F5C">
        <w:t xml:space="preserve">In terms of </w:t>
      </w:r>
      <w:r w:rsidR="006A6186" w:rsidRPr="00242F5C">
        <w:t>disease control rate with</w:t>
      </w:r>
      <w:r w:rsidRPr="00242F5C">
        <w:t xml:space="preserve"> subsequent chemotherapy, 70 patients (57.4%) who received sPBC achieved </w:t>
      </w:r>
      <w:r w:rsidR="006A6186" w:rsidRPr="00242F5C">
        <w:t>disease control</w:t>
      </w:r>
      <w:r w:rsidRPr="00242F5C">
        <w:t xml:space="preserve"> </w:t>
      </w:r>
      <w:r w:rsidR="006A6186" w:rsidRPr="00242F5C">
        <w:t>compared to</w:t>
      </w:r>
      <w:r w:rsidRPr="00242F5C">
        <w:t xml:space="preserve"> 65 patients (44.8%) who received sNPBC (p=0.041). In the sPBC group, 33 patients (27.0%) achieved stable disease, 29 (23.8%) achieved partial response, and 8 (6.6%) achieved complete response; for sNPBC, 37 (25.5%), 21 (14.5%), and 7 (4.8%) patients achieved stable disease, partial response, and complete response, respectively. </w:t>
      </w:r>
    </w:p>
    <w:p w14:paraId="5595604A" w14:textId="450C9177" w:rsidR="00FB2754" w:rsidRPr="00242F5C" w:rsidRDefault="00184B5D" w:rsidP="004D20E7">
      <w:pPr>
        <w:adjustRightInd w:val="0"/>
        <w:spacing w:before="160" w:line="480" w:lineRule="auto"/>
        <w:ind w:firstLine="720"/>
      </w:pPr>
      <w:r w:rsidRPr="00242F5C">
        <w:t xml:space="preserve">A subgroup analysis was undertaken to compare factors associated with OS </w:t>
      </w:r>
      <w:r w:rsidR="001C7283" w:rsidRPr="00242F5C">
        <w:t xml:space="preserve">(data not shown) </w:t>
      </w:r>
      <w:r w:rsidRPr="00242F5C">
        <w:t>and PFS</w:t>
      </w:r>
      <w:r w:rsidR="00F1428E" w:rsidRPr="00242F5C">
        <w:t xml:space="preserve"> </w:t>
      </w:r>
      <w:r w:rsidR="00526F58" w:rsidRPr="00242F5C">
        <w:t xml:space="preserve">(Table 4) </w:t>
      </w:r>
      <w:r w:rsidR="00103587" w:rsidRPr="00242F5C">
        <w:t>by type of subsequent chemotherapy</w:t>
      </w:r>
      <w:r w:rsidRPr="00242F5C">
        <w:t xml:space="preserve">. There were no unique associations with OS for either the sPBC or sNPBC group. However, for PFS, presence of liver metastases was associated with a higher likelihood of progression in the sPBC group (HR 1.78, 95% CI 1.14-2.79, p=0.011), as was having a best response to fPBC of stable disease as opposed to complete response (HR 2.75, 95% CI 1.32-5.72, p=0.007). For the sNPBC group, higher likelihood of progression was associated with having ECOG PS ≥2 compared to PS 0 (HR 2.03, </w:t>
      </w:r>
      <w:r w:rsidRPr="00242F5C">
        <w:lastRenderedPageBreak/>
        <w:t>95% CI 1.28-3.22, p=0.003), CCI 1 compared to 0 (HR 2.22, 95% CI 1.19-4.14, p=0.013), and a higher number of fPBC cycles (HR 1.21, 95% CI 1.07-1.38, p=0.003).</w:t>
      </w:r>
    </w:p>
    <w:p w14:paraId="7E4DF52E" w14:textId="445DB710" w:rsidR="00F1428E" w:rsidRPr="00242F5C" w:rsidRDefault="00103587" w:rsidP="004D20E7">
      <w:pPr>
        <w:adjustRightInd w:val="0"/>
        <w:spacing w:before="160" w:line="480" w:lineRule="auto"/>
        <w:ind w:firstLine="720"/>
      </w:pPr>
      <w:r w:rsidRPr="00242F5C">
        <w:t>S</w:t>
      </w:r>
      <w:r w:rsidR="00F1428E" w:rsidRPr="00242F5C">
        <w:t xml:space="preserve">ubgroup analysis </w:t>
      </w:r>
      <w:r w:rsidRPr="00242F5C">
        <w:t>was also performed for</w:t>
      </w:r>
      <w:r w:rsidR="00F1428E" w:rsidRPr="00242F5C">
        <w:t xml:space="preserve"> factors associated with achieving </w:t>
      </w:r>
      <w:r w:rsidR="006A6186" w:rsidRPr="00242F5C">
        <w:t>disease control</w:t>
      </w:r>
      <w:r w:rsidR="00F1428E" w:rsidRPr="00242F5C">
        <w:t xml:space="preserve"> with subsequent chemotherapy</w:t>
      </w:r>
      <w:r w:rsidRPr="00242F5C">
        <w:t>.</w:t>
      </w:r>
      <w:r w:rsidR="00F1428E" w:rsidRPr="00242F5C">
        <w:t xml:space="preserve"> </w:t>
      </w:r>
      <w:r w:rsidRPr="00242F5C">
        <w:t>W</w:t>
      </w:r>
      <w:r w:rsidR="00F1428E" w:rsidRPr="00242F5C">
        <w:t xml:space="preserve">ithin the sPBC group, </w:t>
      </w:r>
      <w:r w:rsidRPr="00242F5C">
        <w:t xml:space="preserve">achieving </w:t>
      </w:r>
      <w:r w:rsidR="006A6186" w:rsidRPr="00242F5C">
        <w:t>disease control</w:t>
      </w:r>
      <w:r w:rsidRPr="00242F5C">
        <w:t xml:space="preserve"> with fPBC was associated with a higher likelihood of achieving </w:t>
      </w:r>
      <w:r w:rsidR="006A6186" w:rsidRPr="00242F5C">
        <w:t>disease control</w:t>
      </w:r>
      <w:r w:rsidRPr="00242F5C">
        <w:t xml:space="preserve"> with sPBC; </w:t>
      </w:r>
      <w:r w:rsidR="00F1428E" w:rsidRPr="00242F5C">
        <w:t xml:space="preserve">55 of 87 patients (63.2%) who achieved </w:t>
      </w:r>
      <w:r w:rsidR="006A6186" w:rsidRPr="00242F5C">
        <w:t>disease control</w:t>
      </w:r>
      <w:r w:rsidR="00F1428E" w:rsidRPr="00242F5C">
        <w:t xml:space="preserve"> with fPBC also achieved </w:t>
      </w:r>
      <w:r w:rsidR="006A6186" w:rsidRPr="00242F5C">
        <w:t>disease control</w:t>
      </w:r>
      <w:r w:rsidR="00F1428E" w:rsidRPr="00242F5C">
        <w:t xml:space="preserve"> with sPBC, while only 8 of the 27 patients (29.6%) who did not achieve </w:t>
      </w:r>
      <w:r w:rsidR="006A6186" w:rsidRPr="00242F5C">
        <w:t>disease control</w:t>
      </w:r>
      <w:r w:rsidR="00F1428E" w:rsidRPr="00242F5C">
        <w:t xml:space="preserve"> with fPBC achieved </w:t>
      </w:r>
      <w:r w:rsidR="006A6186" w:rsidRPr="00242F5C">
        <w:t>disease control</w:t>
      </w:r>
      <w:r w:rsidR="00F1428E" w:rsidRPr="00242F5C">
        <w:t xml:space="preserve"> with sPBC (p=0.002). The same association was not seen within the sNPBC group; 44 of 87 patients (50.5%) who achieved </w:t>
      </w:r>
      <w:r w:rsidR="006A6186" w:rsidRPr="00242F5C">
        <w:t>disease control</w:t>
      </w:r>
      <w:r w:rsidR="00F1428E" w:rsidRPr="00242F5C">
        <w:t xml:space="preserve"> with fPBC also achieved </w:t>
      </w:r>
      <w:r w:rsidR="00A13645" w:rsidRPr="00242F5C">
        <w:t xml:space="preserve">disease control </w:t>
      </w:r>
      <w:r w:rsidR="00F1428E" w:rsidRPr="00242F5C">
        <w:t xml:space="preserve">with sNPBC, and 19 of 30 (38.8%) patients who did not achieve </w:t>
      </w:r>
      <w:r w:rsidR="006A6186" w:rsidRPr="00242F5C">
        <w:t>disease control</w:t>
      </w:r>
      <w:r w:rsidR="00F1428E" w:rsidRPr="00242F5C">
        <w:t xml:space="preserve"> with fPBC achieved </w:t>
      </w:r>
      <w:r w:rsidR="006A6186" w:rsidRPr="00242F5C">
        <w:t>disease control</w:t>
      </w:r>
      <w:r w:rsidR="00F1428E" w:rsidRPr="00242F5C">
        <w:t xml:space="preserve"> with SNPBC, a difference which did not reach statistical significance (p=0.185). Achieving </w:t>
      </w:r>
      <w:r w:rsidR="006A6186" w:rsidRPr="00242F5C">
        <w:t>disease control</w:t>
      </w:r>
      <w:r w:rsidR="00F1428E" w:rsidRPr="00242F5C">
        <w:t xml:space="preserve"> with fPBC was also associated with longer time since fPBC for patients who received sPBC (median 6.0 vs. 2.9 months, p=0.008) (Table 3), but not for patients who received sNPBC (median 2.2 vs. 2.6 months, p=0.769). Finally, in the sPBC group, liver metastases were negatively associated with the likelihood of achieving </w:t>
      </w:r>
      <w:r w:rsidR="006A6186" w:rsidRPr="00242F5C">
        <w:t>disease control</w:t>
      </w:r>
      <w:r w:rsidR="00F1428E" w:rsidRPr="00242F5C">
        <w:t xml:space="preserve"> with sPBC; only 14 of 32 patients (43.8%) with liver metastases achieved </w:t>
      </w:r>
      <w:r w:rsidR="006A6186" w:rsidRPr="00242F5C">
        <w:t>disease control</w:t>
      </w:r>
      <w:r w:rsidR="00F1428E" w:rsidRPr="00242F5C">
        <w:t xml:space="preserve"> with sPBC compared to 56 of 88 patients (63.6%) without liver metastases (p=0.038). Again, this association was not significant with patients who received sNPBC (36.2% vs. 49.0% respectively, p=0.147). </w:t>
      </w:r>
    </w:p>
    <w:p w14:paraId="78ABAA04" w14:textId="0FC3F2F4" w:rsidR="00FB2754" w:rsidRPr="00242F5C" w:rsidRDefault="00FB2754" w:rsidP="004D20E7">
      <w:pPr>
        <w:adjustRightInd w:val="0"/>
        <w:spacing w:before="160" w:line="480" w:lineRule="auto"/>
      </w:pPr>
    </w:p>
    <w:p w14:paraId="447EB4B5" w14:textId="03704E55" w:rsidR="00FB2754" w:rsidRPr="00242F5C" w:rsidRDefault="00184B5D" w:rsidP="004D20E7">
      <w:pPr>
        <w:adjustRightInd w:val="0"/>
        <w:spacing w:before="160" w:line="480" w:lineRule="auto"/>
      </w:pPr>
      <w:r w:rsidRPr="00242F5C">
        <w:rPr>
          <w:b/>
          <w:bCs/>
        </w:rPr>
        <w:t>Discussion</w:t>
      </w:r>
    </w:p>
    <w:p w14:paraId="5D29C762" w14:textId="4140BD9C" w:rsidR="00FB2754" w:rsidRPr="00242F5C" w:rsidRDefault="00184B5D" w:rsidP="004D20E7">
      <w:pPr>
        <w:adjustRightInd w:val="0"/>
        <w:spacing w:before="160" w:line="480" w:lineRule="auto"/>
        <w:ind w:firstLine="720"/>
      </w:pPr>
      <w:r w:rsidRPr="00242F5C">
        <w:lastRenderedPageBreak/>
        <w:t xml:space="preserve">In this retrospective study of 296 patients with mUC treated with further chemotherapy after having received fPBC for metastatic disease, OS and investigator-designated best response to subsequent chemotherapy was superior for patients who received sPBC compared to those who received sNPBC. These findings suggest that patients who are fit enough to receive additional platinum-based chemotherapy may indeed benefit more from platinum rechallenge than from receipt of non-platinum-based chemotherapy, particularly if disease response is clinically desirable due to symptom burden. </w:t>
      </w:r>
      <w:r w:rsidR="00FD6CD2">
        <w:t>That being said, median OS was on the order of several months</w:t>
      </w:r>
      <w:r w:rsidR="005A2363">
        <w:t xml:space="preserve"> in both groups</w:t>
      </w:r>
      <w:r w:rsidR="00FD6CD2">
        <w:t>, and even in the sPBC group, disease control rate was only 57.4%.</w:t>
      </w:r>
      <w:r w:rsidR="009D04AD">
        <w:t xml:space="preserve"> </w:t>
      </w:r>
      <w:r w:rsidRPr="00242F5C">
        <w:t xml:space="preserve">Based on our subgroup analysis, achieving </w:t>
      </w:r>
      <w:r w:rsidR="006A6186" w:rsidRPr="00242F5C">
        <w:t>disease control</w:t>
      </w:r>
      <w:r w:rsidRPr="00242F5C">
        <w:t xml:space="preserve"> with platinum rechallenge may be more likely in patients who achieved </w:t>
      </w:r>
      <w:r w:rsidR="006A6186" w:rsidRPr="00242F5C">
        <w:t>disease control</w:t>
      </w:r>
      <w:r w:rsidRPr="00242F5C">
        <w:t xml:space="preserve"> with fPBC (as opposed to progressive disease) and who experienced a longer period of time between receipt of fPBC and initiation of subsequent chemotherapy, supporting clinical intuition that patients who achieve a deeper or more durable response to platinum-based chemotherapy in the first-line setting may also respond better to platinum rechallenge in later lines of therapy. Achieving </w:t>
      </w:r>
      <w:r w:rsidR="006A6186" w:rsidRPr="00242F5C">
        <w:t>disease control</w:t>
      </w:r>
      <w:r w:rsidRPr="00242F5C">
        <w:t xml:space="preserve"> with sPBC was less likely if liver metastas</w:t>
      </w:r>
      <w:r w:rsidR="00216514">
        <w:t>e</w:t>
      </w:r>
      <w:r w:rsidRPr="00242F5C">
        <w:t>s w</w:t>
      </w:r>
      <w:r w:rsidR="00216514">
        <w:t>ere</w:t>
      </w:r>
      <w:r w:rsidRPr="00242F5C">
        <w:t xml:space="preserve"> present, consistent with prior studies reporting visceral metastases as a risk factor associated with lower likelihood of response to platinum-based chemotherapy regimens.</w:t>
      </w:r>
      <w:r w:rsidR="006D0E2B">
        <w:rPr>
          <w:vertAlign w:val="superscript"/>
        </w:rPr>
        <w:t>11-14</w:t>
      </w:r>
      <w:r w:rsidRPr="00242F5C">
        <w:t xml:space="preserve"> In contrast to the sPBC group, patients who received additional non-platinum-based chemotherapy had a higher likelihood of progression with greater ECOG PS and CCI, both indicators of the underlying “fitness” of the patient. In this group, progression was also more likely with a higher number of fPBC cycles received, which could possibly be explained by higher resistance to cytotoxic chemotherapy drugs or greater cumulative toxicity associated with prolonged prior chemotherapy administration.</w:t>
      </w:r>
    </w:p>
    <w:p w14:paraId="793FE400" w14:textId="19C63F69" w:rsidR="00FB2754" w:rsidRPr="00242F5C" w:rsidRDefault="00184B5D" w:rsidP="004D20E7">
      <w:pPr>
        <w:adjustRightInd w:val="0"/>
        <w:spacing w:before="160" w:line="480" w:lineRule="auto"/>
        <w:ind w:firstLine="720"/>
      </w:pPr>
      <w:r w:rsidRPr="00242F5C">
        <w:lastRenderedPageBreak/>
        <w:t>To our knowledge, this study is unique in analyzing outcomes with platinum rechallenge in mUC after receipt of platinum-based combination chemotherapy for first-line treatment in the metastatic setting. Prior studies have examined the use of additional platinum chemotherapy after prior receipt of platinum-based chemotherapy in the non-metastatic setting, given perioperatively for localized disease to patients who ultimately developed advanced urothelial carcinoma</w:t>
      </w:r>
      <w:r w:rsidR="00582996" w:rsidRPr="00242F5C">
        <w:t>, and largely showed that outcomes were better with additional platinum chemotherapy if ≥1 year had passed since receipt of prior platinum in the localized disease setting</w:t>
      </w:r>
      <w:r w:rsidRPr="00242F5C">
        <w:t>.</w:t>
      </w:r>
      <w:r w:rsidRPr="00242F5C">
        <w:rPr>
          <w:vertAlign w:val="superscript"/>
        </w:rPr>
        <w:t>1</w:t>
      </w:r>
      <w:r w:rsidR="006D0E2B">
        <w:rPr>
          <w:vertAlign w:val="superscript"/>
        </w:rPr>
        <w:t>5-17</w:t>
      </w:r>
      <w:r w:rsidRPr="00242F5C">
        <w:t xml:space="preserve"> These findings that longer time since prior platinum was associated with better outcomes after platinum rechallenge is concordant with our results</w:t>
      </w:r>
      <w:r w:rsidR="00B8123F" w:rsidRPr="00242F5C">
        <w:t>.</w:t>
      </w:r>
      <w:r w:rsidRPr="00242F5C">
        <w:t xml:space="preserve"> </w:t>
      </w:r>
      <w:r w:rsidR="00B8123F" w:rsidRPr="00242F5C">
        <w:t>Not surprising</w:t>
      </w:r>
      <w:r w:rsidR="00103587" w:rsidRPr="00242F5C">
        <w:t>ly</w:t>
      </w:r>
      <w:r w:rsidR="00B8123F" w:rsidRPr="00242F5C">
        <w:t xml:space="preserve">, </w:t>
      </w:r>
      <w:r w:rsidRPr="00242F5C">
        <w:t xml:space="preserve">in </w:t>
      </w:r>
      <w:r w:rsidR="00582996" w:rsidRPr="00242F5C">
        <w:t xml:space="preserve">our </w:t>
      </w:r>
      <w:r w:rsidRPr="00242F5C">
        <w:t>study</w:t>
      </w:r>
      <w:r w:rsidR="00B8123F" w:rsidRPr="00242F5C">
        <w:t>,</w:t>
      </w:r>
      <w:r w:rsidRPr="00242F5C">
        <w:t xml:space="preserve"> where fPBC was received by patients for metastatic and not localized disease, median time since prior platinum was much shorter and on the order of a few months. </w:t>
      </w:r>
    </w:p>
    <w:p w14:paraId="7B94D706" w14:textId="3723CE91" w:rsidR="00F63670" w:rsidRDefault="00184B5D" w:rsidP="004D20E7">
      <w:pPr>
        <w:adjustRightInd w:val="0"/>
        <w:spacing w:before="160" w:line="480" w:lineRule="auto"/>
        <w:ind w:firstLine="720"/>
      </w:pPr>
      <w:r w:rsidRPr="00242F5C">
        <w:t>This retrospective</w:t>
      </w:r>
      <w:r w:rsidR="00F75DF1" w:rsidRPr="00242F5C">
        <w:t xml:space="preserve"> and non-randomized</w:t>
      </w:r>
      <w:r w:rsidRPr="00242F5C">
        <w:t xml:space="preserve"> study has several limitations. First, baseline differences between patients almost certainly influenced whether clinicians recommended sPBC versus sNPBC, and so caution must be used when comparing the two groups. </w:t>
      </w:r>
      <w:r w:rsidR="00D748FC" w:rsidRPr="00242F5C">
        <w:t>Although</w:t>
      </w:r>
      <w:r w:rsidRPr="00242F5C">
        <w:t xml:space="preserve"> baseline hemoglobin values were </w:t>
      </w:r>
      <w:r w:rsidR="00D748FC" w:rsidRPr="00242F5C">
        <w:t xml:space="preserve">slightly </w:t>
      </w:r>
      <w:r w:rsidRPr="00242F5C">
        <w:t xml:space="preserve">higher and patients appeared to </w:t>
      </w:r>
      <w:r w:rsidR="00A13645" w:rsidRPr="00242F5C">
        <w:t>have a higher initial disease control rate and time since</w:t>
      </w:r>
      <w:r w:rsidRPr="00242F5C">
        <w:t xml:space="preserve"> fPBC in the sPBC group, performance status and comorbidity burden</w:t>
      </w:r>
      <w:r w:rsidR="00C9372B" w:rsidRPr="00242F5C">
        <w:t>,</w:t>
      </w:r>
      <w:r w:rsidRPr="00242F5C">
        <w:t xml:space="preserve"> as estimated by the CCI</w:t>
      </w:r>
      <w:r w:rsidR="00C9372B" w:rsidRPr="00242F5C">
        <w:t>,</w:t>
      </w:r>
      <w:r w:rsidRPr="00242F5C">
        <w:t xml:space="preserve"> were similar. We were unable to include hemoglobin and albumin levels in our multivaria</w:t>
      </w:r>
      <w:r w:rsidR="00980BCA">
        <w:t>ble</w:t>
      </w:r>
      <w:r w:rsidRPr="00242F5C">
        <w:t xml:space="preserve"> model due to the number of missing values for these parameters in our data, and there may be other factors not accounted for in our model which may be relevant to clinicians and patients selecting their next treatment approach. Nevertheless, despite these confounders, our data does support giving additional platinum-based chemotherapy over non-platinum-based chemotherapy to patients and suggest that the superior activity of platinum agents in urothelial carcinoma supersedes potential concerns that re-exposing patients to </w:t>
      </w:r>
      <w:r w:rsidRPr="00242F5C">
        <w:lastRenderedPageBreak/>
        <w:t>platinum may result in decreased effect the second time around. Next, designations of disease response or progression were investigator-defined without formally mandated criteria such as RECIST 1.1 or standardized criteria for imaging frequency, affecting both recorded best response to therapy and date of progression; unfortunately, this reflects the variability in real-world practice patterns. This study data was collected prior to the advent of FDA-approved immuno-oncology agents, erdafitinib, and enfortumab vedotin for mUC; therefore, though we believe our findings are still helpful to clinicians choosing between sPBC and sNPBC for patients with mUC, patients in the modern era will differ from our study population in that they will have likely received some of these newer agents prior to consideration of subsequent chemotherapy. Finally, though the RISC database includes patients treated at 28 international sites over a number of years, our sample size does limit the power of our analyses, particularly in our multivaria</w:t>
      </w:r>
      <w:r w:rsidR="00980BCA">
        <w:t>ble</w:t>
      </w:r>
      <w:r w:rsidRPr="00242F5C">
        <w:t xml:space="preserve"> model.</w:t>
      </w:r>
    </w:p>
    <w:p w14:paraId="73B85036" w14:textId="77777777" w:rsidR="00C65B10" w:rsidRPr="00242F5C" w:rsidRDefault="00C65B10" w:rsidP="004D20E7">
      <w:pPr>
        <w:adjustRightInd w:val="0"/>
        <w:spacing w:before="160" w:line="480" w:lineRule="auto"/>
        <w:ind w:firstLine="720"/>
      </w:pPr>
    </w:p>
    <w:p w14:paraId="625C3938" w14:textId="20AA9371" w:rsidR="00FB2754" w:rsidRPr="00C65B10" w:rsidRDefault="00184B5D" w:rsidP="004D20E7">
      <w:pPr>
        <w:adjustRightInd w:val="0"/>
        <w:spacing w:before="160" w:line="480" w:lineRule="auto"/>
        <w:rPr>
          <w:b/>
          <w:bCs/>
        </w:rPr>
      </w:pPr>
      <w:r w:rsidRPr="00C65B10">
        <w:rPr>
          <w:b/>
          <w:bCs/>
        </w:rPr>
        <w:t>Conclusion</w:t>
      </w:r>
    </w:p>
    <w:p w14:paraId="19A0D14C" w14:textId="07D700D3" w:rsidR="00C65B10" w:rsidRDefault="00184B5D" w:rsidP="004D20E7">
      <w:pPr>
        <w:adjustRightInd w:val="0"/>
        <w:spacing w:before="160" w:line="480" w:lineRule="auto"/>
        <w:ind w:firstLine="720"/>
      </w:pPr>
      <w:r w:rsidRPr="00242F5C">
        <w:t xml:space="preserve">Patients with mUC who have progressed after treatment with platinum-based combination chemotherapy in the first-line setting now may receive immuno-oncology agents, erdafitinib, or enfortumab vedotin as later-line therapy; however, patients ineligible for these therapies or who progress after receiving them may still be considered for subsequent chemotherapy. In our study, patients who were rechallenged with platinum-based chemotherapy experienced </w:t>
      </w:r>
      <w:r w:rsidR="00D4657B" w:rsidRPr="00242F5C">
        <w:t xml:space="preserve">longer </w:t>
      </w:r>
      <w:r w:rsidRPr="00242F5C">
        <w:t xml:space="preserve">survival and </w:t>
      </w:r>
      <w:r w:rsidR="00A215E8">
        <w:t xml:space="preserve">better </w:t>
      </w:r>
      <w:r w:rsidRPr="00242F5C">
        <w:t xml:space="preserve">disease response than those who received non-platinum-based chemotherapy, suggesting that patients should receive platinum rechallenge if clinically able. Achieving </w:t>
      </w:r>
      <w:r w:rsidR="00A215E8">
        <w:t>disease control with</w:t>
      </w:r>
      <w:r w:rsidRPr="00242F5C">
        <w:t xml:space="preserve"> platinum rechallenge appears more likely when patients </w:t>
      </w:r>
      <w:r w:rsidR="00D4657B" w:rsidRPr="00242F5C">
        <w:lastRenderedPageBreak/>
        <w:t xml:space="preserve">have </w:t>
      </w:r>
      <w:r w:rsidRPr="00242F5C">
        <w:t>achieve</w:t>
      </w:r>
      <w:r w:rsidR="00D4657B" w:rsidRPr="00242F5C">
        <w:t>d</w:t>
      </w:r>
      <w:r w:rsidRPr="00242F5C">
        <w:t xml:space="preserve"> </w:t>
      </w:r>
      <w:r w:rsidR="00A215E8">
        <w:t>disease control with</w:t>
      </w:r>
      <w:r w:rsidRPr="00242F5C">
        <w:t xml:space="preserve"> prior platinum, </w:t>
      </w:r>
      <w:r w:rsidR="00D4657B" w:rsidRPr="00242F5C">
        <w:t xml:space="preserve">have </w:t>
      </w:r>
      <w:r w:rsidRPr="00242F5C">
        <w:t>experience</w:t>
      </w:r>
      <w:r w:rsidR="00D4657B" w:rsidRPr="00242F5C">
        <w:t>d</w:t>
      </w:r>
      <w:r w:rsidRPr="00242F5C">
        <w:t xml:space="preserve"> a longer time since prior platinum, and do not have liver metastases.</w:t>
      </w:r>
    </w:p>
    <w:p w14:paraId="5E4765FC" w14:textId="77777777" w:rsidR="00C65B10" w:rsidRDefault="00C65B10" w:rsidP="004D20E7">
      <w:pPr>
        <w:adjustRightInd w:val="0"/>
        <w:spacing w:before="160" w:line="480" w:lineRule="auto"/>
        <w:ind w:firstLine="720"/>
      </w:pPr>
    </w:p>
    <w:p w14:paraId="4DF3FB5D" w14:textId="74204B63" w:rsidR="00C65B10" w:rsidRDefault="00C65B10" w:rsidP="004D20E7">
      <w:pPr>
        <w:adjustRightInd w:val="0"/>
        <w:spacing w:before="160" w:line="480" w:lineRule="auto"/>
      </w:pPr>
      <w:r w:rsidRPr="00242F5C">
        <w:rPr>
          <w:b/>
          <w:bCs/>
        </w:rPr>
        <w:t xml:space="preserve">Acknowledgements: </w:t>
      </w:r>
      <w:r w:rsidRPr="00242F5C">
        <w:t>None.</w:t>
      </w:r>
    </w:p>
    <w:p w14:paraId="70209BDF" w14:textId="77777777" w:rsidR="00C65B10" w:rsidRPr="00C65B10" w:rsidRDefault="00C65B10" w:rsidP="004D20E7">
      <w:pPr>
        <w:adjustRightInd w:val="0"/>
        <w:spacing w:before="160" w:line="480" w:lineRule="auto"/>
      </w:pPr>
      <w:r w:rsidRPr="00C65B10">
        <w:rPr>
          <w:b/>
          <w:bCs/>
        </w:rPr>
        <w:t xml:space="preserve">Conflict of Interest Disclosures: </w:t>
      </w:r>
      <w:r w:rsidRPr="00C65B10">
        <w:t>Jorge D. Ramos reports personal fees from Seagen. Simon J. Crabb reports grants from Astex and Clovis Oncology; personal fees from Astellas, Bayer, Janssen-Cilag, MSD, and Roche; and grants and personal fees from AstraZeneca. Ugo De Giorgi reports grants from AstraZeneca; personal fees from Astellas, Bayer, MSD, Novartis, and Pharmamar; grants and personal fees from Sanofi; grants and non-financial support from Roche; and personal fees and non-financial support from Bristol-Myers Squibb, Ipsen, Janssen-Cilag, and Pfizer. Lauren C. Harshman reports grants from Dendreon/Valeant, Janssen, Medivation/Astellas, SOTIO, and Takeda; personal fees from EMD Serono, Exelixis, Jounce, Michael J. Hennessy Associates, Novartis, Ology Medical Education, and Surface Oncology; grants and personal fees from Bristol-Myers Squibb, Corvus, Endocyte, Genentech, Merck, and Pfizer; and grants, personal fees, and other from Bayer and Genentech. Ulka N. Vaishampayan reports personal fees from Aveo, Bayer, Pfizer, and Sanofi; and grants and personal fees from Alkermes, Bristol-Myers Squibb, Exelixis, and Merck. Guenter Niegisch reports personal fees from Bristol-Myers Squibb, EMD Serono, Medac GmbH, Roche, and Sanofi-Aventis. Tanya B. Dorff reports personal fees from Seagen. Evan Y. Yu reports grants from Daiichi-Sankyo, Taiho, and Blue Earth; personal fees from Abbvie, Amgen, AstraZeneca, Clovis, Exelixis, Janssen, QED, and Sanofi; and grants and personal fees from Bayer, Dendreon, Merck, Pharmacyclics, Seagen, and Advanced Accelerator Applications. The other authors made no disclosures.</w:t>
      </w:r>
    </w:p>
    <w:p w14:paraId="16FD8B57" w14:textId="15F902D0" w:rsidR="00C65B10" w:rsidRDefault="00C65B10" w:rsidP="004D20E7">
      <w:pPr>
        <w:spacing w:line="480" w:lineRule="auto"/>
        <w:rPr>
          <w:b/>
          <w:bCs/>
        </w:rPr>
      </w:pPr>
    </w:p>
    <w:p w14:paraId="4025D8D4" w14:textId="212B58E2" w:rsidR="00FB2754" w:rsidRPr="00242F5C" w:rsidRDefault="00184B5D" w:rsidP="004D20E7">
      <w:pPr>
        <w:adjustRightInd w:val="0"/>
        <w:spacing w:before="160" w:line="480" w:lineRule="auto"/>
      </w:pPr>
      <w:r w:rsidRPr="00242F5C">
        <w:rPr>
          <w:b/>
          <w:bCs/>
        </w:rPr>
        <w:lastRenderedPageBreak/>
        <w:t>References</w:t>
      </w:r>
    </w:p>
    <w:p w14:paraId="42FE95CC" w14:textId="3A0AFFE2" w:rsidR="007A610F" w:rsidRPr="00590F4E" w:rsidRDefault="00184B5D" w:rsidP="004D20E7">
      <w:pPr>
        <w:widowControl w:val="0"/>
        <w:autoSpaceDE w:val="0"/>
        <w:autoSpaceDN w:val="0"/>
        <w:adjustRightInd w:val="0"/>
        <w:spacing w:before="160" w:line="480" w:lineRule="auto"/>
        <w:ind w:left="640" w:hanging="640"/>
        <w:rPr>
          <w:noProof/>
        </w:rPr>
      </w:pPr>
      <w:r w:rsidRPr="00242F5C">
        <w:rPr>
          <w:noProof/>
        </w:rPr>
        <w:t xml:space="preserve">1. </w:t>
      </w:r>
      <w:r w:rsidRPr="00242F5C">
        <w:rPr>
          <w:noProof/>
        </w:rPr>
        <w:tab/>
      </w:r>
      <w:r w:rsidR="00A06F21">
        <w:rPr>
          <w:noProof/>
        </w:rPr>
        <w:t xml:space="preserve">National Comprehensive Cancer Network. </w:t>
      </w:r>
      <w:r w:rsidR="00590F4E">
        <w:rPr>
          <w:noProof/>
        </w:rPr>
        <w:t xml:space="preserve">Bladder Cancer (Version 2.2021). </w:t>
      </w:r>
      <w:r w:rsidR="00590F4E" w:rsidRPr="00590F4E">
        <w:rPr>
          <w:noProof/>
        </w:rPr>
        <w:t>https://www.nccn.org/professionals/physician_gls/PDF/bladder.pdf</w:t>
      </w:r>
      <w:r w:rsidR="00590F4E">
        <w:rPr>
          <w:noProof/>
        </w:rPr>
        <w:t>. Accessed March 31, 2021.</w:t>
      </w:r>
    </w:p>
    <w:p w14:paraId="08072332" w14:textId="48C20F4A" w:rsidR="00FB2754" w:rsidRPr="00242F5C" w:rsidRDefault="00590F4E" w:rsidP="004D20E7">
      <w:pPr>
        <w:widowControl w:val="0"/>
        <w:autoSpaceDE w:val="0"/>
        <w:autoSpaceDN w:val="0"/>
        <w:adjustRightInd w:val="0"/>
        <w:spacing w:before="160" w:line="480" w:lineRule="auto"/>
        <w:ind w:left="640" w:hanging="640"/>
        <w:rPr>
          <w:noProof/>
        </w:rPr>
      </w:pPr>
      <w:r>
        <w:rPr>
          <w:noProof/>
        </w:rPr>
        <w:t>2</w:t>
      </w:r>
      <w:r w:rsidR="00184B5D" w:rsidRPr="00242F5C">
        <w:rPr>
          <w:noProof/>
        </w:rPr>
        <w:t>.</w:t>
      </w:r>
      <w:r w:rsidR="00184B5D" w:rsidRPr="00242F5C">
        <w:rPr>
          <w:noProof/>
        </w:rPr>
        <w:tab/>
        <w:t xml:space="preserve">Raggi D, Miceli R, Sonpavde G, et al. Second-line single-agent versus doublet chemotherapy as salvage therapy for metastatic urothelial cancer: a systematic review and meta-analysis. </w:t>
      </w:r>
      <w:r w:rsidR="00184B5D" w:rsidRPr="00242F5C">
        <w:rPr>
          <w:i/>
          <w:iCs/>
          <w:noProof/>
        </w:rPr>
        <w:t>Ann Oncol.</w:t>
      </w:r>
      <w:r w:rsidR="00184B5D" w:rsidRPr="00242F5C">
        <w:rPr>
          <w:noProof/>
        </w:rPr>
        <w:t xml:space="preserve"> 2016;27(1):49-61.</w:t>
      </w:r>
    </w:p>
    <w:p w14:paraId="5FB600AA" w14:textId="4DDE9B76" w:rsidR="00FB2754" w:rsidRPr="00242F5C" w:rsidRDefault="00590F4E" w:rsidP="004D20E7">
      <w:pPr>
        <w:widowControl w:val="0"/>
        <w:autoSpaceDE w:val="0"/>
        <w:autoSpaceDN w:val="0"/>
        <w:adjustRightInd w:val="0"/>
        <w:spacing w:before="160" w:line="480" w:lineRule="auto"/>
        <w:ind w:left="640" w:hanging="640"/>
        <w:rPr>
          <w:b/>
          <w:bCs/>
          <w:noProof/>
        </w:rPr>
      </w:pPr>
      <w:r>
        <w:rPr>
          <w:noProof/>
        </w:rPr>
        <w:t>3.</w:t>
      </w:r>
      <w:r w:rsidR="00184B5D" w:rsidRPr="00242F5C">
        <w:rPr>
          <w:noProof/>
        </w:rPr>
        <w:tab/>
        <w:t xml:space="preserve">Sonpavde G, Pond GR, Fougeray R, et al. Time from prior chemotherapy enhances prognostic risk grouping in the second-line setting of advanced urothelial carcinoma: a retrospective analysis of pooled, prospective phase 2 trials. </w:t>
      </w:r>
      <w:r w:rsidR="00184B5D" w:rsidRPr="00242F5C">
        <w:rPr>
          <w:i/>
          <w:iCs/>
          <w:noProof/>
        </w:rPr>
        <w:t>Eur Urol</w:t>
      </w:r>
      <w:r w:rsidR="00184B5D" w:rsidRPr="00242F5C">
        <w:rPr>
          <w:noProof/>
        </w:rPr>
        <w:t xml:space="preserve">. 2013;63(4):717-723. </w:t>
      </w:r>
    </w:p>
    <w:p w14:paraId="7554BDCC" w14:textId="21C5287A" w:rsidR="00FB2754" w:rsidRPr="00242F5C" w:rsidRDefault="00590F4E" w:rsidP="004D20E7">
      <w:pPr>
        <w:widowControl w:val="0"/>
        <w:autoSpaceDE w:val="0"/>
        <w:autoSpaceDN w:val="0"/>
        <w:adjustRightInd w:val="0"/>
        <w:spacing w:before="160" w:line="480" w:lineRule="auto"/>
        <w:ind w:left="640" w:hanging="640"/>
        <w:rPr>
          <w:noProof/>
        </w:rPr>
      </w:pPr>
      <w:r>
        <w:rPr>
          <w:noProof/>
        </w:rPr>
        <w:t>4</w:t>
      </w:r>
      <w:r w:rsidR="00184B5D" w:rsidRPr="00242F5C">
        <w:rPr>
          <w:noProof/>
        </w:rPr>
        <w:t>.</w:t>
      </w:r>
      <w:r w:rsidR="00184B5D" w:rsidRPr="00242F5C">
        <w:rPr>
          <w:noProof/>
        </w:rPr>
        <w:tab/>
        <w:t xml:space="preserve">Sonpavde G, Pond GR, Rosenberg JE, et al. Improved 5-factor prognostic classification of patients receiving salvage systemic therapy for advanced urothelial carcinoma. </w:t>
      </w:r>
      <w:r w:rsidR="00184B5D" w:rsidRPr="00242F5C">
        <w:rPr>
          <w:i/>
          <w:iCs/>
          <w:noProof/>
        </w:rPr>
        <w:t>J Urol.</w:t>
      </w:r>
      <w:r w:rsidR="00184B5D" w:rsidRPr="00242F5C">
        <w:rPr>
          <w:noProof/>
        </w:rPr>
        <w:t xml:space="preserve"> 2016;195(2):277-282.</w:t>
      </w:r>
    </w:p>
    <w:p w14:paraId="347CF330" w14:textId="79BAF280" w:rsidR="00FB2754" w:rsidRPr="00242F5C" w:rsidRDefault="00590F4E" w:rsidP="004D20E7">
      <w:pPr>
        <w:widowControl w:val="0"/>
        <w:autoSpaceDE w:val="0"/>
        <w:autoSpaceDN w:val="0"/>
        <w:adjustRightInd w:val="0"/>
        <w:spacing w:before="160" w:line="480" w:lineRule="auto"/>
        <w:ind w:left="640" w:hanging="640"/>
        <w:rPr>
          <w:noProof/>
        </w:rPr>
      </w:pPr>
      <w:r>
        <w:rPr>
          <w:noProof/>
        </w:rPr>
        <w:t>5</w:t>
      </w:r>
      <w:r w:rsidR="00184B5D" w:rsidRPr="00242F5C">
        <w:rPr>
          <w:noProof/>
        </w:rPr>
        <w:t xml:space="preserve">. </w:t>
      </w:r>
      <w:r w:rsidR="00184B5D" w:rsidRPr="00242F5C">
        <w:rPr>
          <w:noProof/>
        </w:rPr>
        <w:tab/>
        <w:t xml:space="preserve">Kim HS, Seo HK. Immune checkpoint inhibitors for urothelial carcinoma. </w:t>
      </w:r>
      <w:r w:rsidR="00184B5D" w:rsidRPr="00242F5C">
        <w:rPr>
          <w:i/>
          <w:iCs/>
          <w:noProof/>
        </w:rPr>
        <w:t>Investig Clin Urol</w:t>
      </w:r>
      <w:r w:rsidR="00184B5D" w:rsidRPr="00242F5C">
        <w:rPr>
          <w:noProof/>
        </w:rPr>
        <w:t xml:space="preserve">. 2018;59(5):285-296. </w:t>
      </w:r>
    </w:p>
    <w:p w14:paraId="388A4936" w14:textId="63C53BA2" w:rsidR="00FB2754" w:rsidRPr="00242F5C" w:rsidRDefault="00590F4E" w:rsidP="004D20E7">
      <w:pPr>
        <w:widowControl w:val="0"/>
        <w:autoSpaceDE w:val="0"/>
        <w:autoSpaceDN w:val="0"/>
        <w:adjustRightInd w:val="0"/>
        <w:spacing w:before="160" w:line="480" w:lineRule="auto"/>
        <w:ind w:left="640" w:hanging="640"/>
        <w:rPr>
          <w:noProof/>
        </w:rPr>
      </w:pPr>
      <w:r>
        <w:rPr>
          <w:noProof/>
        </w:rPr>
        <w:t>6</w:t>
      </w:r>
      <w:r w:rsidR="00184B5D" w:rsidRPr="00242F5C">
        <w:rPr>
          <w:noProof/>
        </w:rPr>
        <w:t xml:space="preserve">. </w:t>
      </w:r>
      <w:r w:rsidR="00184B5D" w:rsidRPr="00242F5C">
        <w:rPr>
          <w:noProof/>
        </w:rPr>
        <w:tab/>
        <w:t xml:space="preserve">Ramos JD, Yu EY. Immuno-oncology in urothelial carcinoma: who or what will ultimately sit on the iron throne? </w:t>
      </w:r>
      <w:r w:rsidR="00184B5D" w:rsidRPr="00242F5C">
        <w:rPr>
          <w:i/>
          <w:iCs/>
          <w:noProof/>
        </w:rPr>
        <w:t>Immunotherapy</w:t>
      </w:r>
      <w:r w:rsidR="00184B5D" w:rsidRPr="00242F5C">
        <w:rPr>
          <w:noProof/>
        </w:rPr>
        <w:t xml:space="preserve">. 2017;9(12):951-954. </w:t>
      </w:r>
    </w:p>
    <w:p w14:paraId="2C276F1D" w14:textId="7734ECC4" w:rsidR="00FB2754" w:rsidRPr="00242F5C" w:rsidRDefault="00590F4E" w:rsidP="004D20E7">
      <w:pPr>
        <w:widowControl w:val="0"/>
        <w:autoSpaceDE w:val="0"/>
        <w:autoSpaceDN w:val="0"/>
        <w:adjustRightInd w:val="0"/>
        <w:spacing w:before="160" w:line="480" w:lineRule="auto"/>
        <w:ind w:left="640" w:hanging="640"/>
        <w:rPr>
          <w:noProof/>
        </w:rPr>
      </w:pPr>
      <w:r>
        <w:rPr>
          <w:noProof/>
        </w:rPr>
        <w:t>7</w:t>
      </w:r>
      <w:r w:rsidR="00184B5D" w:rsidRPr="00242F5C">
        <w:rPr>
          <w:noProof/>
        </w:rPr>
        <w:t xml:space="preserve">. </w:t>
      </w:r>
      <w:r w:rsidR="00184B5D" w:rsidRPr="00242F5C">
        <w:rPr>
          <w:noProof/>
        </w:rPr>
        <w:tab/>
        <w:t xml:space="preserve">Bellmunt J, de Wit R, Vaughn DJ, et al. Pembrolizumab as second-line therapy for advanced urothelial carcinoma. </w:t>
      </w:r>
      <w:r w:rsidR="00184B5D" w:rsidRPr="00242F5C">
        <w:rPr>
          <w:i/>
          <w:iCs/>
          <w:noProof/>
        </w:rPr>
        <w:t>N Engl J Med</w:t>
      </w:r>
      <w:r w:rsidR="00184B5D" w:rsidRPr="00242F5C">
        <w:rPr>
          <w:noProof/>
        </w:rPr>
        <w:t xml:space="preserve">. 2017;376(11):1015-1026. </w:t>
      </w:r>
    </w:p>
    <w:p w14:paraId="5901C9EC" w14:textId="7E7903BC" w:rsidR="00572C0D" w:rsidRPr="00242F5C" w:rsidRDefault="00590F4E" w:rsidP="004D20E7">
      <w:pPr>
        <w:widowControl w:val="0"/>
        <w:autoSpaceDE w:val="0"/>
        <w:autoSpaceDN w:val="0"/>
        <w:adjustRightInd w:val="0"/>
        <w:spacing w:before="160" w:line="480" w:lineRule="auto"/>
        <w:ind w:left="640" w:hanging="640"/>
        <w:rPr>
          <w:noProof/>
        </w:rPr>
      </w:pPr>
      <w:r>
        <w:rPr>
          <w:noProof/>
        </w:rPr>
        <w:t>8</w:t>
      </w:r>
      <w:r w:rsidR="00572C0D" w:rsidRPr="00242F5C">
        <w:rPr>
          <w:noProof/>
        </w:rPr>
        <w:t>.</w:t>
      </w:r>
      <w:r w:rsidR="00572C0D" w:rsidRPr="00242F5C">
        <w:rPr>
          <w:noProof/>
        </w:rPr>
        <w:tab/>
        <w:t xml:space="preserve">Powles T, Park SH, Voog E, et al. Avelumab maintenance therapy for advanced or metastastic urothelial carcinoma. </w:t>
      </w:r>
      <w:r w:rsidR="00572C0D" w:rsidRPr="00242F5C">
        <w:rPr>
          <w:i/>
          <w:iCs/>
          <w:noProof/>
        </w:rPr>
        <w:t>N Engl J Med</w:t>
      </w:r>
      <w:r w:rsidR="00572C0D" w:rsidRPr="00242F5C">
        <w:rPr>
          <w:noProof/>
        </w:rPr>
        <w:t>. 2020;383:1218-1230.</w:t>
      </w:r>
    </w:p>
    <w:p w14:paraId="7FDE84D9" w14:textId="75EE81CB" w:rsidR="00FB2754" w:rsidRPr="00242F5C" w:rsidRDefault="00590F4E" w:rsidP="004D20E7">
      <w:pPr>
        <w:widowControl w:val="0"/>
        <w:autoSpaceDE w:val="0"/>
        <w:autoSpaceDN w:val="0"/>
        <w:adjustRightInd w:val="0"/>
        <w:spacing w:before="160" w:line="480" w:lineRule="auto"/>
        <w:ind w:left="640" w:hanging="640"/>
        <w:rPr>
          <w:noProof/>
        </w:rPr>
      </w:pPr>
      <w:r>
        <w:rPr>
          <w:noProof/>
        </w:rPr>
        <w:lastRenderedPageBreak/>
        <w:t>9</w:t>
      </w:r>
      <w:r w:rsidR="00184B5D" w:rsidRPr="00242F5C">
        <w:rPr>
          <w:noProof/>
        </w:rPr>
        <w:t xml:space="preserve">. </w:t>
      </w:r>
      <w:r w:rsidR="00184B5D" w:rsidRPr="00242F5C">
        <w:rPr>
          <w:noProof/>
        </w:rPr>
        <w:tab/>
        <w:t xml:space="preserve">Loriot Y, Necchi A, Park SH, et al. Erdafitinib in locally advanced or metastatic urothelial Carcinoma. </w:t>
      </w:r>
      <w:r w:rsidR="00184B5D" w:rsidRPr="00242F5C">
        <w:rPr>
          <w:i/>
          <w:iCs/>
          <w:noProof/>
        </w:rPr>
        <w:t>N Engl J Med</w:t>
      </w:r>
      <w:r w:rsidR="00184B5D" w:rsidRPr="00242F5C">
        <w:rPr>
          <w:noProof/>
        </w:rPr>
        <w:t xml:space="preserve">. 2019;381(4):338-348. </w:t>
      </w:r>
    </w:p>
    <w:p w14:paraId="169B6674" w14:textId="2E5EB770" w:rsidR="00FB2754" w:rsidRDefault="00572C0D" w:rsidP="004D20E7">
      <w:pPr>
        <w:widowControl w:val="0"/>
        <w:autoSpaceDE w:val="0"/>
        <w:autoSpaceDN w:val="0"/>
        <w:adjustRightInd w:val="0"/>
        <w:spacing w:before="160" w:line="480" w:lineRule="auto"/>
        <w:ind w:left="640" w:hanging="640"/>
        <w:rPr>
          <w:noProof/>
        </w:rPr>
      </w:pPr>
      <w:r w:rsidRPr="00242F5C">
        <w:rPr>
          <w:noProof/>
        </w:rPr>
        <w:t>1</w:t>
      </w:r>
      <w:r w:rsidR="00590F4E">
        <w:rPr>
          <w:noProof/>
        </w:rPr>
        <w:t>0</w:t>
      </w:r>
      <w:r w:rsidR="00184B5D" w:rsidRPr="00242F5C">
        <w:rPr>
          <w:noProof/>
        </w:rPr>
        <w:t xml:space="preserve">. </w:t>
      </w:r>
      <w:r w:rsidR="00184B5D" w:rsidRPr="00242F5C">
        <w:rPr>
          <w:noProof/>
        </w:rPr>
        <w:tab/>
        <w:t xml:space="preserve">Rosenberg JE, O’Donnell PH, Balar AV, et al. Pivotal trial of enfortumab vedotin in urothelial carcinoma after platinum and anti-programmed death 1/programmed death ligand 1 therapy. </w:t>
      </w:r>
      <w:r w:rsidR="00184B5D" w:rsidRPr="00242F5C">
        <w:rPr>
          <w:i/>
          <w:iCs/>
          <w:noProof/>
        </w:rPr>
        <w:t>J Clin Oncol</w:t>
      </w:r>
      <w:r w:rsidR="00184B5D" w:rsidRPr="00242F5C">
        <w:rPr>
          <w:noProof/>
        </w:rPr>
        <w:t xml:space="preserve">. 2019;37(29):2592-2600. </w:t>
      </w:r>
    </w:p>
    <w:p w14:paraId="02B01AD5" w14:textId="2B3C710B" w:rsidR="006D0E2B" w:rsidRPr="00242F5C" w:rsidRDefault="006D0E2B" w:rsidP="004D20E7">
      <w:pPr>
        <w:widowControl w:val="0"/>
        <w:autoSpaceDE w:val="0"/>
        <w:autoSpaceDN w:val="0"/>
        <w:adjustRightInd w:val="0"/>
        <w:spacing w:before="160" w:line="480" w:lineRule="auto"/>
        <w:ind w:left="640" w:hanging="640"/>
        <w:rPr>
          <w:noProof/>
        </w:rPr>
      </w:pPr>
      <w:r>
        <w:rPr>
          <w:noProof/>
        </w:rPr>
        <w:t>11</w:t>
      </w:r>
      <w:r w:rsidRPr="006D0E2B">
        <w:rPr>
          <w:noProof/>
        </w:rPr>
        <w:t xml:space="preserve">. </w:t>
      </w:r>
      <w:r w:rsidRPr="006D0E2B">
        <w:rPr>
          <w:noProof/>
        </w:rPr>
        <w:tab/>
        <w:t xml:space="preserve">Von Der Maase H, Sengelov L, Roberts JT, et al. Long-term survival results of a randomized trial comparing gemcitabine plus cisplatin, with methotrexate, vinblastine, doxorubicin, plus cisplatin in patients with bladder cancer. </w:t>
      </w:r>
      <w:r w:rsidRPr="006D0E2B">
        <w:rPr>
          <w:i/>
          <w:iCs/>
          <w:noProof/>
        </w:rPr>
        <w:t>J Clin Oncol</w:t>
      </w:r>
      <w:r w:rsidRPr="006D0E2B">
        <w:rPr>
          <w:noProof/>
        </w:rPr>
        <w:t xml:space="preserve">. 2005;23(21):4602-4608. </w:t>
      </w:r>
    </w:p>
    <w:p w14:paraId="04C584EE" w14:textId="77521DBB" w:rsidR="00FB2754" w:rsidRPr="00242F5C" w:rsidRDefault="00572C0D" w:rsidP="004D20E7">
      <w:pPr>
        <w:widowControl w:val="0"/>
        <w:autoSpaceDE w:val="0"/>
        <w:autoSpaceDN w:val="0"/>
        <w:adjustRightInd w:val="0"/>
        <w:spacing w:before="160" w:line="480" w:lineRule="auto"/>
        <w:ind w:left="640" w:hanging="640"/>
        <w:rPr>
          <w:noProof/>
        </w:rPr>
      </w:pPr>
      <w:r w:rsidRPr="00242F5C">
        <w:rPr>
          <w:noProof/>
        </w:rPr>
        <w:t>1</w:t>
      </w:r>
      <w:r w:rsidR="006D0E2B">
        <w:rPr>
          <w:noProof/>
        </w:rPr>
        <w:t>2</w:t>
      </w:r>
      <w:r w:rsidR="00184B5D" w:rsidRPr="00242F5C">
        <w:rPr>
          <w:noProof/>
        </w:rPr>
        <w:t xml:space="preserve">. </w:t>
      </w:r>
      <w:r w:rsidR="00184B5D" w:rsidRPr="00242F5C">
        <w:rPr>
          <w:noProof/>
        </w:rPr>
        <w:tab/>
        <w:t xml:space="preserve">Bellmunt J, Choueiri TK, Fougeray R, et al. Prognostic factors in patients with advanced transitional cell carcinoma of the urothelial tract experiencing treatment failure with platinum-containing regimens. </w:t>
      </w:r>
      <w:r w:rsidR="00184B5D" w:rsidRPr="00242F5C">
        <w:rPr>
          <w:i/>
          <w:iCs/>
          <w:noProof/>
        </w:rPr>
        <w:t>J Clin Oncol</w:t>
      </w:r>
      <w:r w:rsidR="00184B5D" w:rsidRPr="00242F5C">
        <w:rPr>
          <w:noProof/>
        </w:rPr>
        <w:t xml:space="preserve">. 2010;28(11):1850-1855. </w:t>
      </w:r>
    </w:p>
    <w:p w14:paraId="1AAC1D3B" w14:textId="7F663E90" w:rsidR="00FB2754" w:rsidRPr="00242F5C" w:rsidRDefault="00572C0D" w:rsidP="004D20E7">
      <w:pPr>
        <w:widowControl w:val="0"/>
        <w:autoSpaceDE w:val="0"/>
        <w:autoSpaceDN w:val="0"/>
        <w:adjustRightInd w:val="0"/>
        <w:spacing w:before="160" w:line="480" w:lineRule="auto"/>
        <w:ind w:left="640" w:hanging="640"/>
        <w:rPr>
          <w:noProof/>
        </w:rPr>
      </w:pPr>
      <w:r w:rsidRPr="00242F5C">
        <w:rPr>
          <w:noProof/>
        </w:rPr>
        <w:t>1</w:t>
      </w:r>
      <w:r w:rsidR="006D0E2B">
        <w:rPr>
          <w:noProof/>
        </w:rPr>
        <w:t>3</w:t>
      </w:r>
      <w:r w:rsidR="00184B5D" w:rsidRPr="00242F5C">
        <w:rPr>
          <w:noProof/>
        </w:rPr>
        <w:t>.</w:t>
      </w:r>
      <w:r w:rsidR="00184B5D" w:rsidRPr="00242F5C">
        <w:rPr>
          <w:noProof/>
        </w:rPr>
        <w:tab/>
        <w:t xml:space="preserve">Lin CC, Hsu CH, Huang CY, et al. Prognostic factors for metastatic urothelial carcinoma treated with cisplatin and 5-fluorouracil-based regimens. </w:t>
      </w:r>
      <w:r w:rsidR="00184B5D" w:rsidRPr="00242F5C">
        <w:rPr>
          <w:i/>
          <w:iCs/>
          <w:noProof/>
        </w:rPr>
        <w:t xml:space="preserve">Urology. </w:t>
      </w:r>
      <w:r w:rsidR="00184B5D" w:rsidRPr="00242F5C">
        <w:rPr>
          <w:noProof/>
        </w:rPr>
        <w:t xml:space="preserve">2007;69(3):479-484. </w:t>
      </w:r>
    </w:p>
    <w:p w14:paraId="0353130D" w14:textId="4640ABC8" w:rsidR="00FB2754" w:rsidRPr="00242F5C" w:rsidRDefault="00572C0D" w:rsidP="004D20E7">
      <w:pPr>
        <w:widowControl w:val="0"/>
        <w:autoSpaceDE w:val="0"/>
        <w:autoSpaceDN w:val="0"/>
        <w:adjustRightInd w:val="0"/>
        <w:spacing w:before="160" w:line="480" w:lineRule="auto"/>
        <w:ind w:left="630" w:hanging="630"/>
      </w:pPr>
      <w:r w:rsidRPr="00242F5C">
        <w:t>1</w:t>
      </w:r>
      <w:r w:rsidR="006D0E2B">
        <w:t>4</w:t>
      </w:r>
      <w:r w:rsidR="00184B5D" w:rsidRPr="00242F5C">
        <w:t>.</w:t>
      </w:r>
      <w:r w:rsidR="00184B5D" w:rsidRPr="00242F5C">
        <w:tab/>
        <w:t xml:space="preserve">Bajorin DF, Dodd PM, Mazumdar M, et al. Long-term survival in metastatic transitional-cell carcinoma and prognostic factors predicting outcome of therapy. </w:t>
      </w:r>
      <w:r w:rsidR="00184B5D" w:rsidRPr="00242F5C">
        <w:rPr>
          <w:i/>
          <w:iCs/>
        </w:rPr>
        <w:t>J Clin Oncol.</w:t>
      </w:r>
      <w:r w:rsidR="00184B5D" w:rsidRPr="00242F5C">
        <w:t xml:space="preserve"> 1999;17(10):3173-3181.</w:t>
      </w:r>
    </w:p>
    <w:p w14:paraId="6A9EBEA4" w14:textId="0D6DBA66" w:rsidR="00FB2754" w:rsidRPr="00242F5C" w:rsidRDefault="008140F9" w:rsidP="004D20E7">
      <w:pPr>
        <w:widowControl w:val="0"/>
        <w:autoSpaceDE w:val="0"/>
        <w:autoSpaceDN w:val="0"/>
        <w:adjustRightInd w:val="0"/>
        <w:spacing w:before="160" w:line="480" w:lineRule="auto"/>
        <w:ind w:left="630" w:hanging="630"/>
      </w:pPr>
      <w:r w:rsidRPr="00242F5C">
        <w:t>1</w:t>
      </w:r>
      <w:r w:rsidR="006D0E2B">
        <w:t>5</w:t>
      </w:r>
      <w:r w:rsidR="00184B5D" w:rsidRPr="00242F5C">
        <w:t>.</w:t>
      </w:r>
      <w:r w:rsidR="00184B5D" w:rsidRPr="00242F5C">
        <w:tab/>
        <w:t xml:space="preserve">Do OA, Ferris LA, Holt SK, et al. Treatment of metastatic urothelial carcinoma after previous cisplatin-based chemotherapy for localized disease: a retrospective comparison of different chemotherapy regimens. </w:t>
      </w:r>
      <w:r w:rsidR="00184B5D" w:rsidRPr="00242F5C">
        <w:rPr>
          <w:i/>
          <w:iCs/>
        </w:rPr>
        <w:t>Clin Genitourin Cancer.</w:t>
      </w:r>
      <w:r w:rsidR="00184B5D" w:rsidRPr="00242F5C">
        <w:t xml:space="preserve"> 2020:S1558-7673(20)30248-2. doi: 10.1016/j.clgc.2020.10.006. Epub ahead of print. </w:t>
      </w:r>
    </w:p>
    <w:p w14:paraId="077E5978" w14:textId="70353D2D" w:rsidR="00FB2754" w:rsidRPr="00242F5C" w:rsidRDefault="00590F4E" w:rsidP="004D20E7">
      <w:pPr>
        <w:widowControl w:val="0"/>
        <w:autoSpaceDE w:val="0"/>
        <w:autoSpaceDN w:val="0"/>
        <w:adjustRightInd w:val="0"/>
        <w:spacing w:before="160" w:line="480" w:lineRule="auto"/>
        <w:ind w:left="630" w:hanging="630"/>
      </w:pPr>
      <w:r>
        <w:lastRenderedPageBreak/>
        <w:t>1</w:t>
      </w:r>
      <w:r w:rsidR="006D0E2B">
        <w:t>6</w:t>
      </w:r>
      <w:r w:rsidR="00184B5D" w:rsidRPr="00242F5C">
        <w:t>.</w:t>
      </w:r>
      <w:r w:rsidR="00184B5D" w:rsidRPr="00242F5C">
        <w:tab/>
        <w:t xml:space="preserve">Locke JA, Pond GR, Sonpavde G, et al. Cisplatin- versus non-cisplatin-based first-line chemotherapy for advanced urothelial carcinoma previously treated with perioperative cisplatin. </w:t>
      </w:r>
      <w:r w:rsidR="00184B5D" w:rsidRPr="00242F5C">
        <w:rPr>
          <w:i/>
          <w:iCs/>
        </w:rPr>
        <w:t>Clin Genitourin Cancer</w:t>
      </w:r>
      <w:r w:rsidR="00184B5D" w:rsidRPr="00242F5C">
        <w:t xml:space="preserve">. 2016;14(4):331-340. </w:t>
      </w:r>
    </w:p>
    <w:p w14:paraId="203CDD12" w14:textId="41693A8F" w:rsidR="00C65B10" w:rsidRDefault="00590F4E" w:rsidP="004D20E7">
      <w:pPr>
        <w:widowControl w:val="0"/>
        <w:autoSpaceDE w:val="0"/>
        <w:autoSpaceDN w:val="0"/>
        <w:adjustRightInd w:val="0"/>
        <w:spacing w:before="160" w:line="480" w:lineRule="auto"/>
        <w:ind w:left="630" w:hanging="630"/>
      </w:pPr>
      <w:r>
        <w:t>1</w:t>
      </w:r>
      <w:r w:rsidR="006D0E2B">
        <w:t>7</w:t>
      </w:r>
      <w:r w:rsidR="00184B5D" w:rsidRPr="00242F5C">
        <w:t>.</w:t>
      </w:r>
      <w:r w:rsidR="00184B5D" w:rsidRPr="00242F5C">
        <w:tab/>
        <w:t xml:space="preserve">Necchi A, Pond GR, Giannatempo P, et al. Cisplatin-based first-line therapy for advanced urothelial carcinoma after previous perioperative cisplatin-based therapy. </w:t>
      </w:r>
      <w:r w:rsidR="00184B5D" w:rsidRPr="00242F5C">
        <w:rPr>
          <w:i/>
          <w:iCs/>
        </w:rPr>
        <w:t>Clin Genitourin Cancer</w:t>
      </w:r>
      <w:r w:rsidR="00184B5D" w:rsidRPr="00242F5C">
        <w:t xml:space="preserve">. 2015;13(2):178-184. </w:t>
      </w:r>
    </w:p>
    <w:p w14:paraId="7CF856F0" w14:textId="77777777" w:rsidR="00C65B10" w:rsidRDefault="00C65B10" w:rsidP="004D20E7">
      <w:pPr>
        <w:spacing w:line="480" w:lineRule="auto"/>
      </w:pPr>
      <w:r>
        <w:br w:type="page"/>
      </w:r>
    </w:p>
    <w:p w14:paraId="5E2C30F8" w14:textId="77777777" w:rsidR="00C65B10" w:rsidRPr="00242F5C" w:rsidRDefault="00C65B10" w:rsidP="004D20E7">
      <w:pPr>
        <w:spacing w:line="480" w:lineRule="auto"/>
        <w:rPr>
          <w:b/>
          <w:bCs/>
        </w:rPr>
      </w:pPr>
      <w:r w:rsidRPr="00242F5C">
        <w:rPr>
          <w:b/>
          <w:bCs/>
        </w:rPr>
        <w:lastRenderedPageBreak/>
        <w:t>Figure Legends</w:t>
      </w:r>
    </w:p>
    <w:p w14:paraId="605F76A1" w14:textId="77777777" w:rsidR="00C65B10" w:rsidRPr="00242F5C" w:rsidRDefault="00C65B10" w:rsidP="004D20E7">
      <w:pPr>
        <w:spacing w:line="480" w:lineRule="auto"/>
        <w:rPr>
          <w:b/>
          <w:bCs/>
        </w:rPr>
      </w:pPr>
    </w:p>
    <w:p w14:paraId="2CFF1118" w14:textId="686D97DD" w:rsidR="004D20E7" w:rsidRDefault="00C65B10" w:rsidP="004D20E7">
      <w:pPr>
        <w:spacing w:line="480" w:lineRule="auto"/>
        <w:rPr>
          <w:b/>
          <w:bCs/>
        </w:rPr>
      </w:pPr>
      <w:r w:rsidRPr="00242F5C">
        <w:rPr>
          <w:b/>
          <w:bCs/>
        </w:rPr>
        <w:t>Figure 1</w:t>
      </w:r>
      <w:r w:rsidR="004D20E7">
        <w:rPr>
          <w:b/>
          <w:bCs/>
        </w:rPr>
        <w:t xml:space="preserve"> – CONSORT Diagram</w:t>
      </w:r>
    </w:p>
    <w:p w14:paraId="4956E4D7" w14:textId="1563B40D" w:rsidR="00C65B10" w:rsidRPr="00242F5C" w:rsidRDefault="00C65B10" w:rsidP="004D20E7">
      <w:pPr>
        <w:spacing w:line="480" w:lineRule="auto"/>
      </w:pPr>
      <w:r w:rsidRPr="00242F5C">
        <w:t>CONSORT diagram demonstrating how patients from the Retrospective International Study of Cancers of the Urothelium (RISC) database were selected for analysis in our study.</w:t>
      </w:r>
    </w:p>
    <w:p w14:paraId="2595EA98" w14:textId="77777777" w:rsidR="00C65B10" w:rsidRPr="00242F5C" w:rsidRDefault="00C65B10" w:rsidP="004D20E7">
      <w:pPr>
        <w:spacing w:line="480" w:lineRule="auto"/>
      </w:pPr>
    </w:p>
    <w:p w14:paraId="30F643DC" w14:textId="73C23128" w:rsidR="004D20E7" w:rsidRDefault="00C65B10" w:rsidP="004D20E7">
      <w:pPr>
        <w:spacing w:line="480" w:lineRule="auto"/>
      </w:pPr>
      <w:r w:rsidRPr="00242F5C">
        <w:rPr>
          <w:b/>
          <w:bCs/>
        </w:rPr>
        <w:t>Figure 2</w:t>
      </w:r>
      <w:r w:rsidR="004D20E7">
        <w:rPr>
          <w:b/>
          <w:bCs/>
        </w:rPr>
        <w:t xml:space="preserve"> – Overall Survival Analysis</w:t>
      </w:r>
    </w:p>
    <w:p w14:paraId="03557E92" w14:textId="503F8C4D" w:rsidR="00C65B10" w:rsidRPr="00242F5C" w:rsidRDefault="00C65B10" w:rsidP="004D20E7">
      <w:pPr>
        <w:spacing w:line="480" w:lineRule="auto"/>
      </w:pPr>
      <w:r w:rsidRPr="00242F5C">
        <w:t>Kaplan-Meier curves of overall survival (OS) by subsequent platinum-based chemotherapy (sPBC) versus subsequent non-platinum-based chemotherapy (sNPBC), with median survival times reported. OS was superior for patients receiving sPBC in a multivaria</w:t>
      </w:r>
      <w:r>
        <w:t>ble</w:t>
      </w:r>
      <w:r w:rsidRPr="00242F5C">
        <w:t xml:space="preserve"> model adjusting for several baseline factors, as detailed in Table 2. HR indicates hazard ratio; CI, confidence interval.</w:t>
      </w:r>
    </w:p>
    <w:p w14:paraId="01E5671B" w14:textId="77777777" w:rsidR="00C65B10" w:rsidRPr="00242F5C" w:rsidRDefault="00C65B10" w:rsidP="004D20E7">
      <w:pPr>
        <w:spacing w:line="480" w:lineRule="auto"/>
        <w:rPr>
          <w:b/>
          <w:bCs/>
        </w:rPr>
      </w:pPr>
    </w:p>
    <w:p w14:paraId="03538D49" w14:textId="630C75B2" w:rsidR="004D20E7" w:rsidRDefault="00C65B10" w:rsidP="004D20E7">
      <w:pPr>
        <w:spacing w:line="480" w:lineRule="auto"/>
      </w:pPr>
      <w:r w:rsidRPr="00242F5C">
        <w:rPr>
          <w:b/>
          <w:bCs/>
        </w:rPr>
        <w:t>Figure 3</w:t>
      </w:r>
      <w:r w:rsidR="004D20E7">
        <w:rPr>
          <w:b/>
          <w:bCs/>
        </w:rPr>
        <w:t xml:space="preserve"> – Progression-Free Survival Analysis</w:t>
      </w:r>
    </w:p>
    <w:p w14:paraId="58B135E6" w14:textId="7296193F" w:rsidR="00C65B10" w:rsidRPr="00DE4071" w:rsidRDefault="00C65B10" w:rsidP="004D20E7">
      <w:pPr>
        <w:spacing w:line="480" w:lineRule="auto"/>
        <w:rPr>
          <w:rFonts w:cstheme="minorHAnsi"/>
          <w:b/>
          <w:bCs/>
        </w:rPr>
      </w:pPr>
      <w:r w:rsidRPr="00242F5C">
        <w:t>Kaplan-Meier curves of progression-free survival (PFS) by subsequent platinum-based chemotherapy (sPBC) versus subsequent non-platinum-based chemotherapy (sNPBC), with median survival times reported. There was no statistical difference in PFS in a multivaria</w:t>
      </w:r>
      <w:r>
        <w:t>ble</w:t>
      </w:r>
      <w:r w:rsidRPr="00242F5C">
        <w:t xml:space="preserve"> model adjusting for several baseline factors, as detailed in Table 2. HR indicates hazard ratio; CI, confidence interval</w:t>
      </w:r>
      <w:r>
        <w:t>.</w:t>
      </w:r>
      <w:r w:rsidRPr="00DE4071">
        <w:rPr>
          <w:rFonts w:cstheme="minorHAnsi"/>
          <w:b/>
          <w:bCs/>
        </w:rPr>
        <w:t xml:space="preserve"> </w:t>
      </w:r>
    </w:p>
    <w:p w14:paraId="60413A5F" w14:textId="77777777" w:rsidR="00FB2754" w:rsidRPr="00242F5C" w:rsidRDefault="00FB2754" w:rsidP="004D20E7">
      <w:pPr>
        <w:widowControl w:val="0"/>
        <w:autoSpaceDE w:val="0"/>
        <w:autoSpaceDN w:val="0"/>
        <w:adjustRightInd w:val="0"/>
        <w:spacing w:before="160" w:line="480" w:lineRule="auto"/>
        <w:ind w:left="630" w:hanging="630"/>
      </w:pPr>
    </w:p>
    <w:p w14:paraId="6A2352D2" w14:textId="77777777" w:rsidR="008140F9" w:rsidRPr="00242F5C" w:rsidRDefault="008140F9" w:rsidP="004D20E7">
      <w:pPr>
        <w:spacing w:line="480" w:lineRule="auto"/>
        <w:rPr>
          <w:b/>
          <w:bCs/>
        </w:rPr>
      </w:pPr>
      <w:r w:rsidRPr="00242F5C">
        <w:rPr>
          <w:b/>
          <w:bCs/>
        </w:rPr>
        <w:br w:type="page"/>
      </w:r>
    </w:p>
    <w:p w14:paraId="3D93EAF6" w14:textId="574E1909" w:rsidR="00FB2754" w:rsidRPr="00242F5C" w:rsidRDefault="00184B5D" w:rsidP="004D20E7">
      <w:pPr>
        <w:adjustRightInd w:val="0"/>
        <w:spacing w:before="160" w:line="480" w:lineRule="auto"/>
      </w:pPr>
      <w:r w:rsidRPr="00242F5C">
        <w:rPr>
          <w:b/>
          <w:bCs/>
        </w:rPr>
        <w:lastRenderedPageBreak/>
        <w:t>Table 1 – Patient Characteristics</w:t>
      </w:r>
      <w:r w:rsidRPr="00242F5C">
        <w:t xml:space="preserve"> </w:t>
      </w:r>
    </w:p>
    <w:tbl>
      <w:tblPr>
        <w:tblW w:w="9350" w:type="dxa"/>
        <w:tblInd w:w="10" w:type="dxa"/>
        <w:tblLayout w:type="fixed"/>
        <w:tblCellMar>
          <w:left w:w="10" w:type="dxa"/>
          <w:right w:w="10" w:type="dxa"/>
        </w:tblCellMar>
        <w:tblLook w:val="04A0" w:firstRow="1" w:lastRow="0" w:firstColumn="1" w:lastColumn="0" w:noHBand="0" w:noVBand="1"/>
      </w:tblPr>
      <w:tblGrid>
        <w:gridCol w:w="4400"/>
        <w:gridCol w:w="1980"/>
        <w:gridCol w:w="2070"/>
        <w:gridCol w:w="900"/>
      </w:tblGrid>
      <w:tr w:rsidR="00FB2754" w:rsidRPr="00242F5C" w14:paraId="289BAEB8" w14:textId="77777777" w:rsidTr="00FB2754">
        <w:trPr>
          <w:trHeight w:val="285"/>
        </w:trPr>
        <w:tc>
          <w:tcPr>
            <w:tcW w:w="44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974A0A" w14:textId="7173BC0B" w:rsidR="00FB2754" w:rsidRPr="00242F5C" w:rsidRDefault="00184B5D" w:rsidP="004D20E7">
            <w:pPr>
              <w:spacing w:line="480" w:lineRule="auto"/>
              <w:jc w:val="center"/>
              <w:rPr>
                <w:b/>
                <w:bCs/>
                <w:color w:val="000000"/>
                <w:sz w:val="20"/>
                <w:szCs w:val="20"/>
              </w:rPr>
            </w:pPr>
            <w:r w:rsidRPr="00242F5C">
              <w:rPr>
                <w:b/>
                <w:bCs/>
                <w:color w:val="000000"/>
                <w:sz w:val="20"/>
                <w:szCs w:val="20"/>
              </w:rPr>
              <w:t>Variable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06582" w14:textId="48A6BB2A" w:rsidR="00FB2754" w:rsidRPr="00242F5C" w:rsidRDefault="00184B5D" w:rsidP="004D20E7">
            <w:pPr>
              <w:spacing w:line="480" w:lineRule="auto"/>
              <w:jc w:val="center"/>
              <w:rPr>
                <w:b/>
                <w:bCs/>
                <w:color w:val="000000"/>
                <w:sz w:val="20"/>
                <w:szCs w:val="20"/>
              </w:rPr>
            </w:pPr>
            <w:r w:rsidRPr="00242F5C">
              <w:rPr>
                <w:b/>
                <w:bCs/>
                <w:color w:val="000000"/>
                <w:sz w:val="20"/>
                <w:szCs w:val="20"/>
              </w:rPr>
              <w:t>sPBC (n=135)</w:t>
            </w:r>
            <w:r w:rsidRPr="00242F5C">
              <w:rPr>
                <w:b/>
                <w:bCs/>
                <w:color w:val="000000"/>
                <w:sz w:val="20"/>
                <w:szCs w:val="20"/>
                <w:vertAlign w:val="superscript"/>
              </w:rPr>
              <w:t>a</w:t>
            </w:r>
            <w:r w:rsidRPr="00242F5C">
              <w:rPr>
                <w:b/>
                <w:bCs/>
                <w:color w:val="000000"/>
                <w:sz w:val="20"/>
                <w:szCs w:val="20"/>
              </w:rPr>
              <w:t>; N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2FA14" w14:textId="71160DC5" w:rsidR="00FB2754" w:rsidRPr="00242F5C" w:rsidRDefault="00184B5D" w:rsidP="004D20E7">
            <w:pPr>
              <w:spacing w:line="480" w:lineRule="auto"/>
              <w:jc w:val="center"/>
              <w:rPr>
                <w:b/>
                <w:bCs/>
                <w:color w:val="000000"/>
                <w:sz w:val="20"/>
                <w:szCs w:val="20"/>
              </w:rPr>
            </w:pPr>
            <w:r w:rsidRPr="00242F5C">
              <w:rPr>
                <w:b/>
                <w:bCs/>
                <w:color w:val="000000"/>
                <w:sz w:val="20"/>
                <w:szCs w:val="20"/>
              </w:rPr>
              <w:t>sNPBC (n=161)</w:t>
            </w:r>
            <w:r w:rsidRPr="00242F5C">
              <w:rPr>
                <w:b/>
                <w:bCs/>
                <w:color w:val="000000"/>
                <w:sz w:val="20"/>
                <w:szCs w:val="20"/>
                <w:vertAlign w:val="superscript"/>
              </w:rPr>
              <w:t>a</w:t>
            </w:r>
            <w:r w:rsidRPr="00242F5C">
              <w:rPr>
                <w:b/>
                <w:bCs/>
                <w:color w:val="000000"/>
                <w:sz w:val="20"/>
                <w:szCs w:val="20"/>
              </w:rPr>
              <w:t>; N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0A089" w14:textId="77777777" w:rsidR="00FB2754" w:rsidRPr="00242F5C" w:rsidRDefault="00184B5D" w:rsidP="004D20E7">
            <w:pPr>
              <w:spacing w:line="480" w:lineRule="auto"/>
              <w:jc w:val="center"/>
              <w:rPr>
                <w:b/>
                <w:bCs/>
                <w:color w:val="000000"/>
                <w:sz w:val="20"/>
                <w:szCs w:val="20"/>
              </w:rPr>
            </w:pPr>
            <w:r w:rsidRPr="00242F5C">
              <w:rPr>
                <w:b/>
                <w:bCs/>
                <w:color w:val="000000"/>
                <w:sz w:val="20"/>
                <w:szCs w:val="20"/>
              </w:rPr>
              <w:t>P-value</w:t>
            </w:r>
          </w:p>
        </w:tc>
      </w:tr>
      <w:tr w:rsidR="00FB2754" w:rsidRPr="00242F5C" w14:paraId="7C7A27CE"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5501C" w14:textId="085C61A9" w:rsidR="00FB2754" w:rsidRPr="00242F5C" w:rsidRDefault="00184B5D" w:rsidP="004D20E7">
            <w:pPr>
              <w:spacing w:line="480" w:lineRule="auto"/>
              <w:ind w:left="153" w:hanging="153"/>
              <w:rPr>
                <w:b/>
                <w:bCs/>
                <w:color w:val="000000"/>
                <w:sz w:val="20"/>
                <w:szCs w:val="20"/>
              </w:rPr>
            </w:pPr>
            <w:r w:rsidRPr="00242F5C">
              <w:rPr>
                <w:b/>
                <w:bCs/>
                <w:color w:val="000000"/>
                <w:sz w:val="20"/>
                <w:szCs w:val="20"/>
              </w:rPr>
              <w:t>Age in Years at Diagnosis; Median (IQR)</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F2AD9" w14:textId="09AE1C6E" w:rsidR="00FB2754" w:rsidRPr="00242F5C" w:rsidRDefault="00184B5D" w:rsidP="004D20E7">
            <w:pPr>
              <w:spacing w:line="480" w:lineRule="auto"/>
              <w:jc w:val="center"/>
              <w:rPr>
                <w:color w:val="000000"/>
                <w:sz w:val="20"/>
                <w:szCs w:val="20"/>
              </w:rPr>
            </w:pPr>
            <w:r w:rsidRPr="00242F5C">
              <w:rPr>
                <w:color w:val="000000"/>
                <w:sz w:val="20"/>
                <w:szCs w:val="20"/>
              </w:rPr>
              <w:t>64 (57-70)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B9728" w14:textId="6C96B3CA" w:rsidR="00FB2754" w:rsidRPr="00242F5C" w:rsidRDefault="00184B5D" w:rsidP="004D20E7">
            <w:pPr>
              <w:spacing w:line="480" w:lineRule="auto"/>
              <w:jc w:val="center"/>
              <w:rPr>
                <w:color w:val="000000"/>
                <w:sz w:val="20"/>
                <w:szCs w:val="20"/>
              </w:rPr>
            </w:pPr>
            <w:r w:rsidRPr="00242F5C">
              <w:rPr>
                <w:color w:val="000000"/>
                <w:sz w:val="20"/>
                <w:szCs w:val="20"/>
              </w:rPr>
              <w:t>65 (58-73)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2A894" w14:textId="18D9C3E9" w:rsidR="00FB2754" w:rsidRPr="00242F5C" w:rsidRDefault="00184B5D" w:rsidP="004D20E7">
            <w:pPr>
              <w:spacing w:line="480" w:lineRule="auto"/>
              <w:jc w:val="center"/>
              <w:rPr>
                <w:color w:val="000000"/>
                <w:sz w:val="20"/>
                <w:szCs w:val="20"/>
              </w:rPr>
            </w:pPr>
            <w:r w:rsidRPr="00242F5C">
              <w:rPr>
                <w:color w:val="000000"/>
                <w:sz w:val="20"/>
                <w:szCs w:val="20"/>
              </w:rPr>
              <w:t>0.144</w:t>
            </w:r>
          </w:p>
        </w:tc>
      </w:tr>
      <w:tr w:rsidR="00FB2754" w:rsidRPr="00242F5C" w14:paraId="5D391672"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3948E" w14:textId="7F191E80" w:rsidR="00FB2754" w:rsidRPr="00242F5C" w:rsidRDefault="00184B5D" w:rsidP="004D20E7">
            <w:pPr>
              <w:spacing w:line="480" w:lineRule="auto"/>
              <w:rPr>
                <w:b/>
                <w:bCs/>
                <w:color w:val="000000"/>
                <w:sz w:val="20"/>
                <w:szCs w:val="20"/>
              </w:rPr>
            </w:pPr>
            <w:r w:rsidRPr="00242F5C">
              <w:rPr>
                <w:b/>
                <w:bCs/>
                <w:color w:val="000000"/>
                <w:sz w:val="20"/>
                <w:szCs w:val="20"/>
              </w:rPr>
              <w:t>Female Gender</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6F65C" w14:textId="38A729BF" w:rsidR="00FB2754" w:rsidRPr="00242F5C" w:rsidRDefault="00184B5D" w:rsidP="004D20E7">
            <w:pPr>
              <w:spacing w:line="480" w:lineRule="auto"/>
              <w:jc w:val="center"/>
              <w:rPr>
                <w:color w:val="000000"/>
                <w:sz w:val="20"/>
                <w:szCs w:val="20"/>
              </w:rPr>
            </w:pPr>
            <w:r w:rsidRPr="00242F5C">
              <w:rPr>
                <w:color w:val="000000"/>
                <w:sz w:val="20"/>
                <w:szCs w:val="20"/>
              </w:rPr>
              <w:t>27 (20.1%)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5FB1E" w14:textId="4ED02DF2" w:rsidR="00FB2754" w:rsidRPr="00242F5C" w:rsidRDefault="00184B5D" w:rsidP="004D20E7">
            <w:pPr>
              <w:spacing w:line="480" w:lineRule="auto"/>
              <w:jc w:val="center"/>
              <w:rPr>
                <w:color w:val="000000"/>
                <w:sz w:val="20"/>
                <w:szCs w:val="20"/>
              </w:rPr>
            </w:pPr>
            <w:r w:rsidRPr="00242F5C">
              <w:rPr>
                <w:color w:val="000000"/>
                <w:sz w:val="20"/>
                <w:szCs w:val="20"/>
              </w:rPr>
              <w:t>31 (19.2%)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839E" w14:textId="519C4186" w:rsidR="00FB2754" w:rsidRPr="00242F5C" w:rsidRDefault="00184B5D" w:rsidP="004D20E7">
            <w:pPr>
              <w:spacing w:line="480" w:lineRule="auto"/>
              <w:jc w:val="center"/>
              <w:rPr>
                <w:color w:val="000000"/>
                <w:sz w:val="20"/>
                <w:szCs w:val="20"/>
              </w:rPr>
            </w:pPr>
            <w:r w:rsidRPr="00242F5C">
              <w:rPr>
                <w:color w:val="000000"/>
                <w:sz w:val="20"/>
                <w:szCs w:val="20"/>
              </w:rPr>
              <w:t>0.847</w:t>
            </w:r>
          </w:p>
        </w:tc>
      </w:tr>
      <w:tr w:rsidR="00FB2754" w:rsidRPr="00242F5C" w14:paraId="33ABB623"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D1FF" w14:textId="1F2B5B06" w:rsidR="00FB2754" w:rsidRPr="00242F5C" w:rsidRDefault="00184B5D" w:rsidP="004D20E7">
            <w:pPr>
              <w:spacing w:line="480" w:lineRule="auto"/>
              <w:rPr>
                <w:b/>
                <w:bCs/>
                <w:color w:val="000000"/>
                <w:sz w:val="20"/>
                <w:szCs w:val="20"/>
              </w:rPr>
            </w:pPr>
            <w:r w:rsidRPr="00242F5C">
              <w:rPr>
                <w:b/>
                <w:bCs/>
                <w:color w:val="000000"/>
                <w:sz w:val="20"/>
                <w:szCs w:val="20"/>
              </w:rPr>
              <w:t>Former/Current Smoker</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AFA2F" w14:textId="4C72668C" w:rsidR="00FB2754" w:rsidRPr="00242F5C" w:rsidRDefault="00184B5D" w:rsidP="004D20E7">
            <w:pPr>
              <w:spacing w:line="480" w:lineRule="auto"/>
              <w:jc w:val="center"/>
              <w:rPr>
                <w:color w:val="000000"/>
                <w:sz w:val="20"/>
                <w:szCs w:val="20"/>
              </w:rPr>
            </w:pPr>
            <w:r w:rsidRPr="00242F5C">
              <w:rPr>
                <w:color w:val="000000"/>
                <w:sz w:val="20"/>
                <w:szCs w:val="20"/>
              </w:rPr>
              <w:t>80 (69.6%)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C88AE" w14:textId="65BF2E82" w:rsidR="00FB2754" w:rsidRPr="00242F5C" w:rsidRDefault="00184B5D" w:rsidP="004D20E7">
            <w:pPr>
              <w:spacing w:line="480" w:lineRule="auto"/>
              <w:jc w:val="center"/>
              <w:rPr>
                <w:color w:val="000000"/>
                <w:sz w:val="20"/>
                <w:szCs w:val="20"/>
              </w:rPr>
            </w:pPr>
            <w:r w:rsidRPr="00242F5C">
              <w:rPr>
                <w:color w:val="000000"/>
                <w:sz w:val="20"/>
                <w:szCs w:val="20"/>
              </w:rPr>
              <w:t>110 (74.3%)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4707A" w14:textId="718F1856" w:rsidR="00FB2754" w:rsidRPr="00242F5C" w:rsidRDefault="00184B5D" w:rsidP="004D20E7">
            <w:pPr>
              <w:spacing w:line="480" w:lineRule="auto"/>
              <w:jc w:val="center"/>
              <w:rPr>
                <w:color w:val="000000"/>
                <w:sz w:val="20"/>
                <w:szCs w:val="20"/>
              </w:rPr>
            </w:pPr>
            <w:r w:rsidRPr="00242F5C">
              <w:rPr>
                <w:color w:val="000000"/>
                <w:sz w:val="20"/>
                <w:szCs w:val="20"/>
              </w:rPr>
              <w:t>0.129</w:t>
            </w:r>
          </w:p>
        </w:tc>
      </w:tr>
      <w:tr w:rsidR="00FB2754" w:rsidRPr="00242F5C" w14:paraId="1C51612D"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BE3A7" w14:textId="6843CBA9" w:rsidR="00FB2754" w:rsidRPr="00242F5C" w:rsidRDefault="00184B5D" w:rsidP="004D20E7">
            <w:pPr>
              <w:spacing w:line="480" w:lineRule="auto"/>
              <w:rPr>
                <w:b/>
                <w:bCs/>
                <w:color w:val="000000"/>
                <w:sz w:val="20"/>
                <w:szCs w:val="20"/>
              </w:rPr>
            </w:pPr>
            <w:r w:rsidRPr="00242F5C">
              <w:rPr>
                <w:b/>
                <w:bCs/>
                <w:color w:val="000000"/>
                <w:sz w:val="20"/>
                <w:szCs w:val="20"/>
              </w:rPr>
              <w:t>Charlson Comorbidity Index (CCI)</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93423" w14:textId="77777777" w:rsidR="00FB2754" w:rsidRPr="00242F5C" w:rsidRDefault="00FB2754" w:rsidP="004D20E7">
            <w:pPr>
              <w:spacing w:line="480" w:lineRule="auto"/>
              <w:jc w:val="center"/>
              <w:rPr>
                <w:b/>
                <w:bCs/>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224F1" w14:textId="77777777" w:rsidR="00FB2754" w:rsidRPr="00242F5C" w:rsidRDefault="00FB2754" w:rsidP="004D20E7">
            <w:pPr>
              <w:spacing w:line="480" w:lineRule="auto"/>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FFFB3" w14:textId="16C1807D" w:rsidR="00FB2754" w:rsidRPr="00242F5C" w:rsidRDefault="00184B5D" w:rsidP="004D20E7">
            <w:pPr>
              <w:spacing w:line="480" w:lineRule="auto"/>
              <w:jc w:val="center"/>
              <w:rPr>
                <w:color w:val="000000"/>
                <w:sz w:val="20"/>
                <w:szCs w:val="20"/>
              </w:rPr>
            </w:pPr>
            <w:r w:rsidRPr="00242F5C">
              <w:rPr>
                <w:color w:val="000000"/>
                <w:sz w:val="20"/>
                <w:szCs w:val="20"/>
              </w:rPr>
              <w:t>0.292</w:t>
            </w:r>
          </w:p>
        </w:tc>
      </w:tr>
      <w:tr w:rsidR="00FB2754" w:rsidRPr="00242F5C" w14:paraId="46744CEA"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CB71" w14:textId="77777777" w:rsidR="00FB2754" w:rsidRPr="00242F5C" w:rsidRDefault="00184B5D" w:rsidP="004D20E7">
            <w:pPr>
              <w:spacing w:line="480" w:lineRule="auto"/>
              <w:ind w:left="153"/>
              <w:rPr>
                <w:color w:val="000000"/>
                <w:sz w:val="20"/>
                <w:szCs w:val="20"/>
              </w:rPr>
            </w:pPr>
            <w:r w:rsidRPr="00242F5C">
              <w:rPr>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EB4ED" w14:textId="20033A3B" w:rsidR="00FB2754" w:rsidRPr="00242F5C" w:rsidRDefault="00184B5D" w:rsidP="004D20E7">
            <w:pPr>
              <w:spacing w:line="480" w:lineRule="auto"/>
              <w:jc w:val="center"/>
              <w:rPr>
                <w:color w:val="000000"/>
                <w:sz w:val="20"/>
                <w:szCs w:val="20"/>
              </w:rPr>
            </w:pPr>
            <w:r w:rsidRPr="00242F5C">
              <w:rPr>
                <w:color w:val="000000"/>
                <w:sz w:val="20"/>
                <w:szCs w:val="20"/>
              </w:rPr>
              <w:t>60 (44.4%)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99C7" w14:textId="5302BF8A" w:rsidR="00FB2754" w:rsidRPr="00242F5C" w:rsidRDefault="00184B5D" w:rsidP="004D20E7">
            <w:pPr>
              <w:spacing w:line="480" w:lineRule="auto"/>
              <w:jc w:val="center"/>
              <w:rPr>
                <w:color w:val="000000"/>
                <w:sz w:val="20"/>
                <w:szCs w:val="20"/>
              </w:rPr>
            </w:pPr>
            <w:r w:rsidRPr="00242F5C">
              <w:rPr>
                <w:color w:val="000000"/>
                <w:sz w:val="20"/>
                <w:szCs w:val="20"/>
              </w:rPr>
              <w:t>70 (43.5%)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B2B2E" w14:textId="66331568" w:rsidR="00FB2754" w:rsidRPr="00242F5C" w:rsidRDefault="00FB2754" w:rsidP="004D20E7">
            <w:pPr>
              <w:spacing w:line="480" w:lineRule="auto"/>
              <w:jc w:val="center"/>
              <w:rPr>
                <w:color w:val="000000"/>
                <w:sz w:val="20"/>
                <w:szCs w:val="20"/>
              </w:rPr>
            </w:pPr>
          </w:p>
        </w:tc>
      </w:tr>
      <w:tr w:rsidR="00FB2754" w:rsidRPr="00242F5C" w14:paraId="065DA19A"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013F0" w14:textId="510D543B" w:rsidR="00FB2754" w:rsidRPr="00242F5C" w:rsidRDefault="00184B5D" w:rsidP="004D20E7">
            <w:pPr>
              <w:spacing w:line="480" w:lineRule="auto"/>
              <w:ind w:left="153"/>
              <w:rPr>
                <w:color w:val="000000"/>
                <w:sz w:val="20"/>
                <w:szCs w:val="20"/>
              </w:rPr>
            </w:pPr>
            <w:r w:rsidRPr="00242F5C">
              <w:rPr>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99C9A" w14:textId="77104DF1" w:rsidR="00FB2754" w:rsidRPr="00242F5C" w:rsidRDefault="00184B5D" w:rsidP="004D20E7">
            <w:pPr>
              <w:spacing w:line="480" w:lineRule="auto"/>
              <w:jc w:val="center"/>
              <w:rPr>
                <w:color w:val="000000"/>
                <w:sz w:val="20"/>
                <w:szCs w:val="20"/>
              </w:rPr>
            </w:pPr>
            <w:r w:rsidRPr="00242F5C">
              <w:rPr>
                <w:color w:val="000000"/>
                <w:sz w:val="20"/>
                <w:szCs w:val="20"/>
              </w:rPr>
              <w:t>14 (10.4%)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9A58C" w14:textId="3FC41BB2" w:rsidR="00FB2754" w:rsidRPr="00242F5C" w:rsidRDefault="00184B5D" w:rsidP="004D20E7">
            <w:pPr>
              <w:spacing w:line="480" w:lineRule="auto"/>
              <w:jc w:val="center"/>
              <w:rPr>
                <w:color w:val="000000"/>
                <w:sz w:val="20"/>
                <w:szCs w:val="20"/>
              </w:rPr>
            </w:pPr>
            <w:r w:rsidRPr="00242F5C">
              <w:rPr>
                <w:color w:val="000000"/>
                <w:sz w:val="20"/>
                <w:szCs w:val="20"/>
              </w:rPr>
              <w:t>9 (5.6%)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0D163" w14:textId="77777777" w:rsidR="00FB2754" w:rsidRPr="00242F5C" w:rsidRDefault="00FB2754" w:rsidP="004D20E7">
            <w:pPr>
              <w:spacing w:line="480" w:lineRule="auto"/>
              <w:jc w:val="center"/>
              <w:rPr>
                <w:color w:val="000000"/>
                <w:sz w:val="20"/>
                <w:szCs w:val="20"/>
              </w:rPr>
            </w:pPr>
          </w:p>
        </w:tc>
      </w:tr>
      <w:tr w:rsidR="00FB2754" w:rsidRPr="00242F5C" w14:paraId="143B6126"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7989A" w14:textId="5160489A" w:rsidR="00FB2754" w:rsidRPr="00242F5C" w:rsidRDefault="00184B5D" w:rsidP="004D20E7">
            <w:pPr>
              <w:spacing w:line="480" w:lineRule="auto"/>
              <w:ind w:left="153"/>
              <w:rPr>
                <w:color w:val="000000"/>
                <w:sz w:val="20"/>
                <w:szCs w:val="20"/>
              </w:rPr>
            </w:pPr>
            <w:r w:rsidRPr="00242F5C">
              <w:rPr>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645DA" w14:textId="0A8FF373" w:rsidR="00FB2754" w:rsidRPr="00242F5C" w:rsidRDefault="00184B5D" w:rsidP="004D20E7">
            <w:pPr>
              <w:spacing w:line="480" w:lineRule="auto"/>
              <w:jc w:val="center"/>
              <w:rPr>
                <w:color w:val="000000"/>
                <w:sz w:val="20"/>
                <w:szCs w:val="20"/>
              </w:rPr>
            </w:pPr>
            <w:r w:rsidRPr="00242F5C">
              <w:rPr>
                <w:color w:val="000000"/>
                <w:sz w:val="20"/>
                <w:szCs w:val="20"/>
              </w:rPr>
              <w:t>23 (17.0%)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2AA69" w14:textId="3F0A358C" w:rsidR="00FB2754" w:rsidRPr="00242F5C" w:rsidRDefault="00184B5D" w:rsidP="004D20E7">
            <w:pPr>
              <w:spacing w:line="480" w:lineRule="auto"/>
              <w:jc w:val="center"/>
              <w:rPr>
                <w:color w:val="000000"/>
                <w:sz w:val="20"/>
                <w:szCs w:val="20"/>
              </w:rPr>
            </w:pPr>
            <w:r w:rsidRPr="00242F5C">
              <w:rPr>
                <w:color w:val="000000"/>
                <w:sz w:val="20"/>
                <w:szCs w:val="20"/>
              </w:rPr>
              <w:t>38 (23.6%)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85D6" w14:textId="4FD734BB" w:rsidR="00FB2754" w:rsidRPr="00242F5C" w:rsidRDefault="00FB2754" w:rsidP="004D20E7">
            <w:pPr>
              <w:spacing w:line="480" w:lineRule="auto"/>
              <w:jc w:val="center"/>
              <w:rPr>
                <w:color w:val="000000"/>
                <w:sz w:val="20"/>
                <w:szCs w:val="20"/>
              </w:rPr>
            </w:pPr>
          </w:p>
        </w:tc>
      </w:tr>
      <w:tr w:rsidR="00FB2754" w:rsidRPr="00242F5C" w14:paraId="1DE6014B"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AB2B1" w14:textId="6F00233C" w:rsidR="00FB2754" w:rsidRPr="00242F5C" w:rsidRDefault="00184B5D" w:rsidP="004D20E7">
            <w:pPr>
              <w:spacing w:line="480" w:lineRule="auto"/>
              <w:ind w:left="153"/>
              <w:rPr>
                <w:color w:val="000000"/>
                <w:sz w:val="20"/>
                <w:szCs w:val="20"/>
              </w:rPr>
            </w:pPr>
            <w:r w:rsidRPr="00242F5C">
              <w:rPr>
                <w:color w:val="222222"/>
                <w:sz w:val="20"/>
                <w:szCs w:val="20"/>
                <w:shd w:val="clear" w:color="auto" w:fill="FFFFFF"/>
              </w:rPr>
              <w:t>≥</w:t>
            </w:r>
            <w:r w:rsidRPr="00242F5C">
              <w:rPr>
                <w:color w:val="000000"/>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F981" w14:textId="7885A405" w:rsidR="00FB2754" w:rsidRPr="00242F5C" w:rsidRDefault="00184B5D" w:rsidP="004D20E7">
            <w:pPr>
              <w:spacing w:line="480" w:lineRule="auto"/>
              <w:jc w:val="center"/>
              <w:rPr>
                <w:color w:val="000000"/>
                <w:sz w:val="20"/>
                <w:szCs w:val="20"/>
              </w:rPr>
            </w:pPr>
            <w:r w:rsidRPr="00242F5C">
              <w:rPr>
                <w:color w:val="000000"/>
                <w:sz w:val="20"/>
                <w:szCs w:val="20"/>
              </w:rPr>
              <w:t>38 (28.1%)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1B576" w14:textId="199E819A" w:rsidR="00FB2754" w:rsidRPr="00242F5C" w:rsidRDefault="00184B5D" w:rsidP="004D20E7">
            <w:pPr>
              <w:spacing w:line="480" w:lineRule="auto"/>
              <w:jc w:val="center"/>
              <w:rPr>
                <w:color w:val="000000"/>
                <w:sz w:val="20"/>
                <w:szCs w:val="20"/>
              </w:rPr>
            </w:pPr>
            <w:r w:rsidRPr="00242F5C">
              <w:rPr>
                <w:color w:val="000000"/>
                <w:sz w:val="20"/>
                <w:szCs w:val="20"/>
              </w:rPr>
              <w:t>44 (27.3%)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B4369" w14:textId="0E0EB9CF" w:rsidR="00FB2754" w:rsidRPr="00242F5C" w:rsidRDefault="00FB2754" w:rsidP="004D20E7">
            <w:pPr>
              <w:spacing w:line="480" w:lineRule="auto"/>
              <w:jc w:val="center"/>
              <w:rPr>
                <w:color w:val="000000"/>
                <w:sz w:val="20"/>
                <w:szCs w:val="20"/>
              </w:rPr>
            </w:pPr>
          </w:p>
        </w:tc>
      </w:tr>
      <w:tr w:rsidR="00FB2754" w:rsidRPr="00242F5C" w14:paraId="009783D1"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3DC87" w14:textId="217DE364" w:rsidR="00FB2754" w:rsidRPr="00242F5C" w:rsidRDefault="00184B5D" w:rsidP="004D20E7">
            <w:pPr>
              <w:spacing w:line="480" w:lineRule="auto"/>
              <w:rPr>
                <w:b/>
                <w:bCs/>
                <w:color w:val="000000"/>
                <w:sz w:val="20"/>
                <w:szCs w:val="20"/>
              </w:rPr>
            </w:pPr>
            <w:r w:rsidRPr="00242F5C">
              <w:rPr>
                <w:b/>
                <w:bCs/>
                <w:color w:val="000000"/>
                <w:sz w:val="20"/>
                <w:szCs w:val="20"/>
              </w:rPr>
              <w:t>ECOG Performance Status (ECOG PS)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FF08D" w14:textId="77777777" w:rsidR="00FB2754" w:rsidRPr="00242F5C" w:rsidRDefault="00FB2754" w:rsidP="004D20E7">
            <w:pPr>
              <w:spacing w:line="480" w:lineRule="auto"/>
              <w:jc w:val="center"/>
              <w:rPr>
                <w:b/>
                <w:bCs/>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C0BF8" w14:textId="77777777" w:rsidR="00FB2754" w:rsidRPr="00242F5C" w:rsidRDefault="00FB2754" w:rsidP="004D20E7">
            <w:pPr>
              <w:spacing w:line="480" w:lineRule="auto"/>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3EC27" w14:textId="4743259E" w:rsidR="00FB2754" w:rsidRPr="00242F5C" w:rsidRDefault="00184B5D" w:rsidP="004D20E7">
            <w:pPr>
              <w:spacing w:line="480" w:lineRule="auto"/>
              <w:jc w:val="center"/>
              <w:rPr>
                <w:color w:val="000000"/>
                <w:sz w:val="20"/>
                <w:szCs w:val="20"/>
              </w:rPr>
            </w:pPr>
            <w:r w:rsidRPr="00242F5C">
              <w:rPr>
                <w:color w:val="000000"/>
                <w:sz w:val="20"/>
                <w:szCs w:val="20"/>
              </w:rPr>
              <w:t>0.141</w:t>
            </w:r>
          </w:p>
        </w:tc>
      </w:tr>
      <w:tr w:rsidR="00FB2754" w:rsidRPr="00242F5C" w14:paraId="27474AA4"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8EEA" w14:textId="77777777" w:rsidR="00FB2754" w:rsidRPr="00242F5C" w:rsidRDefault="00184B5D" w:rsidP="004D20E7">
            <w:pPr>
              <w:spacing w:line="480" w:lineRule="auto"/>
              <w:ind w:left="153"/>
              <w:rPr>
                <w:color w:val="000000"/>
                <w:sz w:val="20"/>
                <w:szCs w:val="20"/>
              </w:rPr>
            </w:pPr>
            <w:r w:rsidRPr="00242F5C">
              <w:rPr>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F845F" w14:textId="17B0C1D9" w:rsidR="00FB2754" w:rsidRPr="00242F5C" w:rsidRDefault="00184B5D" w:rsidP="004D20E7">
            <w:pPr>
              <w:spacing w:line="480" w:lineRule="auto"/>
              <w:jc w:val="center"/>
              <w:rPr>
                <w:color w:val="000000"/>
                <w:sz w:val="20"/>
                <w:szCs w:val="20"/>
              </w:rPr>
            </w:pPr>
            <w:r w:rsidRPr="00242F5C">
              <w:rPr>
                <w:color w:val="000000"/>
                <w:sz w:val="20"/>
                <w:szCs w:val="20"/>
              </w:rPr>
              <w:t>31 (29.8%)</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5FBE5" w14:textId="73FC306B" w:rsidR="00FB2754" w:rsidRPr="00242F5C" w:rsidRDefault="00184B5D" w:rsidP="004D20E7">
            <w:pPr>
              <w:spacing w:line="480" w:lineRule="auto"/>
              <w:jc w:val="center"/>
              <w:rPr>
                <w:color w:val="000000"/>
                <w:sz w:val="20"/>
                <w:szCs w:val="20"/>
              </w:rPr>
            </w:pPr>
            <w:r w:rsidRPr="00242F5C">
              <w:rPr>
                <w:color w:val="000000"/>
                <w:sz w:val="20"/>
                <w:szCs w:val="20"/>
              </w:rPr>
              <w:t>25 (19.5%)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D2955" w14:textId="298560E8" w:rsidR="00FB2754" w:rsidRPr="00242F5C" w:rsidRDefault="00FB2754" w:rsidP="004D20E7">
            <w:pPr>
              <w:spacing w:line="480" w:lineRule="auto"/>
              <w:jc w:val="center"/>
              <w:rPr>
                <w:color w:val="000000"/>
                <w:sz w:val="20"/>
                <w:szCs w:val="20"/>
              </w:rPr>
            </w:pPr>
          </w:p>
        </w:tc>
      </w:tr>
      <w:tr w:rsidR="00FB2754" w:rsidRPr="00242F5C" w14:paraId="2EA98D77"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DE914" w14:textId="39A4E466" w:rsidR="00FB2754" w:rsidRPr="00242F5C" w:rsidRDefault="00184B5D" w:rsidP="004D20E7">
            <w:pPr>
              <w:spacing w:line="480" w:lineRule="auto"/>
              <w:ind w:left="153"/>
              <w:rPr>
                <w:color w:val="000000"/>
                <w:sz w:val="20"/>
                <w:szCs w:val="20"/>
              </w:rPr>
            </w:pPr>
            <w:r w:rsidRPr="00242F5C">
              <w:rPr>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39CE7" w14:textId="107B8F64" w:rsidR="00FB2754" w:rsidRPr="00242F5C" w:rsidRDefault="00184B5D" w:rsidP="004D20E7">
            <w:pPr>
              <w:spacing w:line="480" w:lineRule="auto"/>
              <w:jc w:val="center"/>
              <w:rPr>
                <w:color w:val="000000"/>
                <w:sz w:val="20"/>
                <w:szCs w:val="20"/>
              </w:rPr>
            </w:pPr>
            <w:r w:rsidRPr="00242F5C">
              <w:rPr>
                <w:color w:val="000000"/>
                <w:sz w:val="20"/>
                <w:szCs w:val="20"/>
              </w:rPr>
              <w:t>57 (54.8%)</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70E53" w14:textId="1C83170E" w:rsidR="00FB2754" w:rsidRPr="00242F5C" w:rsidRDefault="00184B5D" w:rsidP="004D20E7">
            <w:pPr>
              <w:spacing w:line="480" w:lineRule="auto"/>
              <w:jc w:val="center"/>
              <w:rPr>
                <w:color w:val="000000"/>
                <w:sz w:val="20"/>
                <w:szCs w:val="20"/>
              </w:rPr>
            </w:pPr>
            <w:r w:rsidRPr="00242F5C">
              <w:rPr>
                <w:color w:val="000000"/>
                <w:sz w:val="20"/>
                <w:szCs w:val="20"/>
              </w:rPr>
              <w:t>73 (57.0%)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D8024" w14:textId="77777777" w:rsidR="00FB2754" w:rsidRPr="00242F5C" w:rsidRDefault="00FB2754" w:rsidP="004D20E7">
            <w:pPr>
              <w:spacing w:line="480" w:lineRule="auto"/>
              <w:jc w:val="center"/>
              <w:rPr>
                <w:color w:val="000000"/>
                <w:sz w:val="20"/>
                <w:szCs w:val="20"/>
              </w:rPr>
            </w:pPr>
          </w:p>
        </w:tc>
      </w:tr>
      <w:tr w:rsidR="00FB2754" w:rsidRPr="00242F5C" w14:paraId="275C426A"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74839" w14:textId="488082EB" w:rsidR="00FB2754" w:rsidRPr="00242F5C" w:rsidRDefault="00184B5D" w:rsidP="004D20E7">
            <w:pPr>
              <w:spacing w:line="480" w:lineRule="auto"/>
              <w:ind w:left="153"/>
              <w:rPr>
                <w:color w:val="000000"/>
                <w:sz w:val="20"/>
                <w:szCs w:val="20"/>
              </w:rPr>
            </w:pPr>
            <w:r w:rsidRPr="00242F5C">
              <w:rPr>
                <w:color w:val="222222"/>
                <w:sz w:val="20"/>
                <w:szCs w:val="20"/>
                <w:shd w:val="clear" w:color="auto" w:fill="FFFFFF"/>
              </w:rPr>
              <w:t>≥</w:t>
            </w:r>
            <w:r w:rsidRPr="00242F5C">
              <w:rPr>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A99F6" w14:textId="53307114" w:rsidR="00FB2754" w:rsidRPr="00242F5C" w:rsidRDefault="00184B5D" w:rsidP="004D20E7">
            <w:pPr>
              <w:spacing w:line="480" w:lineRule="auto"/>
              <w:jc w:val="center"/>
              <w:rPr>
                <w:color w:val="000000"/>
                <w:sz w:val="20"/>
                <w:szCs w:val="20"/>
              </w:rPr>
            </w:pPr>
            <w:r w:rsidRPr="00242F5C">
              <w:rPr>
                <w:color w:val="000000"/>
                <w:sz w:val="20"/>
                <w:szCs w:val="20"/>
              </w:rPr>
              <w:t>16 (15.4%)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13189" w14:textId="318059AC" w:rsidR="00FB2754" w:rsidRPr="00242F5C" w:rsidRDefault="00184B5D" w:rsidP="004D20E7">
            <w:pPr>
              <w:spacing w:line="480" w:lineRule="auto"/>
              <w:jc w:val="center"/>
              <w:rPr>
                <w:color w:val="000000"/>
                <w:sz w:val="20"/>
                <w:szCs w:val="20"/>
              </w:rPr>
            </w:pPr>
            <w:r w:rsidRPr="00242F5C">
              <w:rPr>
                <w:color w:val="000000"/>
                <w:sz w:val="20"/>
                <w:szCs w:val="20"/>
              </w:rPr>
              <w:t>30 (23.5%)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60CF8" w14:textId="12F61381" w:rsidR="00FB2754" w:rsidRPr="00242F5C" w:rsidRDefault="00FB2754" w:rsidP="004D20E7">
            <w:pPr>
              <w:spacing w:line="480" w:lineRule="auto"/>
              <w:jc w:val="center"/>
              <w:rPr>
                <w:color w:val="000000"/>
                <w:sz w:val="20"/>
                <w:szCs w:val="20"/>
              </w:rPr>
            </w:pPr>
          </w:p>
        </w:tc>
      </w:tr>
      <w:tr w:rsidR="00FB2754" w:rsidRPr="00242F5C" w14:paraId="6DC38222"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AB983" w14:textId="0C8AA567" w:rsidR="00FB2754" w:rsidRPr="00242F5C" w:rsidRDefault="00184B5D" w:rsidP="004D20E7">
            <w:pPr>
              <w:spacing w:line="480" w:lineRule="auto"/>
              <w:rPr>
                <w:b/>
                <w:bCs/>
                <w:color w:val="000000"/>
                <w:sz w:val="20"/>
                <w:szCs w:val="20"/>
              </w:rPr>
            </w:pPr>
            <w:r w:rsidRPr="00242F5C">
              <w:rPr>
                <w:b/>
                <w:bCs/>
                <w:color w:val="000000"/>
                <w:sz w:val="20"/>
                <w:szCs w:val="20"/>
              </w:rPr>
              <w:t xml:space="preserve">Metastatic Disease at Diagnosis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B9A67" w14:textId="3BDE12B6" w:rsidR="00FB2754" w:rsidRPr="00242F5C" w:rsidRDefault="00184B5D" w:rsidP="004D20E7">
            <w:pPr>
              <w:spacing w:line="480" w:lineRule="auto"/>
              <w:jc w:val="center"/>
              <w:rPr>
                <w:color w:val="000000"/>
                <w:sz w:val="20"/>
                <w:szCs w:val="20"/>
              </w:rPr>
            </w:pPr>
            <w:r w:rsidRPr="00242F5C">
              <w:rPr>
                <w:color w:val="000000"/>
                <w:sz w:val="20"/>
                <w:szCs w:val="20"/>
              </w:rPr>
              <w:t>80 (59.3%)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F23A7" w14:textId="22ABDFD2" w:rsidR="00FB2754" w:rsidRPr="00242F5C" w:rsidRDefault="00184B5D" w:rsidP="004D20E7">
            <w:pPr>
              <w:spacing w:line="480" w:lineRule="auto"/>
              <w:jc w:val="center"/>
              <w:rPr>
                <w:sz w:val="20"/>
                <w:szCs w:val="20"/>
              </w:rPr>
            </w:pPr>
            <w:r w:rsidRPr="00242F5C">
              <w:rPr>
                <w:color w:val="000000"/>
                <w:sz w:val="20"/>
                <w:szCs w:val="20"/>
              </w:rPr>
              <w:t>95 (59.0%)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AD63" w14:textId="69955043" w:rsidR="00FB2754" w:rsidRPr="00242F5C" w:rsidRDefault="00184B5D" w:rsidP="004D20E7">
            <w:pPr>
              <w:spacing w:line="480" w:lineRule="auto"/>
              <w:jc w:val="center"/>
              <w:rPr>
                <w:color w:val="000000"/>
                <w:sz w:val="20"/>
                <w:szCs w:val="20"/>
              </w:rPr>
            </w:pPr>
            <w:r w:rsidRPr="00242F5C">
              <w:rPr>
                <w:color w:val="000000"/>
                <w:sz w:val="20"/>
                <w:szCs w:val="20"/>
              </w:rPr>
              <w:t>0.965</w:t>
            </w:r>
          </w:p>
        </w:tc>
      </w:tr>
      <w:tr w:rsidR="00FB2754" w:rsidRPr="00242F5C" w14:paraId="0A7E08DE"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F3AC9" w14:textId="786552DB" w:rsidR="00FB2754" w:rsidRPr="00242F5C" w:rsidRDefault="00184B5D" w:rsidP="004D20E7">
            <w:pPr>
              <w:spacing w:line="480" w:lineRule="auto"/>
              <w:rPr>
                <w:b/>
                <w:bCs/>
                <w:color w:val="000000"/>
                <w:sz w:val="20"/>
                <w:szCs w:val="20"/>
              </w:rPr>
            </w:pPr>
            <w:r w:rsidRPr="00242F5C">
              <w:rPr>
                <w:b/>
                <w:bCs/>
                <w:color w:val="000000"/>
                <w:sz w:val="20"/>
                <w:szCs w:val="20"/>
              </w:rPr>
              <w:t>Brain Metastases</w:t>
            </w:r>
            <w:r w:rsidRPr="00242F5C">
              <w:rPr>
                <w:b/>
                <w:bCs/>
                <w:color w:val="000000"/>
                <w:sz w:val="20"/>
                <w:szCs w:val="20"/>
                <w:vertAlign w:val="superscript"/>
              </w:rPr>
              <w:t>b</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E40C" w14:textId="26D2D083" w:rsidR="00FB2754" w:rsidRPr="00242F5C" w:rsidRDefault="00184B5D" w:rsidP="004D20E7">
            <w:pPr>
              <w:spacing w:line="480" w:lineRule="auto"/>
              <w:jc w:val="center"/>
              <w:rPr>
                <w:color w:val="000000"/>
                <w:sz w:val="20"/>
                <w:szCs w:val="20"/>
              </w:rPr>
            </w:pPr>
            <w:r w:rsidRPr="00242F5C">
              <w:rPr>
                <w:color w:val="000000"/>
                <w:sz w:val="20"/>
                <w:szCs w:val="20"/>
              </w:rPr>
              <w:t>1 (0.8%)</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F6E96" w14:textId="1B7DB2BF" w:rsidR="00FB2754" w:rsidRPr="00242F5C" w:rsidRDefault="00184B5D" w:rsidP="004D20E7">
            <w:pPr>
              <w:spacing w:line="480" w:lineRule="auto"/>
              <w:jc w:val="center"/>
              <w:rPr>
                <w:color w:val="000000"/>
                <w:sz w:val="20"/>
                <w:szCs w:val="20"/>
              </w:rPr>
            </w:pPr>
            <w:r w:rsidRPr="00242F5C">
              <w:rPr>
                <w:color w:val="000000"/>
                <w:sz w:val="20"/>
                <w:szCs w:val="20"/>
              </w:rPr>
              <w:t>5 (3.1%)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23C40" w14:textId="7B35D6E7" w:rsidR="00FB2754" w:rsidRPr="00242F5C" w:rsidRDefault="00184B5D" w:rsidP="004D20E7">
            <w:pPr>
              <w:spacing w:line="480" w:lineRule="auto"/>
              <w:jc w:val="center"/>
              <w:rPr>
                <w:color w:val="000000"/>
                <w:sz w:val="20"/>
                <w:szCs w:val="20"/>
              </w:rPr>
            </w:pPr>
            <w:r w:rsidRPr="00242F5C">
              <w:rPr>
                <w:color w:val="000000"/>
                <w:sz w:val="20"/>
                <w:szCs w:val="20"/>
              </w:rPr>
              <w:t>0.065</w:t>
            </w:r>
          </w:p>
        </w:tc>
      </w:tr>
      <w:tr w:rsidR="00FB2754" w:rsidRPr="00242F5C" w14:paraId="074D3D83"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6E72B" w14:textId="49542BF3" w:rsidR="00FB2754" w:rsidRPr="00242F5C" w:rsidRDefault="00184B5D" w:rsidP="004D20E7">
            <w:pPr>
              <w:spacing w:line="480" w:lineRule="auto"/>
              <w:rPr>
                <w:b/>
                <w:bCs/>
                <w:color w:val="000000"/>
                <w:sz w:val="20"/>
                <w:szCs w:val="20"/>
              </w:rPr>
            </w:pPr>
            <w:r w:rsidRPr="00242F5C">
              <w:rPr>
                <w:b/>
                <w:bCs/>
                <w:color w:val="000000"/>
                <w:sz w:val="20"/>
                <w:szCs w:val="20"/>
              </w:rPr>
              <w:t>Liver Metastases</w:t>
            </w:r>
            <w:r w:rsidRPr="00242F5C">
              <w:rPr>
                <w:b/>
                <w:bCs/>
                <w:color w:val="000000"/>
                <w:sz w:val="20"/>
                <w:szCs w:val="20"/>
                <w:vertAlign w:val="superscript"/>
              </w:rPr>
              <w:t>b</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F3125" w14:textId="27DAE782" w:rsidR="00FB2754" w:rsidRPr="00242F5C" w:rsidRDefault="00184B5D" w:rsidP="004D20E7">
            <w:pPr>
              <w:spacing w:line="480" w:lineRule="auto"/>
              <w:jc w:val="center"/>
              <w:rPr>
                <w:color w:val="000000"/>
                <w:sz w:val="20"/>
                <w:szCs w:val="20"/>
              </w:rPr>
            </w:pPr>
            <w:r w:rsidRPr="00242F5C">
              <w:rPr>
                <w:color w:val="000000"/>
                <w:sz w:val="20"/>
                <w:szCs w:val="20"/>
              </w:rPr>
              <w:t>34 (26.2%)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D07B9" w14:textId="08D9B5B9" w:rsidR="00FB2754" w:rsidRPr="00242F5C" w:rsidRDefault="00184B5D" w:rsidP="004D20E7">
            <w:pPr>
              <w:spacing w:line="480" w:lineRule="auto"/>
              <w:jc w:val="center"/>
              <w:rPr>
                <w:color w:val="000000"/>
                <w:sz w:val="20"/>
                <w:szCs w:val="20"/>
              </w:rPr>
            </w:pPr>
            <w:r w:rsidRPr="00242F5C">
              <w:rPr>
                <w:color w:val="000000"/>
                <w:sz w:val="20"/>
                <w:szCs w:val="20"/>
              </w:rPr>
              <w:t>50 (31.3%)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E0F49" w14:textId="488A1BCE" w:rsidR="00FB2754" w:rsidRPr="00242F5C" w:rsidRDefault="00184B5D" w:rsidP="004D20E7">
            <w:pPr>
              <w:spacing w:line="480" w:lineRule="auto"/>
              <w:jc w:val="center"/>
              <w:rPr>
                <w:color w:val="000000"/>
                <w:sz w:val="20"/>
                <w:szCs w:val="20"/>
              </w:rPr>
            </w:pPr>
            <w:r w:rsidRPr="00242F5C">
              <w:rPr>
                <w:color w:val="000000"/>
                <w:sz w:val="20"/>
                <w:szCs w:val="20"/>
              </w:rPr>
              <w:t>0.110</w:t>
            </w:r>
          </w:p>
        </w:tc>
      </w:tr>
      <w:tr w:rsidR="00FB2754" w:rsidRPr="00242F5C" w14:paraId="65509A72"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DC247" w14:textId="1A538B82" w:rsidR="00FB2754" w:rsidRPr="00242F5C" w:rsidRDefault="00184B5D" w:rsidP="004D20E7">
            <w:pPr>
              <w:spacing w:line="480" w:lineRule="auto"/>
              <w:rPr>
                <w:color w:val="000000"/>
                <w:sz w:val="20"/>
                <w:szCs w:val="20"/>
              </w:rPr>
            </w:pPr>
            <w:r w:rsidRPr="00242F5C">
              <w:rPr>
                <w:b/>
                <w:sz w:val="20"/>
                <w:szCs w:val="20"/>
              </w:rPr>
              <w:t>Hemoglobin, g/dL; Median (IQR)</w:t>
            </w:r>
            <w:r w:rsidRPr="00242F5C">
              <w:rPr>
                <w:b/>
                <w:sz w:val="20"/>
                <w:szCs w:val="20"/>
                <w:vertAlign w:val="superscript"/>
              </w:rPr>
              <w:t>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2EF05" w14:textId="7674D9FD" w:rsidR="00FB2754" w:rsidRPr="00242F5C" w:rsidRDefault="00184B5D" w:rsidP="004D20E7">
            <w:pPr>
              <w:spacing w:line="480" w:lineRule="auto"/>
              <w:jc w:val="center"/>
              <w:rPr>
                <w:color w:val="000000"/>
                <w:sz w:val="20"/>
                <w:szCs w:val="20"/>
              </w:rPr>
            </w:pPr>
            <w:r w:rsidRPr="00242F5C">
              <w:rPr>
                <w:bCs/>
                <w:sz w:val="20"/>
                <w:szCs w:val="20"/>
              </w:rPr>
              <w:t>11.9 (10.7-13.1)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84266" w14:textId="7BDBAABB" w:rsidR="00FB2754" w:rsidRPr="00242F5C" w:rsidRDefault="00184B5D" w:rsidP="004D20E7">
            <w:pPr>
              <w:spacing w:line="480" w:lineRule="auto"/>
              <w:jc w:val="center"/>
              <w:rPr>
                <w:sz w:val="20"/>
                <w:szCs w:val="20"/>
              </w:rPr>
            </w:pPr>
            <w:r w:rsidRPr="00242F5C">
              <w:rPr>
                <w:bCs/>
                <w:sz w:val="20"/>
                <w:szCs w:val="20"/>
              </w:rPr>
              <w:t>11.1 (10.1-12.5)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803A4" w14:textId="7E429C23" w:rsidR="00FB2754" w:rsidRPr="00242F5C" w:rsidRDefault="00184B5D" w:rsidP="004D20E7">
            <w:pPr>
              <w:spacing w:line="480" w:lineRule="auto"/>
              <w:jc w:val="center"/>
              <w:rPr>
                <w:color w:val="000000"/>
                <w:sz w:val="20"/>
                <w:szCs w:val="20"/>
              </w:rPr>
            </w:pPr>
            <w:r w:rsidRPr="00242F5C">
              <w:rPr>
                <w:bCs/>
                <w:sz w:val="20"/>
                <w:szCs w:val="20"/>
              </w:rPr>
              <w:t>0.004</w:t>
            </w:r>
          </w:p>
        </w:tc>
      </w:tr>
      <w:tr w:rsidR="00FB2754" w:rsidRPr="00242F5C" w14:paraId="14E7BD78"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A0E43" w14:textId="4EC91730" w:rsidR="00FB2754" w:rsidRPr="00242F5C" w:rsidRDefault="00184B5D" w:rsidP="004D20E7">
            <w:pPr>
              <w:spacing w:line="480" w:lineRule="auto"/>
              <w:rPr>
                <w:color w:val="000000"/>
                <w:sz w:val="20"/>
                <w:szCs w:val="20"/>
              </w:rPr>
            </w:pPr>
            <w:r w:rsidRPr="00242F5C">
              <w:rPr>
                <w:b/>
                <w:sz w:val="20"/>
                <w:szCs w:val="20"/>
              </w:rPr>
              <w:t>Albumin, g/dL; Median (IQR)</w:t>
            </w:r>
            <w:r w:rsidRPr="00242F5C">
              <w:rPr>
                <w:b/>
                <w:sz w:val="20"/>
                <w:szCs w:val="20"/>
                <w:vertAlign w:val="superscript"/>
              </w:rPr>
              <w:t>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1DC36" w14:textId="3CE1B1C7" w:rsidR="00FB2754" w:rsidRPr="00242F5C" w:rsidRDefault="00184B5D" w:rsidP="004D20E7">
            <w:pPr>
              <w:spacing w:line="480" w:lineRule="auto"/>
              <w:jc w:val="center"/>
              <w:rPr>
                <w:color w:val="000000"/>
                <w:sz w:val="20"/>
                <w:szCs w:val="20"/>
              </w:rPr>
            </w:pPr>
            <w:r w:rsidRPr="00242F5C">
              <w:rPr>
                <w:bCs/>
                <w:sz w:val="20"/>
                <w:szCs w:val="20"/>
              </w:rPr>
              <w:t>3.8 (3.4-4.1)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9BC1C" w14:textId="396DE61A" w:rsidR="00FB2754" w:rsidRPr="00242F5C" w:rsidRDefault="00184B5D" w:rsidP="004D20E7">
            <w:pPr>
              <w:spacing w:line="480" w:lineRule="auto"/>
              <w:jc w:val="center"/>
              <w:rPr>
                <w:sz w:val="20"/>
                <w:szCs w:val="20"/>
              </w:rPr>
            </w:pPr>
            <w:r w:rsidRPr="00242F5C">
              <w:rPr>
                <w:bCs/>
                <w:sz w:val="20"/>
                <w:szCs w:val="20"/>
              </w:rPr>
              <w:t>3.6 (3.3-3.9)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27CB9" w14:textId="48213FDF" w:rsidR="00FB2754" w:rsidRPr="00242F5C" w:rsidRDefault="00184B5D" w:rsidP="004D20E7">
            <w:pPr>
              <w:spacing w:line="480" w:lineRule="auto"/>
              <w:jc w:val="center"/>
              <w:rPr>
                <w:color w:val="000000"/>
                <w:sz w:val="20"/>
                <w:szCs w:val="20"/>
              </w:rPr>
            </w:pPr>
            <w:r w:rsidRPr="00242F5C">
              <w:rPr>
                <w:bCs/>
                <w:sz w:val="20"/>
                <w:szCs w:val="20"/>
              </w:rPr>
              <w:t>0.431</w:t>
            </w:r>
          </w:p>
        </w:tc>
      </w:tr>
      <w:tr w:rsidR="00FB2754" w:rsidRPr="00242F5C" w14:paraId="10B11B50"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00565" w14:textId="6438F679" w:rsidR="00FB2754" w:rsidRPr="00242F5C" w:rsidRDefault="00184B5D" w:rsidP="004D20E7">
            <w:pPr>
              <w:spacing w:line="480" w:lineRule="auto"/>
              <w:rPr>
                <w:color w:val="000000"/>
                <w:sz w:val="20"/>
                <w:szCs w:val="20"/>
              </w:rPr>
            </w:pPr>
            <w:r w:rsidRPr="00242F5C">
              <w:rPr>
                <w:b/>
                <w:sz w:val="20"/>
                <w:szCs w:val="20"/>
              </w:rPr>
              <w:t>Creatinine, mg/dL; Median (IQR)</w:t>
            </w:r>
            <w:r w:rsidRPr="00242F5C">
              <w:rPr>
                <w:b/>
                <w:sz w:val="20"/>
                <w:szCs w:val="20"/>
                <w:vertAlign w:val="superscript"/>
              </w:rPr>
              <w:t>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BC057" w14:textId="094415C4" w:rsidR="00FB2754" w:rsidRPr="00242F5C" w:rsidRDefault="00184B5D" w:rsidP="004D20E7">
            <w:pPr>
              <w:spacing w:line="480" w:lineRule="auto"/>
              <w:jc w:val="center"/>
              <w:rPr>
                <w:color w:val="000000"/>
                <w:sz w:val="20"/>
                <w:szCs w:val="20"/>
              </w:rPr>
            </w:pPr>
            <w:r w:rsidRPr="00242F5C">
              <w:rPr>
                <w:bCs/>
                <w:sz w:val="20"/>
                <w:szCs w:val="20"/>
              </w:rPr>
              <w:t>1.2 (1.0-1.5)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EC2D7" w14:textId="1403B1BC" w:rsidR="00FB2754" w:rsidRPr="00242F5C" w:rsidRDefault="00184B5D" w:rsidP="004D20E7">
            <w:pPr>
              <w:spacing w:line="480" w:lineRule="auto"/>
              <w:jc w:val="center"/>
              <w:rPr>
                <w:sz w:val="20"/>
                <w:szCs w:val="20"/>
              </w:rPr>
            </w:pPr>
            <w:r w:rsidRPr="00242F5C">
              <w:rPr>
                <w:bCs/>
                <w:sz w:val="20"/>
                <w:szCs w:val="20"/>
              </w:rPr>
              <w:t>1.2 (0.9-1.5)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5880D" w14:textId="6CC62F3E" w:rsidR="00FB2754" w:rsidRPr="00242F5C" w:rsidRDefault="00184B5D" w:rsidP="004D20E7">
            <w:pPr>
              <w:spacing w:line="480" w:lineRule="auto"/>
              <w:jc w:val="center"/>
              <w:rPr>
                <w:color w:val="000000"/>
                <w:sz w:val="20"/>
                <w:szCs w:val="20"/>
              </w:rPr>
            </w:pPr>
            <w:r w:rsidRPr="00242F5C">
              <w:rPr>
                <w:bCs/>
                <w:sz w:val="20"/>
                <w:szCs w:val="20"/>
              </w:rPr>
              <w:t>0.448</w:t>
            </w:r>
          </w:p>
        </w:tc>
      </w:tr>
      <w:tr w:rsidR="00FB2754" w:rsidRPr="00242F5C" w14:paraId="375CF501"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E9F3" w14:textId="7BB2FF0D" w:rsidR="00FB2754" w:rsidRPr="00242F5C" w:rsidRDefault="00184B5D" w:rsidP="004D20E7">
            <w:pPr>
              <w:spacing w:line="480" w:lineRule="auto"/>
              <w:rPr>
                <w:b/>
                <w:bCs/>
                <w:color w:val="000000"/>
                <w:sz w:val="20"/>
                <w:szCs w:val="20"/>
              </w:rPr>
            </w:pPr>
            <w:r w:rsidRPr="00242F5C">
              <w:rPr>
                <w:b/>
                <w:bCs/>
                <w:color w:val="000000"/>
                <w:sz w:val="20"/>
                <w:szCs w:val="20"/>
              </w:rPr>
              <w:t>Number of fPBC Cycles Received</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1CCCB" w14:textId="77777777" w:rsidR="00FB2754" w:rsidRPr="00242F5C" w:rsidRDefault="00FB2754" w:rsidP="004D20E7">
            <w:pPr>
              <w:spacing w:line="480" w:lineRule="auto"/>
              <w:jc w:val="center"/>
              <w:rPr>
                <w:b/>
                <w:bCs/>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A6675" w14:textId="77777777" w:rsidR="00FB2754" w:rsidRPr="00242F5C" w:rsidRDefault="00FB2754" w:rsidP="004D20E7">
            <w:pPr>
              <w:spacing w:line="480" w:lineRule="auto"/>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96E65" w14:textId="07D2D8BD" w:rsidR="00FB2754" w:rsidRPr="00242F5C" w:rsidRDefault="00184B5D" w:rsidP="004D20E7">
            <w:pPr>
              <w:spacing w:line="480" w:lineRule="auto"/>
              <w:jc w:val="center"/>
              <w:rPr>
                <w:color w:val="000000"/>
                <w:sz w:val="20"/>
                <w:szCs w:val="20"/>
              </w:rPr>
            </w:pPr>
            <w:r w:rsidRPr="00242F5C">
              <w:rPr>
                <w:color w:val="000000"/>
                <w:sz w:val="20"/>
                <w:szCs w:val="20"/>
              </w:rPr>
              <w:t>0.621</w:t>
            </w:r>
          </w:p>
        </w:tc>
      </w:tr>
      <w:tr w:rsidR="00FB2754" w:rsidRPr="00242F5C" w14:paraId="1622FCD4"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FF8D0" w14:textId="60EE9970" w:rsidR="00FB2754" w:rsidRPr="00242F5C" w:rsidRDefault="00184B5D" w:rsidP="004D20E7">
            <w:pPr>
              <w:spacing w:line="480" w:lineRule="auto"/>
              <w:ind w:left="153"/>
              <w:rPr>
                <w:color w:val="000000"/>
                <w:sz w:val="20"/>
                <w:szCs w:val="20"/>
              </w:rPr>
            </w:pPr>
            <w:r w:rsidRPr="00242F5C">
              <w:rPr>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9080C" w14:textId="147E772D" w:rsidR="00FB2754" w:rsidRPr="00242F5C" w:rsidRDefault="00184B5D" w:rsidP="004D20E7">
            <w:pPr>
              <w:spacing w:line="480" w:lineRule="auto"/>
              <w:jc w:val="center"/>
              <w:rPr>
                <w:color w:val="000000"/>
                <w:sz w:val="20"/>
                <w:szCs w:val="20"/>
              </w:rPr>
            </w:pPr>
            <w:r w:rsidRPr="00242F5C">
              <w:rPr>
                <w:color w:val="000000"/>
                <w:sz w:val="20"/>
                <w:szCs w:val="20"/>
              </w:rPr>
              <w:t>13 (9.6%)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68EF3" w14:textId="5AE1AF85" w:rsidR="00FB2754" w:rsidRPr="00242F5C" w:rsidRDefault="00184B5D" w:rsidP="004D20E7">
            <w:pPr>
              <w:spacing w:line="480" w:lineRule="auto"/>
              <w:jc w:val="center"/>
              <w:rPr>
                <w:color w:val="000000"/>
                <w:sz w:val="20"/>
                <w:szCs w:val="20"/>
              </w:rPr>
            </w:pPr>
            <w:r w:rsidRPr="00242F5C">
              <w:rPr>
                <w:color w:val="000000"/>
                <w:sz w:val="20"/>
                <w:szCs w:val="20"/>
              </w:rPr>
              <w:t>14 (8.7%)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CAE7" w14:textId="3F1710E3" w:rsidR="00FB2754" w:rsidRPr="00242F5C" w:rsidRDefault="00FB2754" w:rsidP="004D20E7">
            <w:pPr>
              <w:spacing w:line="480" w:lineRule="auto"/>
              <w:jc w:val="center"/>
              <w:rPr>
                <w:color w:val="000000"/>
                <w:sz w:val="20"/>
                <w:szCs w:val="20"/>
              </w:rPr>
            </w:pPr>
          </w:p>
        </w:tc>
      </w:tr>
      <w:tr w:rsidR="00FB2754" w:rsidRPr="00242F5C" w14:paraId="125855D3"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9FC9F" w14:textId="20AC2197" w:rsidR="00FB2754" w:rsidRPr="00242F5C" w:rsidRDefault="00184B5D" w:rsidP="004D20E7">
            <w:pPr>
              <w:spacing w:line="480" w:lineRule="auto"/>
              <w:ind w:left="153"/>
              <w:rPr>
                <w:color w:val="000000"/>
                <w:sz w:val="20"/>
                <w:szCs w:val="20"/>
              </w:rPr>
            </w:pPr>
            <w:r w:rsidRPr="00242F5C">
              <w:rPr>
                <w:color w:val="000000"/>
                <w:sz w:val="20"/>
                <w:szCs w:val="20"/>
              </w:rPr>
              <w:t>3-4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5506" w14:textId="175EC6C4" w:rsidR="00FB2754" w:rsidRPr="00242F5C" w:rsidRDefault="00184B5D" w:rsidP="004D20E7">
            <w:pPr>
              <w:spacing w:line="480" w:lineRule="auto"/>
              <w:jc w:val="center"/>
              <w:rPr>
                <w:color w:val="000000"/>
                <w:sz w:val="20"/>
                <w:szCs w:val="20"/>
              </w:rPr>
            </w:pPr>
            <w:r w:rsidRPr="00242F5C">
              <w:rPr>
                <w:color w:val="000000"/>
                <w:sz w:val="20"/>
                <w:szCs w:val="20"/>
              </w:rPr>
              <w:t>42 (31.1%)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3AB49" w14:textId="424C5E76" w:rsidR="00FB2754" w:rsidRPr="00242F5C" w:rsidRDefault="00184B5D" w:rsidP="004D20E7">
            <w:pPr>
              <w:spacing w:line="480" w:lineRule="auto"/>
              <w:jc w:val="center"/>
              <w:rPr>
                <w:color w:val="000000"/>
                <w:sz w:val="20"/>
                <w:szCs w:val="20"/>
              </w:rPr>
            </w:pPr>
            <w:r w:rsidRPr="00242F5C">
              <w:rPr>
                <w:color w:val="000000"/>
                <w:sz w:val="20"/>
                <w:szCs w:val="20"/>
              </w:rPr>
              <w:t>47 (29.2%)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DCC6" w14:textId="7877F1C5" w:rsidR="00FB2754" w:rsidRPr="00242F5C" w:rsidRDefault="00FB2754" w:rsidP="004D20E7">
            <w:pPr>
              <w:spacing w:line="480" w:lineRule="auto"/>
              <w:jc w:val="center"/>
              <w:rPr>
                <w:color w:val="000000"/>
                <w:sz w:val="20"/>
                <w:szCs w:val="20"/>
              </w:rPr>
            </w:pPr>
          </w:p>
        </w:tc>
      </w:tr>
      <w:tr w:rsidR="00FB2754" w:rsidRPr="00242F5C" w14:paraId="28B0786F"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1347A" w14:textId="6C5BD02D" w:rsidR="00FB2754" w:rsidRPr="00242F5C" w:rsidRDefault="00184B5D" w:rsidP="004D20E7">
            <w:pPr>
              <w:spacing w:line="480" w:lineRule="auto"/>
              <w:ind w:left="153"/>
              <w:rPr>
                <w:color w:val="000000"/>
                <w:sz w:val="20"/>
                <w:szCs w:val="20"/>
              </w:rPr>
            </w:pPr>
            <w:r w:rsidRPr="00242F5C">
              <w:rPr>
                <w:color w:val="000000"/>
                <w:sz w:val="20"/>
                <w:szCs w:val="20"/>
              </w:rPr>
              <w:t>5-6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70856" w14:textId="4A400D12" w:rsidR="00FB2754" w:rsidRPr="00242F5C" w:rsidRDefault="00184B5D" w:rsidP="004D20E7">
            <w:pPr>
              <w:spacing w:line="480" w:lineRule="auto"/>
              <w:jc w:val="center"/>
              <w:rPr>
                <w:color w:val="000000"/>
                <w:sz w:val="20"/>
                <w:szCs w:val="20"/>
              </w:rPr>
            </w:pPr>
            <w:r w:rsidRPr="00242F5C">
              <w:rPr>
                <w:color w:val="000000"/>
                <w:sz w:val="20"/>
                <w:szCs w:val="20"/>
              </w:rPr>
              <w:t>68 (50.4%)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780D0" w14:textId="326D7CA2" w:rsidR="00FB2754" w:rsidRPr="00242F5C" w:rsidRDefault="00184B5D" w:rsidP="004D20E7">
            <w:pPr>
              <w:spacing w:line="480" w:lineRule="auto"/>
              <w:jc w:val="center"/>
              <w:rPr>
                <w:color w:val="000000"/>
                <w:sz w:val="20"/>
                <w:szCs w:val="20"/>
              </w:rPr>
            </w:pPr>
            <w:r w:rsidRPr="00242F5C">
              <w:rPr>
                <w:color w:val="000000"/>
                <w:sz w:val="20"/>
                <w:szCs w:val="20"/>
              </w:rPr>
              <w:t>76 (47.2%)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5A6E6" w14:textId="2C831385" w:rsidR="00FB2754" w:rsidRPr="00242F5C" w:rsidRDefault="00FB2754" w:rsidP="004D20E7">
            <w:pPr>
              <w:spacing w:line="480" w:lineRule="auto"/>
              <w:jc w:val="center"/>
              <w:rPr>
                <w:color w:val="000000"/>
                <w:sz w:val="20"/>
                <w:szCs w:val="20"/>
              </w:rPr>
            </w:pPr>
          </w:p>
        </w:tc>
      </w:tr>
      <w:tr w:rsidR="00FB2754" w:rsidRPr="00242F5C" w14:paraId="29DBCA29"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8FA9E" w14:textId="1B8546A2" w:rsidR="00FB2754" w:rsidRPr="00242F5C" w:rsidRDefault="00184B5D" w:rsidP="004D20E7">
            <w:pPr>
              <w:spacing w:line="480" w:lineRule="auto"/>
              <w:ind w:left="153"/>
              <w:rPr>
                <w:color w:val="000000"/>
                <w:sz w:val="20"/>
                <w:szCs w:val="20"/>
              </w:rPr>
            </w:pPr>
            <w:r w:rsidRPr="00242F5C">
              <w:rPr>
                <w:color w:val="222222"/>
                <w:sz w:val="20"/>
                <w:szCs w:val="20"/>
                <w:shd w:val="clear" w:color="auto" w:fill="FFFFFF"/>
              </w:rPr>
              <w:t>≥</w:t>
            </w:r>
            <w:r w:rsidRPr="00242F5C">
              <w:rPr>
                <w:color w:val="000000"/>
                <w:sz w:val="20"/>
                <w:szCs w:val="20"/>
              </w:rPr>
              <w:t>7</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32D08" w14:textId="25C5833F" w:rsidR="00FB2754" w:rsidRPr="00242F5C" w:rsidRDefault="00184B5D" w:rsidP="004D20E7">
            <w:pPr>
              <w:spacing w:line="480" w:lineRule="auto"/>
              <w:jc w:val="center"/>
              <w:rPr>
                <w:color w:val="000000"/>
                <w:sz w:val="20"/>
                <w:szCs w:val="20"/>
              </w:rPr>
            </w:pPr>
            <w:r w:rsidRPr="00242F5C">
              <w:rPr>
                <w:color w:val="000000"/>
                <w:sz w:val="20"/>
                <w:szCs w:val="20"/>
              </w:rPr>
              <w:t>12 (8.9%)</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5723" w14:textId="7B31FDF6" w:rsidR="00FB2754" w:rsidRPr="00242F5C" w:rsidRDefault="00184B5D" w:rsidP="004D20E7">
            <w:pPr>
              <w:spacing w:line="480" w:lineRule="auto"/>
              <w:jc w:val="center"/>
              <w:rPr>
                <w:color w:val="000000"/>
                <w:sz w:val="20"/>
                <w:szCs w:val="20"/>
              </w:rPr>
            </w:pPr>
            <w:r w:rsidRPr="00242F5C">
              <w:rPr>
                <w:color w:val="000000"/>
                <w:sz w:val="20"/>
                <w:szCs w:val="20"/>
              </w:rPr>
              <w:t>24 (14.9%)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9B48" w14:textId="3B90A005" w:rsidR="00FB2754" w:rsidRPr="00242F5C" w:rsidRDefault="00FB2754" w:rsidP="004D20E7">
            <w:pPr>
              <w:spacing w:line="480" w:lineRule="auto"/>
              <w:jc w:val="center"/>
              <w:rPr>
                <w:color w:val="000000"/>
                <w:sz w:val="20"/>
                <w:szCs w:val="20"/>
              </w:rPr>
            </w:pPr>
          </w:p>
        </w:tc>
      </w:tr>
      <w:tr w:rsidR="00FB2754" w:rsidRPr="00242F5C" w14:paraId="7586ADA6"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ADF0B" w14:textId="62E8CF10" w:rsidR="00FB2754" w:rsidRPr="00242F5C" w:rsidRDefault="00184B5D" w:rsidP="004D20E7">
            <w:pPr>
              <w:spacing w:line="480" w:lineRule="auto"/>
              <w:rPr>
                <w:b/>
                <w:bCs/>
                <w:color w:val="000000"/>
                <w:sz w:val="20"/>
                <w:szCs w:val="20"/>
              </w:rPr>
            </w:pPr>
            <w:r w:rsidRPr="00242F5C">
              <w:rPr>
                <w:b/>
                <w:bCs/>
                <w:color w:val="000000"/>
                <w:sz w:val="20"/>
                <w:szCs w:val="20"/>
              </w:rPr>
              <w:t xml:space="preserve">Best Response to fPBC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B8A2E" w14:textId="77777777" w:rsidR="00FB2754" w:rsidRPr="00242F5C" w:rsidRDefault="00FB2754" w:rsidP="004D20E7">
            <w:pPr>
              <w:spacing w:line="480" w:lineRule="auto"/>
              <w:jc w:val="center"/>
              <w:rPr>
                <w:b/>
                <w:bCs/>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0D0BE" w14:textId="77777777" w:rsidR="00FB2754" w:rsidRPr="00242F5C" w:rsidRDefault="00FB2754" w:rsidP="004D20E7">
            <w:pPr>
              <w:spacing w:line="480" w:lineRule="auto"/>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4CE2F" w14:textId="55E506C1" w:rsidR="00FB2754" w:rsidRPr="00242F5C" w:rsidRDefault="00184B5D" w:rsidP="004D20E7">
            <w:pPr>
              <w:spacing w:line="480" w:lineRule="auto"/>
              <w:jc w:val="center"/>
              <w:rPr>
                <w:color w:val="000000"/>
                <w:sz w:val="20"/>
                <w:szCs w:val="20"/>
              </w:rPr>
            </w:pPr>
            <w:r w:rsidRPr="00242F5C">
              <w:rPr>
                <w:color w:val="000000"/>
                <w:sz w:val="20"/>
                <w:szCs w:val="20"/>
              </w:rPr>
              <w:t>0.030</w:t>
            </w:r>
          </w:p>
        </w:tc>
      </w:tr>
      <w:tr w:rsidR="00FB2754" w:rsidRPr="00242F5C" w14:paraId="05FEE567"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AB92" w14:textId="0EE1C22F" w:rsidR="00FB2754" w:rsidRPr="00242F5C" w:rsidRDefault="00184B5D" w:rsidP="004D20E7">
            <w:pPr>
              <w:spacing w:line="480" w:lineRule="auto"/>
              <w:ind w:left="153"/>
              <w:rPr>
                <w:color w:val="000000"/>
                <w:sz w:val="20"/>
                <w:szCs w:val="20"/>
              </w:rPr>
            </w:pPr>
            <w:r w:rsidRPr="00242F5C">
              <w:rPr>
                <w:color w:val="000000"/>
                <w:sz w:val="20"/>
                <w:szCs w:val="20"/>
              </w:rPr>
              <w:t>Complete Response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2DA07" w14:textId="72B71E63" w:rsidR="00FB2754" w:rsidRPr="00242F5C" w:rsidRDefault="00184B5D" w:rsidP="004D20E7">
            <w:pPr>
              <w:spacing w:line="480" w:lineRule="auto"/>
              <w:jc w:val="center"/>
              <w:rPr>
                <w:color w:val="000000"/>
                <w:sz w:val="20"/>
                <w:szCs w:val="20"/>
              </w:rPr>
            </w:pPr>
            <w:r w:rsidRPr="00242F5C">
              <w:rPr>
                <w:color w:val="000000"/>
                <w:sz w:val="20"/>
                <w:szCs w:val="20"/>
              </w:rPr>
              <w:t>16 (12.7%)</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31E27" w14:textId="7D94F6D4" w:rsidR="00FB2754" w:rsidRPr="00242F5C" w:rsidRDefault="00184B5D" w:rsidP="004D20E7">
            <w:pPr>
              <w:spacing w:line="480" w:lineRule="auto"/>
              <w:jc w:val="center"/>
              <w:rPr>
                <w:color w:val="000000"/>
                <w:sz w:val="20"/>
                <w:szCs w:val="20"/>
              </w:rPr>
            </w:pPr>
            <w:r w:rsidRPr="00242F5C">
              <w:rPr>
                <w:color w:val="000000"/>
                <w:sz w:val="20"/>
                <w:szCs w:val="20"/>
              </w:rPr>
              <w:t>7 (4.7%)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8F50" w14:textId="2745A614" w:rsidR="00FB2754" w:rsidRPr="00242F5C" w:rsidRDefault="00FB2754" w:rsidP="004D20E7">
            <w:pPr>
              <w:spacing w:line="480" w:lineRule="auto"/>
              <w:jc w:val="center"/>
              <w:rPr>
                <w:color w:val="000000"/>
                <w:sz w:val="20"/>
                <w:szCs w:val="20"/>
              </w:rPr>
            </w:pPr>
          </w:p>
        </w:tc>
      </w:tr>
      <w:tr w:rsidR="00FB2754" w:rsidRPr="00242F5C" w14:paraId="1BF634B5"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96D41" w14:textId="6FF731BD" w:rsidR="00FB2754" w:rsidRPr="00242F5C" w:rsidRDefault="00184B5D" w:rsidP="004D20E7">
            <w:pPr>
              <w:spacing w:line="480" w:lineRule="auto"/>
              <w:ind w:left="153"/>
              <w:rPr>
                <w:color w:val="000000"/>
                <w:sz w:val="20"/>
                <w:szCs w:val="20"/>
              </w:rPr>
            </w:pPr>
            <w:r w:rsidRPr="00242F5C">
              <w:rPr>
                <w:color w:val="000000"/>
                <w:sz w:val="20"/>
                <w:szCs w:val="20"/>
              </w:rPr>
              <w:lastRenderedPageBreak/>
              <w:t>Partial Response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1213E" w14:textId="17BD57AD" w:rsidR="00FB2754" w:rsidRPr="00242F5C" w:rsidRDefault="00184B5D" w:rsidP="004D20E7">
            <w:pPr>
              <w:spacing w:line="480" w:lineRule="auto"/>
              <w:jc w:val="center"/>
              <w:rPr>
                <w:color w:val="000000"/>
                <w:sz w:val="20"/>
                <w:szCs w:val="20"/>
              </w:rPr>
            </w:pPr>
            <w:r w:rsidRPr="00242F5C">
              <w:rPr>
                <w:color w:val="000000"/>
                <w:sz w:val="20"/>
                <w:szCs w:val="20"/>
              </w:rPr>
              <w:t>50 (39.7%)</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51E11" w14:textId="493CDEE0" w:rsidR="00FB2754" w:rsidRPr="00242F5C" w:rsidRDefault="00184B5D" w:rsidP="004D20E7">
            <w:pPr>
              <w:spacing w:line="480" w:lineRule="auto"/>
              <w:jc w:val="center"/>
              <w:rPr>
                <w:color w:val="000000"/>
                <w:sz w:val="20"/>
                <w:szCs w:val="20"/>
              </w:rPr>
            </w:pPr>
            <w:r w:rsidRPr="00242F5C">
              <w:rPr>
                <w:color w:val="000000"/>
                <w:sz w:val="20"/>
                <w:szCs w:val="20"/>
              </w:rPr>
              <w:t>47 (31.3%)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F4426" w14:textId="77777777" w:rsidR="00FB2754" w:rsidRPr="00242F5C" w:rsidRDefault="00FB2754" w:rsidP="004D20E7">
            <w:pPr>
              <w:spacing w:line="480" w:lineRule="auto"/>
              <w:jc w:val="center"/>
              <w:rPr>
                <w:color w:val="000000"/>
                <w:sz w:val="20"/>
                <w:szCs w:val="20"/>
              </w:rPr>
            </w:pPr>
          </w:p>
        </w:tc>
      </w:tr>
      <w:tr w:rsidR="00FB2754" w:rsidRPr="00242F5C" w14:paraId="004FEC82"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B0800" w14:textId="49F6D1FE" w:rsidR="00FB2754" w:rsidRPr="00242F5C" w:rsidRDefault="00184B5D" w:rsidP="004D20E7">
            <w:pPr>
              <w:spacing w:line="480" w:lineRule="auto"/>
              <w:ind w:left="153"/>
              <w:rPr>
                <w:color w:val="000000"/>
                <w:sz w:val="20"/>
                <w:szCs w:val="20"/>
              </w:rPr>
            </w:pPr>
            <w:r w:rsidRPr="00242F5C">
              <w:rPr>
                <w:color w:val="000000"/>
                <w:sz w:val="20"/>
                <w:szCs w:val="20"/>
              </w:rPr>
              <w:t>Stable Disease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EA42B" w14:textId="701C5BCD" w:rsidR="00FB2754" w:rsidRPr="00242F5C" w:rsidRDefault="00184B5D" w:rsidP="004D20E7">
            <w:pPr>
              <w:spacing w:line="480" w:lineRule="auto"/>
              <w:jc w:val="center"/>
              <w:rPr>
                <w:color w:val="000000"/>
                <w:sz w:val="20"/>
                <w:szCs w:val="20"/>
              </w:rPr>
            </w:pPr>
            <w:r w:rsidRPr="00242F5C">
              <w:rPr>
                <w:color w:val="000000"/>
                <w:sz w:val="20"/>
                <w:szCs w:val="20"/>
              </w:rPr>
              <w:t>29 (23.0%)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CD9FE" w14:textId="1794EE2B" w:rsidR="00FB2754" w:rsidRPr="00242F5C" w:rsidRDefault="00184B5D" w:rsidP="004D20E7">
            <w:pPr>
              <w:spacing w:line="480" w:lineRule="auto"/>
              <w:jc w:val="center"/>
              <w:rPr>
                <w:color w:val="000000"/>
                <w:sz w:val="20"/>
                <w:szCs w:val="20"/>
              </w:rPr>
            </w:pPr>
            <w:r w:rsidRPr="00242F5C">
              <w:rPr>
                <w:color w:val="000000"/>
                <w:sz w:val="20"/>
                <w:szCs w:val="20"/>
              </w:rPr>
              <w:t>41 (27.3%)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3ACFB" w14:textId="77777777" w:rsidR="00FB2754" w:rsidRPr="00242F5C" w:rsidRDefault="00FB2754" w:rsidP="004D20E7">
            <w:pPr>
              <w:spacing w:line="480" w:lineRule="auto"/>
              <w:jc w:val="center"/>
              <w:rPr>
                <w:color w:val="000000"/>
                <w:sz w:val="20"/>
                <w:szCs w:val="20"/>
              </w:rPr>
            </w:pPr>
          </w:p>
        </w:tc>
      </w:tr>
      <w:tr w:rsidR="00FB2754" w:rsidRPr="00242F5C" w14:paraId="5861A43F"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2F308" w14:textId="68A0F049" w:rsidR="00FB2754" w:rsidRPr="00242F5C" w:rsidRDefault="00184B5D" w:rsidP="004D20E7">
            <w:pPr>
              <w:spacing w:line="480" w:lineRule="auto"/>
              <w:ind w:left="153"/>
              <w:rPr>
                <w:color w:val="000000"/>
                <w:sz w:val="20"/>
                <w:szCs w:val="20"/>
              </w:rPr>
            </w:pPr>
            <w:r w:rsidRPr="00242F5C">
              <w:rPr>
                <w:color w:val="000000"/>
                <w:sz w:val="20"/>
                <w:szCs w:val="20"/>
              </w:rPr>
              <w:t>Progressive Disease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28247" w14:textId="3FD03850" w:rsidR="00FB2754" w:rsidRPr="00242F5C" w:rsidRDefault="00184B5D" w:rsidP="004D20E7">
            <w:pPr>
              <w:spacing w:line="480" w:lineRule="auto"/>
              <w:jc w:val="center"/>
              <w:rPr>
                <w:color w:val="000000"/>
                <w:sz w:val="20"/>
                <w:szCs w:val="20"/>
              </w:rPr>
            </w:pPr>
            <w:r w:rsidRPr="00242F5C">
              <w:rPr>
                <w:color w:val="000000"/>
                <w:sz w:val="20"/>
                <w:szCs w:val="20"/>
              </w:rPr>
              <w:t>31 (24.6%)</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CA7BF" w14:textId="72573AE5" w:rsidR="00FB2754" w:rsidRPr="00242F5C" w:rsidRDefault="00184B5D" w:rsidP="004D20E7">
            <w:pPr>
              <w:spacing w:line="480" w:lineRule="auto"/>
              <w:jc w:val="center"/>
              <w:rPr>
                <w:color w:val="000000"/>
                <w:sz w:val="20"/>
                <w:szCs w:val="20"/>
              </w:rPr>
            </w:pPr>
            <w:r w:rsidRPr="00242F5C">
              <w:rPr>
                <w:color w:val="000000"/>
                <w:sz w:val="20"/>
                <w:szCs w:val="20"/>
              </w:rPr>
              <w:t>55 (36.7%)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2EF2" w14:textId="77777777" w:rsidR="00FB2754" w:rsidRPr="00242F5C" w:rsidRDefault="00FB2754" w:rsidP="004D20E7">
            <w:pPr>
              <w:spacing w:line="480" w:lineRule="auto"/>
              <w:jc w:val="center"/>
              <w:rPr>
                <w:color w:val="000000"/>
                <w:sz w:val="20"/>
                <w:szCs w:val="20"/>
              </w:rPr>
            </w:pPr>
          </w:p>
        </w:tc>
      </w:tr>
      <w:tr w:rsidR="00FB2754" w:rsidRPr="00242F5C" w14:paraId="57C508FB"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88014" w14:textId="5B80A52E" w:rsidR="00FB2754" w:rsidRPr="00242F5C" w:rsidRDefault="00184B5D" w:rsidP="004D20E7">
            <w:pPr>
              <w:spacing w:line="480" w:lineRule="auto"/>
              <w:ind w:left="153" w:hanging="180"/>
              <w:rPr>
                <w:color w:val="000000"/>
                <w:sz w:val="20"/>
                <w:szCs w:val="20"/>
              </w:rPr>
            </w:pPr>
            <w:r w:rsidRPr="00242F5C">
              <w:rPr>
                <w:b/>
                <w:bCs/>
                <w:color w:val="000000"/>
                <w:sz w:val="20"/>
                <w:szCs w:val="20"/>
              </w:rPr>
              <w:t xml:space="preserve">Received Non-Chemotherapy Treatment between </w:t>
            </w:r>
            <w:r w:rsidRPr="00242F5C">
              <w:rPr>
                <w:b/>
                <w:bCs/>
                <w:color w:val="000000"/>
                <w:sz w:val="20"/>
                <w:szCs w:val="20"/>
              </w:rPr>
              <w:br/>
              <w:t>fPBC and sPBC/sNPBC</w:t>
            </w:r>
            <w:r w:rsidRPr="00242F5C">
              <w:rPr>
                <w:b/>
                <w:bCs/>
                <w:color w:val="000000"/>
                <w:sz w:val="20"/>
                <w:szCs w:val="20"/>
                <w:vertAlign w:val="superscript"/>
              </w:rPr>
              <w:t>d</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4A45" w14:textId="561A0ED8" w:rsidR="00FB2754" w:rsidRPr="00242F5C" w:rsidRDefault="00184B5D" w:rsidP="004D20E7">
            <w:pPr>
              <w:spacing w:line="480" w:lineRule="auto"/>
              <w:jc w:val="center"/>
              <w:rPr>
                <w:color w:val="000000"/>
                <w:sz w:val="20"/>
                <w:szCs w:val="20"/>
              </w:rPr>
            </w:pPr>
            <w:r w:rsidRPr="00242F5C">
              <w:rPr>
                <w:color w:val="000000"/>
                <w:sz w:val="20"/>
                <w:szCs w:val="20"/>
              </w:rPr>
              <w:t>6 (4.4%)</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C0C17" w14:textId="1C377DFD" w:rsidR="00FB2754" w:rsidRPr="00242F5C" w:rsidRDefault="00184B5D" w:rsidP="004D20E7">
            <w:pPr>
              <w:spacing w:line="480" w:lineRule="auto"/>
              <w:jc w:val="center"/>
              <w:rPr>
                <w:color w:val="000000"/>
                <w:sz w:val="20"/>
                <w:szCs w:val="20"/>
              </w:rPr>
            </w:pPr>
            <w:r w:rsidRPr="00242F5C">
              <w:rPr>
                <w:color w:val="000000"/>
                <w:sz w:val="20"/>
                <w:szCs w:val="20"/>
              </w:rPr>
              <w:t>6 (3.7%)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88BB9" w14:textId="09A12415" w:rsidR="00FB2754" w:rsidRPr="00242F5C" w:rsidRDefault="00184B5D" w:rsidP="004D20E7">
            <w:pPr>
              <w:spacing w:line="480" w:lineRule="auto"/>
              <w:jc w:val="center"/>
              <w:rPr>
                <w:color w:val="000000"/>
                <w:sz w:val="20"/>
                <w:szCs w:val="20"/>
              </w:rPr>
            </w:pPr>
            <w:r w:rsidRPr="00242F5C">
              <w:rPr>
                <w:color w:val="000000"/>
                <w:sz w:val="20"/>
                <w:szCs w:val="20"/>
              </w:rPr>
              <w:t>0.755</w:t>
            </w:r>
          </w:p>
        </w:tc>
      </w:tr>
      <w:tr w:rsidR="00FB2754" w:rsidRPr="00242F5C" w14:paraId="30740404" w14:textId="77777777" w:rsidTr="00FB2754">
        <w:trPr>
          <w:trHeight w:val="285"/>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B8BB" w14:textId="298ABC6F" w:rsidR="00FB2754" w:rsidRPr="00242F5C" w:rsidRDefault="00184B5D" w:rsidP="004D20E7">
            <w:pPr>
              <w:spacing w:line="480" w:lineRule="auto"/>
              <w:ind w:left="153" w:hanging="180"/>
              <w:rPr>
                <w:b/>
                <w:bCs/>
                <w:color w:val="000000"/>
                <w:sz w:val="20"/>
                <w:szCs w:val="20"/>
              </w:rPr>
            </w:pPr>
            <w:r w:rsidRPr="00242F5C">
              <w:rPr>
                <w:b/>
                <w:bCs/>
                <w:color w:val="000000"/>
                <w:sz w:val="20"/>
                <w:szCs w:val="20"/>
              </w:rPr>
              <w:t>Months Elapsed since fPBC; Median (IQR)</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A0B2" w14:textId="73C47735" w:rsidR="00FB2754" w:rsidRPr="00242F5C" w:rsidRDefault="00184B5D" w:rsidP="004D20E7">
            <w:pPr>
              <w:spacing w:line="480" w:lineRule="auto"/>
              <w:jc w:val="center"/>
              <w:rPr>
                <w:color w:val="000000"/>
                <w:sz w:val="20"/>
                <w:szCs w:val="20"/>
              </w:rPr>
            </w:pPr>
            <w:r w:rsidRPr="00242F5C">
              <w:rPr>
                <w:color w:val="000000"/>
                <w:sz w:val="20"/>
                <w:szCs w:val="20"/>
              </w:rPr>
              <w:t>4.4 (1.2-7.9)</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8A070" w14:textId="4706DCFA" w:rsidR="00FB2754" w:rsidRPr="00242F5C" w:rsidRDefault="00184B5D" w:rsidP="004D20E7">
            <w:pPr>
              <w:spacing w:line="480" w:lineRule="auto"/>
              <w:jc w:val="center"/>
              <w:rPr>
                <w:sz w:val="20"/>
                <w:szCs w:val="20"/>
              </w:rPr>
            </w:pPr>
            <w:r w:rsidRPr="00242F5C">
              <w:rPr>
                <w:color w:val="000000"/>
                <w:sz w:val="20"/>
                <w:szCs w:val="20"/>
              </w:rPr>
              <w:t>2.2 (0.9-5.6)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F9F03" w14:textId="4D123D5C" w:rsidR="00FB2754" w:rsidRPr="00242F5C" w:rsidRDefault="00184B5D" w:rsidP="004D20E7">
            <w:pPr>
              <w:spacing w:line="480" w:lineRule="auto"/>
              <w:jc w:val="center"/>
              <w:rPr>
                <w:color w:val="000000"/>
                <w:sz w:val="20"/>
                <w:szCs w:val="20"/>
              </w:rPr>
            </w:pPr>
            <w:r w:rsidRPr="00242F5C">
              <w:rPr>
                <w:color w:val="000000"/>
                <w:sz w:val="20"/>
                <w:szCs w:val="20"/>
              </w:rPr>
              <w:t>0.010</w:t>
            </w:r>
            <w:r w:rsidRPr="00242F5C">
              <w:rPr>
                <w:color w:val="000000"/>
                <w:sz w:val="20"/>
                <w:szCs w:val="20"/>
                <w:vertAlign w:val="superscript"/>
              </w:rPr>
              <w:t>e</w:t>
            </w:r>
          </w:p>
        </w:tc>
      </w:tr>
    </w:tbl>
    <w:p w14:paraId="6CBBF6F8" w14:textId="73F31BFA" w:rsidR="00FB2754" w:rsidRPr="00242F5C" w:rsidRDefault="00184B5D" w:rsidP="004D20E7">
      <w:pPr>
        <w:adjustRightInd w:val="0"/>
        <w:spacing w:before="160" w:line="480" w:lineRule="auto"/>
        <w:rPr>
          <w:sz w:val="20"/>
          <w:szCs w:val="20"/>
        </w:rPr>
      </w:pPr>
      <w:r w:rsidRPr="00242F5C">
        <w:rPr>
          <w:sz w:val="20"/>
          <w:szCs w:val="20"/>
        </w:rPr>
        <w:t>Abbreviations: sPBC, subsequent platinum-based chemotherapy; sNPBC, subsequent non-platinum-based chemotherapy; IQR, interquartile range; ECOG, Eastern Cooperative Oncology Group; fPBC, first-line platinum-based chemotherapy.</w:t>
      </w:r>
    </w:p>
    <w:p w14:paraId="1EFD62C2" w14:textId="046F8DCE" w:rsidR="00FB2754" w:rsidRPr="00242F5C" w:rsidRDefault="00184B5D" w:rsidP="004D20E7">
      <w:pPr>
        <w:adjustRightInd w:val="0"/>
        <w:spacing w:before="160" w:line="480" w:lineRule="auto"/>
        <w:rPr>
          <w:color w:val="000000"/>
          <w:sz w:val="20"/>
          <w:szCs w:val="20"/>
        </w:rPr>
      </w:pPr>
      <w:r w:rsidRPr="00242F5C">
        <w:rPr>
          <w:color w:val="000000"/>
          <w:sz w:val="20"/>
          <w:szCs w:val="20"/>
          <w:vertAlign w:val="superscript"/>
        </w:rPr>
        <w:t>a</w:t>
      </w:r>
      <w:r w:rsidRPr="00242F5C">
        <w:rPr>
          <w:color w:val="000000"/>
          <w:sz w:val="20"/>
          <w:szCs w:val="20"/>
        </w:rPr>
        <w:t>Total number of patients for some variables may be less than “n” due to missing values.</w:t>
      </w:r>
      <w:r w:rsidRPr="00242F5C">
        <w:rPr>
          <w:color w:val="000000"/>
          <w:sz w:val="20"/>
          <w:szCs w:val="20"/>
        </w:rPr>
        <w:br/>
      </w:r>
      <w:r w:rsidRPr="00242F5C">
        <w:rPr>
          <w:sz w:val="20"/>
          <w:szCs w:val="20"/>
          <w:vertAlign w:val="superscript"/>
        </w:rPr>
        <w:t>b</w:t>
      </w:r>
      <w:r w:rsidRPr="00242F5C">
        <w:rPr>
          <w:sz w:val="20"/>
          <w:szCs w:val="20"/>
        </w:rPr>
        <w:t>Presence of brain or liver metastases assessed at time of diagnosis with metastatic disease.</w:t>
      </w:r>
      <w:r w:rsidRPr="00242F5C">
        <w:rPr>
          <w:sz w:val="20"/>
          <w:szCs w:val="20"/>
        </w:rPr>
        <w:br/>
      </w:r>
      <w:r w:rsidRPr="00242F5C">
        <w:rPr>
          <w:sz w:val="20"/>
          <w:szCs w:val="20"/>
          <w:vertAlign w:val="superscript"/>
        </w:rPr>
        <w:t>c</w:t>
      </w:r>
      <w:r w:rsidRPr="00242F5C">
        <w:rPr>
          <w:sz w:val="20"/>
          <w:szCs w:val="20"/>
        </w:rPr>
        <w:t>Hemoglobin, albumin, and creatinine lab values assessed at time of initiation of fPBC.</w:t>
      </w:r>
      <w:r w:rsidRPr="00242F5C">
        <w:rPr>
          <w:sz w:val="20"/>
          <w:szCs w:val="20"/>
        </w:rPr>
        <w:br/>
      </w:r>
      <w:r w:rsidRPr="00242F5C">
        <w:rPr>
          <w:sz w:val="20"/>
          <w:szCs w:val="20"/>
          <w:vertAlign w:val="superscript"/>
        </w:rPr>
        <w:t>d</w:t>
      </w:r>
      <w:r w:rsidRPr="00242F5C">
        <w:rPr>
          <w:sz w:val="20"/>
          <w:szCs w:val="20"/>
        </w:rPr>
        <w:t>Treatment in between fPBC and sPBC/sNPBC included the drugs sunitinib, pazopanib, erlotinib, and cetuximab</w:t>
      </w:r>
      <w:r w:rsidRPr="00242F5C">
        <w:rPr>
          <w:sz w:val="20"/>
          <w:szCs w:val="20"/>
        </w:rPr>
        <w:br/>
      </w:r>
      <w:r w:rsidRPr="00242F5C">
        <w:rPr>
          <w:color w:val="000000"/>
          <w:sz w:val="20"/>
          <w:szCs w:val="20"/>
          <w:vertAlign w:val="superscript"/>
        </w:rPr>
        <w:t>e</w:t>
      </w:r>
      <w:r w:rsidRPr="00242F5C">
        <w:rPr>
          <w:color w:val="000000"/>
          <w:sz w:val="20"/>
          <w:szCs w:val="20"/>
        </w:rPr>
        <w:t>Mann-Whitney U test used to compare nonparametric data.</w:t>
      </w:r>
    </w:p>
    <w:p w14:paraId="5B782264" w14:textId="7A20C818" w:rsidR="00FB2754" w:rsidRPr="00242F5C" w:rsidRDefault="00184B5D" w:rsidP="004D20E7">
      <w:pPr>
        <w:adjustRightInd w:val="0"/>
        <w:spacing w:before="160" w:line="480" w:lineRule="auto"/>
      </w:pPr>
      <w:r w:rsidRPr="00242F5C">
        <w:br w:type="page"/>
      </w:r>
    </w:p>
    <w:p w14:paraId="2B36C50F" w14:textId="0BAA0029" w:rsidR="003871A8" w:rsidRPr="00242F5C" w:rsidRDefault="00184B5D" w:rsidP="004D20E7">
      <w:pPr>
        <w:adjustRightInd w:val="0"/>
        <w:spacing w:before="160" w:line="480" w:lineRule="auto"/>
        <w:rPr>
          <w:b/>
          <w:bCs/>
        </w:rPr>
      </w:pPr>
      <w:r w:rsidRPr="00242F5C">
        <w:rPr>
          <w:b/>
          <w:bCs/>
        </w:rPr>
        <w:lastRenderedPageBreak/>
        <w:t>Table 2 – Factors Associated with Overall and Progression-Free Survival, Multivaria</w:t>
      </w:r>
      <w:r w:rsidR="00980BCA">
        <w:rPr>
          <w:b/>
          <w:bCs/>
        </w:rPr>
        <w:t xml:space="preserve">ble </w:t>
      </w:r>
      <w:r w:rsidRPr="00242F5C">
        <w:rPr>
          <w:b/>
          <w:bCs/>
        </w:rPr>
        <w:t>Model</w:t>
      </w:r>
    </w:p>
    <w:tbl>
      <w:tblPr>
        <w:tblW w:w="51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9"/>
        <w:gridCol w:w="1508"/>
        <w:gridCol w:w="1436"/>
        <w:gridCol w:w="672"/>
        <w:gridCol w:w="1558"/>
        <w:gridCol w:w="1461"/>
        <w:gridCol w:w="631"/>
      </w:tblGrid>
      <w:tr w:rsidR="00FB2754" w:rsidRPr="00242F5C" w14:paraId="242B71CC" w14:textId="2DE6C023" w:rsidTr="00FB2754">
        <w:trPr>
          <w:trHeight w:val="285"/>
        </w:trPr>
        <w:tc>
          <w:tcPr>
            <w:tcW w:w="1260" w:type="pct"/>
            <w:vMerge w:val="restart"/>
            <w:shd w:val="clear" w:color="auto" w:fill="auto"/>
            <w:noWrap/>
            <w:vAlign w:val="center"/>
          </w:tcPr>
          <w:p w14:paraId="5D348C97" w14:textId="13D82470" w:rsidR="00FB2754" w:rsidRPr="00242F5C" w:rsidRDefault="00184B5D" w:rsidP="004D20E7">
            <w:pPr>
              <w:spacing w:line="480" w:lineRule="auto"/>
              <w:jc w:val="center"/>
              <w:rPr>
                <w:b/>
                <w:bCs/>
                <w:sz w:val="20"/>
                <w:szCs w:val="20"/>
              </w:rPr>
            </w:pPr>
            <w:r w:rsidRPr="00242F5C">
              <w:rPr>
                <w:b/>
                <w:bCs/>
                <w:sz w:val="20"/>
                <w:szCs w:val="20"/>
              </w:rPr>
              <w:t>Variable</w:t>
            </w:r>
          </w:p>
        </w:tc>
        <w:tc>
          <w:tcPr>
            <w:tcW w:w="1861" w:type="pct"/>
            <w:gridSpan w:val="3"/>
            <w:shd w:val="clear" w:color="auto" w:fill="auto"/>
            <w:noWrap/>
            <w:vAlign w:val="center"/>
          </w:tcPr>
          <w:p w14:paraId="1DFD9435" w14:textId="63BCA1EA" w:rsidR="00FB2754" w:rsidRPr="00242F5C" w:rsidRDefault="00184B5D" w:rsidP="004D20E7">
            <w:pPr>
              <w:spacing w:line="480" w:lineRule="auto"/>
              <w:jc w:val="center"/>
              <w:rPr>
                <w:b/>
                <w:sz w:val="20"/>
                <w:szCs w:val="20"/>
              </w:rPr>
            </w:pPr>
            <w:r w:rsidRPr="00242F5C">
              <w:rPr>
                <w:b/>
                <w:sz w:val="20"/>
                <w:szCs w:val="20"/>
              </w:rPr>
              <w:t>Risk of Death</w:t>
            </w:r>
          </w:p>
        </w:tc>
        <w:tc>
          <w:tcPr>
            <w:tcW w:w="1879" w:type="pct"/>
            <w:gridSpan w:val="3"/>
            <w:vAlign w:val="center"/>
          </w:tcPr>
          <w:p w14:paraId="0865DCFA" w14:textId="4EB5CCE9" w:rsidR="00FB2754" w:rsidRPr="00242F5C" w:rsidRDefault="00184B5D" w:rsidP="004D20E7">
            <w:pPr>
              <w:spacing w:line="480" w:lineRule="auto"/>
              <w:jc w:val="center"/>
              <w:rPr>
                <w:b/>
                <w:sz w:val="20"/>
                <w:szCs w:val="20"/>
              </w:rPr>
            </w:pPr>
            <w:r w:rsidRPr="00242F5C">
              <w:rPr>
                <w:b/>
                <w:sz w:val="20"/>
                <w:szCs w:val="20"/>
              </w:rPr>
              <w:t>Risk of Progression</w:t>
            </w:r>
          </w:p>
        </w:tc>
      </w:tr>
      <w:tr w:rsidR="00FB2754" w:rsidRPr="00242F5C" w14:paraId="1588EC57" w14:textId="46DB29A1" w:rsidTr="00FB2754">
        <w:trPr>
          <w:trHeight w:val="285"/>
        </w:trPr>
        <w:tc>
          <w:tcPr>
            <w:tcW w:w="1260" w:type="pct"/>
            <w:vMerge/>
            <w:shd w:val="clear" w:color="auto" w:fill="auto"/>
            <w:noWrap/>
            <w:vAlign w:val="center"/>
            <w:hideMark/>
          </w:tcPr>
          <w:p w14:paraId="46FFA6D7" w14:textId="1A0B47CA" w:rsidR="00FB2754" w:rsidRPr="00242F5C" w:rsidRDefault="00FB2754" w:rsidP="004D20E7">
            <w:pPr>
              <w:spacing w:line="480" w:lineRule="auto"/>
              <w:jc w:val="center"/>
              <w:rPr>
                <w:b/>
                <w:bCs/>
                <w:sz w:val="20"/>
                <w:szCs w:val="20"/>
              </w:rPr>
            </w:pPr>
          </w:p>
        </w:tc>
        <w:tc>
          <w:tcPr>
            <w:tcW w:w="776" w:type="pct"/>
            <w:shd w:val="clear" w:color="auto" w:fill="auto"/>
            <w:noWrap/>
            <w:vAlign w:val="center"/>
            <w:hideMark/>
          </w:tcPr>
          <w:p w14:paraId="58B0542E" w14:textId="3ABA2DD9" w:rsidR="00FB2754" w:rsidRPr="00242F5C" w:rsidRDefault="00184B5D" w:rsidP="004D20E7">
            <w:pPr>
              <w:spacing w:line="480" w:lineRule="auto"/>
              <w:jc w:val="center"/>
              <w:rPr>
                <w:b/>
                <w:bCs/>
                <w:sz w:val="20"/>
                <w:szCs w:val="20"/>
              </w:rPr>
            </w:pPr>
            <w:r w:rsidRPr="00242F5C">
              <w:rPr>
                <w:b/>
                <w:bCs/>
                <w:sz w:val="20"/>
                <w:szCs w:val="20"/>
              </w:rPr>
              <w:t>HR (95% CI)</w:t>
            </w:r>
          </w:p>
        </w:tc>
        <w:tc>
          <w:tcPr>
            <w:tcW w:w="739" w:type="pct"/>
            <w:shd w:val="clear" w:color="auto" w:fill="auto"/>
            <w:noWrap/>
            <w:vAlign w:val="center"/>
            <w:hideMark/>
          </w:tcPr>
          <w:p w14:paraId="7F9A4CE3" w14:textId="699B6ADA" w:rsidR="00FB2754" w:rsidRPr="00242F5C" w:rsidRDefault="00184B5D" w:rsidP="004D20E7">
            <w:pPr>
              <w:spacing w:line="480" w:lineRule="auto"/>
              <w:jc w:val="center"/>
              <w:rPr>
                <w:b/>
                <w:bCs/>
                <w:sz w:val="20"/>
                <w:szCs w:val="20"/>
              </w:rPr>
            </w:pPr>
            <w:r w:rsidRPr="00242F5C">
              <w:rPr>
                <w:b/>
                <w:sz w:val="20"/>
                <w:szCs w:val="20"/>
              </w:rPr>
              <w:t>Standard Error</w:t>
            </w:r>
          </w:p>
        </w:tc>
        <w:tc>
          <w:tcPr>
            <w:tcW w:w="346" w:type="pct"/>
            <w:shd w:val="clear" w:color="auto" w:fill="auto"/>
            <w:noWrap/>
            <w:vAlign w:val="center"/>
            <w:hideMark/>
          </w:tcPr>
          <w:p w14:paraId="5D849B0C" w14:textId="0CA071DB" w:rsidR="00FB2754" w:rsidRPr="00242F5C" w:rsidRDefault="00184B5D" w:rsidP="004D20E7">
            <w:pPr>
              <w:spacing w:line="480" w:lineRule="auto"/>
              <w:jc w:val="center"/>
              <w:rPr>
                <w:b/>
                <w:bCs/>
                <w:sz w:val="20"/>
                <w:szCs w:val="20"/>
              </w:rPr>
            </w:pPr>
            <w:r w:rsidRPr="00242F5C">
              <w:rPr>
                <w:b/>
                <w:sz w:val="20"/>
                <w:szCs w:val="20"/>
              </w:rPr>
              <w:t>χ</w:t>
            </w:r>
            <w:r w:rsidRPr="00242F5C">
              <w:rPr>
                <w:b/>
                <w:sz w:val="20"/>
                <w:szCs w:val="20"/>
                <w:vertAlign w:val="superscript"/>
              </w:rPr>
              <w:t>2</w:t>
            </w:r>
          </w:p>
        </w:tc>
        <w:tc>
          <w:tcPr>
            <w:tcW w:w="802" w:type="pct"/>
            <w:vAlign w:val="center"/>
          </w:tcPr>
          <w:p w14:paraId="7D3F05D4" w14:textId="33DF746D" w:rsidR="00FB2754" w:rsidRPr="00242F5C" w:rsidRDefault="00184B5D" w:rsidP="004D20E7">
            <w:pPr>
              <w:spacing w:line="480" w:lineRule="auto"/>
              <w:jc w:val="center"/>
              <w:rPr>
                <w:b/>
                <w:sz w:val="20"/>
                <w:szCs w:val="20"/>
              </w:rPr>
            </w:pPr>
            <w:r w:rsidRPr="00242F5C">
              <w:rPr>
                <w:b/>
                <w:bCs/>
                <w:sz w:val="20"/>
                <w:szCs w:val="20"/>
              </w:rPr>
              <w:t>HR (95% CI)</w:t>
            </w:r>
          </w:p>
        </w:tc>
        <w:tc>
          <w:tcPr>
            <w:tcW w:w="752" w:type="pct"/>
            <w:vAlign w:val="center"/>
          </w:tcPr>
          <w:p w14:paraId="5F22F550" w14:textId="2A28E96A" w:rsidR="00FB2754" w:rsidRPr="00242F5C" w:rsidRDefault="00184B5D" w:rsidP="004D20E7">
            <w:pPr>
              <w:spacing w:line="480" w:lineRule="auto"/>
              <w:jc w:val="center"/>
              <w:rPr>
                <w:b/>
                <w:sz w:val="20"/>
                <w:szCs w:val="20"/>
              </w:rPr>
            </w:pPr>
            <w:r w:rsidRPr="00242F5C">
              <w:rPr>
                <w:b/>
                <w:sz w:val="20"/>
                <w:szCs w:val="20"/>
              </w:rPr>
              <w:t>Standard Error</w:t>
            </w:r>
          </w:p>
        </w:tc>
        <w:tc>
          <w:tcPr>
            <w:tcW w:w="324" w:type="pct"/>
            <w:vAlign w:val="center"/>
          </w:tcPr>
          <w:p w14:paraId="60D8D1EA" w14:textId="7E8F5A26" w:rsidR="00FB2754" w:rsidRPr="00242F5C" w:rsidRDefault="00184B5D" w:rsidP="004D20E7">
            <w:pPr>
              <w:spacing w:line="480" w:lineRule="auto"/>
              <w:jc w:val="center"/>
              <w:rPr>
                <w:b/>
                <w:sz w:val="20"/>
                <w:szCs w:val="20"/>
              </w:rPr>
            </w:pPr>
            <w:r w:rsidRPr="00242F5C">
              <w:rPr>
                <w:b/>
                <w:sz w:val="20"/>
                <w:szCs w:val="20"/>
              </w:rPr>
              <w:t>χ</w:t>
            </w:r>
            <w:r w:rsidRPr="00242F5C">
              <w:rPr>
                <w:b/>
                <w:sz w:val="20"/>
                <w:szCs w:val="20"/>
                <w:vertAlign w:val="superscript"/>
              </w:rPr>
              <w:t>2</w:t>
            </w:r>
          </w:p>
        </w:tc>
      </w:tr>
      <w:tr w:rsidR="00FB2754" w:rsidRPr="00242F5C" w14:paraId="2068F705" w14:textId="78F9E255" w:rsidTr="00FB2754">
        <w:trPr>
          <w:trHeight w:val="285"/>
        </w:trPr>
        <w:tc>
          <w:tcPr>
            <w:tcW w:w="1260" w:type="pct"/>
            <w:shd w:val="clear" w:color="auto" w:fill="auto"/>
            <w:noWrap/>
            <w:vAlign w:val="center"/>
          </w:tcPr>
          <w:p w14:paraId="2A822009" w14:textId="4506877A" w:rsidR="00FB2754" w:rsidRPr="00242F5C" w:rsidRDefault="00184B5D" w:rsidP="004D20E7">
            <w:pPr>
              <w:spacing w:line="480" w:lineRule="auto"/>
              <w:rPr>
                <w:b/>
                <w:bCs/>
                <w:sz w:val="20"/>
                <w:szCs w:val="20"/>
              </w:rPr>
            </w:pPr>
            <w:r w:rsidRPr="00242F5C">
              <w:rPr>
                <w:b/>
                <w:bCs/>
                <w:sz w:val="20"/>
                <w:szCs w:val="20"/>
              </w:rPr>
              <w:t>sPBC vs. sNPBC</w:t>
            </w:r>
          </w:p>
        </w:tc>
        <w:tc>
          <w:tcPr>
            <w:tcW w:w="776" w:type="pct"/>
            <w:shd w:val="clear" w:color="auto" w:fill="auto"/>
            <w:noWrap/>
            <w:vAlign w:val="center"/>
          </w:tcPr>
          <w:p w14:paraId="5D13B9EE" w14:textId="55181C4D" w:rsidR="00FB2754" w:rsidRPr="00242F5C" w:rsidRDefault="00184B5D" w:rsidP="004D20E7">
            <w:pPr>
              <w:spacing w:line="480" w:lineRule="auto"/>
              <w:jc w:val="center"/>
              <w:rPr>
                <w:sz w:val="20"/>
                <w:szCs w:val="20"/>
              </w:rPr>
            </w:pPr>
            <w:r w:rsidRPr="00242F5C">
              <w:rPr>
                <w:sz w:val="20"/>
                <w:szCs w:val="20"/>
              </w:rPr>
              <w:t>0.72 (0.53-0.98)</w:t>
            </w:r>
          </w:p>
        </w:tc>
        <w:tc>
          <w:tcPr>
            <w:tcW w:w="739" w:type="pct"/>
            <w:shd w:val="clear" w:color="auto" w:fill="auto"/>
            <w:noWrap/>
            <w:vAlign w:val="center"/>
          </w:tcPr>
          <w:p w14:paraId="58D0D64C" w14:textId="14B274F3" w:rsidR="00FB2754" w:rsidRPr="00242F5C" w:rsidRDefault="00184B5D" w:rsidP="004D20E7">
            <w:pPr>
              <w:spacing w:line="480" w:lineRule="auto"/>
              <w:jc w:val="center"/>
              <w:rPr>
                <w:sz w:val="20"/>
                <w:szCs w:val="20"/>
              </w:rPr>
            </w:pPr>
            <w:r w:rsidRPr="00242F5C">
              <w:rPr>
                <w:sz w:val="20"/>
                <w:szCs w:val="20"/>
              </w:rPr>
              <w:t>0.16</w:t>
            </w:r>
          </w:p>
        </w:tc>
        <w:tc>
          <w:tcPr>
            <w:tcW w:w="346" w:type="pct"/>
            <w:shd w:val="clear" w:color="auto" w:fill="auto"/>
            <w:noWrap/>
            <w:vAlign w:val="center"/>
          </w:tcPr>
          <w:p w14:paraId="5EB9FE98" w14:textId="6BD9EA5E" w:rsidR="00FB2754" w:rsidRPr="00242F5C" w:rsidRDefault="00184B5D" w:rsidP="004D20E7">
            <w:pPr>
              <w:spacing w:line="480" w:lineRule="auto"/>
              <w:jc w:val="center"/>
              <w:rPr>
                <w:sz w:val="20"/>
                <w:szCs w:val="20"/>
              </w:rPr>
            </w:pPr>
            <w:r w:rsidRPr="00242F5C">
              <w:rPr>
                <w:sz w:val="20"/>
                <w:szCs w:val="20"/>
              </w:rPr>
              <w:t>0.035</w:t>
            </w:r>
          </w:p>
        </w:tc>
        <w:tc>
          <w:tcPr>
            <w:tcW w:w="802" w:type="pct"/>
            <w:vAlign w:val="center"/>
          </w:tcPr>
          <w:p w14:paraId="396C20F3" w14:textId="4297E0D0" w:rsidR="00FB2754" w:rsidRPr="00242F5C" w:rsidRDefault="00184B5D" w:rsidP="004D20E7">
            <w:pPr>
              <w:spacing w:line="480" w:lineRule="auto"/>
              <w:jc w:val="center"/>
              <w:rPr>
                <w:sz w:val="20"/>
                <w:szCs w:val="20"/>
              </w:rPr>
            </w:pPr>
            <w:r w:rsidRPr="00242F5C">
              <w:rPr>
                <w:sz w:val="20"/>
                <w:szCs w:val="20"/>
              </w:rPr>
              <w:t>0.83 (0.64-1.08)</w:t>
            </w:r>
          </w:p>
        </w:tc>
        <w:tc>
          <w:tcPr>
            <w:tcW w:w="752" w:type="pct"/>
            <w:vAlign w:val="center"/>
          </w:tcPr>
          <w:p w14:paraId="6F078DB1" w14:textId="26302E5E" w:rsidR="00FB2754" w:rsidRPr="00242F5C" w:rsidRDefault="00184B5D" w:rsidP="004D20E7">
            <w:pPr>
              <w:spacing w:line="480" w:lineRule="auto"/>
              <w:jc w:val="center"/>
              <w:rPr>
                <w:sz w:val="20"/>
                <w:szCs w:val="20"/>
              </w:rPr>
            </w:pPr>
            <w:r w:rsidRPr="00242F5C">
              <w:rPr>
                <w:sz w:val="20"/>
                <w:szCs w:val="20"/>
              </w:rPr>
              <w:t>0.13</w:t>
            </w:r>
          </w:p>
        </w:tc>
        <w:tc>
          <w:tcPr>
            <w:tcW w:w="324" w:type="pct"/>
            <w:vAlign w:val="center"/>
          </w:tcPr>
          <w:p w14:paraId="256CDF66" w14:textId="4A50029C" w:rsidR="00FB2754" w:rsidRPr="00242F5C" w:rsidRDefault="00184B5D" w:rsidP="004D20E7">
            <w:pPr>
              <w:spacing w:line="480" w:lineRule="auto"/>
              <w:jc w:val="center"/>
              <w:rPr>
                <w:sz w:val="20"/>
                <w:szCs w:val="20"/>
              </w:rPr>
            </w:pPr>
            <w:r w:rsidRPr="00242F5C">
              <w:rPr>
                <w:sz w:val="20"/>
                <w:szCs w:val="20"/>
              </w:rPr>
              <w:t>0.159</w:t>
            </w:r>
          </w:p>
        </w:tc>
      </w:tr>
      <w:tr w:rsidR="00FB2754" w:rsidRPr="00242F5C" w14:paraId="76739118" w14:textId="77777777" w:rsidTr="00FB2754">
        <w:trPr>
          <w:trHeight w:val="285"/>
        </w:trPr>
        <w:tc>
          <w:tcPr>
            <w:tcW w:w="1260" w:type="pct"/>
            <w:shd w:val="clear" w:color="auto" w:fill="auto"/>
            <w:noWrap/>
            <w:vAlign w:val="center"/>
          </w:tcPr>
          <w:p w14:paraId="7A47B844" w14:textId="77777777" w:rsidR="00FB2754" w:rsidRPr="00242F5C" w:rsidRDefault="00FB2754" w:rsidP="004D20E7">
            <w:pPr>
              <w:spacing w:line="480" w:lineRule="auto"/>
              <w:rPr>
                <w:b/>
                <w:bCs/>
                <w:sz w:val="20"/>
                <w:szCs w:val="20"/>
              </w:rPr>
            </w:pPr>
          </w:p>
        </w:tc>
        <w:tc>
          <w:tcPr>
            <w:tcW w:w="776" w:type="pct"/>
            <w:shd w:val="clear" w:color="auto" w:fill="auto"/>
            <w:noWrap/>
            <w:vAlign w:val="center"/>
          </w:tcPr>
          <w:p w14:paraId="2C74FCEB" w14:textId="77777777" w:rsidR="00FB2754" w:rsidRPr="00242F5C" w:rsidRDefault="00FB2754" w:rsidP="004D20E7">
            <w:pPr>
              <w:spacing w:line="480" w:lineRule="auto"/>
              <w:jc w:val="center"/>
              <w:rPr>
                <w:sz w:val="20"/>
                <w:szCs w:val="20"/>
              </w:rPr>
            </w:pPr>
          </w:p>
        </w:tc>
        <w:tc>
          <w:tcPr>
            <w:tcW w:w="739" w:type="pct"/>
            <w:shd w:val="clear" w:color="auto" w:fill="auto"/>
            <w:noWrap/>
            <w:vAlign w:val="center"/>
          </w:tcPr>
          <w:p w14:paraId="1F1792B9"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66648465" w14:textId="77777777" w:rsidR="00FB2754" w:rsidRPr="00242F5C" w:rsidRDefault="00FB2754" w:rsidP="004D20E7">
            <w:pPr>
              <w:spacing w:line="480" w:lineRule="auto"/>
              <w:jc w:val="center"/>
              <w:rPr>
                <w:sz w:val="20"/>
                <w:szCs w:val="20"/>
              </w:rPr>
            </w:pPr>
          </w:p>
        </w:tc>
        <w:tc>
          <w:tcPr>
            <w:tcW w:w="802" w:type="pct"/>
            <w:vAlign w:val="center"/>
          </w:tcPr>
          <w:p w14:paraId="3937F195" w14:textId="77777777" w:rsidR="00FB2754" w:rsidRPr="00242F5C" w:rsidRDefault="00FB2754" w:rsidP="004D20E7">
            <w:pPr>
              <w:spacing w:line="480" w:lineRule="auto"/>
              <w:jc w:val="center"/>
              <w:rPr>
                <w:sz w:val="20"/>
                <w:szCs w:val="20"/>
              </w:rPr>
            </w:pPr>
          </w:p>
        </w:tc>
        <w:tc>
          <w:tcPr>
            <w:tcW w:w="752" w:type="pct"/>
            <w:vAlign w:val="center"/>
          </w:tcPr>
          <w:p w14:paraId="323BA145" w14:textId="77777777" w:rsidR="00FB2754" w:rsidRPr="00242F5C" w:rsidRDefault="00FB2754" w:rsidP="004D20E7">
            <w:pPr>
              <w:spacing w:line="480" w:lineRule="auto"/>
              <w:jc w:val="center"/>
              <w:rPr>
                <w:sz w:val="20"/>
                <w:szCs w:val="20"/>
              </w:rPr>
            </w:pPr>
          </w:p>
        </w:tc>
        <w:tc>
          <w:tcPr>
            <w:tcW w:w="324" w:type="pct"/>
            <w:vAlign w:val="center"/>
          </w:tcPr>
          <w:p w14:paraId="34A69A20" w14:textId="77777777" w:rsidR="00FB2754" w:rsidRPr="00242F5C" w:rsidRDefault="00FB2754" w:rsidP="004D20E7">
            <w:pPr>
              <w:spacing w:line="480" w:lineRule="auto"/>
              <w:jc w:val="center"/>
              <w:rPr>
                <w:sz w:val="20"/>
                <w:szCs w:val="20"/>
              </w:rPr>
            </w:pPr>
          </w:p>
        </w:tc>
      </w:tr>
      <w:tr w:rsidR="00FB2754" w:rsidRPr="00242F5C" w14:paraId="5CA9C920" w14:textId="0BA6464D" w:rsidTr="00FB2754">
        <w:trPr>
          <w:trHeight w:val="285"/>
        </w:trPr>
        <w:tc>
          <w:tcPr>
            <w:tcW w:w="1260" w:type="pct"/>
            <w:shd w:val="clear" w:color="auto" w:fill="auto"/>
            <w:noWrap/>
            <w:vAlign w:val="center"/>
            <w:hideMark/>
          </w:tcPr>
          <w:p w14:paraId="0BCD19AF" w14:textId="4DF9673D" w:rsidR="00FB2754" w:rsidRPr="00242F5C" w:rsidRDefault="00184B5D" w:rsidP="004D20E7">
            <w:pPr>
              <w:spacing w:line="480" w:lineRule="auto"/>
              <w:rPr>
                <w:b/>
                <w:bCs/>
                <w:sz w:val="20"/>
                <w:szCs w:val="20"/>
              </w:rPr>
            </w:pPr>
            <w:r w:rsidRPr="00242F5C">
              <w:rPr>
                <w:b/>
                <w:bCs/>
                <w:sz w:val="20"/>
                <w:szCs w:val="20"/>
              </w:rPr>
              <w:t>ECOG PS</w:t>
            </w:r>
          </w:p>
        </w:tc>
        <w:tc>
          <w:tcPr>
            <w:tcW w:w="776" w:type="pct"/>
            <w:shd w:val="clear" w:color="auto" w:fill="auto"/>
            <w:noWrap/>
            <w:vAlign w:val="center"/>
            <w:hideMark/>
          </w:tcPr>
          <w:p w14:paraId="565F0C2A" w14:textId="77777777" w:rsidR="00FB2754" w:rsidRPr="00242F5C" w:rsidRDefault="00FB2754" w:rsidP="004D20E7">
            <w:pPr>
              <w:spacing w:line="480" w:lineRule="auto"/>
              <w:jc w:val="center"/>
              <w:rPr>
                <w:b/>
                <w:bCs/>
                <w:sz w:val="20"/>
                <w:szCs w:val="20"/>
              </w:rPr>
            </w:pPr>
          </w:p>
        </w:tc>
        <w:tc>
          <w:tcPr>
            <w:tcW w:w="739" w:type="pct"/>
            <w:shd w:val="clear" w:color="auto" w:fill="auto"/>
            <w:noWrap/>
            <w:vAlign w:val="center"/>
            <w:hideMark/>
          </w:tcPr>
          <w:p w14:paraId="17628CF0"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hideMark/>
          </w:tcPr>
          <w:p w14:paraId="3AC59952" w14:textId="77777777" w:rsidR="00FB2754" w:rsidRPr="00242F5C" w:rsidRDefault="00FB2754" w:rsidP="004D20E7">
            <w:pPr>
              <w:spacing w:line="480" w:lineRule="auto"/>
              <w:jc w:val="center"/>
              <w:rPr>
                <w:sz w:val="20"/>
                <w:szCs w:val="20"/>
              </w:rPr>
            </w:pPr>
          </w:p>
        </w:tc>
        <w:tc>
          <w:tcPr>
            <w:tcW w:w="802" w:type="pct"/>
            <w:vAlign w:val="center"/>
          </w:tcPr>
          <w:p w14:paraId="39EDFA4A" w14:textId="77777777" w:rsidR="00FB2754" w:rsidRPr="00242F5C" w:rsidRDefault="00FB2754" w:rsidP="004D20E7">
            <w:pPr>
              <w:spacing w:line="480" w:lineRule="auto"/>
              <w:jc w:val="center"/>
              <w:rPr>
                <w:sz w:val="20"/>
                <w:szCs w:val="20"/>
              </w:rPr>
            </w:pPr>
          </w:p>
        </w:tc>
        <w:tc>
          <w:tcPr>
            <w:tcW w:w="752" w:type="pct"/>
            <w:vAlign w:val="center"/>
          </w:tcPr>
          <w:p w14:paraId="364402EC" w14:textId="77777777" w:rsidR="00FB2754" w:rsidRPr="00242F5C" w:rsidRDefault="00FB2754" w:rsidP="004D20E7">
            <w:pPr>
              <w:spacing w:line="480" w:lineRule="auto"/>
              <w:jc w:val="center"/>
              <w:rPr>
                <w:sz w:val="20"/>
                <w:szCs w:val="20"/>
              </w:rPr>
            </w:pPr>
          </w:p>
        </w:tc>
        <w:tc>
          <w:tcPr>
            <w:tcW w:w="324" w:type="pct"/>
            <w:vAlign w:val="center"/>
          </w:tcPr>
          <w:p w14:paraId="04E3A216" w14:textId="77777777" w:rsidR="00FB2754" w:rsidRPr="00242F5C" w:rsidRDefault="00FB2754" w:rsidP="004D20E7">
            <w:pPr>
              <w:spacing w:line="480" w:lineRule="auto"/>
              <w:jc w:val="center"/>
              <w:rPr>
                <w:sz w:val="20"/>
                <w:szCs w:val="20"/>
              </w:rPr>
            </w:pPr>
          </w:p>
        </w:tc>
      </w:tr>
      <w:tr w:rsidR="00FB2754" w:rsidRPr="00242F5C" w14:paraId="275F28BE" w14:textId="2BCDDC9E" w:rsidTr="00FB2754">
        <w:trPr>
          <w:trHeight w:val="285"/>
        </w:trPr>
        <w:tc>
          <w:tcPr>
            <w:tcW w:w="1260" w:type="pct"/>
            <w:shd w:val="clear" w:color="auto" w:fill="auto"/>
            <w:noWrap/>
            <w:vAlign w:val="center"/>
            <w:hideMark/>
          </w:tcPr>
          <w:p w14:paraId="7895AF68" w14:textId="55A2D059" w:rsidR="00FB2754" w:rsidRPr="00242F5C" w:rsidRDefault="00184B5D" w:rsidP="004D20E7">
            <w:pPr>
              <w:spacing w:line="480" w:lineRule="auto"/>
              <w:ind w:firstLineChars="166" w:firstLine="332"/>
              <w:rPr>
                <w:sz w:val="20"/>
                <w:szCs w:val="20"/>
              </w:rPr>
            </w:pPr>
            <w:r w:rsidRPr="00242F5C">
              <w:rPr>
                <w:sz w:val="20"/>
                <w:szCs w:val="20"/>
              </w:rPr>
              <w:t>1 vs. 0</w:t>
            </w:r>
          </w:p>
        </w:tc>
        <w:tc>
          <w:tcPr>
            <w:tcW w:w="776" w:type="pct"/>
            <w:shd w:val="clear" w:color="auto" w:fill="auto"/>
            <w:noWrap/>
            <w:vAlign w:val="center"/>
            <w:hideMark/>
          </w:tcPr>
          <w:p w14:paraId="2177205E" w14:textId="7421891C" w:rsidR="00FB2754" w:rsidRPr="00242F5C" w:rsidRDefault="00184B5D" w:rsidP="004D20E7">
            <w:pPr>
              <w:spacing w:line="480" w:lineRule="auto"/>
              <w:jc w:val="center"/>
              <w:rPr>
                <w:sz w:val="20"/>
                <w:szCs w:val="20"/>
              </w:rPr>
            </w:pPr>
            <w:r w:rsidRPr="00242F5C">
              <w:rPr>
                <w:sz w:val="20"/>
                <w:szCs w:val="20"/>
              </w:rPr>
              <w:t>1.52 (0.99-2.33)</w:t>
            </w:r>
          </w:p>
        </w:tc>
        <w:tc>
          <w:tcPr>
            <w:tcW w:w="739" w:type="pct"/>
            <w:shd w:val="clear" w:color="auto" w:fill="auto"/>
            <w:noWrap/>
            <w:vAlign w:val="center"/>
            <w:hideMark/>
          </w:tcPr>
          <w:p w14:paraId="72218C17" w14:textId="4143A618" w:rsidR="00FB2754" w:rsidRPr="00242F5C" w:rsidRDefault="00184B5D" w:rsidP="004D20E7">
            <w:pPr>
              <w:spacing w:line="480" w:lineRule="auto"/>
              <w:jc w:val="center"/>
              <w:rPr>
                <w:sz w:val="20"/>
                <w:szCs w:val="20"/>
              </w:rPr>
            </w:pPr>
            <w:r w:rsidRPr="00242F5C">
              <w:rPr>
                <w:sz w:val="20"/>
                <w:szCs w:val="20"/>
              </w:rPr>
              <w:t>0.22</w:t>
            </w:r>
          </w:p>
        </w:tc>
        <w:tc>
          <w:tcPr>
            <w:tcW w:w="346" w:type="pct"/>
            <w:shd w:val="clear" w:color="auto" w:fill="auto"/>
            <w:noWrap/>
            <w:vAlign w:val="center"/>
            <w:hideMark/>
          </w:tcPr>
          <w:p w14:paraId="0C08354F" w14:textId="08277DE8" w:rsidR="00FB2754" w:rsidRPr="00242F5C" w:rsidRDefault="00184B5D" w:rsidP="004D20E7">
            <w:pPr>
              <w:spacing w:line="480" w:lineRule="auto"/>
              <w:jc w:val="center"/>
              <w:rPr>
                <w:sz w:val="20"/>
                <w:szCs w:val="20"/>
              </w:rPr>
            </w:pPr>
            <w:r w:rsidRPr="00242F5C">
              <w:rPr>
                <w:sz w:val="20"/>
                <w:szCs w:val="20"/>
              </w:rPr>
              <w:t>0.055</w:t>
            </w:r>
          </w:p>
        </w:tc>
        <w:tc>
          <w:tcPr>
            <w:tcW w:w="802" w:type="pct"/>
            <w:vAlign w:val="center"/>
          </w:tcPr>
          <w:p w14:paraId="313423EB" w14:textId="03FE23F3" w:rsidR="00FB2754" w:rsidRPr="00242F5C" w:rsidRDefault="00184B5D" w:rsidP="004D20E7">
            <w:pPr>
              <w:spacing w:line="480" w:lineRule="auto"/>
              <w:jc w:val="center"/>
              <w:rPr>
                <w:sz w:val="20"/>
                <w:szCs w:val="20"/>
              </w:rPr>
            </w:pPr>
            <w:r w:rsidRPr="00242F5C">
              <w:rPr>
                <w:sz w:val="20"/>
                <w:szCs w:val="20"/>
              </w:rPr>
              <w:t>0.99 (0.73-1.34)</w:t>
            </w:r>
          </w:p>
        </w:tc>
        <w:tc>
          <w:tcPr>
            <w:tcW w:w="752" w:type="pct"/>
            <w:vAlign w:val="center"/>
          </w:tcPr>
          <w:p w14:paraId="71155891" w14:textId="428BA8C0" w:rsidR="00FB2754" w:rsidRPr="00242F5C" w:rsidRDefault="00184B5D" w:rsidP="004D20E7">
            <w:pPr>
              <w:spacing w:line="480" w:lineRule="auto"/>
              <w:jc w:val="center"/>
              <w:rPr>
                <w:sz w:val="20"/>
                <w:szCs w:val="20"/>
              </w:rPr>
            </w:pPr>
            <w:r w:rsidRPr="00242F5C">
              <w:rPr>
                <w:sz w:val="20"/>
                <w:szCs w:val="20"/>
              </w:rPr>
              <w:t>0.16</w:t>
            </w:r>
          </w:p>
        </w:tc>
        <w:tc>
          <w:tcPr>
            <w:tcW w:w="324" w:type="pct"/>
            <w:vAlign w:val="center"/>
          </w:tcPr>
          <w:p w14:paraId="13955CD6" w14:textId="7A80FCE6" w:rsidR="00FB2754" w:rsidRPr="00242F5C" w:rsidRDefault="00184B5D" w:rsidP="004D20E7">
            <w:pPr>
              <w:spacing w:line="480" w:lineRule="auto"/>
              <w:jc w:val="center"/>
              <w:rPr>
                <w:sz w:val="20"/>
                <w:szCs w:val="20"/>
              </w:rPr>
            </w:pPr>
            <w:r w:rsidRPr="00242F5C">
              <w:rPr>
                <w:sz w:val="20"/>
                <w:szCs w:val="20"/>
              </w:rPr>
              <w:t>0.931</w:t>
            </w:r>
          </w:p>
        </w:tc>
      </w:tr>
      <w:tr w:rsidR="00FB2754" w:rsidRPr="00242F5C" w14:paraId="77F9F9B8" w14:textId="64174380" w:rsidTr="00FB2754">
        <w:trPr>
          <w:trHeight w:val="285"/>
        </w:trPr>
        <w:tc>
          <w:tcPr>
            <w:tcW w:w="1260" w:type="pct"/>
            <w:shd w:val="clear" w:color="auto" w:fill="auto"/>
            <w:noWrap/>
            <w:vAlign w:val="center"/>
          </w:tcPr>
          <w:p w14:paraId="65F8301B" w14:textId="540F5063" w:rsidR="00FB2754" w:rsidRPr="00242F5C" w:rsidRDefault="00184B5D" w:rsidP="004D20E7">
            <w:pPr>
              <w:spacing w:line="480" w:lineRule="auto"/>
              <w:ind w:firstLineChars="166" w:firstLine="332"/>
              <w:rPr>
                <w:sz w:val="20"/>
                <w:szCs w:val="20"/>
              </w:rPr>
            </w:pPr>
            <w:r w:rsidRPr="00242F5C">
              <w:rPr>
                <w:color w:val="222222"/>
                <w:sz w:val="20"/>
                <w:szCs w:val="20"/>
                <w:shd w:val="clear" w:color="auto" w:fill="FFFFFF"/>
              </w:rPr>
              <w:t>≥</w:t>
            </w:r>
            <w:r w:rsidRPr="00242F5C">
              <w:rPr>
                <w:sz w:val="20"/>
                <w:szCs w:val="20"/>
              </w:rPr>
              <w:t>2 vs. 0</w:t>
            </w:r>
          </w:p>
        </w:tc>
        <w:tc>
          <w:tcPr>
            <w:tcW w:w="776" w:type="pct"/>
            <w:shd w:val="clear" w:color="auto" w:fill="auto"/>
            <w:noWrap/>
            <w:vAlign w:val="center"/>
          </w:tcPr>
          <w:p w14:paraId="7D5A79E9" w14:textId="49C365DC" w:rsidR="00FB2754" w:rsidRPr="00242F5C" w:rsidRDefault="00184B5D" w:rsidP="004D20E7">
            <w:pPr>
              <w:spacing w:line="480" w:lineRule="auto"/>
              <w:jc w:val="center"/>
              <w:rPr>
                <w:sz w:val="20"/>
                <w:szCs w:val="20"/>
              </w:rPr>
            </w:pPr>
            <w:r w:rsidRPr="00242F5C">
              <w:rPr>
                <w:sz w:val="20"/>
                <w:szCs w:val="20"/>
              </w:rPr>
              <w:t>2.02 (1.21-3.37)</w:t>
            </w:r>
          </w:p>
        </w:tc>
        <w:tc>
          <w:tcPr>
            <w:tcW w:w="739" w:type="pct"/>
            <w:shd w:val="clear" w:color="auto" w:fill="auto"/>
            <w:noWrap/>
            <w:vAlign w:val="center"/>
          </w:tcPr>
          <w:p w14:paraId="1303D463" w14:textId="12DC0978" w:rsidR="00FB2754" w:rsidRPr="00242F5C" w:rsidRDefault="00184B5D" w:rsidP="004D20E7">
            <w:pPr>
              <w:spacing w:line="480" w:lineRule="auto"/>
              <w:jc w:val="center"/>
              <w:rPr>
                <w:sz w:val="20"/>
                <w:szCs w:val="20"/>
              </w:rPr>
            </w:pPr>
            <w:r w:rsidRPr="00242F5C">
              <w:rPr>
                <w:sz w:val="20"/>
                <w:szCs w:val="20"/>
              </w:rPr>
              <w:t>0.26</w:t>
            </w:r>
          </w:p>
        </w:tc>
        <w:tc>
          <w:tcPr>
            <w:tcW w:w="346" w:type="pct"/>
            <w:shd w:val="clear" w:color="auto" w:fill="auto"/>
            <w:noWrap/>
            <w:vAlign w:val="center"/>
          </w:tcPr>
          <w:p w14:paraId="14F78D72" w14:textId="7DD44364" w:rsidR="00FB2754" w:rsidRPr="00242F5C" w:rsidRDefault="00184B5D" w:rsidP="004D20E7">
            <w:pPr>
              <w:spacing w:line="480" w:lineRule="auto"/>
              <w:jc w:val="center"/>
              <w:rPr>
                <w:sz w:val="20"/>
                <w:szCs w:val="20"/>
              </w:rPr>
            </w:pPr>
            <w:r w:rsidRPr="00242F5C">
              <w:rPr>
                <w:sz w:val="20"/>
                <w:szCs w:val="20"/>
              </w:rPr>
              <w:t>0.007</w:t>
            </w:r>
          </w:p>
        </w:tc>
        <w:tc>
          <w:tcPr>
            <w:tcW w:w="802" w:type="pct"/>
            <w:vAlign w:val="center"/>
          </w:tcPr>
          <w:p w14:paraId="598A204A" w14:textId="6C782743" w:rsidR="00FB2754" w:rsidRPr="00242F5C" w:rsidRDefault="00184B5D" w:rsidP="004D20E7">
            <w:pPr>
              <w:spacing w:line="480" w:lineRule="auto"/>
              <w:jc w:val="center"/>
              <w:rPr>
                <w:sz w:val="20"/>
                <w:szCs w:val="20"/>
              </w:rPr>
            </w:pPr>
            <w:r w:rsidRPr="00242F5C">
              <w:rPr>
                <w:sz w:val="20"/>
                <w:szCs w:val="20"/>
              </w:rPr>
              <w:t>1.57 (1.01-2.44)</w:t>
            </w:r>
          </w:p>
        </w:tc>
        <w:tc>
          <w:tcPr>
            <w:tcW w:w="752" w:type="pct"/>
            <w:vAlign w:val="center"/>
          </w:tcPr>
          <w:p w14:paraId="4E64FEA0" w14:textId="4CD675C5" w:rsidR="00FB2754" w:rsidRPr="00242F5C" w:rsidRDefault="00184B5D" w:rsidP="004D20E7">
            <w:pPr>
              <w:spacing w:line="480" w:lineRule="auto"/>
              <w:jc w:val="center"/>
              <w:rPr>
                <w:sz w:val="20"/>
                <w:szCs w:val="20"/>
              </w:rPr>
            </w:pPr>
            <w:r w:rsidRPr="00242F5C">
              <w:rPr>
                <w:sz w:val="20"/>
                <w:szCs w:val="20"/>
              </w:rPr>
              <w:t>0.23</w:t>
            </w:r>
          </w:p>
        </w:tc>
        <w:tc>
          <w:tcPr>
            <w:tcW w:w="324" w:type="pct"/>
            <w:vAlign w:val="center"/>
          </w:tcPr>
          <w:p w14:paraId="6B856375" w14:textId="6AD839B0" w:rsidR="00FB2754" w:rsidRPr="00242F5C" w:rsidRDefault="00184B5D" w:rsidP="004D20E7">
            <w:pPr>
              <w:spacing w:line="480" w:lineRule="auto"/>
              <w:jc w:val="center"/>
              <w:rPr>
                <w:sz w:val="20"/>
                <w:szCs w:val="20"/>
              </w:rPr>
            </w:pPr>
            <w:r w:rsidRPr="00242F5C">
              <w:rPr>
                <w:sz w:val="20"/>
                <w:szCs w:val="20"/>
              </w:rPr>
              <w:t>0.048</w:t>
            </w:r>
          </w:p>
        </w:tc>
      </w:tr>
      <w:tr w:rsidR="00FB2754" w:rsidRPr="00242F5C" w14:paraId="2618AC56" w14:textId="77457729" w:rsidTr="00FB2754">
        <w:trPr>
          <w:trHeight w:val="285"/>
        </w:trPr>
        <w:tc>
          <w:tcPr>
            <w:tcW w:w="1260" w:type="pct"/>
            <w:shd w:val="clear" w:color="auto" w:fill="auto"/>
            <w:noWrap/>
            <w:vAlign w:val="center"/>
            <w:hideMark/>
          </w:tcPr>
          <w:p w14:paraId="08AABBD9" w14:textId="0D7C5FD1" w:rsidR="00FB2754" w:rsidRPr="00242F5C" w:rsidRDefault="00184B5D" w:rsidP="004D20E7">
            <w:pPr>
              <w:spacing w:line="480" w:lineRule="auto"/>
              <w:ind w:firstLineChars="166" w:firstLine="332"/>
              <w:rPr>
                <w:sz w:val="20"/>
                <w:szCs w:val="20"/>
              </w:rPr>
            </w:pPr>
            <w:r w:rsidRPr="00242F5C">
              <w:rPr>
                <w:sz w:val="20"/>
                <w:szCs w:val="20"/>
              </w:rPr>
              <w:t>Unknown vs. 0</w:t>
            </w:r>
          </w:p>
        </w:tc>
        <w:tc>
          <w:tcPr>
            <w:tcW w:w="776" w:type="pct"/>
            <w:shd w:val="clear" w:color="auto" w:fill="auto"/>
            <w:noWrap/>
            <w:vAlign w:val="center"/>
            <w:hideMark/>
          </w:tcPr>
          <w:p w14:paraId="18F51780" w14:textId="2FE4578A" w:rsidR="00FB2754" w:rsidRPr="00242F5C" w:rsidRDefault="00184B5D" w:rsidP="004D20E7">
            <w:pPr>
              <w:spacing w:line="480" w:lineRule="auto"/>
              <w:jc w:val="center"/>
              <w:rPr>
                <w:sz w:val="20"/>
                <w:szCs w:val="20"/>
              </w:rPr>
            </w:pPr>
            <w:r w:rsidRPr="00242F5C">
              <w:rPr>
                <w:sz w:val="20"/>
                <w:szCs w:val="20"/>
              </w:rPr>
              <w:t>1.87 (1.16-2.96)</w:t>
            </w:r>
          </w:p>
        </w:tc>
        <w:tc>
          <w:tcPr>
            <w:tcW w:w="739" w:type="pct"/>
            <w:shd w:val="clear" w:color="auto" w:fill="auto"/>
            <w:noWrap/>
            <w:vAlign w:val="center"/>
            <w:hideMark/>
          </w:tcPr>
          <w:p w14:paraId="0D934EAA" w14:textId="7CD919B9" w:rsidR="00FB2754" w:rsidRPr="00242F5C" w:rsidRDefault="00184B5D" w:rsidP="004D20E7">
            <w:pPr>
              <w:spacing w:line="480" w:lineRule="auto"/>
              <w:jc w:val="center"/>
              <w:rPr>
                <w:sz w:val="20"/>
                <w:szCs w:val="20"/>
              </w:rPr>
            </w:pPr>
            <w:r w:rsidRPr="00242F5C">
              <w:rPr>
                <w:sz w:val="20"/>
                <w:szCs w:val="20"/>
              </w:rPr>
              <w:t>0.24</w:t>
            </w:r>
          </w:p>
        </w:tc>
        <w:tc>
          <w:tcPr>
            <w:tcW w:w="346" w:type="pct"/>
            <w:shd w:val="clear" w:color="auto" w:fill="auto"/>
            <w:noWrap/>
            <w:vAlign w:val="center"/>
            <w:hideMark/>
          </w:tcPr>
          <w:p w14:paraId="673D75F8" w14:textId="71F5E1DA" w:rsidR="00FB2754" w:rsidRPr="00242F5C" w:rsidRDefault="00184B5D" w:rsidP="004D20E7">
            <w:pPr>
              <w:spacing w:line="480" w:lineRule="auto"/>
              <w:jc w:val="center"/>
              <w:rPr>
                <w:sz w:val="20"/>
                <w:szCs w:val="20"/>
              </w:rPr>
            </w:pPr>
            <w:r w:rsidRPr="00242F5C">
              <w:rPr>
                <w:sz w:val="20"/>
                <w:szCs w:val="20"/>
              </w:rPr>
              <w:t>0.010</w:t>
            </w:r>
          </w:p>
        </w:tc>
        <w:tc>
          <w:tcPr>
            <w:tcW w:w="802" w:type="pct"/>
            <w:vAlign w:val="center"/>
          </w:tcPr>
          <w:p w14:paraId="2A22FD23" w14:textId="61C2C86F" w:rsidR="00FB2754" w:rsidRPr="00242F5C" w:rsidRDefault="00184B5D" w:rsidP="004D20E7">
            <w:pPr>
              <w:spacing w:line="480" w:lineRule="auto"/>
              <w:jc w:val="center"/>
              <w:rPr>
                <w:sz w:val="20"/>
                <w:szCs w:val="20"/>
              </w:rPr>
            </w:pPr>
            <w:r w:rsidRPr="00242F5C">
              <w:rPr>
                <w:sz w:val="20"/>
                <w:szCs w:val="20"/>
              </w:rPr>
              <w:t>1.15 (0.81-1.64)</w:t>
            </w:r>
          </w:p>
        </w:tc>
        <w:tc>
          <w:tcPr>
            <w:tcW w:w="752" w:type="pct"/>
            <w:vAlign w:val="center"/>
          </w:tcPr>
          <w:p w14:paraId="0E6B0242" w14:textId="13A5454D" w:rsidR="00FB2754" w:rsidRPr="00242F5C" w:rsidRDefault="00184B5D" w:rsidP="004D20E7">
            <w:pPr>
              <w:spacing w:line="480" w:lineRule="auto"/>
              <w:jc w:val="center"/>
              <w:rPr>
                <w:sz w:val="20"/>
                <w:szCs w:val="20"/>
              </w:rPr>
            </w:pPr>
            <w:r w:rsidRPr="00242F5C">
              <w:rPr>
                <w:sz w:val="20"/>
                <w:szCs w:val="20"/>
              </w:rPr>
              <w:t>0.18</w:t>
            </w:r>
          </w:p>
        </w:tc>
        <w:tc>
          <w:tcPr>
            <w:tcW w:w="324" w:type="pct"/>
            <w:vAlign w:val="center"/>
          </w:tcPr>
          <w:p w14:paraId="3EF9633F" w14:textId="3D5561D9" w:rsidR="00FB2754" w:rsidRPr="00242F5C" w:rsidRDefault="00184B5D" w:rsidP="004D20E7">
            <w:pPr>
              <w:spacing w:line="480" w:lineRule="auto"/>
              <w:jc w:val="center"/>
              <w:rPr>
                <w:sz w:val="20"/>
                <w:szCs w:val="20"/>
              </w:rPr>
            </w:pPr>
            <w:r w:rsidRPr="00242F5C">
              <w:rPr>
                <w:sz w:val="20"/>
                <w:szCs w:val="20"/>
              </w:rPr>
              <w:t>0.423</w:t>
            </w:r>
          </w:p>
        </w:tc>
      </w:tr>
      <w:tr w:rsidR="00FB2754" w:rsidRPr="00242F5C" w14:paraId="58A4DE25" w14:textId="77777777" w:rsidTr="00FB2754">
        <w:trPr>
          <w:trHeight w:val="285"/>
        </w:trPr>
        <w:tc>
          <w:tcPr>
            <w:tcW w:w="1260" w:type="pct"/>
            <w:shd w:val="clear" w:color="auto" w:fill="auto"/>
            <w:noWrap/>
            <w:vAlign w:val="center"/>
          </w:tcPr>
          <w:p w14:paraId="6A24E19A" w14:textId="77777777" w:rsidR="00FB2754" w:rsidRPr="00242F5C" w:rsidRDefault="00FB2754" w:rsidP="004D20E7">
            <w:pPr>
              <w:spacing w:line="480" w:lineRule="auto"/>
              <w:ind w:firstLineChars="166" w:firstLine="332"/>
              <w:rPr>
                <w:sz w:val="20"/>
                <w:szCs w:val="20"/>
              </w:rPr>
            </w:pPr>
          </w:p>
        </w:tc>
        <w:tc>
          <w:tcPr>
            <w:tcW w:w="776" w:type="pct"/>
            <w:shd w:val="clear" w:color="auto" w:fill="auto"/>
            <w:noWrap/>
            <w:vAlign w:val="center"/>
          </w:tcPr>
          <w:p w14:paraId="23EFBA4C" w14:textId="77777777" w:rsidR="00FB2754" w:rsidRPr="00242F5C" w:rsidRDefault="00FB2754" w:rsidP="004D20E7">
            <w:pPr>
              <w:spacing w:line="480" w:lineRule="auto"/>
              <w:jc w:val="center"/>
              <w:rPr>
                <w:sz w:val="20"/>
                <w:szCs w:val="20"/>
              </w:rPr>
            </w:pPr>
          </w:p>
        </w:tc>
        <w:tc>
          <w:tcPr>
            <w:tcW w:w="739" w:type="pct"/>
            <w:shd w:val="clear" w:color="auto" w:fill="auto"/>
            <w:noWrap/>
            <w:vAlign w:val="center"/>
          </w:tcPr>
          <w:p w14:paraId="3ECAB7EC"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01FEA910" w14:textId="77777777" w:rsidR="00FB2754" w:rsidRPr="00242F5C" w:rsidRDefault="00FB2754" w:rsidP="004D20E7">
            <w:pPr>
              <w:spacing w:line="480" w:lineRule="auto"/>
              <w:jc w:val="center"/>
              <w:rPr>
                <w:sz w:val="20"/>
                <w:szCs w:val="20"/>
              </w:rPr>
            </w:pPr>
          </w:p>
        </w:tc>
        <w:tc>
          <w:tcPr>
            <w:tcW w:w="802" w:type="pct"/>
            <w:vAlign w:val="center"/>
          </w:tcPr>
          <w:p w14:paraId="21A87380" w14:textId="77777777" w:rsidR="00FB2754" w:rsidRPr="00242F5C" w:rsidRDefault="00FB2754" w:rsidP="004D20E7">
            <w:pPr>
              <w:spacing w:line="480" w:lineRule="auto"/>
              <w:jc w:val="center"/>
              <w:rPr>
                <w:sz w:val="20"/>
                <w:szCs w:val="20"/>
              </w:rPr>
            </w:pPr>
          </w:p>
        </w:tc>
        <w:tc>
          <w:tcPr>
            <w:tcW w:w="752" w:type="pct"/>
            <w:vAlign w:val="center"/>
          </w:tcPr>
          <w:p w14:paraId="5663C12E" w14:textId="77777777" w:rsidR="00FB2754" w:rsidRPr="00242F5C" w:rsidRDefault="00FB2754" w:rsidP="004D20E7">
            <w:pPr>
              <w:spacing w:line="480" w:lineRule="auto"/>
              <w:jc w:val="center"/>
              <w:rPr>
                <w:sz w:val="20"/>
                <w:szCs w:val="20"/>
              </w:rPr>
            </w:pPr>
          </w:p>
        </w:tc>
        <w:tc>
          <w:tcPr>
            <w:tcW w:w="324" w:type="pct"/>
            <w:vAlign w:val="center"/>
          </w:tcPr>
          <w:p w14:paraId="4BF6DDB9" w14:textId="77777777" w:rsidR="00FB2754" w:rsidRPr="00242F5C" w:rsidRDefault="00FB2754" w:rsidP="004D20E7">
            <w:pPr>
              <w:spacing w:line="480" w:lineRule="auto"/>
              <w:jc w:val="center"/>
              <w:rPr>
                <w:sz w:val="20"/>
                <w:szCs w:val="20"/>
              </w:rPr>
            </w:pPr>
          </w:p>
        </w:tc>
      </w:tr>
      <w:tr w:rsidR="00FB2754" w:rsidRPr="00242F5C" w14:paraId="2AB40817" w14:textId="00612B67" w:rsidTr="00FB2754">
        <w:trPr>
          <w:trHeight w:val="285"/>
        </w:trPr>
        <w:tc>
          <w:tcPr>
            <w:tcW w:w="1260" w:type="pct"/>
            <w:shd w:val="clear" w:color="auto" w:fill="auto"/>
            <w:noWrap/>
            <w:vAlign w:val="center"/>
            <w:hideMark/>
          </w:tcPr>
          <w:p w14:paraId="16D92873" w14:textId="6EE514BA" w:rsidR="00FB2754" w:rsidRPr="00242F5C" w:rsidRDefault="00184B5D" w:rsidP="004D20E7">
            <w:pPr>
              <w:spacing w:line="480" w:lineRule="auto"/>
              <w:rPr>
                <w:b/>
                <w:bCs/>
                <w:sz w:val="20"/>
                <w:szCs w:val="20"/>
              </w:rPr>
            </w:pPr>
            <w:r w:rsidRPr="00242F5C">
              <w:rPr>
                <w:b/>
                <w:bCs/>
                <w:sz w:val="20"/>
                <w:szCs w:val="20"/>
              </w:rPr>
              <w:t>CCI</w:t>
            </w:r>
          </w:p>
        </w:tc>
        <w:tc>
          <w:tcPr>
            <w:tcW w:w="776" w:type="pct"/>
            <w:shd w:val="clear" w:color="auto" w:fill="auto"/>
            <w:noWrap/>
            <w:vAlign w:val="center"/>
            <w:hideMark/>
          </w:tcPr>
          <w:p w14:paraId="23F193F4" w14:textId="77777777" w:rsidR="00FB2754" w:rsidRPr="00242F5C" w:rsidRDefault="00FB2754" w:rsidP="004D20E7">
            <w:pPr>
              <w:spacing w:line="480" w:lineRule="auto"/>
              <w:jc w:val="center"/>
              <w:rPr>
                <w:b/>
                <w:bCs/>
                <w:sz w:val="20"/>
                <w:szCs w:val="20"/>
              </w:rPr>
            </w:pPr>
          </w:p>
        </w:tc>
        <w:tc>
          <w:tcPr>
            <w:tcW w:w="739" w:type="pct"/>
            <w:shd w:val="clear" w:color="auto" w:fill="auto"/>
            <w:noWrap/>
            <w:vAlign w:val="center"/>
            <w:hideMark/>
          </w:tcPr>
          <w:p w14:paraId="05C5B8C2"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hideMark/>
          </w:tcPr>
          <w:p w14:paraId="0D4D9809" w14:textId="77777777" w:rsidR="00FB2754" w:rsidRPr="00242F5C" w:rsidRDefault="00FB2754" w:rsidP="004D20E7">
            <w:pPr>
              <w:spacing w:line="480" w:lineRule="auto"/>
              <w:jc w:val="center"/>
              <w:rPr>
                <w:sz w:val="20"/>
                <w:szCs w:val="20"/>
              </w:rPr>
            </w:pPr>
          </w:p>
        </w:tc>
        <w:tc>
          <w:tcPr>
            <w:tcW w:w="802" w:type="pct"/>
            <w:vAlign w:val="center"/>
          </w:tcPr>
          <w:p w14:paraId="4964A5D9" w14:textId="77777777" w:rsidR="00FB2754" w:rsidRPr="00242F5C" w:rsidRDefault="00FB2754" w:rsidP="004D20E7">
            <w:pPr>
              <w:spacing w:line="480" w:lineRule="auto"/>
              <w:jc w:val="center"/>
              <w:rPr>
                <w:sz w:val="20"/>
                <w:szCs w:val="20"/>
              </w:rPr>
            </w:pPr>
          </w:p>
        </w:tc>
        <w:tc>
          <w:tcPr>
            <w:tcW w:w="752" w:type="pct"/>
            <w:vAlign w:val="center"/>
          </w:tcPr>
          <w:p w14:paraId="1E807233" w14:textId="77777777" w:rsidR="00FB2754" w:rsidRPr="00242F5C" w:rsidRDefault="00FB2754" w:rsidP="004D20E7">
            <w:pPr>
              <w:spacing w:line="480" w:lineRule="auto"/>
              <w:jc w:val="center"/>
              <w:rPr>
                <w:sz w:val="20"/>
                <w:szCs w:val="20"/>
              </w:rPr>
            </w:pPr>
          </w:p>
        </w:tc>
        <w:tc>
          <w:tcPr>
            <w:tcW w:w="324" w:type="pct"/>
            <w:vAlign w:val="center"/>
          </w:tcPr>
          <w:p w14:paraId="2ACAB4C8" w14:textId="77777777" w:rsidR="00FB2754" w:rsidRPr="00242F5C" w:rsidRDefault="00FB2754" w:rsidP="004D20E7">
            <w:pPr>
              <w:spacing w:line="480" w:lineRule="auto"/>
              <w:jc w:val="center"/>
              <w:rPr>
                <w:sz w:val="20"/>
                <w:szCs w:val="20"/>
              </w:rPr>
            </w:pPr>
          </w:p>
        </w:tc>
      </w:tr>
      <w:tr w:rsidR="00FB2754" w:rsidRPr="00242F5C" w14:paraId="4B16ADAA" w14:textId="3D86367F" w:rsidTr="00FB2754">
        <w:trPr>
          <w:trHeight w:val="285"/>
        </w:trPr>
        <w:tc>
          <w:tcPr>
            <w:tcW w:w="1260" w:type="pct"/>
            <w:shd w:val="clear" w:color="auto" w:fill="auto"/>
            <w:noWrap/>
            <w:vAlign w:val="center"/>
            <w:hideMark/>
          </w:tcPr>
          <w:p w14:paraId="57A7317F" w14:textId="22E51A5C" w:rsidR="00FB2754" w:rsidRPr="00242F5C" w:rsidRDefault="00184B5D" w:rsidP="004D20E7">
            <w:pPr>
              <w:spacing w:line="480" w:lineRule="auto"/>
              <w:ind w:firstLineChars="166" w:firstLine="332"/>
              <w:rPr>
                <w:sz w:val="20"/>
                <w:szCs w:val="20"/>
              </w:rPr>
            </w:pPr>
            <w:r w:rsidRPr="00242F5C">
              <w:rPr>
                <w:sz w:val="20"/>
                <w:szCs w:val="20"/>
              </w:rPr>
              <w:t>1 vs. 0</w:t>
            </w:r>
          </w:p>
        </w:tc>
        <w:tc>
          <w:tcPr>
            <w:tcW w:w="776" w:type="pct"/>
            <w:shd w:val="clear" w:color="auto" w:fill="auto"/>
            <w:noWrap/>
            <w:vAlign w:val="center"/>
            <w:hideMark/>
          </w:tcPr>
          <w:p w14:paraId="4422B87E" w14:textId="7BD5A849" w:rsidR="00FB2754" w:rsidRPr="00242F5C" w:rsidRDefault="00184B5D" w:rsidP="004D20E7">
            <w:pPr>
              <w:spacing w:line="480" w:lineRule="auto"/>
              <w:jc w:val="center"/>
              <w:rPr>
                <w:sz w:val="20"/>
                <w:szCs w:val="20"/>
              </w:rPr>
            </w:pPr>
            <w:r w:rsidRPr="00242F5C">
              <w:rPr>
                <w:sz w:val="20"/>
                <w:szCs w:val="20"/>
              </w:rPr>
              <w:t>1.04 (0.59-1.83)</w:t>
            </w:r>
          </w:p>
        </w:tc>
        <w:tc>
          <w:tcPr>
            <w:tcW w:w="739" w:type="pct"/>
            <w:shd w:val="clear" w:color="auto" w:fill="auto"/>
            <w:noWrap/>
            <w:vAlign w:val="center"/>
            <w:hideMark/>
          </w:tcPr>
          <w:p w14:paraId="030C8E12" w14:textId="790826BC" w:rsidR="00FB2754" w:rsidRPr="00242F5C" w:rsidRDefault="00184B5D" w:rsidP="004D20E7">
            <w:pPr>
              <w:spacing w:line="480" w:lineRule="auto"/>
              <w:jc w:val="center"/>
              <w:rPr>
                <w:sz w:val="20"/>
                <w:szCs w:val="20"/>
              </w:rPr>
            </w:pPr>
            <w:r w:rsidRPr="00242F5C">
              <w:rPr>
                <w:sz w:val="20"/>
                <w:szCs w:val="20"/>
              </w:rPr>
              <w:t>0.29</w:t>
            </w:r>
          </w:p>
        </w:tc>
        <w:tc>
          <w:tcPr>
            <w:tcW w:w="346" w:type="pct"/>
            <w:shd w:val="clear" w:color="auto" w:fill="auto"/>
            <w:noWrap/>
            <w:vAlign w:val="center"/>
            <w:hideMark/>
          </w:tcPr>
          <w:p w14:paraId="13B30948" w14:textId="4C9ED1D1" w:rsidR="00FB2754" w:rsidRPr="00242F5C" w:rsidRDefault="00184B5D" w:rsidP="004D20E7">
            <w:pPr>
              <w:spacing w:line="480" w:lineRule="auto"/>
              <w:jc w:val="center"/>
              <w:rPr>
                <w:sz w:val="20"/>
                <w:szCs w:val="20"/>
              </w:rPr>
            </w:pPr>
            <w:r w:rsidRPr="00242F5C">
              <w:rPr>
                <w:sz w:val="20"/>
                <w:szCs w:val="20"/>
              </w:rPr>
              <w:t>0.904</w:t>
            </w:r>
          </w:p>
        </w:tc>
        <w:tc>
          <w:tcPr>
            <w:tcW w:w="802" w:type="pct"/>
            <w:vAlign w:val="center"/>
          </w:tcPr>
          <w:p w14:paraId="4268E8C1" w14:textId="23016FD1" w:rsidR="00FB2754" w:rsidRPr="00242F5C" w:rsidRDefault="00184B5D" w:rsidP="004D20E7">
            <w:pPr>
              <w:spacing w:line="480" w:lineRule="auto"/>
              <w:jc w:val="center"/>
              <w:rPr>
                <w:sz w:val="20"/>
                <w:szCs w:val="20"/>
              </w:rPr>
            </w:pPr>
            <w:r w:rsidRPr="00242F5C">
              <w:rPr>
                <w:sz w:val="20"/>
                <w:szCs w:val="20"/>
              </w:rPr>
              <w:t>1.31 (0.86-1.99)</w:t>
            </w:r>
          </w:p>
        </w:tc>
        <w:tc>
          <w:tcPr>
            <w:tcW w:w="752" w:type="pct"/>
            <w:vAlign w:val="center"/>
          </w:tcPr>
          <w:p w14:paraId="5066D9C7" w14:textId="47199F3D" w:rsidR="00FB2754" w:rsidRPr="00242F5C" w:rsidRDefault="00184B5D" w:rsidP="004D20E7">
            <w:pPr>
              <w:spacing w:line="480" w:lineRule="auto"/>
              <w:jc w:val="center"/>
              <w:rPr>
                <w:sz w:val="20"/>
                <w:szCs w:val="20"/>
              </w:rPr>
            </w:pPr>
            <w:r w:rsidRPr="00242F5C">
              <w:rPr>
                <w:sz w:val="20"/>
                <w:szCs w:val="20"/>
              </w:rPr>
              <w:t>0.22</w:t>
            </w:r>
          </w:p>
        </w:tc>
        <w:tc>
          <w:tcPr>
            <w:tcW w:w="324" w:type="pct"/>
            <w:vAlign w:val="center"/>
          </w:tcPr>
          <w:p w14:paraId="60E58631" w14:textId="638D9D5E" w:rsidR="00FB2754" w:rsidRPr="00242F5C" w:rsidRDefault="00184B5D" w:rsidP="004D20E7">
            <w:pPr>
              <w:spacing w:line="480" w:lineRule="auto"/>
              <w:jc w:val="center"/>
              <w:rPr>
                <w:sz w:val="20"/>
                <w:szCs w:val="20"/>
              </w:rPr>
            </w:pPr>
            <w:r w:rsidRPr="00242F5C">
              <w:rPr>
                <w:sz w:val="20"/>
                <w:szCs w:val="20"/>
              </w:rPr>
              <w:t>0.216</w:t>
            </w:r>
          </w:p>
        </w:tc>
      </w:tr>
      <w:tr w:rsidR="00FB2754" w:rsidRPr="00242F5C" w14:paraId="1D56F210" w14:textId="605A00C2" w:rsidTr="00FB2754">
        <w:trPr>
          <w:trHeight w:val="285"/>
        </w:trPr>
        <w:tc>
          <w:tcPr>
            <w:tcW w:w="1260" w:type="pct"/>
            <w:shd w:val="clear" w:color="auto" w:fill="auto"/>
            <w:noWrap/>
            <w:vAlign w:val="center"/>
          </w:tcPr>
          <w:p w14:paraId="33A93D02" w14:textId="4A30FC89" w:rsidR="00FB2754" w:rsidRPr="00242F5C" w:rsidRDefault="00184B5D" w:rsidP="004D20E7">
            <w:pPr>
              <w:spacing w:line="480" w:lineRule="auto"/>
              <w:ind w:firstLineChars="166" w:firstLine="332"/>
              <w:rPr>
                <w:sz w:val="20"/>
                <w:szCs w:val="20"/>
              </w:rPr>
            </w:pPr>
            <w:r w:rsidRPr="00242F5C">
              <w:rPr>
                <w:sz w:val="20"/>
                <w:szCs w:val="20"/>
              </w:rPr>
              <w:t>2 vs. 0</w:t>
            </w:r>
          </w:p>
        </w:tc>
        <w:tc>
          <w:tcPr>
            <w:tcW w:w="776" w:type="pct"/>
            <w:shd w:val="clear" w:color="auto" w:fill="auto"/>
            <w:noWrap/>
            <w:vAlign w:val="center"/>
          </w:tcPr>
          <w:p w14:paraId="7E963E1B" w14:textId="1584381F" w:rsidR="00FB2754" w:rsidRPr="00242F5C" w:rsidRDefault="00184B5D" w:rsidP="004D20E7">
            <w:pPr>
              <w:spacing w:line="480" w:lineRule="auto"/>
              <w:jc w:val="center"/>
              <w:rPr>
                <w:sz w:val="20"/>
                <w:szCs w:val="20"/>
              </w:rPr>
            </w:pPr>
            <w:r w:rsidRPr="00242F5C">
              <w:rPr>
                <w:sz w:val="20"/>
                <w:szCs w:val="20"/>
              </w:rPr>
              <w:t>0.79 (0.52-1.19)</w:t>
            </w:r>
          </w:p>
        </w:tc>
        <w:tc>
          <w:tcPr>
            <w:tcW w:w="739" w:type="pct"/>
            <w:shd w:val="clear" w:color="auto" w:fill="auto"/>
            <w:noWrap/>
            <w:vAlign w:val="center"/>
          </w:tcPr>
          <w:p w14:paraId="64D97D7B" w14:textId="7861D114" w:rsidR="00FB2754" w:rsidRPr="00242F5C" w:rsidRDefault="00184B5D" w:rsidP="004D20E7">
            <w:pPr>
              <w:spacing w:line="480" w:lineRule="auto"/>
              <w:jc w:val="center"/>
              <w:rPr>
                <w:sz w:val="20"/>
                <w:szCs w:val="20"/>
              </w:rPr>
            </w:pPr>
            <w:r w:rsidRPr="00242F5C">
              <w:rPr>
                <w:sz w:val="20"/>
                <w:szCs w:val="20"/>
              </w:rPr>
              <w:t>0.21</w:t>
            </w:r>
          </w:p>
        </w:tc>
        <w:tc>
          <w:tcPr>
            <w:tcW w:w="346" w:type="pct"/>
            <w:shd w:val="clear" w:color="auto" w:fill="auto"/>
            <w:noWrap/>
            <w:vAlign w:val="center"/>
          </w:tcPr>
          <w:p w14:paraId="06AFB247" w14:textId="4C6E628B" w:rsidR="00FB2754" w:rsidRPr="00242F5C" w:rsidRDefault="00184B5D" w:rsidP="004D20E7">
            <w:pPr>
              <w:spacing w:line="480" w:lineRule="auto"/>
              <w:jc w:val="center"/>
              <w:rPr>
                <w:sz w:val="20"/>
                <w:szCs w:val="20"/>
              </w:rPr>
            </w:pPr>
            <w:r w:rsidRPr="00242F5C">
              <w:rPr>
                <w:sz w:val="20"/>
                <w:szCs w:val="20"/>
              </w:rPr>
              <w:t>0.259</w:t>
            </w:r>
          </w:p>
        </w:tc>
        <w:tc>
          <w:tcPr>
            <w:tcW w:w="802" w:type="pct"/>
            <w:vAlign w:val="center"/>
          </w:tcPr>
          <w:p w14:paraId="5EA37FE5" w14:textId="0DC35037" w:rsidR="00FB2754" w:rsidRPr="00242F5C" w:rsidRDefault="00184B5D" w:rsidP="004D20E7">
            <w:pPr>
              <w:spacing w:line="480" w:lineRule="auto"/>
              <w:jc w:val="center"/>
              <w:rPr>
                <w:sz w:val="20"/>
                <w:szCs w:val="20"/>
              </w:rPr>
            </w:pPr>
            <w:r w:rsidRPr="00242F5C">
              <w:rPr>
                <w:sz w:val="20"/>
                <w:szCs w:val="20"/>
              </w:rPr>
              <w:t>0.87 (0.61-1.25)</w:t>
            </w:r>
          </w:p>
        </w:tc>
        <w:tc>
          <w:tcPr>
            <w:tcW w:w="752" w:type="pct"/>
            <w:vAlign w:val="center"/>
          </w:tcPr>
          <w:p w14:paraId="468E15D3" w14:textId="5ECD83E1" w:rsidR="00FB2754" w:rsidRPr="00242F5C" w:rsidRDefault="00184B5D" w:rsidP="004D20E7">
            <w:pPr>
              <w:spacing w:line="480" w:lineRule="auto"/>
              <w:jc w:val="center"/>
              <w:rPr>
                <w:sz w:val="20"/>
                <w:szCs w:val="20"/>
              </w:rPr>
            </w:pPr>
            <w:r w:rsidRPr="00242F5C">
              <w:rPr>
                <w:sz w:val="20"/>
                <w:szCs w:val="20"/>
              </w:rPr>
              <w:t>0.18</w:t>
            </w:r>
          </w:p>
        </w:tc>
        <w:tc>
          <w:tcPr>
            <w:tcW w:w="324" w:type="pct"/>
            <w:vAlign w:val="center"/>
          </w:tcPr>
          <w:p w14:paraId="77DBEF16" w14:textId="6A6154C6" w:rsidR="00FB2754" w:rsidRPr="00242F5C" w:rsidRDefault="00184B5D" w:rsidP="004D20E7">
            <w:pPr>
              <w:spacing w:line="480" w:lineRule="auto"/>
              <w:jc w:val="center"/>
              <w:rPr>
                <w:sz w:val="20"/>
                <w:szCs w:val="20"/>
              </w:rPr>
            </w:pPr>
            <w:r w:rsidRPr="00242F5C">
              <w:rPr>
                <w:sz w:val="20"/>
                <w:szCs w:val="20"/>
              </w:rPr>
              <w:t>0.458</w:t>
            </w:r>
          </w:p>
        </w:tc>
      </w:tr>
      <w:tr w:rsidR="00FB2754" w:rsidRPr="00242F5C" w14:paraId="3E4CC85B" w14:textId="4B700C50" w:rsidTr="00FB2754">
        <w:trPr>
          <w:trHeight w:val="285"/>
        </w:trPr>
        <w:tc>
          <w:tcPr>
            <w:tcW w:w="1260" w:type="pct"/>
            <w:shd w:val="clear" w:color="auto" w:fill="auto"/>
            <w:noWrap/>
            <w:vAlign w:val="center"/>
            <w:hideMark/>
          </w:tcPr>
          <w:p w14:paraId="401133DD" w14:textId="12F3D8D2" w:rsidR="00FB2754" w:rsidRPr="00242F5C" w:rsidRDefault="00184B5D" w:rsidP="004D20E7">
            <w:pPr>
              <w:spacing w:line="480" w:lineRule="auto"/>
              <w:ind w:firstLineChars="166" w:firstLine="332"/>
              <w:rPr>
                <w:sz w:val="20"/>
                <w:szCs w:val="20"/>
              </w:rPr>
            </w:pPr>
            <w:r w:rsidRPr="00242F5C">
              <w:rPr>
                <w:color w:val="222222"/>
                <w:sz w:val="20"/>
                <w:szCs w:val="20"/>
                <w:shd w:val="clear" w:color="auto" w:fill="FFFFFF"/>
              </w:rPr>
              <w:t>≥3</w:t>
            </w:r>
            <w:r w:rsidRPr="00242F5C">
              <w:rPr>
                <w:sz w:val="20"/>
                <w:szCs w:val="20"/>
              </w:rPr>
              <w:t xml:space="preserve"> vs. 0</w:t>
            </w:r>
          </w:p>
        </w:tc>
        <w:tc>
          <w:tcPr>
            <w:tcW w:w="776" w:type="pct"/>
            <w:shd w:val="clear" w:color="auto" w:fill="auto"/>
            <w:noWrap/>
            <w:vAlign w:val="center"/>
            <w:hideMark/>
          </w:tcPr>
          <w:p w14:paraId="6EFF8EB5" w14:textId="17B10277" w:rsidR="00FB2754" w:rsidRPr="00242F5C" w:rsidRDefault="00184B5D" w:rsidP="004D20E7">
            <w:pPr>
              <w:spacing w:line="480" w:lineRule="auto"/>
              <w:jc w:val="center"/>
              <w:rPr>
                <w:sz w:val="20"/>
                <w:szCs w:val="20"/>
              </w:rPr>
            </w:pPr>
            <w:r w:rsidRPr="00242F5C">
              <w:rPr>
                <w:sz w:val="20"/>
                <w:szCs w:val="20"/>
              </w:rPr>
              <w:t>1.16 (0.80-1.67)</w:t>
            </w:r>
          </w:p>
        </w:tc>
        <w:tc>
          <w:tcPr>
            <w:tcW w:w="739" w:type="pct"/>
            <w:shd w:val="clear" w:color="auto" w:fill="auto"/>
            <w:noWrap/>
            <w:vAlign w:val="center"/>
            <w:hideMark/>
          </w:tcPr>
          <w:p w14:paraId="5D12A565" w14:textId="71E83ACB" w:rsidR="00FB2754" w:rsidRPr="00242F5C" w:rsidRDefault="00184B5D" w:rsidP="004D20E7">
            <w:pPr>
              <w:spacing w:line="480" w:lineRule="auto"/>
              <w:jc w:val="center"/>
              <w:rPr>
                <w:sz w:val="20"/>
                <w:szCs w:val="20"/>
              </w:rPr>
            </w:pPr>
            <w:r w:rsidRPr="00242F5C">
              <w:rPr>
                <w:sz w:val="20"/>
                <w:szCs w:val="20"/>
              </w:rPr>
              <w:t>0.19</w:t>
            </w:r>
          </w:p>
        </w:tc>
        <w:tc>
          <w:tcPr>
            <w:tcW w:w="346" w:type="pct"/>
            <w:shd w:val="clear" w:color="auto" w:fill="auto"/>
            <w:noWrap/>
            <w:vAlign w:val="center"/>
            <w:hideMark/>
          </w:tcPr>
          <w:p w14:paraId="2F600668" w14:textId="3FEDBD56" w:rsidR="00FB2754" w:rsidRPr="00242F5C" w:rsidRDefault="00184B5D" w:rsidP="004D20E7">
            <w:pPr>
              <w:spacing w:line="480" w:lineRule="auto"/>
              <w:jc w:val="center"/>
              <w:rPr>
                <w:sz w:val="20"/>
                <w:szCs w:val="20"/>
              </w:rPr>
            </w:pPr>
            <w:r w:rsidRPr="00242F5C">
              <w:rPr>
                <w:sz w:val="20"/>
                <w:szCs w:val="20"/>
              </w:rPr>
              <w:t>0.437</w:t>
            </w:r>
          </w:p>
        </w:tc>
        <w:tc>
          <w:tcPr>
            <w:tcW w:w="802" w:type="pct"/>
            <w:vAlign w:val="center"/>
          </w:tcPr>
          <w:p w14:paraId="40F08C5A" w14:textId="29415C3E" w:rsidR="00FB2754" w:rsidRPr="00242F5C" w:rsidRDefault="00184B5D" w:rsidP="004D20E7">
            <w:pPr>
              <w:spacing w:line="480" w:lineRule="auto"/>
              <w:jc w:val="center"/>
              <w:rPr>
                <w:sz w:val="20"/>
                <w:szCs w:val="20"/>
              </w:rPr>
            </w:pPr>
            <w:r w:rsidRPr="00242F5C">
              <w:rPr>
                <w:sz w:val="20"/>
                <w:szCs w:val="20"/>
              </w:rPr>
              <w:t>1.11 (0.81-1.53)</w:t>
            </w:r>
          </w:p>
        </w:tc>
        <w:tc>
          <w:tcPr>
            <w:tcW w:w="752" w:type="pct"/>
            <w:vAlign w:val="center"/>
          </w:tcPr>
          <w:p w14:paraId="086EFC3C" w14:textId="7D0C8B06" w:rsidR="00FB2754" w:rsidRPr="00242F5C" w:rsidRDefault="00184B5D" w:rsidP="004D20E7">
            <w:pPr>
              <w:spacing w:line="480" w:lineRule="auto"/>
              <w:jc w:val="center"/>
              <w:rPr>
                <w:sz w:val="20"/>
                <w:szCs w:val="20"/>
              </w:rPr>
            </w:pPr>
            <w:r w:rsidRPr="00242F5C">
              <w:rPr>
                <w:sz w:val="20"/>
                <w:szCs w:val="20"/>
              </w:rPr>
              <w:t>0.16</w:t>
            </w:r>
          </w:p>
        </w:tc>
        <w:tc>
          <w:tcPr>
            <w:tcW w:w="324" w:type="pct"/>
            <w:vAlign w:val="center"/>
          </w:tcPr>
          <w:p w14:paraId="24953381" w14:textId="3258A7FA" w:rsidR="00FB2754" w:rsidRPr="00242F5C" w:rsidRDefault="00184B5D" w:rsidP="004D20E7">
            <w:pPr>
              <w:spacing w:line="480" w:lineRule="auto"/>
              <w:jc w:val="center"/>
              <w:rPr>
                <w:sz w:val="20"/>
                <w:szCs w:val="20"/>
              </w:rPr>
            </w:pPr>
            <w:r w:rsidRPr="00242F5C">
              <w:rPr>
                <w:sz w:val="20"/>
                <w:szCs w:val="20"/>
              </w:rPr>
              <w:t>0.511</w:t>
            </w:r>
          </w:p>
        </w:tc>
      </w:tr>
      <w:tr w:rsidR="00FB2754" w:rsidRPr="00242F5C" w14:paraId="678F52C5" w14:textId="77777777" w:rsidTr="00FB2754">
        <w:trPr>
          <w:trHeight w:val="285"/>
        </w:trPr>
        <w:tc>
          <w:tcPr>
            <w:tcW w:w="1260" w:type="pct"/>
            <w:shd w:val="clear" w:color="auto" w:fill="auto"/>
            <w:noWrap/>
            <w:vAlign w:val="center"/>
          </w:tcPr>
          <w:p w14:paraId="65B86A4F" w14:textId="77777777" w:rsidR="00FB2754" w:rsidRPr="00242F5C" w:rsidRDefault="00FB2754" w:rsidP="004D20E7">
            <w:pPr>
              <w:spacing w:line="480" w:lineRule="auto"/>
              <w:ind w:firstLineChars="166" w:firstLine="332"/>
              <w:rPr>
                <w:color w:val="222222"/>
                <w:sz w:val="20"/>
                <w:szCs w:val="20"/>
                <w:shd w:val="clear" w:color="auto" w:fill="FFFFFF"/>
              </w:rPr>
            </w:pPr>
          </w:p>
        </w:tc>
        <w:tc>
          <w:tcPr>
            <w:tcW w:w="776" w:type="pct"/>
            <w:shd w:val="clear" w:color="auto" w:fill="auto"/>
            <w:noWrap/>
            <w:vAlign w:val="center"/>
          </w:tcPr>
          <w:p w14:paraId="6ED343D8" w14:textId="77777777" w:rsidR="00FB2754" w:rsidRPr="00242F5C" w:rsidRDefault="00FB2754" w:rsidP="004D20E7">
            <w:pPr>
              <w:spacing w:line="480" w:lineRule="auto"/>
              <w:jc w:val="center"/>
              <w:rPr>
                <w:sz w:val="20"/>
                <w:szCs w:val="20"/>
              </w:rPr>
            </w:pPr>
          </w:p>
        </w:tc>
        <w:tc>
          <w:tcPr>
            <w:tcW w:w="739" w:type="pct"/>
            <w:shd w:val="clear" w:color="auto" w:fill="auto"/>
            <w:noWrap/>
            <w:vAlign w:val="center"/>
          </w:tcPr>
          <w:p w14:paraId="39DEABEE"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2E76AA0B" w14:textId="77777777" w:rsidR="00FB2754" w:rsidRPr="00242F5C" w:rsidRDefault="00FB2754" w:rsidP="004D20E7">
            <w:pPr>
              <w:spacing w:line="480" w:lineRule="auto"/>
              <w:jc w:val="center"/>
              <w:rPr>
                <w:sz w:val="20"/>
                <w:szCs w:val="20"/>
              </w:rPr>
            </w:pPr>
          </w:p>
        </w:tc>
        <w:tc>
          <w:tcPr>
            <w:tcW w:w="802" w:type="pct"/>
            <w:vAlign w:val="center"/>
          </w:tcPr>
          <w:p w14:paraId="19664702" w14:textId="77777777" w:rsidR="00FB2754" w:rsidRPr="00242F5C" w:rsidRDefault="00FB2754" w:rsidP="004D20E7">
            <w:pPr>
              <w:spacing w:line="480" w:lineRule="auto"/>
              <w:jc w:val="center"/>
              <w:rPr>
                <w:sz w:val="20"/>
                <w:szCs w:val="20"/>
              </w:rPr>
            </w:pPr>
          </w:p>
        </w:tc>
        <w:tc>
          <w:tcPr>
            <w:tcW w:w="752" w:type="pct"/>
            <w:vAlign w:val="center"/>
          </w:tcPr>
          <w:p w14:paraId="03BED77F" w14:textId="77777777" w:rsidR="00FB2754" w:rsidRPr="00242F5C" w:rsidRDefault="00FB2754" w:rsidP="004D20E7">
            <w:pPr>
              <w:spacing w:line="480" w:lineRule="auto"/>
              <w:jc w:val="center"/>
              <w:rPr>
                <w:sz w:val="20"/>
                <w:szCs w:val="20"/>
              </w:rPr>
            </w:pPr>
          </w:p>
        </w:tc>
        <w:tc>
          <w:tcPr>
            <w:tcW w:w="324" w:type="pct"/>
            <w:vAlign w:val="center"/>
          </w:tcPr>
          <w:p w14:paraId="4B5DC65A" w14:textId="77777777" w:rsidR="00FB2754" w:rsidRPr="00242F5C" w:rsidRDefault="00FB2754" w:rsidP="004D20E7">
            <w:pPr>
              <w:spacing w:line="480" w:lineRule="auto"/>
              <w:jc w:val="center"/>
              <w:rPr>
                <w:sz w:val="20"/>
                <w:szCs w:val="20"/>
              </w:rPr>
            </w:pPr>
          </w:p>
        </w:tc>
      </w:tr>
      <w:tr w:rsidR="00FB2754" w:rsidRPr="00242F5C" w14:paraId="435AAC5C" w14:textId="0AE5988F" w:rsidTr="00FB2754">
        <w:trPr>
          <w:trHeight w:val="285"/>
        </w:trPr>
        <w:tc>
          <w:tcPr>
            <w:tcW w:w="1260" w:type="pct"/>
            <w:shd w:val="clear" w:color="auto" w:fill="auto"/>
            <w:noWrap/>
            <w:vAlign w:val="center"/>
          </w:tcPr>
          <w:p w14:paraId="1E9BF083" w14:textId="404F2F8F" w:rsidR="00FB2754" w:rsidRPr="00242F5C" w:rsidRDefault="00184B5D" w:rsidP="004D20E7">
            <w:pPr>
              <w:spacing w:line="480" w:lineRule="auto"/>
              <w:rPr>
                <w:b/>
                <w:bCs/>
                <w:sz w:val="20"/>
                <w:szCs w:val="20"/>
              </w:rPr>
            </w:pPr>
            <w:r w:rsidRPr="00242F5C">
              <w:rPr>
                <w:b/>
                <w:bCs/>
                <w:sz w:val="20"/>
                <w:szCs w:val="20"/>
              </w:rPr>
              <w:t xml:space="preserve">Liver Metastases </w:t>
            </w:r>
          </w:p>
        </w:tc>
        <w:tc>
          <w:tcPr>
            <w:tcW w:w="776" w:type="pct"/>
            <w:shd w:val="clear" w:color="auto" w:fill="auto"/>
            <w:noWrap/>
            <w:vAlign w:val="center"/>
          </w:tcPr>
          <w:p w14:paraId="5F6690AE" w14:textId="77777777" w:rsidR="00FB2754" w:rsidRPr="00242F5C" w:rsidRDefault="00FB2754" w:rsidP="004D20E7">
            <w:pPr>
              <w:spacing w:line="480" w:lineRule="auto"/>
              <w:jc w:val="center"/>
              <w:rPr>
                <w:b/>
                <w:bCs/>
                <w:sz w:val="20"/>
                <w:szCs w:val="20"/>
              </w:rPr>
            </w:pPr>
          </w:p>
        </w:tc>
        <w:tc>
          <w:tcPr>
            <w:tcW w:w="739" w:type="pct"/>
            <w:shd w:val="clear" w:color="auto" w:fill="auto"/>
            <w:noWrap/>
            <w:vAlign w:val="center"/>
          </w:tcPr>
          <w:p w14:paraId="7CC93ACC"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4EE1B146" w14:textId="77777777" w:rsidR="00FB2754" w:rsidRPr="00242F5C" w:rsidRDefault="00FB2754" w:rsidP="004D20E7">
            <w:pPr>
              <w:spacing w:line="480" w:lineRule="auto"/>
              <w:jc w:val="center"/>
              <w:rPr>
                <w:sz w:val="20"/>
                <w:szCs w:val="20"/>
              </w:rPr>
            </w:pPr>
          </w:p>
        </w:tc>
        <w:tc>
          <w:tcPr>
            <w:tcW w:w="802" w:type="pct"/>
            <w:vAlign w:val="center"/>
          </w:tcPr>
          <w:p w14:paraId="65AD780F" w14:textId="77777777" w:rsidR="00FB2754" w:rsidRPr="00242F5C" w:rsidRDefault="00FB2754" w:rsidP="004D20E7">
            <w:pPr>
              <w:spacing w:line="480" w:lineRule="auto"/>
              <w:jc w:val="center"/>
              <w:rPr>
                <w:sz w:val="20"/>
                <w:szCs w:val="20"/>
              </w:rPr>
            </w:pPr>
          </w:p>
        </w:tc>
        <w:tc>
          <w:tcPr>
            <w:tcW w:w="752" w:type="pct"/>
            <w:vAlign w:val="center"/>
          </w:tcPr>
          <w:p w14:paraId="3FDE3C0A" w14:textId="77777777" w:rsidR="00FB2754" w:rsidRPr="00242F5C" w:rsidRDefault="00FB2754" w:rsidP="004D20E7">
            <w:pPr>
              <w:spacing w:line="480" w:lineRule="auto"/>
              <w:jc w:val="center"/>
              <w:rPr>
                <w:sz w:val="20"/>
                <w:szCs w:val="20"/>
              </w:rPr>
            </w:pPr>
          </w:p>
        </w:tc>
        <w:tc>
          <w:tcPr>
            <w:tcW w:w="324" w:type="pct"/>
            <w:vAlign w:val="center"/>
          </w:tcPr>
          <w:p w14:paraId="251A5E5F" w14:textId="77777777" w:rsidR="00FB2754" w:rsidRPr="00242F5C" w:rsidRDefault="00FB2754" w:rsidP="004D20E7">
            <w:pPr>
              <w:spacing w:line="480" w:lineRule="auto"/>
              <w:jc w:val="center"/>
              <w:rPr>
                <w:sz w:val="20"/>
                <w:szCs w:val="20"/>
              </w:rPr>
            </w:pPr>
          </w:p>
        </w:tc>
      </w:tr>
      <w:tr w:rsidR="00FB2754" w:rsidRPr="00242F5C" w14:paraId="57B6D472" w14:textId="7FA333BB" w:rsidTr="00FB2754">
        <w:trPr>
          <w:trHeight w:val="285"/>
        </w:trPr>
        <w:tc>
          <w:tcPr>
            <w:tcW w:w="1260" w:type="pct"/>
            <w:shd w:val="clear" w:color="auto" w:fill="auto"/>
            <w:noWrap/>
            <w:vAlign w:val="center"/>
            <w:hideMark/>
          </w:tcPr>
          <w:p w14:paraId="06264DEF" w14:textId="2FD1B047" w:rsidR="00FB2754" w:rsidRPr="00242F5C" w:rsidRDefault="00184B5D" w:rsidP="004D20E7">
            <w:pPr>
              <w:spacing w:line="480" w:lineRule="auto"/>
              <w:ind w:firstLineChars="166" w:firstLine="332"/>
              <w:rPr>
                <w:sz w:val="20"/>
                <w:szCs w:val="20"/>
              </w:rPr>
            </w:pPr>
            <w:r w:rsidRPr="00242F5C">
              <w:rPr>
                <w:sz w:val="20"/>
                <w:szCs w:val="20"/>
              </w:rPr>
              <w:t>Yes vs. No</w:t>
            </w:r>
          </w:p>
        </w:tc>
        <w:tc>
          <w:tcPr>
            <w:tcW w:w="776" w:type="pct"/>
            <w:shd w:val="clear" w:color="auto" w:fill="auto"/>
            <w:noWrap/>
            <w:vAlign w:val="center"/>
            <w:hideMark/>
          </w:tcPr>
          <w:p w14:paraId="068870DE" w14:textId="7882FDD0" w:rsidR="00FB2754" w:rsidRPr="00242F5C" w:rsidRDefault="00184B5D" w:rsidP="004D20E7">
            <w:pPr>
              <w:spacing w:line="480" w:lineRule="auto"/>
              <w:jc w:val="center"/>
              <w:rPr>
                <w:sz w:val="20"/>
                <w:szCs w:val="20"/>
              </w:rPr>
            </w:pPr>
            <w:r w:rsidRPr="00242F5C">
              <w:rPr>
                <w:sz w:val="20"/>
                <w:szCs w:val="20"/>
              </w:rPr>
              <w:t>1.39 (1.00-1.93)</w:t>
            </w:r>
          </w:p>
        </w:tc>
        <w:tc>
          <w:tcPr>
            <w:tcW w:w="739" w:type="pct"/>
            <w:shd w:val="clear" w:color="auto" w:fill="auto"/>
            <w:noWrap/>
            <w:vAlign w:val="center"/>
            <w:hideMark/>
          </w:tcPr>
          <w:p w14:paraId="3B5E9A1D" w14:textId="73CCC23E" w:rsidR="00FB2754" w:rsidRPr="00242F5C" w:rsidRDefault="00184B5D" w:rsidP="004D20E7">
            <w:pPr>
              <w:spacing w:line="480" w:lineRule="auto"/>
              <w:jc w:val="center"/>
              <w:rPr>
                <w:sz w:val="20"/>
                <w:szCs w:val="20"/>
              </w:rPr>
            </w:pPr>
            <w:r w:rsidRPr="00242F5C">
              <w:rPr>
                <w:sz w:val="20"/>
                <w:szCs w:val="20"/>
              </w:rPr>
              <w:t>0.17</w:t>
            </w:r>
          </w:p>
        </w:tc>
        <w:tc>
          <w:tcPr>
            <w:tcW w:w="346" w:type="pct"/>
            <w:shd w:val="clear" w:color="auto" w:fill="auto"/>
            <w:noWrap/>
            <w:vAlign w:val="center"/>
            <w:hideMark/>
          </w:tcPr>
          <w:p w14:paraId="374B1D7B" w14:textId="5FE470EA" w:rsidR="00FB2754" w:rsidRPr="00242F5C" w:rsidRDefault="00184B5D" w:rsidP="004D20E7">
            <w:pPr>
              <w:spacing w:line="480" w:lineRule="auto"/>
              <w:jc w:val="center"/>
              <w:rPr>
                <w:sz w:val="20"/>
                <w:szCs w:val="20"/>
              </w:rPr>
            </w:pPr>
            <w:r w:rsidRPr="00242F5C">
              <w:rPr>
                <w:sz w:val="20"/>
                <w:szCs w:val="20"/>
              </w:rPr>
              <w:t>0.053</w:t>
            </w:r>
          </w:p>
        </w:tc>
        <w:tc>
          <w:tcPr>
            <w:tcW w:w="802" w:type="pct"/>
            <w:vAlign w:val="center"/>
          </w:tcPr>
          <w:p w14:paraId="1F28D21F" w14:textId="1CB09CA3" w:rsidR="00FB2754" w:rsidRPr="00242F5C" w:rsidRDefault="00184B5D" w:rsidP="004D20E7">
            <w:pPr>
              <w:spacing w:line="480" w:lineRule="auto"/>
              <w:jc w:val="center"/>
              <w:rPr>
                <w:sz w:val="20"/>
                <w:szCs w:val="20"/>
              </w:rPr>
            </w:pPr>
            <w:r w:rsidRPr="00242F5C">
              <w:rPr>
                <w:sz w:val="20"/>
                <w:szCs w:val="20"/>
              </w:rPr>
              <w:t>1.19 (0.90-1.59)</w:t>
            </w:r>
          </w:p>
        </w:tc>
        <w:tc>
          <w:tcPr>
            <w:tcW w:w="752" w:type="pct"/>
            <w:vAlign w:val="center"/>
          </w:tcPr>
          <w:p w14:paraId="0A7A19F9" w14:textId="0B6EE773" w:rsidR="00FB2754" w:rsidRPr="00242F5C" w:rsidRDefault="00184B5D" w:rsidP="004D20E7">
            <w:pPr>
              <w:spacing w:line="480" w:lineRule="auto"/>
              <w:jc w:val="center"/>
              <w:rPr>
                <w:sz w:val="20"/>
                <w:szCs w:val="20"/>
              </w:rPr>
            </w:pPr>
            <w:r w:rsidRPr="00242F5C">
              <w:rPr>
                <w:sz w:val="20"/>
                <w:szCs w:val="20"/>
              </w:rPr>
              <w:t>0.15</w:t>
            </w:r>
          </w:p>
        </w:tc>
        <w:tc>
          <w:tcPr>
            <w:tcW w:w="324" w:type="pct"/>
            <w:vAlign w:val="center"/>
          </w:tcPr>
          <w:p w14:paraId="3304893E" w14:textId="33589660" w:rsidR="00FB2754" w:rsidRPr="00242F5C" w:rsidRDefault="00184B5D" w:rsidP="004D20E7">
            <w:pPr>
              <w:spacing w:line="480" w:lineRule="auto"/>
              <w:jc w:val="center"/>
              <w:rPr>
                <w:sz w:val="20"/>
                <w:szCs w:val="20"/>
              </w:rPr>
            </w:pPr>
            <w:r w:rsidRPr="00242F5C">
              <w:rPr>
                <w:sz w:val="20"/>
                <w:szCs w:val="20"/>
              </w:rPr>
              <w:t>0.229</w:t>
            </w:r>
          </w:p>
        </w:tc>
      </w:tr>
      <w:tr w:rsidR="00FB2754" w:rsidRPr="00242F5C" w14:paraId="4A228769" w14:textId="5011D030" w:rsidTr="00FB2754">
        <w:trPr>
          <w:trHeight w:val="285"/>
        </w:trPr>
        <w:tc>
          <w:tcPr>
            <w:tcW w:w="1260" w:type="pct"/>
            <w:shd w:val="clear" w:color="auto" w:fill="auto"/>
            <w:noWrap/>
            <w:vAlign w:val="center"/>
            <w:hideMark/>
          </w:tcPr>
          <w:p w14:paraId="1C00EE4F" w14:textId="1A647248" w:rsidR="00FB2754" w:rsidRPr="00242F5C" w:rsidRDefault="00184B5D" w:rsidP="004D20E7">
            <w:pPr>
              <w:spacing w:line="480" w:lineRule="auto"/>
              <w:ind w:firstLineChars="166" w:firstLine="332"/>
              <w:rPr>
                <w:sz w:val="20"/>
                <w:szCs w:val="20"/>
              </w:rPr>
            </w:pPr>
            <w:r w:rsidRPr="00242F5C">
              <w:rPr>
                <w:sz w:val="20"/>
                <w:szCs w:val="20"/>
              </w:rPr>
              <w:t>Unknown vs. No</w:t>
            </w:r>
          </w:p>
        </w:tc>
        <w:tc>
          <w:tcPr>
            <w:tcW w:w="776" w:type="pct"/>
            <w:shd w:val="clear" w:color="auto" w:fill="auto"/>
            <w:noWrap/>
            <w:vAlign w:val="center"/>
            <w:hideMark/>
          </w:tcPr>
          <w:p w14:paraId="6AC31ED1" w14:textId="5A2A3B34" w:rsidR="00FB2754" w:rsidRPr="00242F5C" w:rsidRDefault="00184B5D" w:rsidP="004D20E7">
            <w:pPr>
              <w:spacing w:line="480" w:lineRule="auto"/>
              <w:jc w:val="center"/>
              <w:rPr>
                <w:sz w:val="20"/>
                <w:szCs w:val="20"/>
              </w:rPr>
            </w:pPr>
            <w:r w:rsidRPr="00242F5C">
              <w:rPr>
                <w:sz w:val="20"/>
                <w:szCs w:val="20"/>
              </w:rPr>
              <w:t>1.45 (0.57-3.70)</w:t>
            </w:r>
          </w:p>
        </w:tc>
        <w:tc>
          <w:tcPr>
            <w:tcW w:w="739" w:type="pct"/>
            <w:shd w:val="clear" w:color="auto" w:fill="auto"/>
            <w:noWrap/>
            <w:vAlign w:val="center"/>
            <w:hideMark/>
          </w:tcPr>
          <w:p w14:paraId="5A823B20" w14:textId="13684BF5" w:rsidR="00FB2754" w:rsidRPr="00242F5C" w:rsidRDefault="00184B5D" w:rsidP="004D20E7">
            <w:pPr>
              <w:spacing w:line="480" w:lineRule="auto"/>
              <w:jc w:val="center"/>
              <w:rPr>
                <w:sz w:val="20"/>
                <w:szCs w:val="20"/>
              </w:rPr>
            </w:pPr>
            <w:r w:rsidRPr="00242F5C">
              <w:rPr>
                <w:sz w:val="20"/>
                <w:szCs w:val="20"/>
              </w:rPr>
              <w:t>0.48</w:t>
            </w:r>
          </w:p>
        </w:tc>
        <w:tc>
          <w:tcPr>
            <w:tcW w:w="346" w:type="pct"/>
            <w:shd w:val="clear" w:color="auto" w:fill="auto"/>
            <w:noWrap/>
            <w:vAlign w:val="center"/>
            <w:hideMark/>
          </w:tcPr>
          <w:p w14:paraId="5123167D" w14:textId="53FFE1F4" w:rsidR="00FB2754" w:rsidRPr="00242F5C" w:rsidRDefault="00184B5D" w:rsidP="004D20E7">
            <w:pPr>
              <w:spacing w:line="480" w:lineRule="auto"/>
              <w:jc w:val="center"/>
              <w:rPr>
                <w:sz w:val="20"/>
                <w:szCs w:val="20"/>
              </w:rPr>
            </w:pPr>
            <w:r w:rsidRPr="00242F5C">
              <w:rPr>
                <w:sz w:val="20"/>
                <w:szCs w:val="20"/>
              </w:rPr>
              <w:t>0.434</w:t>
            </w:r>
          </w:p>
        </w:tc>
        <w:tc>
          <w:tcPr>
            <w:tcW w:w="802" w:type="pct"/>
            <w:vAlign w:val="center"/>
          </w:tcPr>
          <w:p w14:paraId="4ECD599A" w14:textId="15AF0A61" w:rsidR="00FB2754" w:rsidRPr="00242F5C" w:rsidRDefault="00184B5D" w:rsidP="004D20E7">
            <w:pPr>
              <w:spacing w:line="480" w:lineRule="auto"/>
              <w:jc w:val="center"/>
              <w:rPr>
                <w:sz w:val="20"/>
                <w:szCs w:val="20"/>
              </w:rPr>
            </w:pPr>
            <w:r w:rsidRPr="00242F5C">
              <w:rPr>
                <w:sz w:val="20"/>
                <w:szCs w:val="20"/>
              </w:rPr>
              <w:t>0.56 (0.16-2.03)</w:t>
            </w:r>
          </w:p>
        </w:tc>
        <w:tc>
          <w:tcPr>
            <w:tcW w:w="752" w:type="pct"/>
            <w:vAlign w:val="center"/>
          </w:tcPr>
          <w:p w14:paraId="6C79CD81" w14:textId="105A5A57" w:rsidR="00FB2754" w:rsidRPr="00242F5C" w:rsidRDefault="00184B5D" w:rsidP="004D20E7">
            <w:pPr>
              <w:spacing w:line="480" w:lineRule="auto"/>
              <w:jc w:val="center"/>
              <w:rPr>
                <w:sz w:val="20"/>
                <w:szCs w:val="20"/>
              </w:rPr>
            </w:pPr>
            <w:r w:rsidRPr="00242F5C">
              <w:rPr>
                <w:sz w:val="20"/>
                <w:szCs w:val="20"/>
              </w:rPr>
              <w:t>0.66</w:t>
            </w:r>
          </w:p>
        </w:tc>
        <w:tc>
          <w:tcPr>
            <w:tcW w:w="324" w:type="pct"/>
            <w:vAlign w:val="center"/>
          </w:tcPr>
          <w:p w14:paraId="566C91E9" w14:textId="4A221C90" w:rsidR="00FB2754" w:rsidRPr="00242F5C" w:rsidRDefault="00184B5D" w:rsidP="004D20E7">
            <w:pPr>
              <w:spacing w:line="480" w:lineRule="auto"/>
              <w:jc w:val="center"/>
              <w:rPr>
                <w:sz w:val="20"/>
                <w:szCs w:val="20"/>
              </w:rPr>
            </w:pPr>
            <w:r w:rsidRPr="00242F5C">
              <w:rPr>
                <w:sz w:val="20"/>
                <w:szCs w:val="20"/>
              </w:rPr>
              <w:t>0.378</w:t>
            </w:r>
          </w:p>
        </w:tc>
      </w:tr>
      <w:tr w:rsidR="00FB2754" w:rsidRPr="00242F5C" w14:paraId="73168724" w14:textId="77777777" w:rsidTr="00FB2754">
        <w:trPr>
          <w:trHeight w:val="285"/>
        </w:trPr>
        <w:tc>
          <w:tcPr>
            <w:tcW w:w="1260" w:type="pct"/>
            <w:shd w:val="clear" w:color="auto" w:fill="auto"/>
            <w:noWrap/>
            <w:vAlign w:val="center"/>
          </w:tcPr>
          <w:p w14:paraId="4858693A" w14:textId="77777777" w:rsidR="00FB2754" w:rsidRPr="00242F5C" w:rsidRDefault="00FB2754" w:rsidP="004D20E7">
            <w:pPr>
              <w:spacing w:line="480" w:lineRule="auto"/>
              <w:ind w:firstLineChars="166" w:firstLine="332"/>
              <w:rPr>
                <w:sz w:val="20"/>
                <w:szCs w:val="20"/>
              </w:rPr>
            </w:pPr>
          </w:p>
        </w:tc>
        <w:tc>
          <w:tcPr>
            <w:tcW w:w="776" w:type="pct"/>
            <w:shd w:val="clear" w:color="auto" w:fill="auto"/>
            <w:noWrap/>
            <w:vAlign w:val="center"/>
          </w:tcPr>
          <w:p w14:paraId="02C9B934" w14:textId="77777777" w:rsidR="00FB2754" w:rsidRPr="00242F5C" w:rsidRDefault="00FB2754" w:rsidP="004D20E7">
            <w:pPr>
              <w:spacing w:line="480" w:lineRule="auto"/>
              <w:jc w:val="center"/>
              <w:rPr>
                <w:sz w:val="20"/>
                <w:szCs w:val="20"/>
              </w:rPr>
            </w:pPr>
          </w:p>
        </w:tc>
        <w:tc>
          <w:tcPr>
            <w:tcW w:w="739" w:type="pct"/>
            <w:shd w:val="clear" w:color="auto" w:fill="auto"/>
            <w:noWrap/>
            <w:vAlign w:val="center"/>
          </w:tcPr>
          <w:p w14:paraId="0FD2BF49"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2300FA43" w14:textId="77777777" w:rsidR="00FB2754" w:rsidRPr="00242F5C" w:rsidRDefault="00FB2754" w:rsidP="004D20E7">
            <w:pPr>
              <w:spacing w:line="480" w:lineRule="auto"/>
              <w:jc w:val="center"/>
              <w:rPr>
                <w:sz w:val="20"/>
                <w:szCs w:val="20"/>
              </w:rPr>
            </w:pPr>
          </w:p>
        </w:tc>
        <w:tc>
          <w:tcPr>
            <w:tcW w:w="802" w:type="pct"/>
            <w:vAlign w:val="center"/>
          </w:tcPr>
          <w:p w14:paraId="778DA34B" w14:textId="77777777" w:rsidR="00FB2754" w:rsidRPr="00242F5C" w:rsidRDefault="00FB2754" w:rsidP="004D20E7">
            <w:pPr>
              <w:spacing w:line="480" w:lineRule="auto"/>
              <w:jc w:val="center"/>
              <w:rPr>
                <w:sz w:val="20"/>
                <w:szCs w:val="20"/>
              </w:rPr>
            </w:pPr>
          </w:p>
        </w:tc>
        <w:tc>
          <w:tcPr>
            <w:tcW w:w="752" w:type="pct"/>
            <w:vAlign w:val="center"/>
          </w:tcPr>
          <w:p w14:paraId="0FBE74FA" w14:textId="77777777" w:rsidR="00FB2754" w:rsidRPr="00242F5C" w:rsidRDefault="00FB2754" w:rsidP="004D20E7">
            <w:pPr>
              <w:spacing w:line="480" w:lineRule="auto"/>
              <w:jc w:val="center"/>
              <w:rPr>
                <w:sz w:val="20"/>
                <w:szCs w:val="20"/>
              </w:rPr>
            </w:pPr>
          </w:p>
        </w:tc>
        <w:tc>
          <w:tcPr>
            <w:tcW w:w="324" w:type="pct"/>
            <w:vAlign w:val="center"/>
          </w:tcPr>
          <w:p w14:paraId="189A50B2" w14:textId="77777777" w:rsidR="00FB2754" w:rsidRPr="00242F5C" w:rsidRDefault="00FB2754" w:rsidP="004D20E7">
            <w:pPr>
              <w:spacing w:line="480" w:lineRule="auto"/>
              <w:jc w:val="center"/>
              <w:rPr>
                <w:sz w:val="20"/>
                <w:szCs w:val="20"/>
              </w:rPr>
            </w:pPr>
          </w:p>
        </w:tc>
      </w:tr>
      <w:tr w:rsidR="00FB2754" w:rsidRPr="00242F5C" w14:paraId="791DBB05" w14:textId="77777777" w:rsidTr="00FB2754">
        <w:trPr>
          <w:trHeight w:val="285"/>
        </w:trPr>
        <w:tc>
          <w:tcPr>
            <w:tcW w:w="1260" w:type="pct"/>
            <w:shd w:val="clear" w:color="auto" w:fill="auto"/>
            <w:noWrap/>
            <w:vAlign w:val="center"/>
          </w:tcPr>
          <w:p w14:paraId="65860EC5" w14:textId="629FDDCB" w:rsidR="00FB2754" w:rsidRPr="00242F5C" w:rsidRDefault="00184B5D" w:rsidP="004D20E7">
            <w:pPr>
              <w:spacing w:line="480" w:lineRule="auto"/>
              <w:rPr>
                <w:b/>
                <w:bCs/>
                <w:color w:val="000000"/>
                <w:sz w:val="20"/>
                <w:szCs w:val="20"/>
              </w:rPr>
            </w:pPr>
            <w:r w:rsidRPr="00242F5C">
              <w:rPr>
                <w:b/>
                <w:bCs/>
                <w:color w:val="000000"/>
                <w:sz w:val="20"/>
                <w:szCs w:val="20"/>
              </w:rPr>
              <w:t>Number of fPBC cycles</w:t>
            </w:r>
          </w:p>
        </w:tc>
        <w:tc>
          <w:tcPr>
            <w:tcW w:w="776" w:type="pct"/>
            <w:shd w:val="clear" w:color="auto" w:fill="auto"/>
            <w:noWrap/>
            <w:vAlign w:val="center"/>
          </w:tcPr>
          <w:p w14:paraId="62F19253" w14:textId="4E5C9AF6" w:rsidR="00FB2754" w:rsidRPr="00242F5C" w:rsidRDefault="00184B5D" w:rsidP="004D20E7">
            <w:pPr>
              <w:spacing w:line="480" w:lineRule="auto"/>
              <w:jc w:val="center"/>
              <w:rPr>
                <w:sz w:val="20"/>
                <w:szCs w:val="20"/>
              </w:rPr>
            </w:pPr>
            <w:r w:rsidRPr="00242F5C">
              <w:rPr>
                <w:sz w:val="20"/>
                <w:szCs w:val="20"/>
              </w:rPr>
              <w:t>1.07 (0.96-1.19)</w:t>
            </w:r>
          </w:p>
        </w:tc>
        <w:tc>
          <w:tcPr>
            <w:tcW w:w="739" w:type="pct"/>
            <w:shd w:val="clear" w:color="auto" w:fill="auto"/>
            <w:noWrap/>
            <w:vAlign w:val="center"/>
          </w:tcPr>
          <w:p w14:paraId="68877688" w14:textId="7E2F27DE" w:rsidR="00FB2754" w:rsidRPr="00242F5C" w:rsidRDefault="00184B5D" w:rsidP="004D20E7">
            <w:pPr>
              <w:spacing w:line="480" w:lineRule="auto"/>
              <w:jc w:val="center"/>
              <w:rPr>
                <w:sz w:val="20"/>
                <w:szCs w:val="20"/>
              </w:rPr>
            </w:pPr>
            <w:r w:rsidRPr="00242F5C">
              <w:rPr>
                <w:sz w:val="20"/>
                <w:szCs w:val="20"/>
              </w:rPr>
              <w:t>0.06</w:t>
            </w:r>
          </w:p>
        </w:tc>
        <w:tc>
          <w:tcPr>
            <w:tcW w:w="346" w:type="pct"/>
            <w:shd w:val="clear" w:color="auto" w:fill="auto"/>
            <w:noWrap/>
            <w:vAlign w:val="center"/>
          </w:tcPr>
          <w:p w14:paraId="2FDB2D54" w14:textId="0E29AA23" w:rsidR="00FB2754" w:rsidRPr="00242F5C" w:rsidRDefault="00184B5D" w:rsidP="004D20E7">
            <w:pPr>
              <w:spacing w:line="480" w:lineRule="auto"/>
              <w:jc w:val="center"/>
              <w:rPr>
                <w:sz w:val="20"/>
                <w:szCs w:val="20"/>
              </w:rPr>
            </w:pPr>
            <w:r w:rsidRPr="00242F5C">
              <w:rPr>
                <w:sz w:val="20"/>
                <w:szCs w:val="20"/>
              </w:rPr>
              <w:t>0.217</w:t>
            </w:r>
          </w:p>
        </w:tc>
        <w:tc>
          <w:tcPr>
            <w:tcW w:w="802" w:type="pct"/>
            <w:vAlign w:val="center"/>
          </w:tcPr>
          <w:p w14:paraId="0666B4E7" w14:textId="5253DD33" w:rsidR="00FB2754" w:rsidRPr="00242F5C" w:rsidRDefault="00184B5D" w:rsidP="004D20E7">
            <w:pPr>
              <w:spacing w:line="480" w:lineRule="auto"/>
              <w:jc w:val="center"/>
              <w:rPr>
                <w:sz w:val="20"/>
                <w:szCs w:val="20"/>
              </w:rPr>
            </w:pPr>
            <w:r w:rsidRPr="00242F5C">
              <w:rPr>
                <w:sz w:val="20"/>
                <w:szCs w:val="20"/>
              </w:rPr>
              <w:t>1.15 (1.04-1.27)</w:t>
            </w:r>
          </w:p>
        </w:tc>
        <w:tc>
          <w:tcPr>
            <w:tcW w:w="752" w:type="pct"/>
            <w:vAlign w:val="center"/>
          </w:tcPr>
          <w:p w14:paraId="2D36BD0A" w14:textId="1247BC2D" w:rsidR="00FB2754" w:rsidRPr="00242F5C" w:rsidRDefault="00184B5D" w:rsidP="004D20E7">
            <w:pPr>
              <w:spacing w:line="480" w:lineRule="auto"/>
              <w:jc w:val="center"/>
              <w:rPr>
                <w:sz w:val="20"/>
                <w:szCs w:val="20"/>
              </w:rPr>
            </w:pPr>
            <w:r w:rsidRPr="00242F5C">
              <w:rPr>
                <w:sz w:val="20"/>
                <w:szCs w:val="20"/>
              </w:rPr>
              <w:t>0.05</w:t>
            </w:r>
          </w:p>
        </w:tc>
        <w:tc>
          <w:tcPr>
            <w:tcW w:w="324" w:type="pct"/>
            <w:vAlign w:val="center"/>
          </w:tcPr>
          <w:p w14:paraId="27FEE82C" w14:textId="334E7319" w:rsidR="00FB2754" w:rsidRPr="00242F5C" w:rsidRDefault="00184B5D" w:rsidP="004D20E7">
            <w:pPr>
              <w:spacing w:line="480" w:lineRule="auto"/>
              <w:jc w:val="center"/>
              <w:rPr>
                <w:sz w:val="20"/>
                <w:szCs w:val="20"/>
              </w:rPr>
            </w:pPr>
            <w:r w:rsidRPr="00242F5C">
              <w:rPr>
                <w:sz w:val="20"/>
                <w:szCs w:val="20"/>
              </w:rPr>
              <w:t>0.007</w:t>
            </w:r>
          </w:p>
        </w:tc>
      </w:tr>
      <w:tr w:rsidR="00FB2754" w:rsidRPr="00242F5C" w14:paraId="660EAE41" w14:textId="77777777" w:rsidTr="00FB2754">
        <w:trPr>
          <w:trHeight w:val="285"/>
        </w:trPr>
        <w:tc>
          <w:tcPr>
            <w:tcW w:w="1260" w:type="pct"/>
            <w:shd w:val="clear" w:color="auto" w:fill="auto"/>
            <w:noWrap/>
            <w:vAlign w:val="center"/>
          </w:tcPr>
          <w:p w14:paraId="2552D2F0" w14:textId="77777777" w:rsidR="00FB2754" w:rsidRPr="00242F5C" w:rsidRDefault="00FB2754" w:rsidP="004D20E7">
            <w:pPr>
              <w:spacing w:line="480" w:lineRule="auto"/>
              <w:rPr>
                <w:b/>
                <w:bCs/>
                <w:color w:val="000000"/>
                <w:sz w:val="20"/>
                <w:szCs w:val="20"/>
              </w:rPr>
            </w:pPr>
          </w:p>
        </w:tc>
        <w:tc>
          <w:tcPr>
            <w:tcW w:w="776" w:type="pct"/>
            <w:shd w:val="clear" w:color="auto" w:fill="auto"/>
            <w:noWrap/>
            <w:vAlign w:val="center"/>
          </w:tcPr>
          <w:p w14:paraId="7572F988" w14:textId="77777777" w:rsidR="00FB2754" w:rsidRPr="00242F5C" w:rsidRDefault="00FB2754" w:rsidP="004D20E7">
            <w:pPr>
              <w:spacing w:line="480" w:lineRule="auto"/>
              <w:jc w:val="center"/>
              <w:rPr>
                <w:sz w:val="20"/>
                <w:szCs w:val="20"/>
              </w:rPr>
            </w:pPr>
          </w:p>
        </w:tc>
        <w:tc>
          <w:tcPr>
            <w:tcW w:w="739" w:type="pct"/>
            <w:shd w:val="clear" w:color="auto" w:fill="auto"/>
            <w:noWrap/>
            <w:vAlign w:val="center"/>
          </w:tcPr>
          <w:p w14:paraId="56DBC706"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486F0B51" w14:textId="77777777" w:rsidR="00FB2754" w:rsidRPr="00242F5C" w:rsidRDefault="00FB2754" w:rsidP="004D20E7">
            <w:pPr>
              <w:spacing w:line="480" w:lineRule="auto"/>
              <w:jc w:val="center"/>
              <w:rPr>
                <w:sz w:val="20"/>
                <w:szCs w:val="20"/>
              </w:rPr>
            </w:pPr>
          </w:p>
        </w:tc>
        <w:tc>
          <w:tcPr>
            <w:tcW w:w="802" w:type="pct"/>
            <w:vAlign w:val="center"/>
          </w:tcPr>
          <w:p w14:paraId="67120FF8" w14:textId="77777777" w:rsidR="00FB2754" w:rsidRPr="00242F5C" w:rsidRDefault="00FB2754" w:rsidP="004D20E7">
            <w:pPr>
              <w:spacing w:line="480" w:lineRule="auto"/>
              <w:jc w:val="center"/>
              <w:rPr>
                <w:sz w:val="20"/>
                <w:szCs w:val="20"/>
              </w:rPr>
            </w:pPr>
          </w:p>
        </w:tc>
        <w:tc>
          <w:tcPr>
            <w:tcW w:w="752" w:type="pct"/>
            <w:vAlign w:val="center"/>
          </w:tcPr>
          <w:p w14:paraId="3AFB8C5D" w14:textId="77777777" w:rsidR="00FB2754" w:rsidRPr="00242F5C" w:rsidRDefault="00FB2754" w:rsidP="004D20E7">
            <w:pPr>
              <w:spacing w:line="480" w:lineRule="auto"/>
              <w:jc w:val="center"/>
              <w:rPr>
                <w:sz w:val="20"/>
                <w:szCs w:val="20"/>
              </w:rPr>
            </w:pPr>
          </w:p>
        </w:tc>
        <w:tc>
          <w:tcPr>
            <w:tcW w:w="324" w:type="pct"/>
            <w:vAlign w:val="center"/>
          </w:tcPr>
          <w:p w14:paraId="5F449B82" w14:textId="77777777" w:rsidR="00FB2754" w:rsidRPr="00242F5C" w:rsidRDefault="00FB2754" w:rsidP="004D20E7">
            <w:pPr>
              <w:spacing w:line="480" w:lineRule="auto"/>
              <w:jc w:val="center"/>
              <w:rPr>
                <w:sz w:val="20"/>
                <w:szCs w:val="20"/>
              </w:rPr>
            </w:pPr>
          </w:p>
        </w:tc>
      </w:tr>
      <w:tr w:rsidR="00FB2754" w:rsidRPr="00242F5C" w14:paraId="49A1AB93" w14:textId="1E2674A2" w:rsidTr="00FB2754">
        <w:trPr>
          <w:trHeight w:val="285"/>
        </w:trPr>
        <w:tc>
          <w:tcPr>
            <w:tcW w:w="1260" w:type="pct"/>
            <w:shd w:val="clear" w:color="auto" w:fill="auto"/>
            <w:noWrap/>
            <w:vAlign w:val="center"/>
          </w:tcPr>
          <w:p w14:paraId="36AC4FC3" w14:textId="64F4B05C" w:rsidR="00FB2754" w:rsidRPr="00242F5C" w:rsidRDefault="00184B5D" w:rsidP="004D20E7">
            <w:pPr>
              <w:spacing w:line="480" w:lineRule="auto"/>
              <w:rPr>
                <w:b/>
                <w:bCs/>
                <w:sz w:val="20"/>
                <w:szCs w:val="20"/>
              </w:rPr>
            </w:pPr>
            <w:r w:rsidRPr="00242F5C">
              <w:rPr>
                <w:b/>
                <w:bCs/>
                <w:color w:val="000000"/>
                <w:sz w:val="20"/>
                <w:szCs w:val="20"/>
              </w:rPr>
              <w:t xml:space="preserve">Best Response to fPBC </w:t>
            </w:r>
          </w:p>
        </w:tc>
        <w:tc>
          <w:tcPr>
            <w:tcW w:w="776" w:type="pct"/>
            <w:shd w:val="clear" w:color="auto" w:fill="auto"/>
            <w:noWrap/>
            <w:vAlign w:val="center"/>
          </w:tcPr>
          <w:p w14:paraId="0B7CAF5B" w14:textId="77777777" w:rsidR="00FB2754" w:rsidRPr="00242F5C" w:rsidRDefault="00FB2754" w:rsidP="004D20E7">
            <w:pPr>
              <w:spacing w:line="480" w:lineRule="auto"/>
              <w:jc w:val="center"/>
              <w:rPr>
                <w:b/>
                <w:bCs/>
                <w:sz w:val="20"/>
                <w:szCs w:val="20"/>
              </w:rPr>
            </w:pPr>
          </w:p>
        </w:tc>
        <w:tc>
          <w:tcPr>
            <w:tcW w:w="739" w:type="pct"/>
            <w:shd w:val="clear" w:color="auto" w:fill="auto"/>
            <w:noWrap/>
            <w:vAlign w:val="center"/>
          </w:tcPr>
          <w:p w14:paraId="495FDC6C"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7D97F512" w14:textId="77777777" w:rsidR="00FB2754" w:rsidRPr="00242F5C" w:rsidRDefault="00FB2754" w:rsidP="004D20E7">
            <w:pPr>
              <w:spacing w:line="480" w:lineRule="auto"/>
              <w:jc w:val="center"/>
              <w:rPr>
                <w:sz w:val="20"/>
                <w:szCs w:val="20"/>
              </w:rPr>
            </w:pPr>
          </w:p>
        </w:tc>
        <w:tc>
          <w:tcPr>
            <w:tcW w:w="802" w:type="pct"/>
            <w:vAlign w:val="center"/>
          </w:tcPr>
          <w:p w14:paraId="301ECA9F" w14:textId="77777777" w:rsidR="00FB2754" w:rsidRPr="00242F5C" w:rsidRDefault="00FB2754" w:rsidP="004D20E7">
            <w:pPr>
              <w:spacing w:line="480" w:lineRule="auto"/>
              <w:jc w:val="center"/>
              <w:rPr>
                <w:sz w:val="20"/>
                <w:szCs w:val="20"/>
              </w:rPr>
            </w:pPr>
          </w:p>
        </w:tc>
        <w:tc>
          <w:tcPr>
            <w:tcW w:w="752" w:type="pct"/>
            <w:vAlign w:val="center"/>
          </w:tcPr>
          <w:p w14:paraId="4C22629C" w14:textId="77777777" w:rsidR="00FB2754" w:rsidRPr="00242F5C" w:rsidRDefault="00FB2754" w:rsidP="004D20E7">
            <w:pPr>
              <w:spacing w:line="480" w:lineRule="auto"/>
              <w:jc w:val="center"/>
              <w:rPr>
                <w:sz w:val="20"/>
                <w:szCs w:val="20"/>
              </w:rPr>
            </w:pPr>
          </w:p>
        </w:tc>
        <w:tc>
          <w:tcPr>
            <w:tcW w:w="324" w:type="pct"/>
            <w:vAlign w:val="center"/>
          </w:tcPr>
          <w:p w14:paraId="44552E49" w14:textId="77777777" w:rsidR="00FB2754" w:rsidRPr="00242F5C" w:rsidRDefault="00FB2754" w:rsidP="004D20E7">
            <w:pPr>
              <w:spacing w:line="480" w:lineRule="auto"/>
              <w:jc w:val="center"/>
              <w:rPr>
                <w:sz w:val="20"/>
                <w:szCs w:val="20"/>
              </w:rPr>
            </w:pPr>
          </w:p>
        </w:tc>
      </w:tr>
      <w:tr w:rsidR="00FB2754" w:rsidRPr="00242F5C" w14:paraId="26AC1AA2" w14:textId="12DD92A5" w:rsidTr="00FB2754">
        <w:trPr>
          <w:trHeight w:val="285"/>
        </w:trPr>
        <w:tc>
          <w:tcPr>
            <w:tcW w:w="1260" w:type="pct"/>
            <w:shd w:val="clear" w:color="auto" w:fill="auto"/>
            <w:noWrap/>
            <w:vAlign w:val="center"/>
          </w:tcPr>
          <w:p w14:paraId="4535EA17" w14:textId="0DF6B57A" w:rsidR="00FB2754" w:rsidRPr="00242F5C" w:rsidRDefault="00184B5D" w:rsidP="004D20E7">
            <w:pPr>
              <w:spacing w:line="480" w:lineRule="auto"/>
              <w:ind w:firstLine="333"/>
              <w:rPr>
                <w:b/>
                <w:bCs/>
                <w:sz w:val="20"/>
                <w:szCs w:val="20"/>
              </w:rPr>
            </w:pPr>
            <w:r w:rsidRPr="00242F5C">
              <w:rPr>
                <w:color w:val="000000"/>
                <w:sz w:val="20"/>
                <w:szCs w:val="20"/>
              </w:rPr>
              <w:t>PR vs. CR</w:t>
            </w:r>
          </w:p>
        </w:tc>
        <w:tc>
          <w:tcPr>
            <w:tcW w:w="776" w:type="pct"/>
            <w:shd w:val="clear" w:color="auto" w:fill="auto"/>
            <w:noWrap/>
            <w:vAlign w:val="center"/>
          </w:tcPr>
          <w:p w14:paraId="40623F6F" w14:textId="72407475" w:rsidR="00FB2754" w:rsidRPr="00242F5C" w:rsidRDefault="00184B5D" w:rsidP="004D20E7">
            <w:pPr>
              <w:spacing w:line="480" w:lineRule="auto"/>
              <w:jc w:val="center"/>
              <w:rPr>
                <w:bCs/>
                <w:sz w:val="20"/>
                <w:szCs w:val="20"/>
              </w:rPr>
            </w:pPr>
            <w:r w:rsidRPr="00242F5C">
              <w:rPr>
                <w:bCs/>
                <w:sz w:val="20"/>
                <w:szCs w:val="20"/>
              </w:rPr>
              <w:t>0.83 (0.45-1.19)</w:t>
            </w:r>
          </w:p>
        </w:tc>
        <w:tc>
          <w:tcPr>
            <w:tcW w:w="739" w:type="pct"/>
            <w:shd w:val="clear" w:color="auto" w:fill="auto"/>
            <w:noWrap/>
            <w:vAlign w:val="center"/>
          </w:tcPr>
          <w:p w14:paraId="14285F51" w14:textId="2CA5C1DB" w:rsidR="00FB2754" w:rsidRPr="00242F5C" w:rsidRDefault="00184B5D" w:rsidP="004D20E7">
            <w:pPr>
              <w:spacing w:line="480" w:lineRule="auto"/>
              <w:jc w:val="center"/>
              <w:rPr>
                <w:sz w:val="20"/>
                <w:szCs w:val="20"/>
              </w:rPr>
            </w:pPr>
            <w:r w:rsidRPr="00242F5C">
              <w:rPr>
                <w:sz w:val="20"/>
                <w:szCs w:val="20"/>
              </w:rPr>
              <w:t>0.32</w:t>
            </w:r>
          </w:p>
        </w:tc>
        <w:tc>
          <w:tcPr>
            <w:tcW w:w="346" w:type="pct"/>
            <w:shd w:val="clear" w:color="auto" w:fill="auto"/>
            <w:noWrap/>
            <w:vAlign w:val="center"/>
          </w:tcPr>
          <w:p w14:paraId="6BDD5FAB" w14:textId="7D96C830" w:rsidR="00FB2754" w:rsidRPr="00242F5C" w:rsidRDefault="00184B5D" w:rsidP="004D20E7">
            <w:pPr>
              <w:spacing w:line="480" w:lineRule="auto"/>
              <w:jc w:val="center"/>
              <w:rPr>
                <w:sz w:val="20"/>
                <w:szCs w:val="20"/>
              </w:rPr>
            </w:pPr>
            <w:r w:rsidRPr="00242F5C">
              <w:rPr>
                <w:sz w:val="20"/>
                <w:szCs w:val="20"/>
              </w:rPr>
              <w:t>0.565</w:t>
            </w:r>
          </w:p>
        </w:tc>
        <w:tc>
          <w:tcPr>
            <w:tcW w:w="802" w:type="pct"/>
            <w:vAlign w:val="center"/>
          </w:tcPr>
          <w:p w14:paraId="1EB343D0" w14:textId="7B39B03A" w:rsidR="00FB2754" w:rsidRPr="00242F5C" w:rsidRDefault="00184B5D" w:rsidP="004D20E7">
            <w:pPr>
              <w:spacing w:line="480" w:lineRule="auto"/>
              <w:jc w:val="center"/>
              <w:rPr>
                <w:sz w:val="20"/>
                <w:szCs w:val="20"/>
              </w:rPr>
            </w:pPr>
            <w:r w:rsidRPr="00242F5C">
              <w:rPr>
                <w:sz w:val="20"/>
                <w:szCs w:val="20"/>
              </w:rPr>
              <w:t>1.21 (0.73-1.99)</w:t>
            </w:r>
          </w:p>
        </w:tc>
        <w:tc>
          <w:tcPr>
            <w:tcW w:w="752" w:type="pct"/>
            <w:vAlign w:val="center"/>
          </w:tcPr>
          <w:p w14:paraId="220FF6CE" w14:textId="5873FD62" w:rsidR="00FB2754" w:rsidRPr="00242F5C" w:rsidRDefault="00184B5D" w:rsidP="004D20E7">
            <w:pPr>
              <w:spacing w:line="480" w:lineRule="auto"/>
              <w:jc w:val="center"/>
              <w:rPr>
                <w:sz w:val="20"/>
                <w:szCs w:val="20"/>
              </w:rPr>
            </w:pPr>
            <w:r w:rsidRPr="00242F5C">
              <w:rPr>
                <w:sz w:val="20"/>
                <w:szCs w:val="20"/>
              </w:rPr>
              <w:t>0.26</w:t>
            </w:r>
          </w:p>
        </w:tc>
        <w:tc>
          <w:tcPr>
            <w:tcW w:w="324" w:type="pct"/>
            <w:vAlign w:val="center"/>
          </w:tcPr>
          <w:p w14:paraId="594F7B89" w14:textId="65F5D0D2" w:rsidR="00FB2754" w:rsidRPr="00242F5C" w:rsidRDefault="00184B5D" w:rsidP="004D20E7">
            <w:pPr>
              <w:spacing w:line="480" w:lineRule="auto"/>
              <w:jc w:val="center"/>
              <w:rPr>
                <w:sz w:val="20"/>
                <w:szCs w:val="20"/>
              </w:rPr>
            </w:pPr>
            <w:r w:rsidRPr="00242F5C">
              <w:rPr>
                <w:sz w:val="20"/>
                <w:szCs w:val="20"/>
              </w:rPr>
              <w:t>0.467</w:t>
            </w:r>
          </w:p>
        </w:tc>
      </w:tr>
      <w:tr w:rsidR="00FB2754" w:rsidRPr="00242F5C" w14:paraId="1937ECAC" w14:textId="59432E6E" w:rsidTr="00FB2754">
        <w:trPr>
          <w:trHeight w:val="285"/>
        </w:trPr>
        <w:tc>
          <w:tcPr>
            <w:tcW w:w="1260" w:type="pct"/>
            <w:shd w:val="clear" w:color="auto" w:fill="auto"/>
            <w:noWrap/>
            <w:vAlign w:val="center"/>
          </w:tcPr>
          <w:p w14:paraId="35F680AF" w14:textId="4C9CC1E4" w:rsidR="00FB2754" w:rsidRPr="00242F5C" w:rsidRDefault="00184B5D" w:rsidP="004D20E7">
            <w:pPr>
              <w:spacing w:line="480" w:lineRule="auto"/>
              <w:ind w:firstLine="333"/>
              <w:rPr>
                <w:b/>
                <w:bCs/>
                <w:sz w:val="20"/>
                <w:szCs w:val="20"/>
              </w:rPr>
            </w:pPr>
            <w:r w:rsidRPr="00242F5C">
              <w:rPr>
                <w:color w:val="000000"/>
                <w:sz w:val="20"/>
                <w:szCs w:val="20"/>
              </w:rPr>
              <w:t>SD vs. CR</w:t>
            </w:r>
          </w:p>
        </w:tc>
        <w:tc>
          <w:tcPr>
            <w:tcW w:w="776" w:type="pct"/>
            <w:shd w:val="clear" w:color="auto" w:fill="auto"/>
            <w:noWrap/>
            <w:vAlign w:val="center"/>
          </w:tcPr>
          <w:p w14:paraId="4CB3936A" w14:textId="15811551" w:rsidR="00FB2754" w:rsidRPr="00242F5C" w:rsidRDefault="00184B5D" w:rsidP="004D20E7">
            <w:pPr>
              <w:spacing w:line="480" w:lineRule="auto"/>
              <w:jc w:val="center"/>
              <w:rPr>
                <w:bCs/>
                <w:sz w:val="20"/>
                <w:szCs w:val="20"/>
              </w:rPr>
            </w:pPr>
            <w:r w:rsidRPr="00242F5C">
              <w:rPr>
                <w:bCs/>
                <w:sz w:val="20"/>
                <w:szCs w:val="20"/>
              </w:rPr>
              <w:t>0.92 (0.48-1.55)</w:t>
            </w:r>
          </w:p>
        </w:tc>
        <w:tc>
          <w:tcPr>
            <w:tcW w:w="739" w:type="pct"/>
            <w:shd w:val="clear" w:color="auto" w:fill="auto"/>
            <w:noWrap/>
            <w:vAlign w:val="center"/>
          </w:tcPr>
          <w:p w14:paraId="202B1B2F" w14:textId="519D75B4" w:rsidR="00FB2754" w:rsidRPr="00242F5C" w:rsidRDefault="00184B5D" w:rsidP="004D20E7">
            <w:pPr>
              <w:spacing w:line="480" w:lineRule="auto"/>
              <w:jc w:val="center"/>
              <w:rPr>
                <w:sz w:val="20"/>
                <w:szCs w:val="20"/>
              </w:rPr>
            </w:pPr>
            <w:r w:rsidRPr="00242F5C">
              <w:rPr>
                <w:sz w:val="20"/>
                <w:szCs w:val="20"/>
              </w:rPr>
              <w:t>0.33</w:t>
            </w:r>
          </w:p>
        </w:tc>
        <w:tc>
          <w:tcPr>
            <w:tcW w:w="346" w:type="pct"/>
            <w:shd w:val="clear" w:color="auto" w:fill="auto"/>
            <w:noWrap/>
            <w:vAlign w:val="center"/>
          </w:tcPr>
          <w:p w14:paraId="30BE8D1A" w14:textId="3CC6785B" w:rsidR="00FB2754" w:rsidRPr="00242F5C" w:rsidRDefault="00184B5D" w:rsidP="004D20E7">
            <w:pPr>
              <w:spacing w:line="480" w:lineRule="auto"/>
              <w:jc w:val="center"/>
              <w:rPr>
                <w:sz w:val="20"/>
                <w:szCs w:val="20"/>
              </w:rPr>
            </w:pPr>
            <w:r w:rsidRPr="00242F5C">
              <w:rPr>
                <w:sz w:val="20"/>
                <w:szCs w:val="20"/>
              </w:rPr>
              <w:t>0.806</w:t>
            </w:r>
          </w:p>
        </w:tc>
        <w:tc>
          <w:tcPr>
            <w:tcW w:w="802" w:type="pct"/>
            <w:vAlign w:val="center"/>
          </w:tcPr>
          <w:p w14:paraId="724B35E2" w14:textId="2934985C" w:rsidR="00FB2754" w:rsidRPr="00242F5C" w:rsidRDefault="00184B5D" w:rsidP="004D20E7">
            <w:pPr>
              <w:spacing w:line="480" w:lineRule="auto"/>
              <w:jc w:val="center"/>
              <w:rPr>
                <w:sz w:val="20"/>
                <w:szCs w:val="20"/>
              </w:rPr>
            </w:pPr>
            <w:r w:rsidRPr="00242F5C">
              <w:rPr>
                <w:sz w:val="20"/>
                <w:szCs w:val="20"/>
              </w:rPr>
              <w:t>1.47 (0.87-2.49)</w:t>
            </w:r>
          </w:p>
        </w:tc>
        <w:tc>
          <w:tcPr>
            <w:tcW w:w="752" w:type="pct"/>
            <w:vAlign w:val="center"/>
          </w:tcPr>
          <w:p w14:paraId="02E45D0F" w14:textId="69460D0C" w:rsidR="00FB2754" w:rsidRPr="00242F5C" w:rsidRDefault="00184B5D" w:rsidP="004D20E7">
            <w:pPr>
              <w:spacing w:line="480" w:lineRule="auto"/>
              <w:jc w:val="center"/>
              <w:rPr>
                <w:sz w:val="20"/>
                <w:szCs w:val="20"/>
              </w:rPr>
            </w:pPr>
            <w:r w:rsidRPr="00242F5C">
              <w:rPr>
                <w:sz w:val="20"/>
                <w:szCs w:val="20"/>
              </w:rPr>
              <w:t>0.27</w:t>
            </w:r>
          </w:p>
        </w:tc>
        <w:tc>
          <w:tcPr>
            <w:tcW w:w="324" w:type="pct"/>
            <w:vAlign w:val="center"/>
          </w:tcPr>
          <w:p w14:paraId="01590EE0" w14:textId="1ADC8D5D" w:rsidR="00FB2754" w:rsidRPr="00242F5C" w:rsidRDefault="00184B5D" w:rsidP="004D20E7">
            <w:pPr>
              <w:spacing w:line="480" w:lineRule="auto"/>
              <w:jc w:val="center"/>
              <w:rPr>
                <w:sz w:val="20"/>
                <w:szCs w:val="20"/>
              </w:rPr>
            </w:pPr>
            <w:r w:rsidRPr="00242F5C">
              <w:rPr>
                <w:sz w:val="20"/>
                <w:szCs w:val="20"/>
              </w:rPr>
              <w:t>0.149</w:t>
            </w:r>
          </w:p>
        </w:tc>
      </w:tr>
      <w:tr w:rsidR="00FB2754" w:rsidRPr="00242F5C" w14:paraId="5EDA17DE" w14:textId="509C63D7" w:rsidTr="00FB2754">
        <w:trPr>
          <w:trHeight w:val="285"/>
        </w:trPr>
        <w:tc>
          <w:tcPr>
            <w:tcW w:w="1260" w:type="pct"/>
            <w:shd w:val="clear" w:color="auto" w:fill="auto"/>
            <w:noWrap/>
            <w:vAlign w:val="center"/>
          </w:tcPr>
          <w:p w14:paraId="08E7E090" w14:textId="34C726FD" w:rsidR="00FB2754" w:rsidRPr="00242F5C" w:rsidRDefault="00184B5D" w:rsidP="004D20E7">
            <w:pPr>
              <w:spacing w:line="480" w:lineRule="auto"/>
              <w:ind w:firstLine="333"/>
              <w:rPr>
                <w:b/>
                <w:bCs/>
                <w:sz w:val="20"/>
                <w:szCs w:val="20"/>
              </w:rPr>
            </w:pPr>
            <w:r w:rsidRPr="00242F5C">
              <w:rPr>
                <w:color w:val="000000"/>
                <w:sz w:val="20"/>
                <w:szCs w:val="20"/>
              </w:rPr>
              <w:t>PD vs. CR</w:t>
            </w:r>
          </w:p>
        </w:tc>
        <w:tc>
          <w:tcPr>
            <w:tcW w:w="776" w:type="pct"/>
            <w:shd w:val="clear" w:color="auto" w:fill="auto"/>
            <w:noWrap/>
            <w:vAlign w:val="center"/>
          </w:tcPr>
          <w:p w14:paraId="429E98A7" w14:textId="0BFBA293" w:rsidR="00FB2754" w:rsidRPr="00242F5C" w:rsidRDefault="00184B5D" w:rsidP="004D20E7">
            <w:pPr>
              <w:spacing w:line="480" w:lineRule="auto"/>
              <w:jc w:val="center"/>
              <w:rPr>
                <w:bCs/>
                <w:sz w:val="20"/>
                <w:szCs w:val="20"/>
              </w:rPr>
            </w:pPr>
            <w:r w:rsidRPr="00242F5C">
              <w:rPr>
                <w:bCs/>
                <w:sz w:val="20"/>
                <w:szCs w:val="20"/>
              </w:rPr>
              <w:t>1.02 (0.52-1.77)</w:t>
            </w:r>
          </w:p>
        </w:tc>
        <w:tc>
          <w:tcPr>
            <w:tcW w:w="739" w:type="pct"/>
            <w:shd w:val="clear" w:color="auto" w:fill="auto"/>
            <w:noWrap/>
            <w:vAlign w:val="center"/>
          </w:tcPr>
          <w:p w14:paraId="595327AE" w14:textId="03FA896A" w:rsidR="00FB2754" w:rsidRPr="00242F5C" w:rsidRDefault="00184B5D" w:rsidP="004D20E7">
            <w:pPr>
              <w:spacing w:line="480" w:lineRule="auto"/>
              <w:jc w:val="center"/>
              <w:rPr>
                <w:sz w:val="20"/>
                <w:szCs w:val="20"/>
              </w:rPr>
            </w:pPr>
            <w:r w:rsidRPr="00242F5C">
              <w:rPr>
                <w:sz w:val="20"/>
                <w:szCs w:val="20"/>
              </w:rPr>
              <w:t>0.34</w:t>
            </w:r>
          </w:p>
        </w:tc>
        <w:tc>
          <w:tcPr>
            <w:tcW w:w="346" w:type="pct"/>
            <w:shd w:val="clear" w:color="auto" w:fill="auto"/>
            <w:noWrap/>
            <w:vAlign w:val="center"/>
          </w:tcPr>
          <w:p w14:paraId="66261AAC" w14:textId="59F4ED64" w:rsidR="00FB2754" w:rsidRPr="00242F5C" w:rsidRDefault="00184B5D" w:rsidP="004D20E7">
            <w:pPr>
              <w:spacing w:line="480" w:lineRule="auto"/>
              <w:jc w:val="center"/>
              <w:rPr>
                <w:sz w:val="20"/>
                <w:szCs w:val="20"/>
              </w:rPr>
            </w:pPr>
            <w:r w:rsidRPr="00242F5C">
              <w:rPr>
                <w:sz w:val="20"/>
                <w:szCs w:val="20"/>
              </w:rPr>
              <w:t>0.946</w:t>
            </w:r>
          </w:p>
        </w:tc>
        <w:tc>
          <w:tcPr>
            <w:tcW w:w="802" w:type="pct"/>
            <w:vAlign w:val="center"/>
          </w:tcPr>
          <w:p w14:paraId="3A3033E6" w14:textId="0BEF5D01" w:rsidR="00FB2754" w:rsidRPr="00242F5C" w:rsidRDefault="00184B5D" w:rsidP="004D20E7">
            <w:pPr>
              <w:spacing w:line="480" w:lineRule="auto"/>
              <w:jc w:val="center"/>
              <w:rPr>
                <w:sz w:val="20"/>
                <w:szCs w:val="20"/>
              </w:rPr>
            </w:pPr>
            <w:r w:rsidRPr="00242F5C">
              <w:rPr>
                <w:sz w:val="20"/>
                <w:szCs w:val="20"/>
              </w:rPr>
              <w:t>1.76 (0.98-3.19)</w:t>
            </w:r>
          </w:p>
        </w:tc>
        <w:tc>
          <w:tcPr>
            <w:tcW w:w="752" w:type="pct"/>
            <w:vAlign w:val="center"/>
          </w:tcPr>
          <w:p w14:paraId="66277FCD" w14:textId="5DE30CDE" w:rsidR="00FB2754" w:rsidRPr="00242F5C" w:rsidRDefault="00184B5D" w:rsidP="004D20E7">
            <w:pPr>
              <w:spacing w:line="480" w:lineRule="auto"/>
              <w:jc w:val="center"/>
              <w:rPr>
                <w:sz w:val="20"/>
                <w:szCs w:val="20"/>
              </w:rPr>
            </w:pPr>
            <w:r w:rsidRPr="00242F5C">
              <w:rPr>
                <w:sz w:val="20"/>
                <w:szCs w:val="20"/>
              </w:rPr>
              <w:t>0.30</w:t>
            </w:r>
          </w:p>
        </w:tc>
        <w:tc>
          <w:tcPr>
            <w:tcW w:w="324" w:type="pct"/>
            <w:vAlign w:val="center"/>
          </w:tcPr>
          <w:p w14:paraId="1AAF1F5A" w14:textId="7E75C25A" w:rsidR="00FB2754" w:rsidRPr="00242F5C" w:rsidRDefault="00184B5D" w:rsidP="004D20E7">
            <w:pPr>
              <w:spacing w:line="480" w:lineRule="auto"/>
              <w:jc w:val="center"/>
              <w:rPr>
                <w:sz w:val="20"/>
                <w:szCs w:val="20"/>
              </w:rPr>
            </w:pPr>
            <w:r w:rsidRPr="00242F5C">
              <w:rPr>
                <w:sz w:val="20"/>
                <w:szCs w:val="20"/>
              </w:rPr>
              <w:t>0.060</w:t>
            </w:r>
          </w:p>
        </w:tc>
      </w:tr>
      <w:tr w:rsidR="00FB2754" w:rsidRPr="00242F5C" w14:paraId="64A0709F" w14:textId="4B528262" w:rsidTr="00FB2754">
        <w:trPr>
          <w:trHeight w:val="285"/>
        </w:trPr>
        <w:tc>
          <w:tcPr>
            <w:tcW w:w="1260" w:type="pct"/>
            <w:shd w:val="clear" w:color="auto" w:fill="auto"/>
            <w:noWrap/>
            <w:vAlign w:val="center"/>
          </w:tcPr>
          <w:p w14:paraId="0AEED9B2" w14:textId="572F859C" w:rsidR="00FB2754" w:rsidRPr="00242F5C" w:rsidRDefault="00184B5D" w:rsidP="004D20E7">
            <w:pPr>
              <w:spacing w:line="480" w:lineRule="auto"/>
              <w:ind w:firstLine="333"/>
              <w:rPr>
                <w:b/>
                <w:bCs/>
                <w:sz w:val="20"/>
                <w:szCs w:val="20"/>
              </w:rPr>
            </w:pPr>
            <w:r w:rsidRPr="00242F5C">
              <w:rPr>
                <w:color w:val="000000"/>
                <w:sz w:val="20"/>
                <w:szCs w:val="20"/>
              </w:rPr>
              <w:t>Unknown vs. CR</w:t>
            </w:r>
          </w:p>
        </w:tc>
        <w:tc>
          <w:tcPr>
            <w:tcW w:w="776" w:type="pct"/>
            <w:shd w:val="clear" w:color="auto" w:fill="auto"/>
            <w:noWrap/>
            <w:vAlign w:val="center"/>
          </w:tcPr>
          <w:p w14:paraId="08222D80" w14:textId="3B058DDE" w:rsidR="00FB2754" w:rsidRPr="00242F5C" w:rsidRDefault="00184B5D" w:rsidP="004D20E7">
            <w:pPr>
              <w:spacing w:line="480" w:lineRule="auto"/>
              <w:jc w:val="center"/>
              <w:rPr>
                <w:bCs/>
                <w:sz w:val="20"/>
                <w:szCs w:val="20"/>
              </w:rPr>
            </w:pPr>
            <w:r w:rsidRPr="00242F5C">
              <w:rPr>
                <w:bCs/>
                <w:sz w:val="20"/>
                <w:szCs w:val="20"/>
              </w:rPr>
              <w:t>0.84 (0.37-2.00)</w:t>
            </w:r>
          </w:p>
        </w:tc>
        <w:tc>
          <w:tcPr>
            <w:tcW w:w="739" w:type="pct"/>
            <w:shd w:val="clear" w:color="auto" w:fill="auto"/>
            <w:noWrap/>
            <w:vAlign w:val="center"/>
          </w:tcPr>
          <w:p w14:paraId="223844F1" w14:textId="028170B8" w:rsidR="00FB2754" w:rsidRPr="00242F5C" w:rsidRDefault="00184B5D" w:rsidP="004D20E7">
            <w:pPr>
              <w:spacing w:line="480" w:lineRule="auto"/>
              <w:jc w:val="center"/>
              <w:rPr>
                <w:sz w:val="20"/>
                <w:szCs w:val="20"/>
              </w:rPr>
            </w:pPr>
            <w:r w:rsidRPr="00242F5C">
              <w:rPr>
                <w:sz w:val="20"/>
                <w:szCs w:val="20"/>
              </w:rPr>
              <w:t>0.41</w:t>
            </w:r>
          </w:p>
        </w:tc>
        <w:tc>
          <w:tcPr>
            <w:tcW w:w="346" w:type="pct"/>
            <w:shd w:val="clear" w:color="auto" w:fill="auto"/>
            <w:noWrap/>
            <w:vAlign w:val="center"/>
          </w:tcPr>
          <w:p w14:paraId="63B9A94A" w14:textId="5A4D5947" w:rsidR="00FB2754" w:rsidRPr="00242F5C" w:rsidRDefault="00184B5D" w:rsidP="004D20E7">
            <w:pPr>
              <w:spacing w:line="480" w:lineRule="auto"/>
              <w:jc w:val="center"/>
              <w:rPr>
                <w:sz w:val="20"/>
                <w:szCs w:val="20"/>
              </w:rPr>
            </w:pPr>
            <w:r w:rsidRPr="00242F5C">
              <w:rPr>
                <w:sz w:val="20"/>
                <w:szCs w:val="20"/>
              </w:rPr>
              <w:t>0.676</w:t>
            </w:r>
          </w:p>
        </w:tc>
        <w:tc>
          <w:tcPr>
            <w:tcW w:w="802" w:type="pct"/>
            <w:vAlign w:val="center"/>
          </w:tcPr>
          <w:p w14:paraId="5424C89D" w14:textId="63851B19" w:rsidR="00FB2754" w:rsidRPr="00242F5C" w:rsidRDefault="00184B5D" w:rsidP="004D20E7">
            <w:pPr>
              <w:spacing w:line="480" w:lineRule="auto"/>
              <w:jc w:val="center"/>
              <w:rPr>
                <w:sz w:val="20"/>
                <w:szCs w:val="20"/>
              </w:rPr>
            </w:pPr>
            <w:r w:rsidRPr="00242F5C">
              <w:rPr>
                <w:sz w:val="20"/>
                <w:szCs w:val="20"/>
              </w:rPr>
              <w:t>1.64 (0.90-3.01)</w:t>
            </w:r>
          </w:p>
        </w:tc>
        <w:tc>
          <w:tcPr>
            <w:tcW w:w="752" w:type="pct"/>
            <w:vAlign w:val="center"/>
          </w:tcPr>
          <w:p w14:paraId="10980D27" w14:textId="111E7238" w:rsidR="00FB2754" w:rsidRPr="00242F5C" w:rsidRDefault="00184B5D" w:rsidP="004D20E7">
            <w:pPr>
              <w:spacing w:line="480" w:lineRule="auto"/>
              <w:jc w:val="center"/>
              <w:rPr>
                <w:sz w:val="20"/>
                <w:szCs w:val="20"/>
              </w:rPr>
            </w:pPr>
            <w:r w:rsidRPr="00242F5C">
              <w:rPr>
                <w:sz w:val="20"/>
                <w:szCs w:val="20"/>
              </w:rPr>
              <w:t>0.31</w:t>
            </w:r>
          </w:p>
        </w:tc>
        <w:tc>
          <w:tcPr>
            <w:tcW w:w="324" w:type="pct"/>
            <w:vAlign w:val="center"/>
          </w:tcPr>
          <w:p w14:paraId="3760B667" w14:textId="6E5F4198" w:rsidR="00FB2754" w:rsidRPr="00242F5C" w:rsidRDefault="00184B5D" w:rsidP="004D20E7">
            <w:pPr>
              <w:spacing w:line="480" w:lineRule="auto"/>
              <w:jc w:val="center"/>
              <w:rPr>
                <w:sz w:val="20"/>
                <w:szCs w:val="20"/>
              </w:rPr>
            </w:pPr>
            <w:r w:rsidRPr="00242F5C">
              <w:rPr>
                <w:sz w:val="20"/>
                <w:szCs w:val="20"/>
              </w:rPr>
              <w:t>0.108</w:t>
            </w:r>
          </w:p>
        </w:tc>
      </w:tr>
      <w:tr w:rsidR="00FB2754" w:rsidRPr="00242F5C" w14:paraId="3EC2B1DF" w14:textId="77777777" w:rsidTr="00FB2754">
        <w:trPr>
          <w:trHeight w:val="285"/>
        </w:trPr>
        <w:tc>
          <w:tcPr>
            <w:tcW w:w="1260" w:type="pct"/>
            <w:shd w:val="clear" w:color="auto" w:fill="auto"/>
            <w:noWrap/>
            <w:vAlign w:val="center"/>
          </w:tcPr>
          <w:p w14:paraId="5E7E3366" w14:textId="77777777" w:rsidR="00FB2754" w:rsidRPr="00242F5C" w:rsidRDefault="00FB2754" w:rsidP="004D20E7">
            <w:pPr>
              <w:spacing w:line="480" w:lineRule="auto"/>
              <w:ind w:firstLine="333"/>
              <w:rPr>
                <w:color w:val="000000"/>
                <w:sz w:val="20"/>
                <w:szCs w:val="20"/>
              </w:rPr>
            </w:pPr>
          </w:p>
        </w:tc>
        <w:tc>
          <w:tcPr>
            <w:tcW w:w="776" w:type="pct"/>
            <w:shd w:val="clear" w:color="auto" w:fill="auto"/>
            <w:noWrap/>
            <w:vAlign w:val="center"/>
          </w:tcPr>
          <w:p w14:paraId="2A86CA0A" w14:textId="77777777" w:rsidR="00FB2754" w:rsidRPr="00242F5C" w:rsidRDefault="00FB2754" w:rsidP="004D20E7">
            <w:pPr>
              <w:spacing w:line="480" w:lineRule="auto"/>
              <w:jc w:val="center"/>
              <w:rPr>
                <w:bCs/>
                <w:sz w:val="20"/>
                <w:szCs w:val="20"/>
              </w:rPr>
            </w:pPr>
          </w:p>
        </w:tc>
        <w:tc>
          <w:tcPr>
            <w:tcW w:w="739" w:type="pct"/>
            <w:shd w:val="clear" w:color="auto" w:fill="auto"/>
            <w:noWrap/>
            <w:vAlign w:val="center"/>
          </w:tcPr>
          <w:p w14:paraId="1001B063"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2BD875C5" w14:textId="77777777" w:rsidR="00FB2754" w:rsidRPr="00242F5C" w:rsidRDefault="00FB2754" w:rsidP="004D20E7">
            <w:pPr>
              <w:spacing w:line="480" w:lineRule="auto"/>
              <w:jc w:val="center"/>
              <w:rPr>
                <w:sz w:val="20"/>
                <w:szCs w:val="20"/>
              </w:rPr>
            </w:pPr>
          </w:p>
        </w:tc>
        <w:tc>
          <w:tcPr>
            <w:tcW w:w="802" w:type="pct"/>
            <w:vAlign w:val="center"/>
          </w:tcPr>
          <w:p w14:paraId="2A2ADC10" w14:textId="77777777" w:rsidR="00FB2754" w:rsidRPr="00242F5C" w:rsidRDefault="00FB2754" w:rsidP="004D20E7">
            <w:pPr>
              <w:spacing w:line="480" w:lineRule="auto"/>
              <w:jc w:val="center"/>
              <w:rPr>
                <w:sz w:val="20"/>
                <w:szCs w:val="20"/>
              </w:rPr>
            </w:pPr>
          </w:p>
        </w:tc>
        <w:tc>
          <w:tcPr>
            <w:tcW w:w="752" w:type="pct"/>
            <w:vAlign w:val="center"/>
          </w:tcPr>
          <w:p w14:paraId="49490EF4" w14:textId="77777777" w:rsidR="00FB2754" w:rsidRPr="00242F5C" w:rsidRDefault="00FB2754" w:rsidP="004D20E7">
            <w:pPr>
              <w:spacing w:line="480" w:lineRule="auto"/>
              <w:jc w:val="center"/>
              <w:rPr>
                <w:sz w:val="20"/>
                <w:szCs w:val="20"/>
              </w:rPr>
            </w:pPr>
          </w:p>
        </w:tc>
        <w:tc>
          <w:tcPr>
            <w:tcW w:w="324" w:type="pct"/>
            <w:vAlign w:val="center"/>
          </w:tcPr>
          <w:p w14:paraId="12CF88E0" w14:textId="77777777" w:rsidR="00FB2754" w:rsidRPr="00242F5C" w:rsidRDefault="00FB2754" w:rsidP="004D20E7">
            <w:pPr>
              <w:spacing w:line="480" w:lineRule="auto"/>
              <w:jc w:val="center"/>
              <w:rPr>
                <w:sz w:val="20"/>
                <w:szCs w:val="20"/>
              </w:rPr>
            </w:pPr>
          </w:p>
        </w:tc>
      </w:tr>
      <w:tr w:rsidR="00FB2754" w:rsidRPr="00242F5C" w14:paraId="2D31C554" w14:textId="14426E3A" w:rsidTr="00FB2754">
        <w:trPr>
          <w:trHeight w:val="285"/>
        </w:trPr>
        <w:tc>
          <w:tcPr>
            <w:tcW w:w="1260" w:type="pct"/>
            <w:shd w:val="clear" w:color="auto" w:fill="auto"/>
            <w:noWrap/>
            <w:vAlign w:val="center"/>
          </w:tcPr>
          <w:p w14:paraId="647D9920" w14:textId="390D0E5A" w:rsidR="00FB2754" w:rsidRPr="00242F5C" w:rsidRDefault="00184B5D" w:rsidP="004D20E7">
            <w:pPr>
              <w:spacing w:line="480" w:lineRule="auto"/>
              <w:rPr>
                <w:b/>
                <w:bCs/>
                <w:sz w:val="20"/>
                <w:szCs w:val="20"/>
              </w:rPr>
            </w:pPr>
            <w:r w:rsidRPr="00242F5C">
              <w:rPr>
                <w:b/>
                <w:bCs/>
                <w:sz w:val="20"/>
                <w:szCs w:val="20"/>
              </w:rPr>
              <w:t>Months Elapsed since fPBC</w:t>
            </w:r>
          </w:p>
        </w:tc>
        <w:tc>
          <w:tcPr>
            <w:tcW w:w="776" w:type="pct"/>
            <w:shd w:val="clear" w:color="auto" w:fill="auto"/>
            <w:noWrap/>
            <w:vAlign w:val="center"/>
          </w:tcPr>
          <w:p w14:paraId="41684554" w14:textId="48C88130" w:rsidR="00FB2754" w:rsidRPr="00242F5C" w:rsidRDefault="00184B5D" w:rsidP="004D20E7">
            <w:pPr>
              <w:spacing w:line="480" w:lineRule="auto"/>
              <w:jc w:val="center"/>
              <w:rPr>
                <w:bCs/>
                <w:sz w:val="20"/>
                <w:szCs w:val="20"/>
              </w:rPr>
            </w:pPr>
            <w:r w:rsidRPr="00242F5C">
              <w:rPr>
                <w:bCs/>
                <w:sz w:val="20"/>
                <w:szCs w:val="20"/>
              </w:rPr>
              <w:t>0.99 (0.96-1.01)</w:t>
            </w:r>
          </w:p>
        </w:tc>
        <w:tc>
          <w:tcPr>
            <w:tcW w:w="739" w:type="pct"/>
            <w:shd w:val="clear" w:color="auto" w:fill="auto"/>
            <w:noWrap/>
            <w:vAlign w:val="center"/>
          </w:tcPr>
          <w:p w14:paraId="58388626" w14:textId="0C2465CF" w:rsidR="00FB2754" w:rsidRPr="00242F5C" w:rsidRDefault="00184B5D" w:rsidP="004D20E7">
            <w:pPr>
              <w:spacing w:line="480" w:lineRule="auto"/>
              <w:jc w:val="center"/>
              <w:rPr>
                <w:sz w:val="20"/>
                <w:szCs w:val="20"/>
              </w:rPr>
            </w:pPr>
            <w:r w:rsidRPr="00242F5C">
              <w:rPr>
                <w:sz w:val="20"/>
                <w:szCs w:val="20"/>
              </w:rPr>
              <w:t>0.01</w:t>
            </w:r>
          </w:p>
        </w:tc>
        <w:tc>
          <w:tcPr>
            <w:tcW w:w="346" w:type="pct"/>
            <w:shd w:val="clear" w:color="auto" w:fill="auto"/>
            <w:noWrap/>
            <w:vAlign w:val="center"/>
          </w:tcPr>
          <w:p w14:paraId="0B7F4975" w14:textId="29B0C23B" w:rsidR="00FB2754" w:rsidRPr="00242F5C" w:rsidRDefault="00184B5D" w:rsidP="004D20E7">
            <w:pPr>
              <w:spacing w:line="480" w:lineRule="auto"/>
              <w:jc w:val="center"/>
              <w:rPr>
                <w:sz w:val="20"/>
                <w:szCs w:val="20"/>
              </w:rPr>
            </w:pPr>
            <w:r w:rsidRPr="00242F5C">
              <w:rPr>
                <w:sz w:val="20"/>
                <w:szCs w:val="20"/>
              </w:rPr>
              <w:t>0.270</w:t>
            </w:r>
          </w:p>
        </w:tc>
        <w:tc>
          <w:tcPr>
            <w:tcW w:w="802" w:type="pct"/>
            <w:vAlign w:val="center"/>
          </w:tcPr>
          <w:p w14:paraId="4D737374" w14:textId="49FF7FDF" w:rsidR="00FB2754" w:rsidRPr="00242F5C" w:rsidRDefault="00184B5D" w:rsidP="004D20E7">
            <w:pPr>
              <w:spacing w:line="480" w:lineRule="auto"/>
              <w:jc w:val="center"/>
              <w:rPr>
                <w:sz w:val="20"/>
                <w:szCs w:val="20"/>
              </w:rPr>
            </w:pPr>
            <w:r w:rsidRPr="00242F5C">
              <w:rPr>
                <w:sz w:val="20"/>
                <w:szCs w:val="20"/>
              </w:rPr>
              <w:t>0.98 (0.97-1.00)</w:t>
            </w:r>
          </w:p>
        </w:tc>
        <w:tc>
          <w:tcPr>
            <w:tcW w:w="752" w:type="pct"/>
            <w:vAlign w:val="center"/>
          </w:tcPr>
          <w:p w14:paraId="2C938A38" w14:textId="5A484CAA" w:rsidR="00FB2754" w:rsidRPr="00242F5C" w:rsidRDefault="00184B5D" w:rsidP="004D20E7">
            <w:pPr>
              <w:spacing w:line="480" w:lineRule="auto"/>
              <w:jc w:val="center"/>
              <w:rPr>
                <w:sz w:val="20"/>
                <w:szCs w:val="20"/>
              </w:rPr>
            </w:pPr>
            <w:r w:rsidRPr="00242F5C">
              <w:rPr>
                <w:sz w:val="20"/>
                <w:szCs w:val="20"/>
              </w:rPr>
              <w:t>0.01</w:t>
            </w:r>
          </w:p>
        </w:tc>
        <w:tc>
          <w:tcPr>
            <w:tcW w:w="324" w:type="pct"/>
            <w:vAlign w:val="center"/>
          </w:tcPr>
          <w:p w14:paraId="538B749F" w14:textId="7FA6F6F6" w:rsidR="00FB2754" w:rsidRPr="00242F5C" w:rsidRDefault="00184B5D" w:rsidP="004D20E7">
            <w:pPr>
              <w:spacing w:line="480" w:lineRule="auto"/>
              <w:jc w:val="center"/>
              <w:rPr>
                <w:sz w:val="20"/>
                <w:szCs w:val="20"/>
              </w:rPr>
            </w:pPr>
            <w:r w:rsidRPr="00242F5C">
              <w:rPr>
                <w:sz w:val="20"/>
                <w:szCs w:val="20"/>
              </w:rPr>
              <w:t>0.082</w:t>
            </w:r>
          </w:p>
        </w:tc>
      </w:tr>
    </w:tbl>
    <w:p w14:paraId="72A3798D" w14:textId="212843F7" w:rsidR="00FB2754" w:rsidRPr="00242F5C" w:rsidRDefault="00184B5D" w:rsidP="004D20E7">
      <w:pPr>
        <w:adjustRightInd w:val="0"/>
        <w:spacing w:before="160" w:line="480" w:lineRule="auto"/>
        <w:rPr>
          <w:sz w:val="20"/>
          <w:szCs w:val="20"/>
        </w:rPr>
      </w:pPr>
      <w:r w:rsidRPr="00242F5C">
        <w:rPr>
          <w:sz w:val="20"/>
          <w:szCs w:val="20"/>
        </w:rPr>
        <w:t>Abbreviations: HR, hazard ratio; CI, confidence interval; sPBC, subsequent platinum-based chemotherapy; sNPBC, subsequent non-platinum-based chemotherapy; ECOG PS, Eastern Cooperative Oncology Group Performance Status; CCI, Charlson Comorbidity Index; fPBC, first-line platinum-based chemotherapy; PR, partial response; CR, complete response; SD, stable disease; PD, progressive disease.</w:t>
      </w:r>
    </w:p>
    <w:p w14:paraId="2B12E801" w14:textId="0FC97ABB" w:rsidR="00FB2754" w:rsidRPr="00242F5C" w:rsidRDefault="00FB2754" w:rsidP="004D20E7">
      <w:pPr>
        <w:adjustRightInd w:val="0"/>
        <w:spacing w:before="160" w:line="480" w:lineRule="auto"/>
      </w:pPr>
    </w:p>
    <w:p w14:paraId="5AB01D9F" w14:textId="482B9831" w:rsidR="00FB2754" w:rsidRPr="00242F5C" w:rsidRDefault="00184B5D" w:rsidP="004D20E7">
      <w:pPr>
        <w:adjustRightInd w:val="0"/>
        <w:spacing w:before="160" w:line="480" w:lineRule="auto"/>
      </w:pPr>
      <w:r w:rsidRPr="00242F5C">
        <w:br w:type="page"/>
      </w:r>
    </w:p>
    <w:p w14:paraId="2B96C161" w14:textId="77777777" w:rsidR="00FB2754" w:rsidRPr="00242F5C" w:rsidRDefault="00FB2754" w:rsidP="004D20E7">
      <w:pPr>
        <w:adjustRightInd w:val="0"/>
        <w:spacing w:before="160" w:line="480" w:lineRule="auto"/>
        <w:rPr>
          <w:b/>
          <w:bCs/>
        </w:rPr>
        <w:sectPr w:rsidR="00FB2754" w:rsidRPr="00242F5C" w:rsidSect="00FB2754">
          <w:footerReference w:type="even" r:id="rId7"/>
          <w:footerReference w:type="default" r:id="rId8"/>
          <w:pgSz w:w="12240" w:h="15840"/>
          <w:pgMar w:top="1440" w:right="1440" w:bottom="1440" w:left="1440" w:header="720" w:footer="720" w:gutter="0"/>
          <w:cols w:space="720"/>
          <w:docGrid w:linePitch="360"/>
        </w:sectPr>
      </w:pPr>
    </w:p>
    <w:p w14:paraId="1CAD3CAF" w14:textId="274D7184" w:rsidR="00FB2754" w:rsidRPr="00242F5C" w:rsidRDefault="00184B5D" w:rsidP="004D20E7">
      <w:pPr>
        <w:adjustRightInd w:val="0"/>
        <w:spacing w:before="160" w:line="480" w:lineRule="auto"/>
        <w:rPr>
          <w:b/>
          <w:bCs/>
        </w:rPr>
      </w:pPr>
      <w:r w:rsidRPr="00242F5C">
        <w:rPr>
          <w:b/>
          <w:bCs/>
        </w:rPr>
        <w:lastRenderedPageBreak/>
        <w:t xml:space="preserve">Table 3 – Factors Associated with Achieving </w:t>
      </w:r>
      <w:r w:rsidR="00A215E8">
        <w:rPr>
          <w:b/>
          <w:bCs/>
        </w:rPr>
        <w:t>Disease Control</w:t>
      </w:r>
      <w:r w:rsidRPr="00242F5C">
        <w:rPr>
          <w:b/>
          <w:bCs/>
        </w:rPr>
        <w:t xml:space="preserve"> with Subsequent Chemotherapy</w:t>
      </w:r>
    </w:p>
    <w:tbl>
      <w:tblPr>
        <w:tblW w:w="128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05"/>
        <w:gridCol w:w="1800"/>
        <w:gridCol w:w="1710"/>
        <w:gridCol w:w="810"/>
        <w:gridCol w:w="1170"/>
        <w:gridCol w:w="1080"/>
        <w:gridCol w:w="810"/>
        <w:gridCol w:w="1080"/>
        <w:gridCol w:w="1080"/>
        <w:gridCol w:w="810"/>
      </w:tblGrid>
      <w:tr w:rsidR="00FB2754" w:rsidRPr="00242F5C" w14:paraId="1955B145" w14:textId="77777777" w:rsidTr="00216514">
        <w:trPr>
          <w:trHeight w:val="281"/>
        </w:trPr>
        <w:tc>
          <w:tcPr>
            <w:tcW w:w="2505" w:type="dxa"/>
            <w:vMerge w:val="restart"/>
            <w:shd w:val="clear" w:color="auto" w:fill="auto"/>
            <w:noWrap/>
            <w:vAlign w:val="center"/>
            <w:hideMark/>
          </w:tcPr>
          <w:p w14:paraId="0819B741" w14:textId="773143BD" w:rsidR="00FB2754" w:rsidRPr="00242F5C" w:rsidRDefault="00184B5D" w:rsidP="004D20E7">
            <w:pPr>
              <w:spacing w:line="480" w:lineRule="auto"/>
              <w:jc w:val="center"/>
              <w:rPr>
                <w:color w:val="000000"/>
                <w:sz w:val="20"/>
                <w:szCs w:val="20"/>
              </w:rPr>
            </w:pPr>
            <w:r w:rsidRPr="00242F5C">
              <w:rPr>
                <w:b/>
                <w:bCs/>
                <w:color w:val="000000"/>
                <w:sz w:val="20"/>
                <w:szCs w:val="20"/>
              </w:rPr>
              <w:t>Variable</w:t>
            </w:r>
          </w:p>
        </w:tc>
        <w:tc>
          <w:tcPr>
            <w:tcW w:w="4320" w:type="dxa"/>
            <w:gridSpan w:val="3"/>
            <w:vAlign w:val="center"/>
          </w:tcPr>
          <w:p w14:paraId="6A8B9BD1" w14:textId="313C2765" w:rsidR="00FB2754" w:rsidRPr="00242F5C" w:rsidRDefault="00216514" w:rsidP="004D20E7">
            <w:pPr>
              <w:spacing w:line="480" w:lineRule="auto"/>
              <w:jc w:val="center"/>
              <w:rPr>
                <w:b/>
                <w:bCs/>
                <w:color w:val="000000"/>
                <w:sz w:val="20"/>
                <w:szCs w:val="20"/>
              </w:rPr>
            </w:pPr>
            <w:r>
              <w:rPr>
                <w:b/>
                <w:bCs/>
                <w:color w:val="000000"/>
                <w:sz w:val="20"/>
                <w:szCs w:val="20"/>
              </w:rPr>
              <w:t>Disease Control with</w:t>
            </w:r>
            <w:r w:rsidR="00184B5D" w:rsidRPr="00242F5C">
              <w:rPr>
                <w:b/>
                <w:bCs/>
                <w:color w:val="000000"/>
                <w:sz w:val="20"/>
                <w:szCs w:val="20"/>
              </w:rPr>
              <w:t xml:space="preserve"> Subsequent Chemotherapy</w:t>
            </w:r>
            <w:r w:rsidR="00184B5D" w:rsidRPr="00242F5C">
              <w:rPr>
                <w:b/>
                <w:bCs/>
                <w:color w:val="000000"/>
                <w:sz w:val="20"/>
                <w:szCs w:val="20"/>
              </w:rPr>
              <w:br/>
              <w:t>(All Patients)</w:t>
            </w:r>
          </w:p>
        </w:tc>
        <w:tc>
          <w:tcPr>
            <w:tcW w:w="3060" w:type="dxa"/>
            <w:gridSpan w:val="3"/>
            <w:shd w:val="clear" w:color="auto" w:fill="auto"/>
            <w:noWrap/>
            <w:vAlign w:val="center"/>
            <w:hideMark/>
          </w:tcPr>
          <w:p w14:paraId="6A7AB002" w14:textId="74649E6D" w:rsidR="00FB2754" w:rsidRPr="00242F5C" w:rsidRDefault="00216514" w:rsidP="004D20E7">
            <w:pPr>
              <w:spacing w:line="480" w:lineRule="auto"/>
              <w:jc w:val="center"/>
              <w:rPr>
                <w:b/>
                <w:bCs/>
                <w:color w:val="000000"/>
                <w:sz w:val="20"/>
                <w:szCs w:val="20"/>
              </w:rPr>
            </w:pPr>
            <w:r>
              <w:rPr>
                <w:b/>
                <w:bCs/>
                <w:color w:val="000000"/>
                <w:sz w:val="20"/>
                <w:szCs w:val="20"/>
              </w:rPr>
              <w:t>Disease Control with</w:t>
            </w:r>
            <w:r w:rsidR="00184B5D" w:rsidRPr="00242F5C">
              <w:rPr>
                <w:b/>
                <w:bCs/>
                <w:color w:val="000000"/>
                <w:sz w:val="20"/>
                <w:szCs w:val="20"/>
              </w:rPr>
              <w:t xml:space="preserve"> sPBC</w:t>
            </w:r>
          </w:p>
        </w:tc>
        <w:tc>
          <w:tcPr>
            <w:tcW w:w="2970" w:type="dxa"/>
            <w:gridSpan w:val="3"/>
            <w:shd w:val="clear" w:color="auto" w:fill="auto"/>
            <w:noWrap/>
            <w:vAlign w:val="center"/>
            <w:hideMark/>
          </w:tcPr>
          <w:p w14:paraId="29396147" w14:textId="341F7125" w:rsidR="00FB2754" w:rsidRPr="00242F5C" w:rsidRDefault="00216514" w:rsidP="004D20E7">
            <w:pPr>
              <w:spacing w:line="480" w:lineRule="auto"/>
              <w:jc w:val="center"/>
              <w:rPr>
                <w:b/>
                <w:bCs/>
                <w:color w:val="000000"/>
                <w:sz w:val="20"/>
                <w:szCs w:val="20"/>
              </w:rPr>
            </w:pPr>
            <w:r>
              <w:rPr>
                <w:b/>
                <w:bCs/>
                <w:color w:val="000000"/>
                <w:sz w:val="20"/>
                <w:szCs w:val="20"/>
              </w:rPr>
              <w:t>Disease Control with</w:t>
            </w:r>
            <w:r w:rsidR="00184B5D" w:rsidRPr="00242F5C">
              <w:rPr>
                <w:b/>
                <w:bCs/>
                <w:color w:val="000000"/>
                <w:sz w:val="20"/>
                <w:szCs w:val="20"/>
              </w:rPr>
              <w:t xml:space="preserve"> sNPBC</w:t>
            </w:r>
          </w:p>
        </w:tc>
      </w:tr>
      <w:tr w:rsidR="00242F5C" w:rsidRPr="00242F5C" w14:paraId="042A3DF4" w14:textId="77777777" w:rsidTr="00216514">
        <w:trPr>
          <w:trHeight w:val="281"/>
        </w:trPr>
        <w:tc>
          <w:tcPr>
            <w:tcW w:w="2505" w:type="dxa"/>
            <w:vMerge/>
            <w:shd w:val="clear" w:color="auto" w:fill="auto"/>
            <w:noWrap/>
            <w:vAlign w:val="bottom"/>
          </w:tcPr>
          <w:p w14:paraId="19DE8299" w14:textId="77777777" w:rsidR="00FB2754" w:rsidRPr="00242F5C" w:rsidRDefault="00FB2754" w:rsidP="004D20E7">
            <w:pPr>
              <w:spacing w:line="480" w:lineRule="auto"/>
              <w:rPr>
                <w:b/>
                <w:bCs/>
                <w:sz w:val="20"/>
                <w:szCs w:val="20"/>
              </w:rPr>
            </w:pPr>
          </w:p>
        </w:tc>
        <w:tc>
          <w:tcPr>
            <w:tcW w:w="1800" w:type="dxa"/>
            <w:vAlign w:val="center"/>
          </w:tcPr>
          <w:p w14:paraId="0844E45A" w14:textId="0B9169F4" w:rsidR="00FB2754" w:rsidRPr="00242F5C" w:rsidRDefault="00216514" w:rsidP="004D20E7">
            <w:pPr>
              <w:spacing w:line="480" w:lineRule="auto"/>
              <w:jc w:val="center"/>
              <w:rPr>
                <w:color w:val="000000"/>
                <w:sz w:val="20"/>
                <w:szCs w:val="20"/>
              </w:rPr>
            </w:pPr>
            <w:r>
              <w:rPr>
                <w:b/>
                <w:bCs/>
                <w:color w:val="000000"/>
                <w:sz w:val="20"/>
                <w:szCs w:val="20"/>
              </w:rPr>
              <w:t>Yes</w:t>
            </w:r>
            <w:r w:rsidR="00184B5D" w:rsidRPr="00242F5C">
              <w:rPr>
                <w:b/>
                <w:bCs/>
                <w:color w:val="000000"/>
                <w:sz w:val="20"/>
                <w:szCs w:val="20"/>
              </w:rPr>
              <w:t xml:space="preserve"> (n=135)</w:t>
            </w:r>
            <w:r w:rsidR="00184B5D" w:rsidRPr="00242F5C">
              <w:rPr>
                <w:b/>
                <w:bCs/>
                <w:color w:val="000000"/>
                <w:sz w:val="20"/>
                <w:szCs w:val="20"/>
                <w:vertAlign w:val="superscript"/>
              </w:rPr>
              <w:t>a</w:t>
            </w:r>
            <w:r w:rsidR="00184B5D" w:rsidRPr="00242F5C">
              <w:rPr>
                <w:b/>
                <w:bCs/>
                <w:color w:val="000000"/>
                <w:sz w:val="20"/>
                <w:szCs w:val="20"/>
              </w:rPr>
              <w:t xml:space="preserve"> </w:t>
            </w:r>
            <w:r w:rsidR="00184B5D" w:rsidRPr="00242F5C">
              <w:rPr>
                <w:b/>
                <w:bCs/>
                <w:color w:val="000000"/>
                <w:sz w:val="20"/>
                <w:szCs w:val="20"/>
              </w:rPr>
              <w:br/>
              <w:t>N (%)</w:t>
            </w:r>
          </w:p>
        </w:tc>
        <w:tc>
          <w:tcPr>
            <w:tcW w:w="1710" w:type="dxa"/>
            <w:vAlign w:val="center"/>
          </w:tcPr>
          <w:p w14:paraId="607134DB" w14:textId="3AB313E5" w:rsidR="00FB2754" w:rsidRPr="00242F5C" w:rsidRDefault="00216514" w:rsidP="004D20E7">
            <w:pPr>
              <w:spacing w:line="480" w:lineRule="auto"/>
              <w:jc w:val="center"/>
              <w:rPr>
                <w:b/>
                <w:bCs/>
                <w:color w:val="000000"/>
                <w:sz w:val="20"/>
                <w:szCs w:val="20"/>
              </w:rPr>
            </w:pPr>
            <w:r>
              <w:rPr>
                <w:b/>
                <w:bCs/>
                <w:color w:val="000000"/>
                <w:sz w:val="20"/>
                <w:szCs w:val="20"/>
              </w:rPr>
              <w:t>No</w:t>
            </w:r>
            <w:r w:rsidR="00184B5D" w:rsidRPr="00242F5C">
              <w:rPr>
                <w:b/>
                <w:bCs/>
                <w:color w:val="000000"/>
                <w:sz w:val="20"/>
                <w:szCs w:val="20"/>
              </w:rPr>
              <w:t xml:space="preserve"> (n=132)</w:t>
            </w:r>
            <w:r w:rsidR="00184B5D" w:rsidRPr="00242F5C">
              <w:rPr>
                <w:b/>
                <w:bCs/>
                <w:color w:val="000000"/>
                <w:sz w:val="20"/>
                <w:szCs w:val="20"/>
                <w:vertAlign w:val="superscript"/>
              </w:rPr>
              <w:t>a</w:t>
            </w:r>
          </w:p>
          <w:p w14:paraId="55F91015" w14:textId="5E2C316E" w:rsidR="00FB2754" w:rsidRPr="00242F5C" w:rsidRDefault="00184B5D" w:rsidP="004D20E7">
            <w:pPr>
              <w:spacing w:line="480" w:lineRule="auto"/>
              <w:jc w:val="center"/>
              <w:rPr>
                <w:color w:val="000000"/>
                <w:sz w:val="20"/>
                <w:szCs w:val="20"/>
              </w:rPr>
            </w:pPr>
            <w:r w:rsidRPr="00242F5C">
              <w:rPr>
                <w:b/>
                <w:bCs/>
                <w:color w:val="000000"/>
                <w:sz w:val="20"/>
                <w:szCs w:val="20"/>
              </w:rPr>
              <w:t>N (%)</w:t>
            </w:r>
          </w:p>
        </w:tc>
        <w:tc>
          <w:tcPr>
            <w:tcW w:w="810" w:type="dxa"/>
            <w:vAlign w:val="center"/>
          </w:tcPr>
          <w:p w14:paraId="4EEAE918" w14:textId="73A88F2D" w:rsidR="00FB2754" w:rsidRPr="00242F5C" w:rsidRDefault="00184B5D" w:rsidP="004D20E7">
            <w:pPr>
              <w:spacing w:line="480" w:lineRule="auto"/>
              <w:jc w:val="center"/>
              <w:rPr>
                <w:color w:val="000000"/>
                <w:sz w:val="20"/>
                <w:szCs w:val="20"/>
              </w:rPr>
            </w:pPr>
            <w:r w:rsidRPr="00242F5C">
              <w:rPr>
                <w:b/>
                <w:bCs/>
                <w:color w:val="000000"/>
                <w:sz w:val="20"/>
                <w:szCs w:val="20"/>
              </w:rPr>
              <w:t>P-value</w:t>
            </w:r>
          </w:p>
        </w:tc>
        <w:tc>
          <w:tcPr>
            <w:tcW w:w="1170" w:type="dxa"/>
            <w:shd w:val="clear" w:color="auto" w:fill="auto"/>
            <w:noWrap/>
            <w:vAlign w:val="center"/>
          </w:tcPr>
          <w:p w14:paraId="24FD140A" w14:textId="25E122C0" w:rsidR="00FB2754" w:rsidRPr="00242F5C" w:rsidRDefault="00216514" w:rsidP="004D20E7">
            <w:pPr>
              <w:spacing w:line="480" w:lineRule="auto"/>
              <w:jc w:val="center"/>
              <w:rPr>
                <w:b/>
                <w:bCs/>
                <w:color w:val="000000"/>
                <w:sz w:val="20"/>
                <w:szCs w:val="20"/>
              </w:rPr>
            </w:pPr>
            <w:r>
              <w:rPr>
                <w:b/>
                <w:bCs/>
                <w:color w:val="000000"/>
                <w:sz w:val="20"/>
                <w:szCs w:val="20"/>
              </w:rPr>
              <w:t>Yes</w:t>
            </w:r>
            <w:r w:rsidR="00184B5D" w:rsidRPr="00242F5C">
              <w:rPr>
                <w:b/>
                <w:bCs/>
                <w:color w:val="000000"/>
                <w:sz w:val="20"/>
                <w:szCs w:val="20"/>
              </w:rPr>
              <w:t xml:space="preserve"> (n=70)</w:t>
            </w:r>
            <w:r w:rsidR="00184B5D" w:rsidRPr="00242F5C">
              <w:rPr>
                <w:b/>
                <w:bCs/>
                <w:color w:val="000000"/>
                <w:sz w:val="20"/>
                <w:szCs w:val="20"/>
                <w:vertAlign w:val="superscript"/>
              </w:rPr>
              <w:t>a</w:t>
            </w:r>
            <w:r w:rsidR="00184B5D" w:rsidRPr="00242F5C">
              <w:rPr>
                <w:b/>
                <w:bCs/>
                <w:color w:val="000000"/>
                <w:sz w:val="20"/>
                <w:szCs w:val="20"/>
                <w:vertAlign w:val="superscript"/>
              </w:rPr>
              <w:br/>
            </w:r>
            <w:r w:rsidR="00184B5D" w:rsidRPr="00242F5C">
              <w:rPr>
                <w:b/>
                <w:bCs/>
                <w:color w:val="000000"/>
                <w:sz w:val="20"/>
                <w:szCs w:val="20"/>
              </w:rPr>
              <w:t>N(%)</w:t>
            </w:r>
          </w:p>
        </w:tc>
        <w:tc>
          <w:tcPr>
            <w:tcW w:w="1080" w:type="dxa"/>
            <w:vAlign w:val="center"/>
          </w:tcPr>
          <w:p w14:paraId="1BF680B4" w14:textId="2310EE09" w:rsidR="00FB2754" w:rsidRPr="00242F5C" w:rsidRDefault="00216514" w:rsidP="004D20E7">
            <w:pPr>
              <w:spacing w:line="480" w:lineRule="auto"/>
              <w:jc w:val="center"/>
              <w:rPr>
                <w:b/>
                <w:bCs/>
                <w:color w:val="000000"/>
                <w:sz w:val="20"/>
                <w:szCs w:val="20"/>
              </w:rPr>
            </w:pPr>
            <w:r>
              <w:rPr>
                <w:b/>
                <w:bCs/>
                <w:color w:val="000000"/>
                <w:sz w:val="20"/>
                <w:szCs w:val="20"/>
              </w:rPr>
              <w:t>No</w:t>
            </w:r>
            <w:r w:rsidR="00184B5D" w:rsidRPr="00242F5C">
              <w:rPr>
                <w:b/>
                <w:bCs/>
                <w:color w:val="000000"/>
                <w:sz w:val="20"/>
                <w:szCs w:val="20"/>
              </w:rPr>
              <w:t xml:space="preserve"> (n=52)</w:t>
            </w:r>
            <w:r w:rsidR="00184B5D" w:rsidRPr="00242F5C">
              <w:rPr>
                <w:b/>
                <w:bCs/>
                <w:color w:val="000000"/>
                <w:sz w:val="20"/>
                <w:szCs w:val="20"/>
                <w:vertAlign w:val="superscript"/>
              </w:rPr>
              <w:t>a</w:t>
            </w:r>
            <w:r w:rsidR="00184B5D" w:rsidRPr="00242F5C">
              <w:rPr>
                <w:b/>
                <w:bCs/>
                <w:color w:val="000000"/>
                <w:sz w:val="20"/>
                <w:szCs w:val="20"/>
                <w:vertAlign w:val="superscript"/>
              </w:rPr>
              <w:br/>
            </w:r>
            <w:r w:rsidR="00184B5D" w:rsidRPr="00242F5C">
              <w:rPr>
                <w:b/>
                <w:bCs/>
                <w:color w:val="000000"/>
                <w:sz w:val="20"/>
                <w:szCs w:val="20"/>
              </w:rPr>
              <w:t>N (%)</w:t>
            </w:r>
          </w:p>
        </w:tc>
        <w:tc>
          <w:tcPr>
            <w:tcW w:w="810" w:type="dxa"/>
            <w:vAlign w:val="center"/>
          </w:tcPr>
          <w:p w14:paraId="5AB42E4A" w14:textId="52E267E5" w:rsidR="00FB2754" w:rsidRPr="00242F5C" w:rsidRDefault="00184B5D" w:rsidP="004D20E7">
            <w:pPr>
              <w:spacing w:line="480" w:lineRule="auto"/>
              <w:jc w:val="center"/>
              <w:rPr>
                <w:b/>
                <w:bCs/>
                <w:color w:val="000000"/>
                <w:sz w:val="20"/>
                <w:szCs w:val="20"/>
              </w:rPr>
            </w:pPr>
            <w:r w:rsidRPr="00242F5C">
              <w:rPr>
                <w:b/>
                <w:bCs/>
                <w:color w:val="000000"/>
                <w:sz w:val="20"/>
                <w:szCs w:val="20"/>
              </w:rPr>
              <w:t>P-value</w:t>
            </w:r>
          </w:p>
        </w:tc>
        <w:tc>
          <w:tcPr>
            <w:tcW w:w="1080" w:type="dxa"/>
            <w:shd w:val="clear" w:color="auto" w:fill="auto"/>
            <w:noWrap/>
            <w:vAlign w:val="center"/>
          </w:tcPr>
          <w:p w14:paraId="4D60AFDD" w14:textId="49BA353D" w:rsidR="00FB2754" w:rsidRPr="00242F5C" w:rsidRDefault="00216514" w:rsidP="004D20E7">
            <w:pPr>
              <w:spacing w:line="480" w:lineRule="auto"/>
              <w:jc w:val="center"/>
              <w:rPr>
                <w:b/>
                <w:bCs/>
                <w:color w:val="000000"/>
                <w:sz w:val="20"/>
                <w:szCs w:val="20"/>
              </w:rPr>
            </w:pPr>
            <w:r>
              <w:rPr>
                <w:b/>
                <w:bCs/>
                <w:color w:val="000000"/>
                <w:sz w:val="20"/>
                <w:szCs w:val="20"/>
              </w:rPr>
              <w:t>Yes</w:t>
            </w:r>
            <w:r w:rsidR="00184B5D" w:rsidRPr="00242F5C">
              <w:rPr>
                <w:b/>
                <w:bCs/>
                <w:color w:val="000000"/>
                <w:sz w:val="20"/>
                <w:szCs w:val="20"/>
              </w:rPr>
              <w:t xml:space="preserve"> (n=65)</w:t>
            </w:r>
            <w:r w:rsidR="00184B5D" w:rsidRPr="00242F5C">
              <w:rPr>
                <w:b/>
                <w:bCs/>
                <w:color w:val="000000"/>
                <w:sz w:val="20"/>
                <w:szCs w:val="20"/>
                <w:vertAlign w:val="superscript"/>
              </w:rPr>
              <w:t>a</w:t>
            </w:r>
            <w:r w:rsidR="00184B5D" w:rsidRPr="00242F5C">
              <w:rPr>
                <w:b/>
                <w:bCs/>
                <w:color w:val="000000"/>
                <w:sz w:val="20"/>
                <w:szCs w:val="20"/>
                <w:vertAlign w:val="superscript"/>
              </w:rPr>
              <w:br/>
            </w:r>
            <w:r w:rsidR="00184B5D" w:rsidRPr="00242F5C">
              <w:rPr>
                <w:b/>
                <w:bCs/>
                <w:color w:val="000000"/>
                <w:sz w:val="20"/>
                <w:szCs w:val="20"/>
              </w:rPr>
              <w:t>N (%)</w:t>
            </w:r>
          </w:p>
        </w:tc>
        <w:tc>
          <w:tcPr>
            <w:tcW w:w="1080" w:type="dxa"/>
            <w:vAlign w:val="center"/>
          </w:tcPr>
          <w:p w14:paraId="1147891B" w14:textId="3C5E2471" w:rsidR="00FB2754" w:rsidRPr="00242F5C" w:rsidRDefault="00216514" w:rsidP="004D20E7">
            <w:pPr>
              <w:spacing w:line="480" w:lineRule="auto"/>
              <w:jc w:val="center"/>
              <w:rPr>
                <w:b/>
                <w:bCs/>
                <w:color w:val="000000"/>
                <w:sz w:val="20"/>
                <w:szCs w:val="20"/>
              </w:rPr>
            </w:pPr>
            <w:r>
              <w:rPr>
                <w:b/>
                <w:bCs/>
                <w:color w:val="000000"/>
                <w:sz w:val="20"/>
                <w:szCs w:val="20"/>
              </w:rPr>
              <w:t>No</w:t>
            </w:r>
            <w:r w:rsidR="00184B5D" w:rsidRPr="00242F5C">
              <w:rPr>
                <w:b/>
                <w:bCs/>
                <w:color w:val="000000"/>
                <w:sz w:val="20"/>
                <w:szCs w:val="20"/>
              </w:rPr>
              <w:t xml:space="preserve"> (n=80)</w:t>
            </w:r>
            <w:r w:rsidR="00184B5D" w:rsidRPr="00242F5C">
              <w:rPr>
                <w:b/>
                <w:bCs/>
                <w:color w:val="000000"/>
                <w:sz w:val="20"/>
                <w:szCs w:val="20"/>
                <w:vertAlign w:val="superscript"/>
              </w:rPr>
              <w:t>a</w:t>
            </w:r>
            <w:r w:rsidR="00184B5D" w:rsidRPr="00242F5C">
              <w:rPr>
                <w:b/>
                <w:bCs/>
                <w:color w:val="000000"/>
                <w:sz w:val="20"/>
                <w:szCs w:val="20"/>
                <w:vertAlign w:val="superscript"/>
              </w:rPr>
              <w:br/>
            </w:r>
            <w:r w:rsidR="00184B5D" w:rsidRPr="00242F5C">
              <w:rPr>
                <w:b/>
                <w:bCs/>
                <w:color w:val="000000"/>
                <w:sz w:val="20"/>
                <w:szCs w:val="20"/>
              </w:rPr>
              <w:t>N (%)</w:t>
            </w:r>
          </w:p>
        </w:tc>
        <w:tc>
          <w:tcPr>
            <w:tcW w:w="810" w:type="dxa"/>
            <w:shd w:val="clear" w:color="auto" w:fill="auto"/>
            <w:noWrap/>
            <w:vAlign w:val="center"/>
          </w:tcPr>
          <w:p w14:paraId="00637FCB" w14:textId="7282D014" w:rsidR="00FB2754" w:rsidRPr="00242F5C" w:rsidRDefault="00184B5D" w:rsidP="004D20E7">
            <w:pPr>
              <w:spacing w:line="480" w:lineRule="auto"/>
              <w:jc w:val="center"/>
              <w:rPr>
                <w:b/>
                <w:bCs/>
                <w:color w:val="000000"/>
                <w:sz w:val="20"/>
                <w:szCs w:val="20"/>
              </w:rPr>
            </w:pPr>
            <w:r w:rsidRPr="00242F5C">
              <w:rPr>
                <w:b/>
                <w:bCs/>
                <w:color w:val="000000"/>
                <w:sz w:val="20"/>
                <w:szCs w:val="20"/>
              </w:rPr>
              <w:t>P-value</w:t>
            </w:r>
          </w:p>
        </w:tc>
      </w:tr>
      <w:tr w:rsidR="00242F5C" w:rsidRPr="00242F5C" w14:paraId="41DE0EC2" w14:textId="77777777" w:rsidTr="00216514">
        <w:trPr>
          <w:trHeight w:val="281"/>
        </w:trPr>
        <w:tc>
          <w:tcPr>
            <w:tcW w:w="2505" w:type="dxa"/>
            <w:shd w:val="clear" w:color="auto" w:fill="auto"/>
            <w:noWrap/>
            <w:vAlign w:val="center"/>
            <w:hideMark/>
          </w:tcPr>
          <w:p w14:paraId="077E5AB1" w14:textId="72BA1324" w:rsidR="00FB2754" w:rsidRPr="00242F5C" w:rsidRDefault="00184B5D" w:rsidP="004D20E7">
            <w:pPr>
              <w:spacing w:line="480" w:lineRule="auto"/>
              <w:rPr>
                <w:b/>
                <w:bCs/>
                <w:color w:val="000000"/>
                <w:sz w:val="20"/>
                <w:szCs w:val="20"/>
              </w:rPr>
            </w:pPr>
            <w:r w:rsidRPr="00242F5C">
              <w:rPr>
                <w:b/>
                <w:bCs/>
                <w:sz w:val="20"/>
                <w:szCs w:val="20"/>
              </w:rPr>
              <w:t>ECOG PS</w:t>
            </w:r>
          </w:p>
        </w:tc>
        <w:tc>
          <w:tcPr>
            <w:tcW w:w="1800" w:type="dxa"/>
            <w:vAlign w:val="center"/>
          </w:tcPr>
          <w:p w14:paraId="19B3E475" w14:textId="77777777" w:rsidR="00FB2754" w:rsidRPr="00242F5C" w:rsidRDefault="00FB2754" w:rsidP="004D20E7">
            <w:pPr>
              <w:spacing w:line="480" w:lineRule="auto"/>
              <w:jc w:val="center"/>
              <w:rPr>
                <w:color w:val="000000"/>
                <w:sz w:val="20"/>
                <w:szCs w:val="20"/>
              </w:rPr>
            </w:pPr>
          </w:p>
        </w:tc>
        <w:tc>
          <w:tcPr>
            <w:tcW w:w="1710" w:type="dxa"/>
            <w:vAlign w:val="center"/>
          </w:tcPr>
          <w:p w14:paraId="12006AF7" w14:textId="77777777" w:rsidR="00FB2754" w:rsidRPr="00242F5C" w:rsidRDefault="00FB2754" w:rsidP="004D20E7">
            <w:pPr>
              <w:spacing w:line="480" w:lineRule="auto"/>
              <w:jc w:val="center"/>
              <w:rPr>
                <w:color w:val="000000"/>
                <w:sz w:val="20"/>
                <w:szCs w:val="20"/>
              </w:rPr>
            </w:pPr>
          </w:p>
        </w:tc>
        <w:tc>
          <w:tcPr>
            <w:tcW w:w="810" w:type="dxa"/>
            <w:vAlign w:val="center"/>
          </w:tcPr>
          <w:p w14:paraId="6C7D1F7E" w14:textId="68CF06A6" w:rsidR="00FB2754" w:rsidRPr="00242F5C" w:rsidRDefault="00184B5D" w:rsidP="004D20E7">
            <w:pPr>
              <w:spacing w:line="480" w:lineRule="auto"/>
              <w:jc w:val="center"/>
              <w:rPr>
                <w:color w:val="000000"/>
                <w:sz w:val="20"/>
                <w:szCs w:val="20"/>
              </w:rPr>
            </w:pPr>
            <w:r w:rsidRPr="00242F5C">
              <w:rPr>
                <w:color w:val="000000"/>
                <w:sz w:val="20"/>
                <w:szCs w:val="20"/>
              </w:rPr>
              <w:t>0.065</w:t>
            </w:r>
          </w:p>
        </w:tc>
        <w:tc>
          <w:tcPr>
            <w:tcW w:w="1170" w:type="dxa"/>
            <w:shd w:val="clear" w:color="auto" w:fill="auto"/>
            <w:noWrap/>
            <w:vAlign w:val="center"/>
            <w:hideMark/>
          </w:tcPr>
          <w:p w14:paraId="1DEB476C" w14:textId="182A3277" w:rsidR="00FB2754" w:rsidRPr="00242F5C" w:rsidRDefault="00FB2754" w:rsidP="004D20E7">
            <w:pPr>
              <w:spacing w:line="480" w:lineRule="auto"/>
              <w:jc w:val="center"/>
              <w:rPr>
                <w:color w:val="000000"/>
                <w:sz w:val="20"/>
                <w:szCs w:val="20"/>
              </w:rPr>
            </w:pPr>
          </w:p>
        </w:tc>
        <w:tc>
          <w:tcPr>
            <w:tcW w:w="1080" w:type="dxa"/>
            <w:vAlign w:val="center"/>
          </w:tcPr>
          <w:p w14:paraId="4C06E88C" w14:textId="77777777" w:rsidR="00FB2754" w:rsidRPr="00242F5C" w:rsidRDefault="00FB2754" w:rsidP="004D20E7">
            <w:pPr>
              <w:spacing w:line="480" w:lineRule="auto"/>
              <w:jc w:val="center"/>
              <w:rPr>
                <w:color w:val="000000"/>
                <w:sz w:val="20"/>
                <w:szCs w:val="20"/>
              </w:rPr>
            </w:pPr>
          </w:p>
        </w:tc>
        <w:tc>
          <w:tcPr>
            <w:tcW w:w="810" w:type="dxa"/>
            <w:vAlign w:val="center"/>
          </w:tcPr>
          <w:p w14:paraId="658BB3E6" w14:textId="38600CCC" w:rsidR="00FB2754" w:rsidRPr="00242F5C" w:rsidRDefault="00184B5D" w:rsidP="004D20E7">
            <w:pPr>
              <w:spacing w:line="480" w:lineRule="auto"/>
              <w:jc w:val="center"/>
              <w:rPr>
                <w:color w:val="000000"/>
                <w:sz w:val="20"/>
                <w:szCs w:val="20"/>
              </w:rPr>
            </w:pPr>
            <w:r w:rsidRPr="00242F5C">
              <w:rPr>
                <w:color w:val="000000"/>
                <w:sz w:val="20"/>
                <w:szCs w:val="20"/>
              </w:rPr>
              <w:t>0.384</w:t>
            </w:r>
          </w:p>
        </w:tc>
        <w:tc>
          <w:tcPr>
            <w:tcW w:w="1080" w:type="dxa"/>
            <w:shd w:val="clear" w:color="auto" w:fill="auto"/>
            <w:noWrap/>
            <w:vAlign w:val="center"/>
            <w:hideMark/>
          </w:tcPr>
          <w:p w14:paraId="661FB1D4" w14:textId="794CF399" w:rsidR="00FB2754" w:rsidRPr="00242F5C" w:rsidRDefault="00FB2754" w:rsidP="004D20E7">
            <w:pPr>
              <w:spacing w:line="480" w:lineRule="auto"/>
              <w:jc w:val="center"/>
              <w:rPr>
                <w:color w:val="000000"/>
                <w:sz w:val="20"/>
                <w:szCs w:val="20"/>
              </w:rPr>
            </w:pPr>
          </w:p>
        </w:tc>
        <w:tc>
          <w:tcPr>
            <w:tcW w:w="1080" w:type="dxa"/>
            <w:vAlign w:val="center"/>
          </w:tcPr>
          <w:p w14:paraId="0A7D0200" w14:textId="77777777" w:rsidR="00FB2754" w:rsidRPr="00242F5C" w:rsidRDefault="00FB2754" w:rsidP="004D20E7">
            <w:pPr>
              <w:spacing w:line="480" w:lineRule="auto"/>
              <w:jc w:val="center"/>
              <w:rPr>
                <w:color w:val="000000"/>
                <w:sz w:val="20"/>
                <w:szCs w:val="20"/>
              </w:rPr>
            </w:pPr>
          </w:p>
        </w:tc>
        <w:tc>
          <w:tcPr>
            <w:tcW w:w="810" w:type="dxa"/>
            <w:shd w:val="clear" w:color="auto" w:fill="auto"/>
            <w:noWrap/>
            <w:vAlign w:val="center"/>
            <w:hideMark/>
          </w:tcPr>
          <w:p w14:paraId="68F609AD" w14:textId="4F0B9564" w:rsidR="00FB2754" w:rsidRPr="00242F5C" w:rsidRDefault="00184B5D" w:rsidP="004D20E7">
            <w:pPr>
              <w:spacing w:line="480" w:lineRule="auto"/>
              <w:jc w:val="center"/>
              <w:rPr>
                <w:color w:val="000000"/>
                <w:sz w:val="20"/>
                <w:szCs w:val="20"/>
              </w:rPr>
            </w:pPr>
            <w:r w:rsidRPr="00242F5C">
              <w:rPr>
                <w:color w:val="000000"/>
                <w:sz w:val="20"/>
                <w:szCs w:val="20"/>
              </w:rPr>
              <w:t>0.334</w:t>
            </w:r>
          </w:p>
        </w:tc>
      </w:tr>
      <w:tr w:rsidR="00242F5C" w:rsidRPr="00242F5C" w14:paraId="4DCD1C96" w14:textId="77777777" w:rsidTr="00216514">
        <w:trPr>
          <w:trHeight w:val="281"/>
        </w:trPr>
        <w:tc>
          <w:tcPr>
            <w:tcW w:w="2505" w:type="dxa"/>
            <w:shd w:val="clear" w:color="auto" w:fill="auto"/>
            <w:noWrap/>
            <w:vAlign w:val="center"/>
          </w:tcPr>
          <w:p w14:paraId="28D0E49E" w14:textId="38009A94" w:rsidR="00FB2754" w:rsidRPr="00242F5C" w:rsidRDefault="00184B5D" w:rsidP="004D20E7">
            <w:pPr>
              <w:spacing w:line="480" w:lineRule="auto"/>
              <w:ind w:left="153"/>
              <w:rPr>
                <w:sz w:val="20"/>
                <w:szCs w:val="20"/>
              </w:rPr>
            </w:pPr>
            <w:r w:rsidRPr="00242F5C">
              <w:rPr>
                <w:sz w:val="20"/>
                <w:szCs w:val="20"/>
              </w:rPr>
              <w:t>0</w:t>
            </w:r>
          </w:p>
        </w:tc>
        <w:tc>
          <w:tcPr>
            <w:tcW w:w="1800" w:type="dxa"/>
            <w:vAlign w:val="center"/>
          </w:tcPr>
          <w:p w14:paraId="70DF3E76" w14:textId="1FAA57A6" w:rsidR="00FB2754" w:rsidRPr="00242F5C" w:rsidRDefault="00184B5D" w:rsidP="004D20E7">
            <w:pPr>
              <w:spacing w:line="480" w:lineRule="auto"/>
              <w:jc w:val="center"/>
              <w:rPr>
                <w:color w:val="000000"/>
                <w:sz w:val="20"/>
                <w:szCs w:val="20"/>
              </w:rPr>
            </w:pPr>
            <w:r w:rsidRPr="00242F5C">
              <w:rPr>
                <w:color w:val="000000"/>
                <w:sz w:val="20"/>
                <w:szCs w:val="20"/>
              </w:rPr>
              <w:t>32 (29.4%)</w:t>
            </w:r>
          </w:p>
        </w:tc>
        <w:tc>
          <w:tcPr>
            <w:tcW w:w="1710" w:type="dxa"/>
            <w:vAlign w:val="center"/>
          </w:tcPr>
          <w:p w14:paraId="65170A16" w14:textId="10DF5D1E" w:rsidR="00FB2754" w:rsidRPr="00242F5C" w:rsidRDefault="00184B5D" w:rsidP="004D20E7">
            <w:pPr>
              <w:spacing w:line="480" w:lineRule="auto"/>
              <w:jc w:val="center"/>
              <w:rPr>
                <w:color w:val="000000"/>
                <w:sz w:val="20"/>
                <w:szCs w:val="20"/>
              </w:rPr>
            </w:pPr>
            <w:r w:rsidRPr="00242F5C">
              <w:rPr>
                <w:color w:val="000000"/>
                <w:sz w:val="20"/>
                <w:szCs w:val="20"/>
              </w:rPr>
              <w:t>20 (19.2%)</w:t>
            </w:r>
          </w:p>
        </w:tc>
        <w:tc>
          <w:tcPr>
            <w:tcW w:w="810" w:type="dxa"/>
            <w:vAlign w:val="center"/>
          </w:tcPr>
          <w:p w14:paraId="606CFB38"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3F6C367E" w14:textId="49B4915C" w:rsidR="00FB2754" w:rsidRPr="00242F5C" w:rsidRDefault="00184B5D" w:rsidP="004D20E7">
            <w:pPr>
              <w:spacing w:line="480" w:lineRule="auto"/>
              <w:jc w:val="center"/>
              <w:rPr>
                <w:color w:val="000000"/>
                <w:sz w:val="20"/>
                <w:szCs w:val="20"/>
              </w:rPr>
            </w:pPr>
            <w:r w:rsidRPr="00242F5C">
              <w:rPr>
                <w:color w:val="000000"/>
                <w:sz w:val="20"/>
                <w:szCs w:val="20"/>
              </w:rPr>
              <w:t>19 (32.8%)</w:t>
            </w:r>
          </w:p>
        </w:tc>
        <w:tc>
          <w:tcPr>
            <w:tcW w:w="1080" w:type="dxa"/>
            <w:vAlign w:val="center"/>
          </w:tcPr>
          <w:p w14:paraId="6010A004" w14:textId="30ED13D5" w:rsidR="00FB2754" w:rsidRPr="00242F5C" w:rsidRDefault="00184B5D" w:rsidP="004D20E7">
            <w:pPr>
              <w:spacing w:line="480" w:lineRule="auto"/>
              <w:jc w:val="center"/>
              <w:rPr>
                <w:sz w:val="20"/>
                <w:szCs w:val="20"/>
              </w:rPr>
            </w:pPr>
            <w:r w:rsidRPr="00242F5C">
              <w:rPr>
                <w:sz w:val="20"/>
                <w:szCs w:val="20"/>
              </w:rPr>
              <w:t>10 (24.4%)</w:t>
            </w:r>
          </w:p>
        </w:tc>
        <w:tc>
          <w:tcPr>
            <w:tcW w:w="810" w:type="dxa"/>
            <w:vAlign w:val="center"/>
          </w:tcPr>
          <w:p w14:paraId="708FB9AA" w14:textId="4014265D" w:rsidR="00FB2754" w:rsidRPr="00242F5C" w:rsidRDefault="00FB2754" w:rsidP="004D20E7">
            <w:pPr>
              <w:spacing w:line="480" w:lineRule="auto"/>
              <w:jc w:val="center"/>
              <w:rPr>
                <w:sz w:val="20"/>
                <w:szCs w:val="20"/>
              </w:rPr>
            </w:pPr>
          </w:p>
        </w:tc>
        <w:tc>
          <w:tcPr>
            <w:tcW w:w="1080" w:type="dxa"/>
            <w:shd w:val="clear" w:color="auto" w:fill="auto"/>
            <w:noWrap/>
            <w:vAlign w:val="center"/>
          </w:tcPr>
          <w:p w14:paraId="357362E8" w14:textId="0F9BB310" w:rsidR="00FB2754" w:rsidRPr="00242F5C" w:rsidRDefault="00184B5D" w:rsidP="004D20E7">
            <w:pPr>
              <w:spacing w:line="480" w:lineRule="auto"/>
              <w:jc w:val="center"/>
              <w:rPr>
                <w:sz w:val="20"/>
                <w:szCs w:val="20"/>
              </w:rPr>
            </w:pPr>
            <w:r w:rsidRPr="00242F5C">
              <w:rPr>
                <w:sz w:val="20"/>
                <w:szCs w:val="20"/>
              </w:rPr>
              <w:t>13 (25.5%)</w:t>
            </w:r>
          </w:p>
        </w:tc>
        <w:tc>
          <w:tcPr>
            <w:tcW w:w="1080" w:type="dxa"/>
            <w:vAlign w:val="center"/>
          </w:tcPr>
          <w:p w14:paraId="55FFF237" w14:textId="625CCC51" w:rsidR="00FB2754" w:rsidRPr="00242F5C" w:rsidRDefault="00184B5D" w:rsidP="004D20E7">
            <w:pPr>
              <w:spacing w:line="480" w:lineRule="auto"/>
              <w:jc w:val="center"/>
              <w:rPr>
                <w:color w:val="000000"/>
                <w:sz w:val="20"/>
                <w:szCs w:val="20"/>
              </w:rPr>
            </w:pPr>
            <w:r w:rsidRPr="00242F5C">
              <w:rPr>
                <w:color w:val="000000"/>
                <w:sz w:val="20"/>
                <w:szCs w:val="20"/>
              </w:rPr>
              <w:t>10 (15.9%)</w:t>
            </w:r>
          </w:p>
        </w:tc>
        <w:tc>
          <w:tcPr>
            <w:tcW w:w="810" w:type="dxa"/>
            <w:shd w:val="clear" w:color="auto" w:fill="auto"/>
            <w:noWrap/>
            <w:vAlign w:val="center"/>
          </w:tcPr>
          <w:p w14:paraId="26A61DAC" w14:textId="78C26DEC" w:rsidR="00FB2754" w:rsidRPr="00242F5C" w:rsidRDefault="00FB2754" w:rsidP="004D20E7">
            <w:pPr>
              <w:spacing w:line="480" w:lineRule="auto"/>
              <w:jc w:val="center"/>
              <w:rPr>
                <w:color w:val="000000"/>
                <w:sz w:val="20"/>
                <w:szCs w:val="20"/>
              </w:rPr>
            </w:pPr>
          </w:p>
        </w:tc>
      </w:tr>
      <w:tr w:rsidR="00242F5C" w:rsidRPr="00242F5C" w14:paraId="37F8A36E" w14:textId="77777777" w:rsidTr="00216514">
        <w:trPr>
          <w:trHeight w:val="281"/>
        </w:trPr>
        <w:tc>
          <w:tcPr>
            <w:tcW w:w="2505" w:type="dxa"/>
            <w:shd w:val="clear" w:color="auto" w:fill="auto"/>
            <w:noWrap/>
            <w:vAlign w:val="center"/>
            <w:hideMark/>
          </w:tcPr>
          <w:p w14:paraId="488EB90A" w14:textId="788B9291" w:rsidR="00FB2754" w:rsidRPr="00242F5C" w:rsidRDefault="00184B5D" w:rsidP="004D20E7">
            <w:pPr>
              <w:spacing w:line="480" w:lineRule="auto"/>
              <w:ind w:left="153"/>
              <w:rPr>
                <w:b/>
                <w:bCs/>
                <w:color w:val="000000"/>
                <w:sz w:val="20"/>
                <w:szCs w:val="20"/>
              </w:rPr>
            </w:pPr>
            <w:r w:rsidRPr="00242F5C">
              <w:rPr>
                <w:sz w:val="20"/>
                <w:szCs w:val="20"/>
              </w:rPr>
              <w:t>1</w:t>
            </w:r>
          </w:p>
        </w:tc>
        <w:tc>
          <w:tcPr>
            <w:tcW w:w="1800" w:type="dxa"/>
            <w:vAlign w:val="center"/>
          </w:tcPr>
          <w:p w14:paraId="0EC65C3A" w14:textId="2B7BC781" w:rsidR="00FB2754" w:rsidRPr="00242F5C" w:rsidRDefault="00184B5D" w:rsidP="004D20E7">
            <w:pPr>
              <w:spacing w:line="480" w:lineRule="auto"/>
              <w:jc w:val="center"/>
              <w:rPr>
                <w:color w:val="000000"/>
                <w:sz w:val="20"/>
                <w:szCs w:val="20"/>
              </w:rPr>
            </w:pPr>
            <w:r w:rsidRPr="00242F5C">
              <w:rPr>
                <w:color w:val="000000"/>
                <w:sz w:val="20"/>
                <w:szCs w:val="20"/>
              </w:rPr>
              <w:t>63 (57.8%)</w:t>
            </w:r>
          </w:p>
        </w:tc>
        <w:tc>
          <w:tcPr>
            <w:tcW w:w="1710" w:type="dxa"/>
            <w:vAlign w:val="center"/>
          </w:tcPr>
          <w:p w14:paraId="2FD84755" w14:textId="1F84A3F8" w:rsidR="00FB2754" w:rsidRPr="00242F5C" w:rsidRDefault="00184B5D" w:rsidP="004D20E7">
            <w:pPr>
              <w:spacing w:line="480" w:lineRule="auto"/>
              <w:jc w:val="center"/>
              <w:rPr>
                <w:color w:val="000000"/>
                <w:sz w:val="20"/>
                <w:szCs w:val="20"/>
              </w:rPr>
            </w:pPr>
            <w:r w:rsidRPr="00242F5C">
              <w:rPr>
                <w:color w:val="000000"/>
                <w:sz w:val="20"/>
                <w:szCs w:val="20"/>
              </w:rPr>
              <w:t>57 (54.8%)</w:t>
            </w:r>
          </w:p>
        </w:tc>
        <w:tc>
          <w:tcPr>
            <w:tcW w:w="810" w:type="dxa"/>
            <w:vAlign w:val="center"/>
          </w:tcPr>
          <w:p w14:paraId="09D98A80"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hideMark/>
          </w:tcPr>
          <w:p w14:paraId="265D8568" w14:textId="1917C456" w:rsidR="00FB2754" w:rsidRPr="00242F5C" w:rsidRDefault="00184B5D" w:rsidP="004D20E7">
            <w:pPr>
              <w:spacing w:line="480" w:lineRule="auto"/>
              <w:jc w:val="center"/>
              <w:rPr>
                <w:color w:val="000000"/>
                <w:sz w:val="20"/>
                <w:szCs w:val="20"/>
              </w:rPr>
            </w:pPr>
            <w:r w:rsidRPr="00242F5C">
              <w:rPr>
                <w:color w:val="000000"/>
                <w:sz w:val="20"/>
                <w:szCs w:val="20"/>
              </w:rPr>
              <w:t>33 (56.9%)</w:t>
            </w:r>
          </w:p>
        </w:tc>
        <w:tc>
          <w:tcPr>
            <w:tcW w:w="1080" w:type="dxa"/>
            <w:vAlign w:val="center"/>
          </w:tcPr>
          <w:p w14:paraId="01FB0D42" w14:textId="6B2C3910" w:rsidR="00FB2754" w:rsidRPr="00242F5C" w:rsidRDefault="00184B5D" w:rsidP="004D20E7">
            <w:pPr>
              <w:spacing w:line="480" w:lineRule="auto"/>
              <w:jc w:val="center"/>
              <w:rPr>
                <w:sz w:val="20"/>
                <w:szCs w:val="20"/>
              </w:rPr>
            </w:pPr>
            <w:r w:rsidRPr="00242F5C">
              <w:rPr>
                <w:sz w:val="20"/>
                <w:szCs w:val="20"/>
              </w:rPr>
              <w:t>22 (53.7%)</w:t>
            </w:r>
          </w:p>
        </w:tc>
        <w:tc>
          <w:tcPr>
            <w:tcW w:w="810" w:type="dxa"/>
            <w:vAlign w:val="center"/>
          </w:tcPr>
          <w:p w14:paraId="30DCAD22" w14:textId="78D7984F" w:rsidR="00FB2754" w:rsidRPr="00242F5C" w:rsidRDefault="00FB2754" w:rsidP="004D20E7">
            <w:pPr>
              <w:spacing w:line="480" w:lineRule="auto"/>
              <w:jc w:val="center"/>
              <w:rPr>
                <w:sz w:val="20"/>
                <w:szCs w:val="20"/>
              </w:rPr>
            </w:pPr>
          </w:p>
        </w:tc>
        <w:tc>
          <w:tcPr>
            <w:tcW w:w="1080" w:type="dxa"/>
            <w:shd w:val="clear" w:color="auto" w:fill="auto"/>
            <w:noWrap/>
            <w:vAlign w:val="center"/>
            <w:hideMark/>
          </w:tcPr>
          <w:p w14:paraId="6CD3B946" w14:textId="60D6AB2F" w:rsidR="00FB2754" w:rsidRPr="00242F5C" w:rsidRDefault="00184B5D" w:rsidP="004D20E7">
            <w:pPr>
              <w:spacing w:line="480" w:lineRule="auto"/>
              <w:jc w:val="center"/>
              <w:rPr>
                <w:sz w:val="20"/>
                <w:szCs w:val="20"/>
              </w:rPr>
            </w:pPr>
            <w:r w:rsidRPr="00242F5C">
              <w:rPr>
                <w:sz w:val="20"/>
                <w:szCs w:val="20"/>
              </w:rPr>
              <w:t>30 (58.8%)</w:t>
            </w:r>
          </w:p>
        </w:tc>
        <w:tc>
          <w:tcPr>
            <w:tcW w:w="1080" w:type="dxa"/>
            <w:vAlign w:val="center"/>
          </w:tcPr>
          <w:p w14:paraId="1ED89034" w14:textId="581D20C7" w:rsidR="00FB2754" w:rsidRPr="00242F5C" w:rsidRDefault="00184B5D" w:rsidP="004D20E7">
            <w:pPr>
              <w:spacing w:line="480" w:lineRule="auto"/>
              <w:jc w:val="center"/>
              <w:rPr>
                <w:color w:val="000000"/>
                <w:sz w:val="20"/>
                <w:szCs w:val="20"/>
              </w:rPr>
            </w:pPr>
            <w:r w:rsidRPr="00242F5C">
              <w:rPr>
                <w:color w:val="000000"/>
                <w:sz w:val="20"/>
                <w:szCs w:val="20"/>
              </w:rPr>
              <w:t>35 (55.6%)</w:t>
            </w:r>
          </w:p>
        </w:tc>
        <w:tc>
          <w:tcPr>
            <w:tcW w:w="810" w:type="dxa"/>
            <w:shd w:val="clear" w:color="auto" w:fill="auto"/>
            <w:noWrap/>
            <w:vAlign w:val="center"/>
            <w:hideMark/>
          </w:tcPr>
          <w:p w14:paraId="1177B21C" w14:textId="147C89D8" w:rsidR="00FB2754" w:rsidRPr="00242F5C" w:rsidRDefault="00FB2754" w:rsidP="004D20E7">
            <w:pPr>
              <w:spacing w:line="480" w:lineRule="auto"/>
              <w:jc w:val="center"/>
              <w:rPr>
                <w:color w:val="000000"/>
                <w:sz w:val="20"/>
                <w:szCs w:val="20"/>
              </w:rPr>
            </w:pPr>
          </w:p>
        </w:tc>
      </w:tr>
      <w:tr w:rsidR="00242F5C" w:rsidRPr="00242F5C" w14:paraId="2A3FD8FD" w14:textId="77777777" w:rsidTr="00216514">
        <w:trPr>
          <w:trHeight w:val="281"/>
        </w:trPr>
        <w:tc>
          <w:tcPr>
            <w:tcW w:w="2505" w:type="dxa"/>
            <w:shd w:val="clear" w:color="auto" w:fill="auto"/>
            <w:noWrap/>
            <w:vAlign w:val="center"/>
            <w:hideMark/>
          </w:tcPr>
          <w:p w14:paraId="58A282D5" w14:textId="27CC9395" w:rsidR="00FB2754" w:rsidRPr="00242F5C" w:rsidRDefault="00184B5D" w:rsidP="004D20E7">
            <w:pPr>
              <w:spacing w:line="480" w:lineRule="auto"/>
              <w:ind w:left="153"/>
              <w:rPr>
                <w:color w:val="000000"/>
                <w:sz w:val="20"/>
                <w:szCs w:val="20"/>
              </w:rPr>
            </w:pPr>
            <w:r w:rsidRPr="00242F5C">
              <w:rPr>
                <w:color w:val="222222"/>
                <w:sz w:val="20"/>
                <w:szCs w:val="20"/>
                <w:shd w:val="clear" w:color="auto" w:fill="FFFFFF"/>
              </w:rPr>
              <w:t>≥2</w:t>
            </w:r>
          </w:p>
        </w:tc>
        <w:tc>
          <w:tcPr>
            <w:tcW w:w="1800" w:type="dxa"/>
            <w:vAlign w:val="center"/>
          </w:tcPr>
          <w:p w14:paraId="4CD9CE82" w14:textId="69BB577C" w:rsidR="00FB2754" w:rsidRPr="00242F5C" w:rsidRDefault="00184B5D" w:rsidP="004D20E7">
            <w:pPr>
              <w:spacing w:line="480" w:lineRule="auto"/>
              <w:jc w:val="center"/>
              <w:rPr>
                <w:color w:val="000000"/>
                <w:sz w:val="20"/>
                <w:szCs w:val="20"/>
              </w:rPr>
            </w:pPr>
            <w:r w:rsidRPr="00242F5C">
              <w:rPr>
                <w:color w:val="000000"/>
                <w:sz w:val="20"/>
                <w:szCs w:val="20"/>
              </w:rPr>
              <w:t>14 (12.8%)</w:t>
            </w:r>
          </w:p>
        </w:tc>
        <w:tc>
          <w:tcPr>
            <w:tcW w:w="1710" w:type="dxa"/>
            <w:vAlign w:val="center"/>
          </w:tcPr>
          <w:p w14:paraId="74DBCE0F" w14:textId="6D5D3A34" w:rsidR="00FB2754" w:rsidRPr="00242F5C" w:rsidRDefault="00184B5D" w:rsidP="004D20E7">
            <w:pPr>
              <w:spacing w:line="480" w:lineRule="auto"/>
              <w:jc w:val="center"/>
              <w:rPr>
                <w:color w:val="000000"/>
                <w:sz w:val="20"/>
                <w:szCs w:val="20"/>
              </w:rPr>
            </w:pPr>
            <w:r w:rsidRPr="00242F5C">
              <w:rPr>
                <w:color w:val="000000"/>
                <w:sz w:val="20"/>
                <w:szCs w:val="20"/>
              </w:rPr>
              <w:t>27 (26.0%)</w:t>
            </w:r>
          </w:p>
        </w:tc>
        <w:tc>
          <w:tcPr>
            <w:tcW w:w="810" w:type="dxa"/>
            <w:vAlign w:val="center"/>
          </w:tcPr>
          <w:p w14:paraId="7BCE5728"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hideMark/>
          </w:tcPr>
          <w:p w14:paraId="6D821758" w14:textId="0B9FD80F" w:rsidR="00FB2754" w:rsidRPr="00242F5C" w:rsidRDefault="00184B5D" w:rsidP="004D20E7">
            <w:pPr>
              <w:spacing w:line="480" w:lineRule="auto"/>
              <w:jc w:val="center"/>
              <w:rPr>
                <w:color w:val="000000"/>
                <w:sz w:val="20"/>
                <w:szCs w:val="20"/>
              </w:rPr>
            </w:pPr>
            <w:r w:rsidRPr="00242F5C">
              <w:rPr>
                <w:color w:val="000000"/>
                <w:sz w:val="20"/>
                <w:szCs w:val="20"/>
              </w:rPr>
              <w:t>6 (10.3%)</w:t>
            </w:r>
          </w:p>
        </w:tc>
        <w:tc>
          <w:tcPr>
            <w:tcW w:w="1080" w:type="dxa"/>
            <w:vAlign w:val="center"/>
          </w:tcPr>
          <w:p w14:paraId="65429185" w14:textId="5FACEB71" w:rsidR="00FB2754" w:rsidRPr="00242F5C" w:rsidRDefault="00184B5D" w:rsidP="004D20E7">
            <w:pPr>
              <w:spacing w:line="480" w:lineRule="auto"/>
              <w:jc w:val="center"/>
              <w:rPr>
                <w:color w:val="000000"/>
                <w:sz w:val="20"/>
                <w:szCs w:val="20"/>
              </w:rPr>
            </w:pPr>
            <w:r w:rsidRPr="00242F5C">
              <w:rPr>
                <w:color w:val="000000"/>
                <w:sz w:val="20"/>
                <w:szCs w:val="20"/>
              </w:rPr>
              <w:t>9 (22.0%)</w:t>
            </w:r>
          </w:p>
        </w:tc>
        <w:tc>
          <w:tcPr>
            <w:tcW w:w="810" w:type="dxa"/>
            <w:vAlign w:val="center"/>
          </w:tcPr>
          <w:p w14:paraId="7587D3B9" w14:textId="17384883" w:rsidR="00FB2754" w:rsidRPr="00242F5C" w:rsidRDefault="00FB2754" w:rsidP="004D20E7">
            <w:pPr>
              <w:spacing w:line="480" w:lineRule="auto"/>
              <w:jc w:val="center"/>
              <w:rPr>
                <w:color w:val="000000"/>
                <w:sz w:val="20"/>
                <w:szCs w:val="20"/>
              </w:rPr>
            </w:pPr>
          </w:p>
        </w:tc>
        <w:tc>
          <w:tcPr>
            <w:tcW w:w="1080" w:type="dxa"/>
            <w:shd w:val="clear" w:color="auto" w:fill="auto"/>
            <w:noWrap/>
            <w:vAlign w:val="center"/>
            <w:hideMark/>
          </w:tcPr>
          <w:p w14:paraId="32C66F60" w14:textId="139F28AF" w:rsidR="00FB2754" w:rsidRPr="00242F5C" w:rsidRDefault="00184B5D" w:rsidP="004D20E7">
            <w:pPr>
              <w:spacing w:line="480" w:lineRule="auto"/>
              <w:jc w:val="center"/>
              <w:rPr>
                <w:color w:val="000000"/>
                <w:sz w:val="20"/>
                <w:szCs w:val="20"/>
              </w:rPr>
            </w:pPr>
            <w:r w:rsidRPr="00242F5C">
              <w:rPr>
                <w:color w:val="000000"/>
                <w:sz w:val="20"/>
                <w:szCs w:val="20"/>
              </w:rPr>
              <w:t>8 (15.7%)</w:t>
            </w:r>
          </w:p>
        </w:tc>
        <w:tc>
          <w:tcPr>
            <w:tcW w:w="1080" w:type="dxa"/>
            <w:vAlign w:val="center"/>
          </w:tcPr>
          <w:p w14:paraId="07127864" w14:textId="2C271EF4" w:rsidR="00FB2754" w:rsidRPr="00242F5C" w:rsidRDefault="00184B5D" w:rsidP="004D20E7">
            <w:pPr>
              <w:spacing w:line="480" w:lineRule="auto"/>
              <w:jc w:val="center"/>
              <w:rPr>
                <w:color w:val="000000"/>
                <w:sz w:val="20"/>
                <w:szCs w:val="20"/>
              </w:rPr>
            </w:pPr>
            <w:r w:rsidRPr="00242F5C">
              <w:rPr>
                <w:color w:val="000000"/>
                <w:sz w:val="20"/>
                <w:szCs w:val="20"/>
              </w:rPr>
              <w:t>18 (28.6%)</w:t>
            </w:r>
          </w:p>
        </w:tc>
        <w:tc>
          <w:tcPr>
            <w:tcW w:w="810" w:type="dxa"/>
            <w:shd w:val="clear" w:color="auto" w:fill="auto"/>
            <w:noWrap/>
            <w:vAlign w:val="center"/>
            <w:hideMark/>
          </w:tcPr>
          <w:p w14:paraId="01AB78A4" w14:textId="02597DBE" w:rsidR="00FB2754" w:rsidRPr="00242F5C" w:rsidRDefault="00FB2754" w:rsidP="004D20E7">
            <w:pPr>
              <w:spacing w:line="480" w:lineRule="auto"/>
              <w:jc w:val="center"/>
              <w:rPr>
                <w:color w:val="000000"/>
                <w:sz w:val="20"/>
                <w:szCs w:val="20"/>
              </w:rPr>
            </w:pPr>
          </w:p>
        </w:tc>
      </w:tr>
      <w:tr w:rsidR="00242F5C" w:rsidRPr="00242F5C" w14:paraId="6B5E4B9C" w14:textId="77777777" w:rsidTr="00216514">
        <w:trPr>
          <w:trHeight w:val="281"/>
        </w:trPr>
        <w:tc>
          <w:tcPr>
            <w:tcW w:w="2505" w:type="dxa"/>
            <w:shd w:val="clear" w:color="auto" w:fill="auto"/>
            <w:noWrap/>
            <w:vAlign w:val="center"/>
            <w:hideMark/>
          </w:tcPr>
          <w:p w14:paraId="07F7085A" w14:textId="1B436CD7" w:rsidR="00FB2754" w:rsidRPr="00242F5C" w:rsidRDefault="00184B5D" w:rsidP="004D20E7">
            <w:pPr>
              <w:spacing w:line="480" w:lineRule="auto"/>
              <w:rPr>
                <w:color w:val="000000"/>
                <w:sz w:val="20"/>
                <w:szCs w:val="20"/>
              </w:rPr>
            </w:pPr>
            <w:r w:rsidRPr="00242F5C">
              <w:rPr>
                <w:b/>
                <w:bCs/>
                <w:sz w:val="20"/>
                <w:szCs w:val="20"/>
              </w:rPr>
              <w:t>CCI</w:t>
            </w:r>
          </w:p>
        </w:tc>
        <w:tc>
          <w:tcPr>
            <w:tcW w:w="1800" w:type="dxa"/>
            <w:vAlign w:val="center"/>
          </w:tcPr>
          <w:p w14:paraId="09FBDB7D" w14:textId="77777777" w:rsidR="00FB2754" w:rsidRPr="00242F5C" w:rsidRDefault="00FB2754" w:rsidP="004D20E7">
            <w:pPr>
              <w:spacing w:line="480" w:lineRule="auto"/>
              <w:jc w:val="center"/>
              <w:rPr>
                <w:color w:val="000000"/>
                <w:sz w:val="20"/>
                <w:szCs w:val="20"/>
              </w:rPr>
            </w:pPr>
          </w:p>
        </w:tc>
        <w:tc>
          <w:tcPr>
            <w:tcW w:w="1710" w:type="dxa"/>
            <w:vAlign w:val="center"/>
          </w:tcPr>
          <w:p w14:paraId="1D8873F6" w14:textId="77777777" w:rsidR="00FB2754" w:rsidRPr="00242F5C" w:rsidRDefault="00FB2754" w:rsidP="004D20E7">
            <w:pPr>
              <w:spacing w:line="480" w:lineRule="auto"/>
              <w:jc w:val="center"/>
              <w:rPr>
                <w:color w:val="000000"/>
                <w:sz w:val="20"/>
                <w:szCs w:val="20"/>
              </w:rPr>
            </w:pPr>
          </w:p>
        </w:tc>
        <w:tc>
          <w:tcPr>
            <w:tcW w:w="810" w:type="dxa"/>
            <w:vAlign w:val="center"/>
          </w:tcPr>
          <w:p w14:paraId="0E9721AB" w14:textId="41BFE4AC" w:rsidR="00FB2754" w:rsidRPr="00242F5C" w:rsidRDefault="00184B5D" w:rsidP="004D20E7">
            <w:pPr>
              <w:spacing w:line="480" w:lineRule="auto"/>
              <w:jc w:val="center"/>
              <w:rPr>
                <w:color w:val="000000"/>
                <w:sz w:val="20"/>
                <w:szCs w:val="20"/>
              </w:rPr>
            </w:pPr>
            <w:r w:rsidRPr="00242F5C">
              <w:rPr>
                <w:color w:val="000000"/>
                <w:sz w:val="20"/>
                <w:szCs w:val="20"/>
              </w:rPr>
              <w:t>0.345</w:t>
            </w:r>
          </w:p>
        </w:tc>
        <w:tc>
          <w:tcPr>
            <w:tcW w:w="1170" w:type="dxa"/>
            <w:shd w:val="clear" w:color="auto" w:fill="auto"/>
            <w:noWrap/>
            <w:vAlign w:val="center"/>
            <w:hideMark/>
          </w:tcPr>
          <w:p w14:paraId="2B0814E0" w14:textId="22937909" w:rsidR="00FB2754" w:rsidRPr="00242F5C" w:rsidRDefault="00FB2754" w:rsidP="004D20E7">
            <w:pPr>
              <w:spacing w:line="480" w:lineRule="auto"/>
              <w:jc w:val="center"/>
              <w:rPr>
                <w:color w:val="000000"/>
                <w:sz w:val="20"/>
                <w:szCs w:val="20"/>
              </w:rPr>
            </w:pPr>
          </w:p>
        </w:tc>
        <w:tc>
          <w:tcPr>
            <w:tcW w:w="1080" w:type="dxa"/>
            <w:vAlign w:val="center"/>
          </w:tcPr>
          <w:p w14:paraId="54981A90" w14:textId="77777777" w:rsidR="00FB2754" w:rsidRPr="00242F5C" w:rsidRDefault="00FB2754" w:rsidP="004D20E7">
            <w:pPr>
              <w:spacing w:line="480" w:lineRule="auto"/>
              <w:jc w:val="center"/>
              <w:rPr>
                <w:sz w:val="20"/>
                <w:szCs w:val="20"/>
              </w:rPr>
            </w:pPr>
          </w:p>
        </w:tc>
        <w:tc>
          <w:tcPr>
            <w:tcW w:w="810" w:type="dxa"/>
            <w:vAlign w:val="center"/>
          </w:tcPr>
          <w:p w14:paraId="1BE79BF3" w14:textId="79421962" w:rsidR="00FB2754" w:rsidRPr="00242F5C" w:rsidRDefault="00184B5D" w:rsidP="004D20E7">
            <w:pPr>
              <w:spacing w:line="480" w:lineRule="auto"/>
              <w:jc w:val="center"/>
              <w:rPr>
                <w:sz w:val="20"/>
                <w:szCs w:val="20"/>
              </w:rPr>
            </w:pPr>
            <w:r w:rsidRPr="00242F5C">
              <w:rPr>
                <w:sz w:val="20"/>
                <w:szCs w:val="20"/>
              </w:rPr>
              <w:t>0.403</w:t>
            </w:r>
          </w:p>
        </w:tc>
        <w:tc>
          <w:tcPr>
            <w:tcW w:w="1080" w:type="dxa"/>
            <w:shd w:val="clear" w:color="auto" w:fill="auto"/>
            <w:noWrap/>
            <w:vAlign w:val="center"/>
            <w:hideMark/>
          </w:tcPr>
          <w:p w14:paraId="7015A758" w14:textId="01224CC4" w:rsidR="00FB2754" w:rsidRPr="00242F5C" w:rsidRDefault="00FB2754" w:rsidP="004D20E7">
            <w:pPr>
              <w:spacing w:line="480" w:lineRule="auto"/>
              <w:jc w:val="center"/>
              <w:rPr>
                <w:sz w:val="20"/>
                <w:szCs w:val="20"/>
              </w:rPr>
            </w:pPr>
          </w:p>
        </w:tc>
        <w:tc>
          <w:tcPr>
            <w:tcW w:w="1080" w:type="dxa"/>
            <w:vAlign w:val="center"/>
          </w:tcPr>
          <w:p w14:paraId="66F30419" w14:textId="77777777" w:rsidR="00FB2754" w:rsidRPr="00242F5C" w:rsidRDefault="00FB2754" w:rsidP="004D20E7">
            <w:pPr>
              <w:spacing w:line="480" w:lineRule="auto"/>
              <w:jc w:val="center"/>
              <w:rPr>
                <w:color w:val="000000"/>
                <w:sz w:val="20"/>
                <w:szCs w:val="20"/>
              </w:rPr>
            </w:pPr>
          </w:p>
        </w:tc>
        <w:tc>
          <w:tcPr>
            <w:tcW w:w="810" w:type="dxa"/>
            <w:shd w:val="clear" w:color="auto" w:fill="auto"/>
            <w:noWrap/>
            <w:vAlign w:val="center"/>
            <w:hideMark/>
          </w:tcPr>
          <w:p w14:paraId="09C1D03C" w14:textId="77C0F4C3" w:rsidR="00FB2754" w:rsidRPr="00242F5C" w:rsidRDefault="00184B5D" w:rsidP="004D20E7">
            <w:pPr>
              <w:spacing w:line="480" w:lineRule="auto"/>
              <w:jc w:val="center"/>
              <w:rPr>
                <w:color w:val="000000"/>
                <w:sz w:val="20"/>
                <w:szCs w:val="20"/>
              </w:rPr>
            </w:pPr>
            <w:r w:rsidRPr="00242F5C">
              <w:rPr>
                <w:color w:val="000000"/>
                <w:sz w:val="20"/>
                <w:szCs w:val="20"/>
              </w:rPr>
              <w:t>0.910</w:t>
            </w:r>
          </w:p>
        </w:tc>
      </w:tr>
      <w:tr w:rsidR="00242F5C" w:rsidRPr="00242F5C" w14:paraId="4831457C" w14:textId="77777777" w:rsidTr="00216514">
        <w:trPr>
          <w:trHeight w:val="281"/>
        </w:trPr>
        <w:tc>
          <w:tcPr>
            <w:tcW w:w="2505" w:type="dxa"/>
            <w:shd w:val="clear" w:color="auto" w:fill="auto"/>
            <w:noWrap/>
            <w:vAlign w:val="center"/>
          </w:tcPr>
          <w:p w14:paraId="56C6E718" w14:textId="1913E8EE" w:rsidR="00FB2754" w:rsidRPr="00242F5C" w:rsidRDefault="00184B5D" w:rsidP="004D20E7">
            <w:pPr>
              <w:spacing w:line="480" w:lineRule="auto"/>
              <w:ind w:left="153"/>
              <w:rPr>
                <w:sz w:val="20"/>
                <w:szCs w:val="20"/>
              </w:rPr>
            </w:pPr>
            <w:r w:rsidRPr="00242F5C">
              <w:rPr>
                <w:sz w:val="20"/>
                <w:szCs w:val="20"/>
              </w:rPr>
              <w:t>0</w:t>
            </w:r>
          </w:p>
        </w:tc>
        <w:tc>
          <w:tcPr>
            <w:tcW w:w="1800" w:type="dxa"/>
            <w:vAlign w:val="center"/>
          </w:tcPr>
          <w:p w14:paraId="279C594A" w14:textId="1C3EF583" w:rsidR="00FB2754" w:rsidRPr="00242F5C" w:rsidRDefault="00184B5D" w:rsidP="004D20E7">
            <w:pPr>
              <w:spacing w:line="480" w:lineRule="auto"/>
              <w:jc w:val="center"/>
              <w:rPr>
                <w:color w:val="000000"/>
                <w:sz w:val="20"/>
                <w:szCs w:val="20"/>
              </w:rPr>
            </w:pPr>
            <w:r w:rsidRPr="00242F5C">
              <w:rPr>
                <w:color w:val="000000"/>
                <w:sz w:val="20"/>
                <w:szCs w:val="20"/>
              </w:rPr>
              <w:t>60 (44.4%)</w:t>
            </w:r>
          </w:p>
        </w:tc>
        <w:tc>
          <w:tcPr>
            <w:tcW w:w="1710" w:type="dxa"/>
            <w:vAlign w:val="center"/>
          </w:tcPr>
          <w:p w14:paraId="13D3D168" w14:textId="280D6147" w:rsidR="00FB2754" w:rsidRPr="00242F5C" w:rsidRDefault="00184B5D" w:rsidP="004D20E7">
            <w:pPr>
              <w:spacing w:line="480" w:lineRule="auto"/>
              <w:jc w:val="center"/>
              <w:rPr>
                <w:color w:val="000000"/>
                <w:sz w:val="20"/>
                <w:szCs w:val="20"/>
              </w:rPr>
            </w:pPr>
            <w:r w:rsidRPr="00242F5C">
              <w:rPr>
                <w:color w:val="000000"/>
                <w:sz w:val="20"/>
                <w:szCs w:val="20"/>
              </w:rPr>
              <w:t>61 (46.2%)</w:t>
            </w:r>
          </w:p>
        </w:tc>
        <w:tc>
          <w:tcPr>
            <w:tcW w:w="810" w:type="dxa"/>
            <w:vAlign w:val="center"/>
          </w:tcPr>
          <w:p w14:paraId="505C2443"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341A2FFE" w14:textId="58D1F1DC" w:rsidR="00FB2754" w:rsidRPr="00242F5C" w:rsidRDefault="00184B5D" w:rsidP="004D20E7">
            <w:pPr>
              <w:spacing w:line="480" w:lineRule="auto"/>
              <w:jc w:val="center"/>
              <w:rPr>
                <w:color w:val="000000"/>
                <w:sz w:val="20"/>
                <w:szCs w:val="20"/>
              </w:rPr>
            </w:pPr>
            <w:r w:rsidRPr="00242F5C">
              <w:rPr>
                <w:color w:val="000000"/>
                <w:sz w:val="20"/>
                <w:szCs w:val="20"/>
              </w:rPr>
              <w:t>32 (45.7%)</w:t>
            </w:r>
          </w:p>
        </w:tc>
        <w:tc>
          <w:tcPr>
            <w:tcW w:w="1080" w:type="dxa"/>
            <w:vAlign w:val="center"/>
          </w:tcPr>
          <w:p w14:paraId="2E87355A" w14:textId="25EFE294" w:rsidR="00FB2754" w:rsidRPr="00242F5C" w:rsidRDefault="00184B5D" w:rsidP="004D20E7">
            <w:pPr>
              <w:spacing w:line="480" w:lineRule="auto"/>
              <w:jc w:val="center"/>
              <w:rPr>
                <w:sz w:val="20"/>
                <w:szCs w:val="20"/>
              </w:rPr>
            </w:pPr>
            <w:r w:rsidRPr="00242F5C">
              <w:rPr>
                <w:sz w:val="20"/>
                <w:szCs w:val="20"/>
              </w:rPr>
              <w:t>25 (48.1%)</w:t>
            </w:r>
          </w:p>
        </w:tc>
        <w:tc>
          <w:tcPr>
            <w:tcW w:w="810" w:type="dxa"/>
            <w:vAlign w:val="center"/>
          </w:tcPr>
          <w:p w14:paraId="53C1CC53" w14:textId="6A3FD97B" w:rsidR="00FB2754" w:rsidRPr="00242F5C" w:rsidRDefault="00FB2754" w:rsidP="004D20E7">
            <w:pPr>
              <w:spacing w:line="480" w:lineRule="auto"/>
              <w:jc w:val="center"/>
              <w:rPr>
                <w:sz w:val="20"/>
                <w:szCs w:val="20"/>
              </w:rPr>
            </w:pPr>
          </w:p>
        </w:tc>
        <w:tc>
          <w:tcPr>
            <w:tcW w:w="1080" w:type="dxa"/>
            <w:shd w:val="clear" w:color="auto" w:fill="auto"/>
            <w:noWrap/>
            <w:vAlign w:val="center"/>
          </w:tcPr>
          <w:p w14:paraId="6BB00162" w14:textId="5594038F" w:rsidR="00FB2754" w:rsidRPr="00242F5C" w:rsidRDefault="00184B5D" w:rsidP="004D20E7">
            <w:pPr>
              <w:spacing w:line="480" w:lineRule="auto"/>
              <w:jc w:val="center"/>
              <w:rPr>
                <w:sz w:val="20"/>
                <w:szCs w:val="20"/>
              </w:rPr>
            </w:pPr>
            <w:r w:rsidRPr="00242F5C">
              <w:rPr>
                <w:sz w:val="20"/>
                <w:szCs w:val="20"/>
              </w:rPr>
              <w:t>28 (43.1%)</w:t>
            </w:r>
          </w:p>
        </w:tc>
        <w:tc>
          <w:tcPr>
            <w:tcW w:w="1080" w:type="dxa"/>
            <w:vAlign w:val="center"/>
          </w:tcPr>
          <w:p w14:paraId="22E27BE4" w14:textId="6D37EA8A" w:rsidR="00FB2754" w:rsidRPr="00242F5C" w:rsidRDefault="00184B5D" w:rsidP="004D20E7">
            <w:pPr>
              <w:spacing w:line="480" w:lineRule="auto"/>
              <w:jc w:val="center"/>
              <w:rPr>
                <w:color w:val="000000"/>
                <w:sz w:val="20"/>
                <w:szCs w:val="20"/>
              </w:rPr>
            </w:pPr>
            <w:r w:rsidRPr="00242F5C">
              <w:rPr>
                <w:color w:val="000000"/>
                <w:sz w:val="20"/>
                <w:szCs w:val="20"/>
              </w:rPr>
              <w:t>36 (45.0%)</w:t>
            </w:r>
          </w:p>
        </w:tc>
        <w:tc>
          <w:tcPr>
            <w:tcW w:w="810" w:type="dxa"/>
            <w:shd w:val="clear" w:color="auto" w:fill="auto"/>
            <w:noWrap/>
            <w:vAlign w:val="center"/>
          </w:tcPr>
          <w:p w14:paraId="5A31EBD6" w14:textId="13F115EA" w:rsidR="00FB2754" w:rsidRPr="00242F5C" w:rsidRDefault="00FB2754" w:rsidP="004D20E7">
            <w:pPr>
              <w:spacing w:line="480" w:lineRule="auto"/>
              <w:jc w:val="center"/>
              <w:rPr>
                <w:color w:val="000000"/>
                <w:sz w:val="20"/>
                <w:szCs w:val="20"/>
              </w:rPr>
            </w:pPr>
          </w:p>
        </w:tc>
      </w:tr>
      <w:tr w:rsidR="00242F5C" w:rsidRPr="00242F5C" w14:paraId="2641DBFA" w14:textId="77777777" w:rsidTr="00216514">
        <w:trPr>
          <w:trHeight w:val="281"/>
        </w:trPr>
        <w:tc>
          <w:tcPr>
            <w:tcW w:w="2505" w:type="dxa"/>
            <w:shd w:val="clear" w:color="auto" w:fill="auto"/>
            <w:noWrap/>
            <w:vAlign w:val="center"/>
            <w:hideMark/>
          </w:tcPr>
          <w:p w14:paraId="1B879A42" w14:textId="2027B54F" w:rsidR="00FB2754" w:rsidRPr="00242F5C" w:rsidRDefault="00184B5D" w:rsidP="004D20E7">
            <w:pPr>
              <w:spacing w:line="480" w:lineRule="auto"/>
              <w:ind w:left="153"/>
              <w:rPr>
                <w:b/>
                <w:bCs/>
                <w:color w:val="000000"/>
                <w:sz w:val="20"/>
                <w:szCs w:val="20"/>
              </w:rPr>
            </w:pPr>
            <w:r w:rsidRPr="00242F5C">
              <w:rPr>
                <w:sz w:val="20"/>
                <w:szCs w:val="20"/>
              </w:rPr>
              <w:t>1</w:t>
            </w:r>
          </w:p>
        </w:tc>
        <w:tc>
          <w:tcPr>
            <w:tcW w:w="1800" w:type="dxa"/>
            <w:vAlign w:val="center"/>
          </w:tcPr>
          <w:p w14:paraId="4DAEEFE0" w14:textId="0C3475D1" w:rsidR="00FB2754" w:rsidRPr="00242F5C" w:rsidRDefault="00184B5D" w:rsidP="004D20E7">
            <w:pPr>
              <w:spacing w:line="480" w:lineRule="auto"/>
              <w:jc w:val="center"/>
              <w:rPr>
                <w:color w:val="000000"/>
                <w:sz w:val="20"/>
                <w:szCs w:val="20"/>
              </w:rPr>
            </w:pPr>
            <w:r w:rsidRPr="00242F5C">
              <w:rPr>
                <w:color w:val="000000"/>
                <w:sz w:val="20"/>
                <w:szCs w:val="20"/>
              </w:rPr>
              <w:t>14 (10.4%)</w:t>
            </w:r>
          </w:p>
        </w:tc>
        <w:tc>
          <w:tcPr>
            <w:tcW w:w="1710" w:type="dxa"/>
            <w:vAlign w:val="center"/>
          </w:tcPr>
          <w:p w14:paraId="0C530B2C" w14:textId="7D1BD30A" w:rsidR="00FB2754" w:rsidRPr="00242F5C" w:rsidRDefault="00184B5D" w:rsidP="004D20E7">
            <w:pPr>
              <w:spacing w:line="480" w:lineRule="auto"/>
              <w:jc w:val="center"/>
              <w:rPr>
                <w:color w:val="000000"/>
                <w:sz w:val="20"/>
                <w:szCs w:val="20"/>
              </w:rPr>
            </w:pPr>
            <w:r w:rsidRPr="00242F5C">
              <w:rPr>
                <w:color w:val="000000"/>
                <w:sz w:val="20"/>
                <w:szCs w:val="20"/>
              </w:rPr>
              <w:t>6 (4.5%)</w:t>
            </w:r>
          </w:p>
        </w:tc>
        <w:tc>
          <w:tcPr>
            <w:tcW w:w="810" w:type="dxa"/>
            <w:vAlign w:val="center"/>
          </w:tcPr>
          <w:p w14:paraId="5256F7D3" w14:textId="715F7E3B"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hideMark/>
          </w:tcPr>
          <w:p w14:paraId="3C358FBF" w14:textId="35269A67" w:rsidR="00FB2754" w:rsidRPr="00242F5C" w:rsidRDefault="00184B5D" w:rsidP="004D20E7">
            <w:pPr>
              <w:spacing w:line="480" w:lineRule="auto"/>
              <w:jc w:val="center"/>
              <w:rPr>
                <w:color w:val="000000"/>
                <w:sz w:val="20"/>
                <w:szCs w:val="20"/>
              </w:rPr>
            </w:pPr>
            <w:r w:rsidRPr="00242F5C">
              <w:rPr>
                <w:color w:val="000000"/>
                <w:sz w:val="20"/>
                <w:szCs w:val="20"/>
              </w:rPr>
              <w:t>10 (14.3%)</w:t>
            </w:r>
          </w:p>
        </w:tc>
        <w:tc>
          <w:tcPr>
            <w:tcW w:w="1080" w:type="dxa"/>
            <w:vAlign w:val="center"/>
          </w:tcPr>
          <w:p w14:paraId="3F283251" w14:textId="1D0A2CEF" w:rsidR="00FB2754" w:rsidRPr="00242F5C" w:rsidRDefault="00184B5D" w:rsidP="004D20E7">
            <w:pPr>
              <w:spacing w:line="480" w:lineRule="auto"/>
              <w:jc w:val="center"/>
              <w:rPr>
                <w:sz w:val="20"/>
                <w:szCs w:val="20"/>
              </w:rPr>
            </w:pPr>
            <w:r w:rsidRPr="00242F5C">
              <w:rPr>
                <w:sz w:val="20"/>
                <w:szCs w:val="20"/>
              </w:rPr>
              <w:t>3 (5.8%)</w:t>
            </w:r>
          </w:p>
        </w:tc>
        <w:tc>
          <w:tcPr>
            <w:tcW w:w="810" w:type="dxa"/>
            <w:vAlign w:val="center"/>
          </w:tcPr>
          <w:p w14:paraId="42A818AF" w14:textId="1416863B" w:rsidR="00FB2754" w:rsidRPr="00242F5C" w:rsidRDefault="00FB2754" w:rsidP="004D20E7">
            <w:pPr>
              <w:spacing w:line="480" w:lineRule="auto"/>
              <w:jc w:val="center"/>
              <w:rPr>
                <w:sz w:val="20"/>
                <w:szCs w:val="20"/>
              </w:rPr>
            </w:pPr>
          </w:p>
        </w:tc>
        <w:tc>
          <w:tcPr>
            <w:tcW w:w="1080" w:type="dxa"/>
            <w:shd w:val="clear" w:color="auto" w:fill="auto"/>
            <w:noWrap/>
            <w:vAlign w:val="center"/>
            <w:hideMark/>
          </w:tcPr>
          <w:p w14:paraId="6DD86DF2" w14:textId="0E685A88" w:rsidR="00FB2754" w:rsidRPr="00242F5C" w:rsidRDefault="00184B5D" w:rsidP="004D20E7">
            <w:pPr>
              <w:spacing w:line="480" w:lineRule="auto"/>
              <w:jc w:val="center"/>
              <w:rPr>
                <w:sz w:val="20"/>
                <w:szCs w:val="20"/>
              </w:rPr>
            </w:pPr>
            <w:r w:rsidRPr="00242F5C">
              <w:rPr>
                <w:sz w:val="20"/>
                <w:szCs w:val="20"/>
              </w:rPr>
              <w:t>4 (6.2%)</w:t>
            </w:r>
          </w:p>
        </w:tc>
        <w:tc>
          <w:tcPr>
            <w:tcW w:w="1080" w:type="dxa"/>
            <w:vAlign w:val="center"/>
          </w:tcPr>
          <w:p w14:paraId="4E44748A" w14:textId="4004E7D3" w:rsidR="00FB2754" w:rsidRPr="00242F5C" w:rsidRDefault="00184B5D" w:rsidP="004D20E7">
            <w:pPr>
              <w:spacing w:line="480" w:lineRule="auto"/>
              <w:jc w:val="center"/>
              <w:rPr>
                <w:color w:val="000000"/>
                <w:sz w:val="20"/>
                <w:szCs w:val="20"/>
              </w:rPr>
            </w:pPr>
            <w:r w:rsidRPr="00242F5C">
              <w:rPr>
                <w:color w:val="000000"/>
                <w:sz w:val="20"/>
                <w:szCs w:val="20"/>
              </w:rPr>
              <w:t>3 (3.8%)</w:t>
            </w:r>
          </w:p>
        </w:tc>
        <w:tc>
          <w:tcPr>
            <w:tcW w:w="810" w:type="dxa"/>
            <w:shd w:val="clear" w:color="auto" w:fill="auto"/>
            <w:noWrap/>
            <w:vAlign w:val="center"/>
            <w:hideMark/>
          </w:tcPr>
          <w:p w14:paraId="22FEDBC5" w14:textId="682E1D27" w:rsidR="00FB2754" w:rsidRPr="00242F5C" w:rsidRDefault="00FB2754" w:rsidP="004D20E7">
            <w:pPr>
              <w:spacing w:line="480" w:lineRule="auto"/>
              <w:jc w:val="center"/>
              <w:rPr>
                <w:color w:val="000000"/>
                <w:sz w:val="20"/>
                <w:szCs w:val="20"/>
              </w:rPr>
            </w:pPr>
          </w:p>
        </w:tc>
      </w:tr>
      <w:tr w:rsidR="00242F5C" w:rsidRPr="00242F5C" w14:paraId="13EB800C" w14:textId="77777777" w:rsidTr="00216514">
        <w:trPr>
          <w:trHeight w:val="281"/>
        </w:trPr>
        <w:tc>
          <w:tcPr>
            <w:tcW w:w="2505" w:type="dxa"/>
            <w:shd w:val="clear" w:color="auto" w:fill="auto"/>
            <w:noWrap/>
            <w:vAlign w:val="center"/>
            <w:hideMark/>
          </w:tcPr>
          <w:p w14:paraId="47A0BD44" w14:textId="34EE3080" w:rsidR="00FB2754" w:rsidRPr="00242F5C" w:rsidRDefault="00184B5D" w:rsidP="004D20E7">
            <w:pPr>
              <w:spacing w:line="480" w:lineRule="auto"/>
              <w:ind w:left="153"/>
              <w:rPr>
                <w:color w:val="000000"/>
                <w:sz w:val="20"/>
                <w:szCs w:val="20"/>
              </w:rPr>
            </w:pPr>
            <w:r w:rsidRPr="00242F5C">
              <w:rPr>
                <w:sz w:val="20"/>
                <w:szCs w:val="20"/>
              </w:rPr>
              <w:t>2</w:t>
            </w:r>
          </w:p>
        </w:tc>
        <w:tc>
          <w:tcPr>
            <w:tcW w:w="1800" w:type="dxa"/>
            <w:vAlign w:val="center"/>
          </w:tcPr>
          <w:p w14:paraId="566C80F6" w14:textId="1052ED79" w:rsidR="00FB2754" w:rsidRPr="00242F5C" w:rsidRDefault="00184B5D" w:rsidP="004D20E7">
            <w:pPr>
              <w:spacing w:line="480" w:lineRule="auto"/>
              <w:jc w:val="center"/>
              <w:rPr>
                <w:color w:val="000000"/>
                <w:sz w:val="20"/>
                <w:szCs w:val="20"/>
              </w:rPr>
            </w:pPr>
            <w:r w:rsidRPr="00242F5C">
              <w:rPr>
                <w:color w:val="000000"/>
                <w:sz w:val="20"/>
                <w:szCs w:val="20"/>
              </w:rPr>
              <w:t>26 (19.3%)</w:t>
            </w:r>
          </w:p>
        </w:tc>
        <w:tc>
          <w:tcPr>
            <w:tcW w:w="1710" w:type="dxa"/>
            <w:vAlign w:val="center"/>
          </w:tcPr>
          <w:p w14:paraId="01AEEA5C" w14:textId="2F83A49E" w:rsidR="00FB2754" w:rsidRPr="00242F5C" w:rsidRDefault="00184B5D" w:rsidP="004D20E7">
            <w:pPr>
              <w:spacing w:line="480" w:lineRule="auto"/>
              <w:jc w:val="center"/>
              <w:rPr>
                <w:color w:val="000000"/>
                <w:sz w:val="20"/>
                <w:szCs w:val="20"/>
              </w:rPr>
            </w:pPr>
            <w:r w:rsidRPr="00242F5C">
              <w:rPr>
                <w:color w:val="000000"/>
                <w:sz w:val="20"/>
                <w:szCs w:val="20"/>
              </w:rPr>
              <w:t>27 (20.5%)</w:t>
            </w:r>
          </w:p>
        </w:tc>
        <w:tc>
          <w:tcPr>
            <w:tcW w:w="810" w:type="dxa"/>
            <w:vAlign w:val="center"/>
          </w:tcPr>
          <w:p w14:paraId="36C30591" w14:textId="389630AA"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hideMark/>
          </w:tcPr>
          <w:p w14:paraId="7C89C36C" w14:textId="234E1CC0" w:rsidR="00FB2754" w:rsidRPr="00242F5C" w:rsidRDefault="00184B5D" w:rsidP="004D20E7">
            <w:pPr>
              <w:spacing w:line="480" w:lineRule="auto"/>
              <w:jc w:val="center"/>
              <w:rPr>
                <w:color w:val="000000"/>
                <w:sz w:val="20"/>
                <w:szCs w:val="20"/>
              </w:rPr>
            </w:pPr>
            <w:r w:rsidRPr="00242F5C">
              <w:rPr>
                <w:color w:val="000000"/>
                <w:sz w:val="20"/>
                <w:szCs w:val="20"/>
              </w:rPr>
              <w:t>11 (15.7%)</w:t>
            </w:r>
          </w:p>
        </w:tc>
        <w:tc>
          <w:tcPr>
            <w:tcW w:w="1080" w:type="dxa"/>
            <w:vAlign w:val="center"/>
          </w:tcPr>
          <w:p w14:paraId="390FDA70" w14:textId="4791C576" w:rsidR="00FB2754" w:rsidRPr="00242F5C" w:rsidRDefault="00184B5D" w:rsidP="004D20E7">
            <w:pPr>
              <w:spacing w:line="480" w:lineRule="auto"/>
              <w:jc w:val="center"/>
              <w:rPr>
                <w:color w:val="000000"/>
                <w:sz w:val="20"/>
                <w:szCs w:val="20"/>
              </w:rPr>
            </w:pPr>
            <w:r w:rsidRPr="00242F5C">
              <w:rPr>
                <w:color w:val="000000"/>
                <w:sz w:val="20"/>
                <w:szCs w:val="20"/>
              </w:rPr>
              <w:t>7 (13.5%)</w:t>
            </w:r>
          </w:p>
        </w:tc>
        <w:tc>
          <w:tcPr>
            <w:tcW w:w="810" w:type="dxa"/>
            <w:vAlign w:val="center"/>
          </w:tcPr>
          <w:p w14:paraId="1BD0BED2" w14:textId="6A7D4ADD" w:rsidR="00FB2754" w:rsidRPr="00242F5C" w:rsidRDefault="00FB2754" w:rsidP="004D20E7">
            <w:pPr>
              <w:spacing w:line="480" w:lineRule="auto"/>
              <w:jc w:val="center"/>
              <w:rPr>
                <w:color w:val="000000"/>
                <w:sz w:val="20"/>
                <w:szCs w:val="20"/>
              </w:rPr>
            </w:pPr>
          </w:p>
        </w:tc>
        <w:tc>
          <w:tcPr>
            <w:tcW w:w="1080" w:type="dxa"/>
            <w:shd w:val="clear" w:color="auto" w:fill="auto"/>
            <w:noWrap/>
            <w:vAlign w:val="center"/>
            <w:hideMark/>
          </w:tcPr>
          <w:p w14:paraId="4C1B11C0" w14:textId="1E81628E" w:rsidR="00FB2754" w:rsidRPr="00242F5C" w:rsidRDefault="00184B5D" w:rsidP="004D20E7">
            <w:pPr>
              <w:spacing w:line="480" w:lineRule="auto"/>
              <w:jc w:val="center"/>
              <w:rPr>
                <w:color w:val="000000"/>
                <w:sz w:val="20"/>
                <w:szCs w:val="20"/>
              </w:rPr>
            </w:pPr>
            <w:r w:rsidRPr="00242F5C">
              <w:rPr>
                <w:color w:val="000000"/>
                <w:sz w:val="20"/>
                <w:szCs w:val="20"/>
              </w:rPr>
              <w:t>15 (23.1%)</w:t>
            </w:r>
          </w:p>
        </w:tc>
        <w:tc>
          <w:tcPr>
            <w:tcW w:w="1080" w:type="dxa"/>
            <w:vAlign w:val="center"/>
          </w:tcPr>
          <w:p w14:paraId="7D599842" w14:textId="013A09F9" w:rsidR="00FB2754" w:rsidRPr="00242F5C" w:rsidRDefault="00184B5D" w:rsidP="004D20E7">
            <w:pPr>
              <w:spacing w:line="480" w:lineRule="auto"/>
              <w:jc w:val="center"/>
              <w:rPr>
                <w:color w:val="000000"/>
                <w:sz w:val="20"/>
                <w:szCs w:val="20"/>
              </w:rPr>
            </w:pPr>
            <w:r w:rsidRPr="00242F5C">
              <w:rPr>
                <w:color w:val="000000"/>
                <w:sz w:val="20"/>
                <w:szCs w:val="20"/>
              </w:rPr>
              <w:t>20 (25.0%)</w:t>
            </w:r>
          </w:p>
        </w:tc>
        <w:tc>
          <w:tcPr>
            <w:tcW w:w="810" w:type="dxa"/>
            <w:shd w:val="clear" w:color="auto" w:fill="auto"/>
            <w:noWrap/>
            <w:vAlign w:val="center"/>
            <w:hideMark/>
          </w:tcPr>
          <w:p w14:paraId="4584D4FB" w14:textId="33CCF4A9" w:rsidR="00FB2754" w:rsidRPr="00242F5C" w:rsidRDefault="00FB2754" w:rsidP="004D20E7">
            <w:pPr>
              <w:spacing w:line="480" w:lineRule="auto"/>
              <w:jc w:val="center"/>
              <w:rPr>
                <w:color w:val="000000"/>
                <w:sz w:val="20"/>
                <w:szCs w:val="20"/>
              </w:rPr>
            </w:pPr>
          </w:p>
        </w:tc>
      </w:tr>
      <w:tr w:rsidR="00242F5C" w:rsidRPr="00242F5C" w14:paraId="538CC44A" w14:textId="77777777" w:rsidTr="00216514">
        <w:trPr>
          <w:trHeight w:val="281"/>
        </w:trPr>
        <w:tc>
          <w:tcPr>
            <w:tcW w:w="2505" w:type="dxa"/>
            <w:shd w:val="clear" w:color="auto" w:fill="auto"/>
            <w:noWrap/>
            <w:vAlign w:val="center"/>
            <w:hideMark/>
          </w:tcPr>
          <w:p w14:paraId="4C9BFE30" w14:textId="6D49CB54" w:rsidR="00FB2754" w:rsidRPr="00242F5C" w:rsidRDefault="00184B5D" w:rsidP="004D20E7">
            <w:pPr>
              <w:spacing w:line="480" w:lineRule="auto"/>
              <w:ind w:left="153"/>
              <w:rPr>
                <w:color w:val="000000"/>
                <w:sz w:val="20"/>
                <w:szCs w:val="20"/>
              </w:rPr>
            </w:pPr>
            <w:r w:rsidRPr="00242F5C">
              <w:rPr>
                <w:color w:val="222222"/>
                <w:sz w:val="20"/>
                <w:szCs w:val="20"/>
                <w:shd w:val="clear" w:color="auto" w:fill="FFFFFF"/>
              </w:rPr>
              <w:t>≥3</w:t>
            </w:r>
          </w:p>
        </w:tc>
        <w:tc>
          <w:tcPr>
            <w:tcW w:w="1800" w:type="dxa"/>
            <w:vAlign w:val="center"/>
          </w:tcPr>
          <w:p w14:paraId="51D98B1E" w14:textId="17F9DF5E" w:rsidR="00FB2754" w:rsidRPr="00242F5C" w:rsidRDefault="00184B5D" w:rsidP="004D20E7">
            <w:pPr>
              <w:spacing w:line="480" w:lineRule="auto"/>
              <w:jc w:val="center"/>
              <w:rPr>
                <w:color w:val="000000"/>
                <w:sz w:val="20"/>
                <w:szCs w:val="20"/>
              </w:rPr>
            </w:pPr>
            <w:r w:rsidRPr="00242F5C">
              <w:rPr>
                <w:color w:val="000000"/>
                <w:sz w:val="20"/>
                <w:szCs w:val="20"/>
              </w:rPr>
              <w:t>35 (25.9%)</w:t>
            </w:r>
          </w:p>
        </w:tc>
        <w:tc>
          <w:tcPr>
            <w:tcW w:w="1710" w:type="dxa"/>
            <w:vAlign w:val="center"/>
          </w:tcPr>
          <w:p w14:paraId="6CBB75D2" w14:textId="2DBDF762" w:rsidR="00FB2754" w:rsidRPr="00242F5C" w:rsidRDefault="00184B5D" w:rsidP="004D20E7">
            <w:pPr>
              <w:spacing w:line="480" w:lineRule="auto"/>
              <w:jc w:val="center"/>
              <w:rPr>
                <w:color w:val="000000"/>
                <w:sz w:val="20"/>
                <w:szCs w:val="20"/>
              </w:rPr>
            </w:pPr>
            <w:r w:rsidRPr="00242F5C">
              <w:rPr>
                <w:color w:val="000000"/>
                <w:sz w:val="20"/>
                <w:szCs w:val="20"/>
              </w:rPr>
              <w:t>38 (28.8%)</w:t>
            </w:r>
          </w:p>
        </w:tc>
        <w:tc>
          <w:tcPr>
            <w:tcW w:w="810" w:type="dxa"/>
            <w:vAlign w:val="center"/>
          </w:tcPr>
          <w:p w14:paraId="4EC5BB9F"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hideMark/>
          </w:tcPr>
          <w:p w14:paraId="17734943" w14:textId="1F7FA12A" w:rsidR="00FB2754" w:rsidRPr="00242F5C" w:rsidRDefault="00184B5D" w:rsidP="004D20E7">
            <w:pPr>
              <w:spacing w:line="480" w:lineRule="auto"/>
              <w:jc w:val="center"/>
              <w:rPr>
                <w:color w:val="000000"/>
                <w:sz w:val="20"/>
                <w:szCs w:val="20"/>
              </w:rPr>
            </w:pPr>
            <w:r w:rsidRPr="00242F5C">
              <w:rPr>
                <w:color w:val="000000"/>
                <w:sz w:val="20"/>
                <w:szCs w:val="20"/>
              </w:rPr>
              <w:t>17 (24.3%)</w:t>
            </w:r>
          </w:p>
        </w:tc>
        <w:tc>
          <w:tcPr>
            <w:tcW w:w="1080" w:type="dxa"/>
            <w:vAlign w:val="center"/>
          </w:tcPr>
          <w:p w14:paraId="01667B74" w14:textId="7961F8DC" w:rsidR="00FB2754" w:rsidRPr="00242F5C" w:rsidRDefault="00184B5D" w:rsidP="004D20E7">
            <w:pPr>
              <w:spacing w:line="480" w:lineRule="auto"/>
              <w:jc w:val="center"/>
              <w:rPr>
                <w:color w:val="000000"/>
                <w:sz w:val="20"/>
                <w:szCs w:val="20"/>
              </w:rPr>
            </w:pPr>
            <w:r w:rsidRPr="00242F5C">
              <w:rPr>
                <w:color w:val="000000"/>
                <w:sz w:val="20"/>
                <w:szCs w:val="20"/>
              </w:rPr>
              <w:t>17 (32.7%)</w:t>
            </w:r>
          </w:p>
        </w:tc>
        <w:tc>
          <w:tcPr>
            <w:tcW w:w="810" w:type="dxa"/>
            <w:vAlign w:val="center"/>
          </w:tcPr>
          <w:p w14:paraId="4188D26C" w14:textId="303BCE4F" w:rsidR="00FB2754" w:rsidRPr="00242F5C" w:rsidRDefault="00FB2754" w:rsidP="004D20E7">
            <w:pPr>
              <w:spacing w:line="480" w:lineRule="auto"/>
              <w:jc w:val="center"/>
              <w:rPr>
                <w:color w:val="000000"/>
                <w:sz w:val="20"/>
                <w:szCs w:val="20"/>
              </w:rPr>
            </w:pPr>
          </w:p>
        </w:tc>
        <w:tc>
          <w:tcPr>
            <w:tcW w:w="1080" w:type="dxa"/>
            <w:shd w:val="clear" w:color="auto" w:fill="auto"/>
            <w:noWrap/>
            <w:vAlign w:val="center"/>
            <w:hideMark/>
          </w:tcPr>
          <w:p w14:paraId="3CCE504E" w14:textId="0206CF99" w:rsidR="00FB2754" w:rsidRPr="00242F5C" w:rsidRDefault="00184B5D" w:rsidP="004D20E7">
            <w:pPr>
              <w:spacing w:line="480" w:lineRule="auto"/>
              <w:jc w:val="center"/>
              <w:rPr>
                <w:color w:val="000000"/>
                <w:sz w:val="20"/>
                <w:szCs w:val="20"/>
              </w:rPr>
            </w:pPr>
            <w:r w:rsidRPr="00242F5C">
              <w:rPr>
                <w:color w:val="000000"/>
                <w:sz w:val="20"/>
                <w:szCs w:val="20"/>
              </w:rPr>
              <w:t>18 (27.7%)</w:t>
            </w:r>
          </w:p>
        </w:tc>
        <w:tc>
          <w:tcPr>
            <w:tcW w:w="1080" w:type="dxa"/>
            <w:vAlign w:val="center"/>
          </w:tcPr>
          <w:p w14:paraId="510C1F9D" w14:textId="45480F19" w:rsidR="00FB2754" w:rsidRPr="00242F5C" w:rsidRDefault="00184B5D" w:rsidP="004D20E7">
            <w:pPr>
              <w:spacing w:line="480" w:lineRule="auto"/>
              <w:jc w:val="center"/>
              <w:rPr>
                <w:color w:val="000000"/>
                <w:sz w:val="20"/>
                <w:szCs w:val="20"/>
              </w:rPr>
            </w:pPr>
            <w:r w:rsidRPr="00242F5C">
              <w:rPr>
                <w:color w:val="000000"/>
                <w:sz w:val="20"/>
                <w:szCs w:val="20"/>
              </w:rPr>
              <w:t>21 (26.3%)</w:t>
            </w:r>
          </w:p>
        </w:tc>
        <w:tc>
          <w:tcPr>
            <w:tcW w:w="810" w:type="dxa"/>
            <w:shd w:val="clear" w:color="auto" w:fill="auto"/>
            <w:noWrap/>
            <w:vAlign w:val="center"/>
            <w:hideMark/>
          </w:tcPr>
          <w:p w14:paraId="51EB8651" w14:textId="4C215EF9" w:rsidR="00FB2754" w:rsidRPr="00242F5C" w:rsidRDefault="00FB2754" w:rsidP="004D20E7">
            <w:pPr>
              <w:spacing w:line="480" w:lineRule="auto"/>
              <w:jc w:val="center"/>
              <w:rPr>
                <w:color w:val="000000"/>
                <w:sz w:val="20"/>
                <w:szCs w:val="20"/>
              </w:rPr>
            </w:pPr>
          </w:p>
        </w:tc>
      </w:tr>
      <w:tr w:rsidR="00242F5C" w:rsidRPr="00242F5C" w14:paraId="194535C8" w14:textId="77777777" w:rsidTr="00216514">
        <w:trPr>
          <w:trHeight w:val="281"/>
        </w:trPr>
        <w:tc>
          <w:tcPr>
            <w:tcW w:w="2505" w:type="dxa"/>
            <w:shd w:val="clear" w:color="auto" w:fill="auto"/>
            <w:noWrap/>
            <w:vAlign w:val="center"/>
            <w:hideMark/>
          </w:tcPr>
          <w:p w14:paraId="5F1DB579" w14:textId="4AE80F35" w:rsidR="00FB2754" w:rsidRPr="00242F5C" w:rsidRDefault="00184B5D" w:rsidP="004D20E7">
            <w:pPr>
              <w:spacing w:line="480" w:lineRule="auto"/>
              <w:rPr>
                <w:color w:val="000000"/>
                <w:sz w:val="20"/>
                <w:szCs w:val="20"/>
              </w:rPr>
            </w:pPr>
            <w:r w:rsidRPr="00242F5C">
              <w:rPr>
                <w:b/>
                <w:bCs/>
                <w:sz w:val="20"/>
                <w:szCs w:val="20"/>
              </w:rPr>
              <w:t xml:space="preserve">Liver Metastases </w:t>
            </w:r>
          </w:p>
        </w:tc>
        <w:tc>
          <w:tcPr>
            <w:tcW w:w="1800" w:type="dxa"/>
            <w:vAlign w:val="center"/>
          </w:tcPr>
          <w:p w14:paraId="47CD549D" w14:textId="3D587176" w:rsidR="00FB2754" w:rsidRPr="00242F5C" w:rsidRDefault="00FB2754" w:rsidP="004D20E7">
            <w:pPr>
              <w:spacing w:line="480" w:lineRule="auto"/>
              <w:jc w:val="center"/>
              <w:rPr>
                <w:color w:val="000000"/>
                <w:sz w:val="20"/>
                <w:szCs w:val="20"/>
              </w:rPr>
            </w:pPr>
          </w:p>
        </w:tc>
        <w:tc>
          <w:tcPr>
            <w:tcW w:w="1710" w:type="dxa"/>
            <w:vAlign w:val="center"/>
          </w:tcPr>
          <w:p w14:paraId="03917BB8" w14:textId="0B7C5F15" w:rsidR="00FB2754" w:rsidRPr="00242F5C" w:rsidRDefault="00FB2754" w:rsidP="004D20E7">
            <w:pPr>
              <w:spacing w:line="480" w:lineRule="auto"/>
              <w:jc w:val="center"/>
              <w:rPr>
                <w:color w:val="000000"/>
                <w:sz w:val="20"/>
                <w:szCs w:val="20"/>
              </w:rPr>
            </w:pPr>
          </w:p>
        </w:tc>
        <w:tc>
          <w:tcPr>
            <w:tcW w:w="810" w:type="dxa"/>
            <w:vAlign w:val="center"/>
          </w:tcPr>
          <w:p w14:paraId="1232D1C3" w14:textId="08C85546" w:rsidR="00FB2754" w:rsidRPr="00242F5C" w:rsidRDefault="00184B5D" w:rsidP="004D20E7">
            <w:pPr>
              <w:spacing w:line="480" w:lineRule="auto"/>
              <w:jc w:val="center"/>
              <w:rPr>
                <w:color w:val="000000"/>
                <w:sz w:val="20"/>
                <w:szCs w:val="20"/>
              </w:rPr>
            </w:pPr>
            <w:r w:rsidRPr="00242F5C">
              <w:rPr>
                <w:color w:val="000000"/>
                <w:sz w:val="20"/>
                <w:szCs w:val="20"/>
              </w:rPr>
              <w:t>0.016</w:t>
            </w:r>
          </w:p>
        </w:tc>
        <w:tc>
          <w:tcPr>
            <w:tcW w:w="1170" w:type="dxa"/>
            <w:shd w:val="clear" w:color="auto" w:fill="auto"/>
            <w:noWrap/>
            <w:vAlign w:val="center"/>
          </w:tcPr>
          <w:p w14:paraId="11C7D24E" w14:textId="60E9FC2E" w:rsidR="00FB2754" w:rsidRPr="00242F5C" w:rsidRDefault="00FB2754" w:rsidP="004D20E7">
            <w:pPr>
              <w:spacing w:line="480" w:lineRule="auto"/>
              <w:jc w:val="center"/>
              <w:rPr>
                <w:color w:val="000000"/>
                <w:sz w:val="20"/>
                <w:szCs w:val="20"/>
              </w:rPr>
            </w:pPr>
          </w:p>
        </w:tc>
        <w:tc>
          <w:tcPr>
            <w:tcW w:w="1080" w:type="dxa"/>
            <w:vAlign w:val="center"/>
          </w:tcPr>
          <w:p w14:paraId="3824F50A" w14:textId="427D6DCC" w:rsidR="00FB2754" w:rsidRPr="00242F5C" w:rsidRDefault="00FB2754" w:rsidP="004D20E7">
            <w:pPr>
              <w:spacing w:line="480" w:lineRule="auto"/>
              <w:jc w:val="center"/>
              <w:rPr>
                <w:sz w:val="20"/>
                <w:szCs w:val="20"/>
              </w:rPr>
            </w:pPr>
          </w:p>
        </w:tc>
        <w:tc>
          <w:tcPr>
            <w:tcW w:w="810" w:type="dxa"/>
            <w:vAlign w:val="center"/>
          </w:tcPr>
          <w:p w14:paraId="0696C807" w14:textId="0BDA7882" w:rsidR="00FB2754" w:rsidRPr="00242F5C" w:rsidRDefault="00184B5D" w:rsidP="004D20E7">
            <w:pPr>
              <w:spacing w:line="480" w:lineRule="auto"/>
              <w:jc w:val="center"/>
              <w:rPr>
                <w:sz w:val="20"/>
                <w:szCs w:val="20"/>
              </w:rPr>
            </w:pPr>
            <w:r w:rsidRPr="00242F5C">
              <w:rPr>
                <w:sz w:val="20"/>
                <w:szCs w:val="20"/>
              </w:rPr>
              <w:t>0.038</w:t>
            </w:r>
          </w:p>
        </w:tc>
        <w:tc>
          <w:tcPr>
            <w:tcW w:w="1080" w:type="dxa"/>
            <w:shd w:val="clear" w:color="auto" w:fill="auto"/>
            <w:noWrap/>
            <w:vAlign w:val="center"/>
          </w:tcPr>
          <w:p w14:paraId="39DBAAAA" w14:textId="75EADF18" w:rsidR="00FB2754" w:rsidRPr="00242F5C" w:rsidRDefault="00FB2754" w:rsidP="004D20E7">
            <w:pPr>
              <w:spacing w:line="480" w:lineRule="auto"/>
              <w:jc w:val="center"/>
              <w:rPr>
                <w:sz w:val="20"/>
                <w:szCs w:val="20"/>
              </w:rPr>
            </w:pPr>
          </w:p>
        </w:tc>
        <w:tc>
          <w:tcPr>
            <w:tcW w:w="1080" w:type="dxa"/>
            <w:vAlign w:val="center"/>
          </w:tcPr>
          <w:p w14:paraId="4A59BB1B" w14:textId="466398D4" w:rsidR="00FB2754" w:rsidRPr="00242F5C" w:rsidRDefault="00FB2754" w:rsidP="004D20E7">
            <w:pPr>
              <w:spacing w:line="480" w:lineRule="auto"/>
              <w:jc w:val="center"/>
              <w:rPr>
                <w:color w:val="000000"/>
                <w:sz w:val="20"/>
                <w:szCs w:val="20"/>
              </w:rPr>
            </w:pPr>
          </w:p>
        </w:tc>
        <w:tc>
          <w:tcPr>
            <w:tcW w:w="810" w:type="dxa"/>
            <w:shd w:val="clear" w:color="auto" w:fill="auto"/>
            <w:noWrap/>
            <w:vAlign w:val="center"/>
            <w:hideMark/>
          </w:tcPr>
          <w:p w14:paraId="3B2F1BAB" w14:textId="7900E6F6" w:rsidR="00FB2754" w:rsidRPr="00242F5C" w:rsidRDefault="00184B5D" w:rsidP="004D20E7">
            <w:pPr>
              <w:spacing w:line="480" w:lineRule="auto"/>
              <w:jc w:val="center"/>
              <w:rPr>
                <w:color w:val="000000"/>
                <w:sz w:val="20"/>
                <w:szCs w:val="20"/>
              </w:rPr>
            </w:pPr>
            <w:r w:rsidRPr="00242F5C">
              <w:rPr>
                <w:color w:val="000000"/>
                <w:sz w:val="20"/>
                <w:szCs w:val="20"/>
              </w:rPr>
              <w:t>0.147</w:t>
            </w:r>
          </w:p>
        </w:tc>
      </w:tr>
      <w:tr w:rsidR="00242F5C" w:rsidRPr="00242F5C" w14:paraId="5B4D643A" w14:textId="77777777" w:rsidTr="00216514">
        <w:trPr>
          <w:trHeight w:val="281"/>
        </w:trPr>
        <w:tc>
          <w:tcPr>
            <w:tcW w:w="2505" w:type="dxa"/>
            <w:shd w:val="clear" w:color="auto" w:fill="auto"/>
            <w:noWrap/>
            <w:vAlign w:val="center"/>
          </w:tcPr>
          <w:p w14:paraId="4B29823B" w14:textId="24A3D9EC" w:rsidR="00FB2754" w:rsidRPr="00242F5C" w:rsidRDefault="00184B5D" w:rsidP="004D20E7">
            <w:pPr>
              <w:spacing w:line="480" w:lineRule="auto"/>
              <w:ind w:left="153"/>
              <w:rPr>
                <w:sz w:val="20"/>
                <w:szCs w:val="20"/>
              </w:rPr>
            </w:pPr>
            <w:r w:rsidRPr="00242F5C">
              <w:rPr>
                <w:sz w:val="20"/>
                <w:szCs w:val="20"/>
              </w:rPr>
              <w:t>Yes</w:t>
            </w:r>
          </w:p>
        </w:tc>
        <w:tc>
          <w:tcPr>
            <w:tcW w:w="1800" w:type="dxa"/>
            <w:vAlign w:val="center"/>
          </w:tcPr>
          <w:p w14:paraId="1275F790" w14:textId="1AFF8A57" w:rsidR="00FB2754" w:rsidRPr="00242F5C" w:rsidRDefault="00184B5D" w:rsidP="004D20E7">
            <w:pPr>
              <w:spacing w:line="480" w:lineRule="auto"/>
              <w:jc w:val="center"/>
              <w:rPr>
                <w:color w:val="000000"/>
                <w:sz w:val="20"/>
                <w:szCs w:val="20"/>
              </w:rPr>
            </w:pPr>
            <w:r w:rsidRPr="00242F5C">
              <w:rPr>
                <w:color w:val="000000"/>
                <w:sz w:val="20"/>
                <w:szCs w:val="20"/>
              </w:rPr>
              <w:t>31 (23.0%)</w:t>
            </w:r>
          </w:p>
        </w:tc>
        <w:tc>
          <w:tcPr>
            <w:tcW w:w="1710" w:type="dxa"/>
            <w:vAlign w:val="center"/>
          </w:tcPr>
          <w:p w14:paraId="52A718E4" w14:textId="586AE2E7" w:rsidR="00FB2754" w:rsidRPr="00242F5C" w:rsidRDefault="00184B5D" w:rsidP="004D20E7">
            <w:pPr>
              <w:spacing w:line="480" w:lineRule="auto"/>
              <w:jc w:val="center"/>
              <w:rPr>
                <w:color w:val="000000"/>
                <w:sz w:val="20"/>
                <w:szCs w:val="20"/>
              </w:rPr>
            </w:pPr>
            <w:r w:rsidRPr="00242F5C">
              <w:rPr>
                <w:color w:val="000000"/>
                <w:sz w:val="20"/>
                <w:szCs w:val="20"/>
              </w:rPr>
              <w:t>48 (36.9%)</w:t>
            </w:r>
          </w:p>
        </w:tc>
        <w:tc>
          <w:tcPr>
            <w:tcW w:w="810" w:type="dxa"/>
            <w:vAlign w:val="center"/>
          </w:tcPr>
          <w:p w14:paraId="6F72CAE7"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21DEE539" w14:textId="178F93B5" w:rsidR="00FB2754" w:rsidRPr="00242F5C" w:rsidRDefault="00184B5D" w:rsidP="004D20E7">
            <w:pPr>
              <w:spacing w:line="480" w:lineRule="auto"/>
              <w:jc w:val="center"/>
              <w:rPr>
                <w:color w:val="000000"/>
                <w:sz w:val="20"/>
                <w:szCs w:val="20"/>
              </w:rPr>
            </w:pPr>
            <w:r w:rsidRPr="00242F5C">
              <w:rPr>
                <w:color w:val="000000"/>
                <w:sz w:val="20"/>
                <w:szCs w:val="20"/>
              </w:rPr>
              <w:t>14 (20.0%)</w:t>
            </w:r>
          </w:p>
        </w:tc>
        <w:tc>
          <w:tcPr>
            <w:tcW w:w="1080" w:type="dxa"/>
            <w:vAlign w:val="center"/>
          </w:tcPr>
          <w:p w14:paraId="7F0C855C" w14:textId="2A382AA9" w:rsidR="00FB2754" w:rsidRPr="00242F5C" w:rsidRDefault="00184B5D" w:rsidP="004D20E7">
            <w:pPr>
              <w:spacing w:line="480" w:lineRule="auto"/>
              <w:jc w:val="center"/>
              <w:rPr>
                <w:sz w:val="20"/>
                <w:szCs w:val="20"/>
              </w:rPr>
            </w:pPr>
            <w:r w:rsidRPr="00242F5C">
              <w:rPr>
                <w:sz w:val="20"/>
                <w:szCs w:val="20"/>
              </w:rPr>
              <w:t>18 (36.0%)</w:t>
            </w:r>
          </w:p>
        </w:tc>
        <w:tc>
          <w:tcPr>
            <w:tcW w:w="810" w:type="dxa"/>
            <w:vAlign w:val="center"/>
          </w:tcPr>
          <w:p w14:paraId="1E650978" w14:textId="72D5B700" w:rsidR="00FB2754" w:rsidRPr="00242F5C" w:rsidRDefault="00FB2754" w:rsidP="004D20E7">
            <w:pPr>
              <w:spacing w:line="480" w:lineRule="auto"/>
              <w:jc w:val="center"/>
              <w:rPr>
                <w:sz w:val="20"/>
                <w:szCs w:val="20"/>
              </w:rPr>
            </w:pPr>
          </w:p>
        </w:tc>
        <w:tc>
          <w:tcPr>
            <w:tcW w:w="1080" w:type="dxa"/>
            <w:shd w:val="clear" w:color="auto" w:fill="auto"/>
            <w:noWrap/>
            <w:vAlign w:val="center"/>
          </w:tcPr>
          <w:p w14:paraId="2528FB90" w14:textId="0680C9BD" w:rsidR="00FB2754" w:rsidRPr="00242F5C" w:rsidRDefault="00184B5D" w:rsidP="004D20E7">
            <w:pPr>
              <w:spacing w:line="480" w:lineRule="auto"/>
              <w:jc w:val="center"/>
              <w:rPr>
                <w:sz w:val="20"/>
                <w:szCs w:val="20"/>
              </w:rPr>
            </w:pPr>
            <w:r w:rsidRPr="00242F5C">
              <w:rPr>
                <w:sz w:val="20"/>
                <w:szCs w:val="20"/>
              </w:rPr>
              <w:t>17 (26.2%)</w:t>
            </w:r>
          </w:p>
        </w:tc>
        <w:tc>
          <w:tcPr>
            <w:tcW w:w="1080" w:type="dxa"/>
            <w:vAlign w:val="center"/>
          </w:tcPr>
          <w:p w14:paraId="30479B48" w14:textId="15C81B8C" w:rsidR="00FB2754" w:rsidRPr="00242F5C" w:rsidRDefault="00184B5D" w:rsidP="004D20E7">
            <w:pPr>
              <w:spacing w:line="480" w:lineRule="auto"/>
              <w:jc w:val="center"/>
              <w:rPr>
                <w:color w:val="000000"/>
                <w:sz w:val="20"/>
                <w:szCs w:val="20"/>
              </w:rPr>
            </w:pPr>
            <w:r w:rsidRPr="00242F5C">
              <w:rPr>
                <w:color w:val="000000"/>
                <w:sz w:val="20"/>
                <w:szCs w:val="20"/>
              </w:rPr>
              <w:t>30 (37.5%)</w:t>
            </w:r>
          </w:p>
        </w:tc>
        <w:tc>
          <w:tcPr>
            <w:tcW w:w="810" w:type="dxa"/>
            <w:shd w:val="clear" w:color="auto" w:fill="auto"/>
            <w:noWrap/>
            <w:vAlign w:val="center"/>
          </w:tcPr>
          <w:p w14:paraId="461CD613" w14:textId="77777777" w:rsidR="00FB2754" w:rsidRPr="00242F5C" w:rsidRDefault="00FB2754" w:rsidP="004D20E7">
            <w:pPr>
              <w:spacing w:line="480" w:lineRule="auto"/>
              <w:jc w:val="center"/>
              <w:rPr>
                <w:color w:val="000000"/>
                <w:sz w:val="20"/>
                <w:szCs w:val="20"/>
              </w:rPr>
            </w:pPr>
          </w:p>
        </w:tc>
      </w:tr>
      <w:tr w:rsidR="00242F5C" w:rsidRPr="00242F5C" w14:paraId="43A3701E" w14:textId="77777777" w:rsidTr="00216514">
        <w:trPr>
          <w:trHeight w:val="281"/>
        </w:trPr>
        <w:tc>
          <w:tcPr>
            <w:tcW w:w="2505" w:type="dxa"/>
            <w:shd w:val="clear" w:color="auto" w:fill="auto"/>
            <w:noWrap/>
            <w:vAlign w:val="center"/>
          </w:tcPr>
          <w:p w14:paraId="1D909B33" w14:textId="431BFE12" w:rsidR="00FB2754" w:rsidRPr="00242F5C" w:rsidRDefault="00184B5D" w:rsidP="004D20E7">
            <w:pPr>
              <w:spacing w:line="480" w:lineRule="auto"/>
              <w:ind w:left="153"/>
              <w:rPr>
                <w:sz w:val="20"/>
                <w:szCs w:val="20"/>
              </w:rPr>
            </w:pPr>
            <w:r w:rsidRPr="00242F5C">
              <w:rPr>
                <w:sz w:val="20"/>
                <w:szCs w:val="20"/>
              </w:rPr>
              <w:t>No</w:t>
            </w:r>
          </w:p>
        </w:tc>
        <w:tc>
          <w:tcPr>
            <w:tcW w:w="1800" w:type="dxa"/>
            <w:vAlign w:val="center"/>
          </w:tcPr>
          <w:p w14:paraId="4F9EA6D6" w14:textId="5B13B557" w:rsidR="00FB2754" w:rsidRPr="00242F5C" w:rsidRDefault="00184B5D" w:rsidP="004D20E7">
            <w:pPr>
              <w:spacing w:line="480" w:lineRule="auto"/>
              <w:jc w:val="center"/>
              <w:rPr>
                <w:color w:val="000000"/>
                <w:sz w:val="20"/>
                <w:szCs w:val="20"/>
              </w:rPr>
            </w:pPr>
            <w:r w:rsidRPr="00242F5C">
              <w:rPr>
                <w:color w:val="000000"/>
                <w:sz w:val="20"/>
                <w:szCs w:val="20"/>
              </w:rPr>
              <w:t>104 (77.0%)</w:t>
            </w:r>
          </w:p>
        </w:tc>
        <w:tc>
          <w:tcPr>
            <w:tcW w:w="1710" w:type="dxa"/>
            <w:vAlign w:val="center"/>
          </w:tcPr>
          <w:p w14:paraId="14734250" w14:textId="1ABC2A7A" w:rsidR="00FB2754" w:rsidRPr="00242F5C" w:rsidRDefault="00184B5D" w:rsidP="004D20E7">
            <w:pPr>
              <w:spacing w:line="480" w:lineRule="auto"/>
              <w:jc w:val="center"/>
              <w:rPr>
                <w:color w:val="000000"/>
                <w:sz w:val="20"/>
                <w:szCs w:val="20"/>
              </w:rPr>
            </w:pPr>
            <w:r w:rsidRPr="00242F5C">
              <w:rPr>
                <w:color w:val="000000"/>
                <w:sz w:val="20"/>
                <w:szCs w:val="20"/>
              </w:rPr>
              <w:t>82 (63.1%)</w:t>
            </w:r>
          </w:p>
        </w:tc>
        <w:tc>
          <w:tcPr>
            <w:tcW w:w="810" w:type="dxa"/>
            <w:vAlign w:val="center"/>
          </w:tcPr>
          <w:p w14:paraId="24C3BBB3"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04048431" w14:textId="524FA861" w:rsidR="00FB2754" w:rsidRPr="00242F5C" w:rsidRDefault="00184B5D" w:rsidP="004D20E7">
            <w:pPr>
              <w:spacing w:line="480" w:lineRule="auto"/>
              <w:jc w:val="center"/>
              <w:rPr>
                <w:color w:val="000000"/>
                <w:sz w:val="20"/>
                <w:szCs w:val="20"/>
              </w:rPr>
            </w:pPr>
            <w:r w:rsidRPr="00242F5C">
              <w:rPr>
                <w:color w:val="000000"/>
                <w:sz w:val="20"/>
                <w:szCs w:val="20"/>
              </w:rPr>
              <w:t>56 (80.0%)</w:t>
            </w:r>
          </w:p>
        </w:tc>
        <w:tc>
          <w:tcPr>
            <w:tcW w:w="1080" w:type="dxa"/>
            <w:vAlign w:val="center"/>
          </w:tcPr>
          <w:p w14:paraId="3C500E30" w14:textId="06138C65" w:rsidR="00FB2754" w:rsidRPr="00242F5C" w:rsidRDefault="00184B5D" w:rsidP="004D20E7">
            <w:pPr>
              <w:spacing w:line="480" w:lineRule="auto"/>
              <w:jc w:val="center"/>
              <w:rPr>
                <w:sz w:val="20"/>
                <w:szCs w:val="20"/>
              </w:rPr>
            </w:pPr>
            <w:r w:rsidRPr="00242F5C">
              <w:rPr>
                <w:sz w:val="20"/>
                <w:szCs w:val="20"/>
              </w:rPr>
              <w:t>32 (64.0%)</w:t>
            </w:r>
          </w:p>
        </w:tc>
        <w:tc>
          <w:tcPr>
            <w:tcW w:w="810" w:type="dxa"/>
            <w:vAlign w:val="center"/>
          </w:tcPr>
          <w:p w14:paraId="663D1EBA" w14:textId="77777777" w:rsidR="00FB2754" w:rsidRPr="00242F5C" w:rsidRDefault="00FB2754" w:rsidP="004D20E7">
            <w:pPr>
              <w:spacing w:line="480" w:lineRule="auto"/>
              <w:jc w:val="center"/>
              <w:rPr>
                <w:sz w:val="20"/>
                <w:szCs w:val="20"/>
              </w:rPr>
            </w:pPr>
          </w:p>
        </w:tc>
        <w:tc>
          <w:tcPr>
            <w:tcW w:w="1080" w:type="dxa"/>
            <w:shd w:val="clear" w:color="auto" w:fill="auto"/>
            <w:noWrap/>
            <w:vAlign w:val="center"/>
          </w:tcPr>
          <w:p w14:paraId="51D0B6DC" w14:textId="45917AF6" w:rsidR="00FB2754" w:rsidRPr="00242F5C" w:rsidRDefault="00184B5D" w:rsidP="004D20E7">
            <w:pPr>
              <w:spacing w:line="480" w:lineRule="auto"/>
              <w:jc w:val="center"/>
              <w:rPr>
                <w:sz w:val="20"/>
                <w:szCs w:val="20"/>
              </w:rPr>
            </w:pPr>
            <w:r w:rsidRPr="00242F5C">
              <w:rPr>
                <w:sz w:val="20"/>
                <w:szCs w:val="20"/>
              </w:rPr>
              <w:t>48 (73.9%)</w:t>
            </w:r>
          </w:p>
        </w:tc>
        <w:tc>
          <w:tcPr>
            <w:tcW w:w="1080" w:type="dxa"/>
            <w:vAlign w:val="center"/>
          </w:tcPr>
          <w:p w14:paraId="4F040856" w14:textId="0D041790" w:rsidR="00FB2754" w:rsidRPr="00242F5C" w:rsidRDefault="00184B5D" w:rsidP="004D20E7">
            <w:pPr>
              <w:spacing w:line="480" w:lineRule="auto"/>
              <w:jc w:val="center"/>
              <w:rPr>
                <w:color w:val="000000"/>
                <w:sz w:val="20"/>
                <w:szCs w:val="20"/>
              </w:rPr>
            </w:pPr>
            <w:r w:rsidRPr="00242F5C">
              <w:rPr>
                <w:color w:val="000000"/>
                <w:sz w:val="20"/>
                <w:szCs w:val="20"/>
              </w:rPr>
              <w:t>50 (62.5%)</w:t>
            </w:r>
          </w:p>
        </w:tc>
        <w:tc>
          <w:tcPr>
            <w:tcW w:w="810" w:type="dxa"/>
            <w:shd w:val="clear" w:color="auto" w:fill="auto"/>
            <w:noWrap/>
            <w:vAlign w:val="center"/>
          </w:tcPr>
          <w:p w14:paraId="68C0B317" w14:textId="77777777" w:rsidR="00FB2754" w:rsidRPr="00242F5C" w:rsidRDefault="00FB2754" w:rsidP="004D20E7">
            <w:pPr>
              <w:spacing w:line="480" w:lineRule="auto"/>
              <w:jc w:val="center"/>
              <w:rPr>
                <w:color w:val="000000"/>
                <w:sz w:val="20"/>
                <w:szCs w:val="20"/>
              </w:rPr>
            </w:pPr>
          </w:p>
        </w:tc>
      </w:tr>
      <w:tr w:rsidR="00242F5C" w:rsidRPr="00242F5C" w14:paraId="24A9BDF7" w14:textId="77777777" w:rsidTr="00216514">
        <w:trPr>
          <w:trHeight w:val="281"/>
        </w:trPr>
        <w:tc>
          <w:tcPr>
            <w:tcW w:w="2505" w:type="dxa"/>
            <w:shd w:val="clear" w:color="auto" w:fill="auto"/>
            <w:noWrap/>
            <w:vAlign w:val="center"/>
            <w:hideMark/>
          </w:tcPr>
          <w:p w14:paraId="6A02D30A" w14:textId="78609161" w:rsidR="00FB2754" w:rsidRPr="00242F5C" w:rsidRDefault="00184B5D" w:rsidP="004D20E7">
            <w:pPr>
              <w:spacing w:line="480" w:lineRule="auto"/>
              <w:rPr>
                <w:color w:val="000000"/>
                <w:sz w:val="20"/>
                <w:szCs w:val="20"/>
              </w:rPr>
            </w:pPr>
            <w:r w:rsidRPr="00242F5C">
              <w:rPr>
                <w:b/>
                <w:bCs/>
                <w:color w:val="000000"/>
                <w:sz w:val="20"/>
                <w:szCs w:val="20"/>
              </w:rPr>
              <w:t>Number of fPBC cycles</w:t>
            </w:r>
          </w:p>
        </w:tc>
        <w:tc>
          <w:tcPr>
            <w:tcW w:w="1800" w:type="dxa"/>
            <w:vAlign w:val="center"/>
          </w:tcPr>
          <w:p w14:paraId="0F9B0AFD" w14:textId="77777777" w:rsidR="00FB2754" w:rsidRPr="00242F5C" w:rsidRDefault="00FB2754" w:rsidP="004D20E7">
            <w:pPr>
              <w:spacing w:line="480" w:lineRule="auto"/>
              <w:jc w:val="center"/>
              <w:rPr>
                <w:color w:val="000000"/>
                <w:sz w:val="20"/>
                <w:szCs w:val="20"/>
              </w:rPr>
            </w:pPr>
          </w:p>
        </w:tc>
        <w:tc>
          <w:tcPr>
            <w:tcW w:w="1710" w:type="dxa"/>
            <w:vAlign w:val="center"/>
          </w:tcPr>
          <w:p w14:paraId="4EA02C03" w14:textId="77777777" w:rsidR="00FB2754" w:rsidRPr="00242F5C" w:rsidRDefault="00FB2754" w:rsidP="004D20E7">
            <w:pPr>
              <w:spacing w:line="480" w:lineRule="auto"/>
              <w:jc w:val="center"/>
              <w:rPr>
                <w:color w:val="000000"/>
                <w:sz w:val="20"/>
                <w:szCs w:val="20"/>
              </w:rPr>
            </w:pPr>
          </w:p>
        </w:tc>
        <w:tc>
          <w:tcPr>
            <w:tcW w:w="810" w:type="dxa"/>
            <w:vAlign w:val="center"/>
          </w:tcPr>
          <w:p w14:paraId="004F4734" w14:textId="698F8D74" w:rsidR="00FB2754" w:rsidRPr="00242F5C" w:rsidRDefault="00184B5D" w:rsidP="004D20E7">
            <w:pPr>
              <w:spacing w:line="480" w:lineRule="auto"/>
              <w:jc w:val="center"/>
              <w:rPr>
                <w:color w:val="000000"/>
                <w:sz w:val="20"/>
                <w:szCs w:val="20"/>
              </w:rPr>
            </w:pPr>
            <w:r w:rsidRPr="00242F5C">
              <w:rPr>
                <w:color w:val="000000"/>
                <w:sz w:val="20"/>
                <w:szCs w:val="20"/>
              </w:rPr>
              <w:t>0.340</w:t>
            </w:r>
          </w:p>
        </w:tc>
        <w:tc>
          <w:tcPr>
            <w:tcW w:w="1170" w:type="dxa"/>
            <w:shd w:val="clear" w:color="auto" w:fill="auto"/>
            <w:noWrap/>
            <w:vAlign w:val="center"/>
            <w:hideMark/>
          </w:tcPr>
          <w:p w14:paraId="096720FF" w14:textId="70642A77" w:rsidR="00FB2754" w:rsidRPr="00242F5C" w:rsidRDefault="00FB2754" w:rsidP="004D20E7">
            <w:pPr>
              <w:spacing w:line="480" w:lineRule="auto"/>
              <w:jc w:val="center"/>
              <w:rPr>
                <w:color w:val="000000"/>
                <w:sz w:val="20"/>
                <w:szCs w:val="20"/>
              </w:rPr>
            </w:pPr>
          </w:p>
        </w:tc>
        <w:tc>
          <w:tcPr>
            <w:tcW w:w="1080" w:type="dxa"/>
            <w:vAlign w:val="center"/>
          </w:tcPr>
          <w:p w14:paraId="0310AB10" w14:textId="77777777" w:rsidR="00FB2754" w:rsidRPr="00242F5C" w:rsidRDefault="00FB2754" w:rsidP="004D20E7">
            <w:pPr>
              <w:spacing w:line="480" w:lineRule="auto"/>
              <w:jc w:val="center"/>
              <w:rPr>
                <w:color w:val="000000"/>
                <w:sz w:val="20"/>
                <w:szCs w:val="20"/>
              </w:rPr>
            </w:pPr>
          </w:p>
        </w:tc>
        <w:tc>
          <w:tcPr>
            <w:tcW w:w="810" w:type="dxa"/>
            <w:vAlign w:val="center"/>
          </w:tcPr>
          <w:p w14:paraId="60D0D0DA" w14:textId="67185376" w:rsidR="00FB2754" w:rsidRPr="00242F5C" w:rsidRDefault="00184B5D" w:rsidP="004D20E7">
            <w:pPr>
              <w:spacing w:line="480" w:lineRule="auto"/>
              <w:jc w:val="center"/>
              <w:rPr>
                <w:color w:val="000000"/>
                <w:sz w:val="20"/>
                <w:szCs w:val="20"/>
              </w:rPr>
            </w:pPr>
            <w:r w:rsidRPr="00242F5C">
              <w:rPr>
                <w:color w:val="000000"/>
                <w:sz w:val="20"/>
                <w:szCs w:val="20"/>
              </w:rPr>
              <w:t>0.193</w:t>
            </w:r>
          </w:p>
        </w:tc>
        <w:tc>
          <w:tcPr>
            <w:tcW w:w="1080" w:type="dxa"/>
            <w:shd w:val="clear" w:color="auto" w:fill="auto"/>
            <w:noWrap/>
            <w:vAlign w:val="center"/>
            <w:hideMark/>
          </w:tcPr>
          <w:p w14:paraId="54697B80" w14:textId="21221CB5" w:rsidR="00FB2754" w:rsidRPr="00242F5C" w:rsidRDefault="00FB2754" w:rsidP="004D20E7">
            <w:pPr>
              <w:spacing w:line="480" w:lineRule="auto"/>
              <w:jc w:val="center"/>
              <w:rPr>
                <w:color w:val="000000"/>
                <w:sz w:val="20"/>
                <w:szCs w:val="20"/>
              </w:rPr>
            </w:pPr>
          </w:p>
        </w:tc>
        <w:tc>
          <w:tcPr>
            <w:tcW w:w="1080" w:type="dxa"/>
            <w:vAlign w:val="center"/>
          </w:tcPr>
          <w:p w14:paraId="5B988C51" w14:textId="77777777" w:rsidR="00FB2754" w:rsidRPr="00242F5C" w:rsidRDefault="00FB2754" w:rsidP="004D20E7">
            <w:pPr>
              <w:spacing w:line="480" w:lineRule="auto"/>
              <w:jc w:val="center"/>
              <w:rPr>
                <w:color w:val="000000"/>
                <w:sz w:val="20"/>
                <w:szCs w:val="20"/>
              </w:rPr>
            </w:pPr>
          </w:p>
        </w:tc>
        <w:tc>
          <w:tcPr>
            <w:tcW w:w="810" w:type="dxa"/>
            <w:shd w:val="clear" w:color="auto" w:fill="auto"/>
            <w:noWrap/>
            <w:vAlign w:val="center"/>
            <w:hideMark/>
          </w:tcPr>
          <w:p w14:paraId="6DB3C56C" w14:textId="7E18D696" w:rsidR="00FB2754" w:rsidRPr="00242F5C" w:rsidRDefault="00184B5D" w:rsidP="004D20E7">
            <w:pPr>
              <w:spacing w:line="480" w:lineRule="auto"/>
              <w:jc w:val="center"/>
              <w:rPr>
                <w:color w:val="000000"/>
                <w:sz w:val="20"/>
                <w:szCs w:val="20"/>
              </w:rPr>
            </w:pPr>
            <w:r w:rsidRPr="00242F5C">
              <w:rPr>
                <w:color w:val="000000"/>
                <w:sz w:val="20"/>
                <w:szCs w:val="20"/>
              </w:rPr>
              <w:t>0.703</w:t>
            </w:r>
          </w:p>
        </w:tc>
      </w:tr>
      <w:tr w:rsidR="00242F5C" w:rsidRPr="00242F5C" w14:paraId="6C0B4B76" w14:textId="77777777" w:rsidTr="00216514">
        <w:trPr>
          <w:trHeight w:val="281"/>
        </w:trPr>
        <w:tc>
          <w:tcPr>
            <w:tcW w:w="2505" w:type="dxa"/>
            <w:shd w:val="clear" w:color="auto" w:fill="auto"/>
            <w:noWrap/>
            <w:vAlign w:val="center"/>
            <w:hideMark/>
          </w:tcPr>
          <w:p w14:paraId="1EE97EC7" w14:textId="4FEA754D" w:rsidR="00FB2754" w:rsidRPr="00242F5C" w:rsidRDefault="00184B5D" w:rsidP="004D20E7">
            <w:pPr>
              <w:spacing w:line="480" w:lineRule="auto"/>
              <w:ind w:left="153"/>
              <w:rPr>
                <w:color w:val="000000"/>
                <w:sz w:val="20"/>
                <w:szCs w:val="20"/>
              </w:rPr>
            </w:pPr>
            <w:r w:rsidRPr="00242F5C">
              <w:rPr>
                <w:color w:val="000000"/>
                <w:sz w:val="20"/>
                <w:szCs w:val="20"/>
              </w:rPr>
              <w:t>2</w:t>
            </w:r>
          </w:p>
        </w:tc>
        <w:tc>
          <w:tcPr>
            <w:tcW w:w="1800" w:type="dxa"/>
            <w:vAlign w:val="center"/>
          </w:tcPr>
          <w:p w14:paraId="2FD4E903" w14:textId="76CEC06F" w:rsidR="00FB2754" w:rsidRPr="00242F5C" w:rsidRDefault="00184B5D" w:rsidP="004D20E7">
            <w:pPr>
              <w:spacing w:line="480" w:lineRule="auto"/>
              <w:jc w:val="center"/>
              <w:rPr>
                <w:color w:val="000000"/>
                <w:sz w:val="20"/>
                <w:szCs w:val="20"/>
              </w:rPr>
            </w:pPr>
            <w:r w:rsidRPr="00242F5C">
              <w:rPr>
                <w:color w:val="000000"/>
                <w:sz w:val="20"/>
                <w:szCs w:val="20"/>
              </w:rPr>
              <w:t>14 (10.4%)</w:t>
            </w:r>
          </w:p>
        </w:tc>
        <w:tc>
          <w:tcPr>
            <w:tcW w:w="1710" w:type="dxa"/>
            <w:vAlign w:val="center"/>
          </w:tcPr>
          <w:p w14:paraId="39353C81" w14:textId="04CF4095" w:rsidR="00FB2754" w:rsidRPr="00242F5C" w:rsidRDefault="00184B5D" w:rsidP="004D20E7">
            <w:pPr>
              <w:spacing w:line="480" w:lineRule="auto"/>
              <w:jc w:val="center"/>
              <w:rPr>
                <w:color w:val="000000"/>
                <w:sz w:val="20"/>
                <w:szCs w:val="20"/>
              </w:rPr>
            </w:pPr>
            <w:r w:rsidRPr="00242F5C">
              <w:rPr>
                <w:color w:val="000000"/>
                <w:sz w:val="20"/>
                <w:szCs w:val="20"/>
              </w:rPr>
              <w:t>11 (8.3%)</w:t>
            </w:r>
          </w:p>
        </w:tc>
        <w:tc>
          <w:tcPr>
            <w:tcW w:w="810" w:type="dxa"/>
            <w:vAlign w:val="center"/>
          </w:tcPr>
          <w:p w14:paraId="38A2E713"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hideMark/>
          </w:tcPr>
          <w:p w14:paraId="7EB16E28" w14:textId="0F1D1251" w:rsidR="00FB2754" w:rsidRPr="00242F5C" w:rsidRDefault="00184B5D" w:rsidP="004D20E7">
            <w:pPr>
              <w:spacing w:line="480" w:lineRule="auto"/>
              <w:jc w:val="center"/>
              <w:rPr>
                <w:color w:val="000000"/>
                <w:sz w:val="20"/>
                <w:szCs w:val="20"/>
              </w:rPr>
            </w:pPr>
            <w:r w:rsidRPr="00242F5C">
              <w:rPr>
                <w:color w:val="000000"/>
                <w:sz w:val="20"/>
                <w:szCs w:val="20"/>
              </w:rPr>
              <w:t>7 (10.0%)</w:t>
            </w:r>
          </w:p>
        </w:tc>
        <w:tc>
          <w:tcPr>
            <w:tcW w:w="1080" w:type="dxa"/>
            <w:vAlign w:val="center"/>
          </w:tcPr>
          <w:p w14:paraId="7A656C1F" w14:textId="6F89B647" w:rsidR="00FB2754" w:rsidRPr="00242F5C" w:rsidRDefault="00184B5D" w:rsidP="004D20E7">
            <w:pPr>
              <w:spacing w:line="480" w:lineRule="auto"/>
              <w:jc w:val="center"/>
              <w:rPr>
                <w:color w:val="000000"/>
                <w:sz w:val="20"/>
                <w:szCs w:val="20"/>
              </w:rPr>
            </w:pPr>
            <w:r w:rsidRPr="00242F5C">
              <w:rPr>
                <w:color w:val="000000"/>
                <w:sz w:val="20"/>
                <w:szCs w:val="20"/>
              </w:rPr>
              <w:t>5 (9.6%)</w:t>
            </w:r>
          </w:p>
        </w:tc>
        <w:tc>
          <w:tcPr>
            <w:tcW w:w="810" w:type="dxa"/>
            <w:vAlign w:val="center"/>
          </w:tcPr>
          <w:p w14:paraId="1ED232A7" w14:textId="317F4421" w:rsidR="00FB2754" w:rsidRPr="00242F5C" w:rsidRDefault="00FB2754" w:rsidP="004D20E7">
            <w:pPr>
              <w:spacing w:line="480" w:lineRule="auto"/>
              <w:jc w:val="center"/>
              <w:rPr>
                <w:color w:val="000000"/>
                <w:sz w:val="20"/>
                <w:szCs w:val="20"/>
              </w:rPr>
            </w:pPr>
          </w:p>
        </w:tc>
        <w:tc>
          <w:tcPr>
            <w:tcW w:w="1080" w:type="dxa"/>
            <w:shd w:val="clear" w:color="auto" w:fill="auto"/>
            <w:noWrap/>
            <w:vAlign w:val="center"/>
            <w:hideMark/>
          </w:tcPr>
          <w:p w14:paraId="77DBFAE0" w14:textId="111A0883" w:rsidR="00FB2754" w:rsidRPr="00242F5C" w:rsidRDefault="00184B5D" w:rsidP="004D20E7">
            <w:pPr>
              <w:spacing w:line="480" w:lineRule="auto"/>
              <w:jc w:val="center"/>
              <w:rPr>
                <w:color w:val="000000"/>
                <w:sz w:val="20"/>
                <w:szCs w:val="20"/>
              </w:rPr>
            </w:pPr>
            <w:r w:rsidRPr="00242F5C">
              <w:rPr>
                <w:color w:val="000000"/>
                <w:sz w:val="20"/>
                <w:szCs w:val="20"/>
              </w:rPr>
              <w:t>7 (10.8%)</w:t>
            </w:r>
          </w:p>
        </w:tc>
        <w:tc>
          <w:tcPr>
            <w:tcW w:w="1080" w:type="dxa"/>
            <w:vAlign w:val="center"/>
          </w:tcPr>
          <w:p w14:paraId="274DD234" w14:textId="30A4C77E" w:rsidR="00FB2754" w:rsidRPr="00242F5C" w:rsidRDefault="00184B5D" w:rsidP="004D20E7">
            <w:pPr>
              <w:spacing w:line="480" w:lineRule="auto"/>
              <w:jc w:val="center"/>
              <w:rPr>
                <w:color w:val="000000"/>
                <w:sz w:val="20"/>
                <w:szCs w:val="20"/>
              </w:rPr>
            </w:pPr>
            <w:r w:rsidRPr="00242F5C">
              <w:rPr>
                <w:color w:val="000000"/>
                <w:sz w:val="20"/>
                <w:szCs w:val="20"/>
              </w:rPr>
              <w:t>6 (7.5%)</w:t>
            </w:r>
          </w:p>
        </w:tc>
        <w:tc>
          <w:tcPr>
            <w:tcW w:w="810" w:type="dxa"/>
            <w:shd w:val="clear" w:color="auto" w:fill="auto"/>
            <w:noWrap/>
            <w:vAlign w:val="center"/>
            <w:hideMark/>
          </w:tcPr>
          <w:p w14:paraId="4D345770" w14:textId="25071A73" w:rsidR="00FB2754" w:rsidRPr="00242F5C" w:rsidRDefault="00FB2754" w:rsidP="004D20E7">
            <w:pPr>
              <w:spacing w:line="480" w:lineRule="auto"/>
              <w:jc w:val="center"/>
              <w:rPr>
                <w:color w:val="000000"/>
                <w:sz w:val="20"/>
                <w:szCs w:val="20"/>
                <w:highlight w:val="yellow"/>
              </w:rPr>
            </w:pPr>
          </w:p>
        </w:tc>
      </w:tr>
      <w:tr w:rsidR="00242F5C" w:rsidRPr="00242F5C" w14:paraId="61B9D24D" w14:textId="77777777" w:rsidTr="00216514">
        <w:trPr>
          <w:trHeight w:val="281"/>
        </w:trPr>
        <w:tc>
          <w:tcPr>
            <w:tcW w:w="2505" w:type="dxa"/>
            <w:shd w:val="clear" w:color="auto" w:fill="auto"/>
            <w:noWrap/>
            <w:vAlign w:val="center"/>
          </w:tcPr>
          <w:p w14:paraId="0F9C3BFF" w14:textId="70A2EF86" w:rsidR="00FB2754" w:rsidRPr="00242F5C" w:rsidRDefault="00184B5D" w:rsidP="004D20E7">
            <w:pPr>
              <w:spacing w:line="480" w:lineRule="auto"/>
              <w:ind w:left="153"/>
              <w:rPr>
                <w:color w:val="000000"/>
                <w:sz w:val="20"/>
                <w:szCs w:val="20"/>
              </w:rPr>
            </w:pPr>
            <w:r w:rsidRPr="00242F5C">
              <w:rPr>
                <w:color w:val="000000"/>
                <w:sz w:val="20"/>
                <w:szCs w:val="20"/>
              </w:rPr>
              <w:lastRenderedPageBreak/>
              <w:t>3-4</w:t>
            </w:r>
          </w:p>
        </w:tc>
        <w:tc>
          <w:tcPr>
            <w:tcW w:w="1800" w:type="dxa"/>
            <w:vAlign w:val="center"/>
          </w:tcPr>
          <w:p w14:paraId="77B66A7E" w14:textId="659EA43E" w:rsidR="00FB2754" w:rsidRPr="00242F5C" w:rsidRDefault="00184B5D" w:rsidP="004D20E7">
            <w:pPr>
              <w:spacing w:line="480" w:lineRule="auto"/>
              <w:jc w:val="center"/>
              <w:rPr>
                <w:color w:val="000000"/>
                <w:sz w:val="20"/>
                <w:szCs w:val="20"/>
              </w:rPr>
            </w:pPr>
            <w:r w:rsidRPr="00242F5C">
              <w:rPr>
                <w:color w:val="000000"/>
                <w:sz w:val="20"/>
                <w:szCs w:val="20"/>
              </w:rPr>
              <w:t>43 (31.9%)</w:t>
            </w:r>
          </w:p>
        </w:tc>
        <w:tc>
          <w:tcPr>
            <w:tcW w:w="1710" w:type="dxa"/>
            <w:vAlign w:val="center"/>
          </w:tcPr>
          <w:p w14:paraId="2C206134" w14:textId="3F497653" w:rsidR="00FB2754" w:rsidRPr="00242F5C" w:rsidRDefault="00184B5D" w:rsidP="004D20E7">
            <w:pPr>
              <w:spacing w:line="480" w:lineRule="auto"/>
              <w:jc w:val="center"/>
              <w:rPr>
                <w:color w:val="000000"/>
                <w:sz w:val="20"/>
                <w:szCs w:val="20"/>
              </w:rPr>
            </w:pPr>
            <w:r w:rsidRPr="00242F5C">
              <w:rPr>
                <w:color w:val="000000"/>
                <w:sz w:val="20"/>
                <w:szCs w:val="20"/>
              </w:rPr>
              <w:t>31 (23.5%)</w:t>
            </w:r>
          </w:p>
        </w:tc>
        <w:tc>
          <w:tcPr>
            <w:tcW w:w="810" w:type="dxa"/>
            <w:vAlign w:val="center"/>
          </w:tcPr>
          <w:p w14:paraId="5AB84850"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713DE46D" w14:textId="79B8706B" w:rsidR="00FB2754" w:rsidRPr="00242F5C" w:rsidRDefault="00184B5D" w:rsidP="004D20E7">
            <w:pPr>
              <w:spacing w:line="480" w:lineRule="auto"/>
              <w:jc w:val="center"/>
              <w:rPr>
                <w:color w:val="000000"/>
                <w:sz w:val="20"/>
                <w:szCs w:val="20"/>
              </w:rPr>
            </w:pPr>
            <w:r w:rsidRPr="00242F5C">
              <w:rPr>
                <w:color w:val="000000"/>
                <w:sz w:val="20"/>
                <w:szCs w:val="20"/>
              </w:rPr>
              <w:t>24 (34.3%)</w:t>
            </w:r>
          </w:p>
        </w:tc>
        <w:tc>
          <w:tcPr>
            <w:tcW w:w="1080" w:type="dxa"/>
            <w:vAlign w:val="center"/>
          </w:tcPr>
          <w:p w14:paraId="1B2D1D88" w14:textId="4FD54B27" w:rsidR="00FB2754" w:rsidRPr="00242F5C" w:rsidRDefault="00184B5D" w:rsidP="004D20E7">
            <w:pPr>
              <w:spacing w:line="480" w:lineRule="auto"/>
              <w:jc w:val="center"/>
              <w:rPr>
                <w:color w:val="000000"/>
                <w:sz w:val="20"/>
                <w:szCs w:val="20"/>
              </w:rPr>
            </w:pPr>
            <w:r w:rsidRPr="00242F5C">
              <w:rPr>
                <w:color w:val="000000"/>
                <w:sz w:val="20"/>
                <w:szCs w:val="20"/>
              </w:rPr>
              <w:t>11 (21.1%)</w:t>
            </w:r>
          </w:p>
        </w:tc>
        <w:tc>
          <w:tcPr>
            <w:tcW w:w="810" w:type="dxa"/>
            <w:vAlign w:val="center"/>
          </w:tcPr>
          <w:p w14:paraId="6E710FF2" w14:textId="1FF1D2B5" w:rsidR="00FB2754" w:rsidRPr="00242F5C" w:rsidRDefault="00FB2754" w:rsidP="004D20E7">
            <w:pPr>
              <w:spacing w:line="480" w:lineRule="auto"/>
              <w:jc w:val="center"/>
              <w:rPr>
                <w:color w:val="000000"/>
                <w:sz w:val="20"/>
                <w:szCs w:val="20"/>
              </w:rPr>
            </w:pPr>
          </w:p>
        </w:tc>
        <w:tc>
          <w:tcPr>
            <w:tcW w:w="1080" w:type="dxa"/>
            <w:shd w:val="clear" w:color="auto" w:fill="auto"/>
            <w:noWrap/>
            <w:vAlign w:val="center"/>
          </w:tcPr>
          <w:p w14:paraId="027DBBEA" w14:textId="0EDBFB2F" w:rsidR="00FB2754" w:rsidRPr="00242F5C" w:rsidRDefault="00184B5D" w:rsidP="004D20E7">
            <w:pPr>
              <w:spacing w:line="480" w:lineRule="auto"/>
              <w:jc w:val="center"/>
              <w:rPr>
                <w:color w:val="000000"/>
                <w:sz w:val="20"/>
                <w:szCs w:val="20"/>
              </w:rPr>
            </w:pPr>
            <w:r w:rsidRPr="00242F5C">
              <w:rPr>
                <w:color w:val="000000"/>
                <w:sz w:val="20"/>
                <w:szCs w:val="20"/>
              </w:rPr>
              <w:t>19 (29.2%)</w:t>
            </w:r>
          </w:p>
        </w:tc>
        <w:tc>
          <w:tcPr>
            <w:tcW w:w="1080" w:type="dxa"/>
            <w:vAlign w:val="center"/>
          </w:tcPr>
          <w:p w14:paraId="7E5E2209" w14:textId="125A73F1" w:rsidR="00FB2754" w:rsidRPr="00242F5C" w:rsidRDefault="00184B5D" w:rsidP="004D20E7">
            <w:pPr>
              <w:spacing w:line="480" w:lineRule="auto"/>
              <w:jc w:val="center"/>
              <w:rPr>
                <w:color w:val="000000"/>
                <w:sz w:val="20"/>
                <w:szCs w:val="20"/>
              </w:rPr>
            </w:pPr>
            <w:r w:rsidRPr="00242F5C">
              <w:rPr>
                <w:color w:val="000000"/>
                <w:sz w:val="20"/>
                <w:szCs w:val="20"/>
              </w:rPr>
              <w:t>20 (25.0%)</w:t>
            </w:r>
          </w:p>
        </w:tc>
        <w:tc>
          <w:tcPr>
            <w:tcW w:w="810" w:type="dxa"/>
            <w:shd w:val="clear" w:color="auto" w:fill="auto"/>
            <w:noWrap/>
            <w:vAlign w:val="center"/>
          </w:tcPr>
          <w:p w14:paraId="2C9EC35F" w14:textId="6F85E2E3" w:rsidR="00FB2754" w:rsidRPr="00242F5C" w:rsidRDefault="00FB2754" w:rsidP="004D20E7">
            <w:pPr>
              <w:spacing w:line="480" w:lineRule="auto"/>
              <w:jc w:val="center"/>
              <w:rPr>
                <w:color w:val="000000"/>
                <w:sz w:val="20"/>
                <w:szCs w:val="20"/>
                <w:highlight w:val="yellow"/>
              </w:rPr>
            </w:pPr>
          </w:p>
        </w:tc>
      </w:tr>
      <w:tr w:rsidR="00242F5C" w:rsidRPr="00242F5C" w14:paraId="4D9D2616" w14:textId="77777777" w:rsidTr="00216514">
        <w:trPr>
          <w:trHeight w:val="281"/>
        </w:trPr>
        <w:tc>
          <w:tcPr>
            <w:tcW w:w="2505" w:type="dxa"/>
            <w:shd w:val="clear" w:color="auto" w:fill="auto"/>
            <w:noWrap/>
            <w:vAlign w:val="center"/>
          </w:tcPr>
          <w:p w14:paraId="5A9F9C9B" w14:textId="35CBDEBE" w:rsidR="00FB2754" w:rsidRPr="00242F5C" w:rsidRDefault="00184B5D" w:rsidP="004D20E7">
            <w:pPr>
              <w:spacing w:line="480" w:lineRule="auto"/>
              <w:ind w:left="153"/>
              <w:rPr>
                <w:color w:val="000000"/>
                <w:sz w:val="20"/>
                <w:szCs w:val="20"/>
              </w:rPr>
            </w:pPr>
            <w:r w:rsidRPr="00242F5C">
              <w:rPr>
                <w:color w:val="000000"/>
                <w:sz w:val="20"/>
                <w:szCs w:val="20"/>
              </w:rPr>
              <w:t>5-6</w:t>
            </w:r>
          </w:p>
        </w:tc>
        <w:tc>
          <w:tcPr>
            <w:tcW w:w="1800" w:type="dxa"/>
            <w:vAlign w:val="center"/>
          </w:tcPr>
          <w:p w14:paraId="3847BD4D" w14:textId="2617DB80" w:rsidR="00FB2754" w:rsidRPr="00242F5C" w:rsidRDefault="00184B5D" w:rsidP="004D20E7">
            <w:pPr>
              <w:spacing w:line="480" w:lineRule="auto"/>
              <w:jc w:val="center"/>
              <w:rPr>
                <w:color w:val="000000"/>
                <w:sz w:val="20"/>
                <w:szCs w:val="20"/>
              </w:rPr>
            </w:pPr>
            <w:r w:rsidRPr="00242F5C">
              <w:rPr>
                <w:color w:val="000000"/>
                <w:sz w:val="20"/>
                <w:szCs w:val="20"/>
              </w:rPr>
              <w:t>63 (46.7%)</w:t>
            </w:r>
          </w:p>
        </w:tc>
        <w:tc>
          <w:tcPr>
            <w:tcW w:w="1710" w:type="dxa"/>
            <w:vAlign w:val="center"/>
          </w:tcPr>
          <w:p w14:paraId="33360864" w14:textId="71099AA7" w:rsidR="00FB2754" w:rsidRPr="00242F5C" w:rsidRDefault="00184B5D" w:rsidP="004D20E7">
            <w:pPr>
              <w:spacing w:line="480" w:lineRule="auto"/>
              <w:jc w:val="center"/>
              <w:rPr>
                <w:color w:val="000000"/>
                <w:sz w:val="20"/>
                <w:szCs w:val="20"/>
              </w:rPr>
            </w:pPr>
            <w:r w:rsidRPr="00242F5C">
              <w:rPr>
                <w:color w:val="000000"/>
                <w:sz w:val="20"/>
                <w:szCs w:val="20"/>
              </w:rPr>
              <w:t>70 (53.0%)</w:t>
            </w:r>
          </w:p>
        </w:tc>
        <w:tc>
          <w:tcPr>
            <w:tcW w:w="810" w:type="dxa"/>
            <w:vAlign w:val="center"/>
          </w:tcPr>
          <w:p w14:paraId="25E55228"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3AECC0DD" w14:textId="02053237" w:rsidR="00FB2754" w:rsidRPr="00242F5C" w:rsidRDefault="00184B5D" w:rsidP="004D20E7">
            <w:pPr>
              <w:spacing w:line="480" w:lineRule="auto"/>
              <w:jc w:val="center"/>
              <w:rPr>
                <w:color w:val="000000"/>
                <w:sz w:val="20"/>
                <w:szCs w:val="20"/>
              </w:rPr>
            </w:pPr>
            <w:r w:rsidRPr="00242F5C">
              <w:rPr>
                <w:color w:val="000000"/>
                <w:sz w:val="20"/>
                <w:szCs w:val="20"/>
              </w:rPr>
              <w:t>35 (50.0%)</w:t>
            </w:r>
          </w:p>
        </w:tc>
        <w:tc>
          <w:tcPr>
            <w:tcW w:w="1080" w:type="dxa"/>
            <w:vAlign w:val="center"/>
          </w:tcPr>
          <w:p w14:paraId="29F3B6C3" w14:textId="2315CCF3" w:rsidR="00FB2754" w:rsidRPr="00242F5C" w:rsidRDefault="00184B5D" w:rsidP="004D20E7">
            <w:pPr>
              <w:spacing w:line="480" w:lineRule="auto"/>
              <w:jc w:val="center"/>
              <w:rPr>
                <w:color w:val="000000"/>
                <w:sz w:val="20"/>
                <w:szCs w:val="20"/>
              </w:rPr>
            </w:pPr>
            <w:r w:rsidRPr="00242F5C">
              <w:rPr>
                <w:color w:val="000000"/>
                <w:sz w:val="20"/>
                <w:szCs w:val="20"/>
              </w:rPr>
              <w:t>28 (53.8%)</w:t>
            </w:r>
          </w:p>
        </w:tc>
        <w:tc>
          <w:tcPr>
            <w:tcW w:w="810" w:type="dxa"/>
            <w:vAlign w:val="center"/>
          </w:tcPr>
          <w:p w14:paraId="27AFC4A4" w14:textId="2CD2B197" w:rsidR="00FB2754" w:rsidRPr="00242F5C" w:rsidRDefault="00FB2754" w:rsidP="004D20E7">
            <w:pPr>
              <w:spacing w:line="480" w:lineRule="auto"/>
              <w:jc w:val="center"/>
              <w:rPr>
                <w:color w:val="000000"/>
                <w:sz w:val="20"/>
                <w:szCs w:val="20"/>
              </w:rPr>
            </w:pPr>
          </w:p>
        </w:tc>
        <w:tc>
          <w:tcPr>
            <w:tcW w:w="1080" w:type="dxa"/>
            <w:shd w:val="clear" w:color="auto" w:fill="auto"/>
            <w:noWrap/>
            <w:vAlign w:val="center"/>
          </w:tcPr>
          <w:p w14:paraId="1D177FB4" w14:textId="587565F5" w:rsidR="00FB2754" w:rsidRPr="00242F5C" w:rsidRDefault="00184B5D" w:rsidP="004D20E7">
            <w:pPr>
              <w:spacing w:line="480" w:lineRule="auto"/>
              <w:jc w:val="center"/>
              <w:rPr>
                <w:color w:val="000000"/>
                <w:sz w:val="20"/>
                <w:szCs w:val="20"/>
              </w:rPr>
            </w:pPr>
            <w:r w:rsidRPr="00242F5C">
              <w:rPr>
                <w:color w:val="000000"/>
                <w:sz w:val="20"/>
                <w:szCs w:val="20"/>
              </w:rPr>
              <w:t>28 (43.1%)</w:t>
            </w:r>
          </w:p>
        </w:tc>
        <w:tc>
          <w:tcPr>
            <w:tcW w:w="1080" w:type="dxa"/>
            <w:vAlign w:val="center"/>
          </w:tcPr>
          <w:p w14:paraId="25547D4B" w14:textId="79ADFAAC" w:rsidR="00FB2754" w:rsidRPr="00242F5C" w:rsidRDefault="00184B5D" w:rsidP="004D20E7">
            <w:pPr>
              <w:spacing w:line="480" w:lineRule="auto"/>
              <w:jc w:val="center"/>
              <w:rPr>
                <w:color w:val="000000"/>
                <w:sz w:val="20"/>
                <w:szCs w:val="20"/>
              </w:rPr>
            </w:pPr>
            <w:r w:rsidRPr="00242F5C">
              <w:rPr>
                <w:color w:val="000000"/>
                <w:sz w:val="20"/>
                <w:szCs w:val="20"/>
              </w:rPr>
              <w:t>42 (52.5%</w:t>
            </w:r>
          </w:p>
        </w:tc>
        <w:tc>
          <w:tcPr>
            <w:tcW w:w="810" w:type="dxa"/>
            <w:shd w:val="clear" w:color="auto" w:fill="auto"/>
            <w:noWrap/>
            <w:vAlign w:val="center"/>
          </w:tcPr>
          <w:p w14:paraId="298AD1BE" w14:textId="7C4CB1F8" w:rsidR="00FB2754" w:rsidRPr="00242F5C" w:rsidRDefault="00FB2754" w:rsidP="004D20E7">
            <w:pPr>
              <w:spacing w:line="480" w:lineRule="auto"/>
              <w:jc w:val="center"/>
              <w:rPr>
                <w:color w:val="000000"/>
                <w:sz w:val="20"/>
                <w:szCs w:val="20"/>
                <w:highlight w:val="yellow"/>
              </w:rPr>
            </w:pPr>
          </w:p>
        </w:tc>
      </w:tr>
      <w:tr w:rsidR="00242F5C" w:rsidRPr="00242F5C" w14:paraId="2FD2B243" w14:textId="77777777" w:rsidTr="00216514">
        <w:trPr>
          <w:trHeight w:val="281"/>
        </w:trPr>
        <w:tc>
          <w:tcPr>
            <w:tcW w:w="2505" w:type="dxa"/>
            <w:shd w:val="clear" w:color="auto" w:fill="auto"/>
            <w:noWrap/>
            <w:vAlign w:val="center"/>
          </w:tcPr>
          <w:p w14:paraId="02624F9E" w14:textId="692CEAA0" w:rsidR="00FB2754" w:rsidRPr="00242F5C" w:rsidRDefault="00184B5D" w:rsidP="004D20E7">
            <w:pPr>
              <w:spacing w:line="480" w:lineRule="auto"/>
              <w:ind w:left="153"/>
              <w:rPr>
                <w:color w:val="000000"/>
                <w:sz w:val="20"/>
                <w:szCs w:val="20"/>
              </w:rPr>
            </w:pPr>
            <w:r w:rsidRPr="00242F5C">
              <w:rPr>
                <w:color w:val="222222"/>
                <w:sz w:val="20"/>
                <w:szCs w:val="20"/>
                <w:shd w:val="clear" w:color="auto" w:fill="FFFFFF"/>
              </w:rPr>
              <w:t>≥</w:t>
            </w:r>
            <w:r w:rsidRPr="00242F5C">
              <w:rPr>
                <w:color w:val="000000"/>
                <w:sz w:val="20"/>
                <w:szCs w:val="20"/>
              </w:rPr>
              <w:t>7</w:t>
            </w:r>
          </w:p>
        </w:tc>
        <w:tc>
          <w:tcPr>
            <w:tcW w:w="1800" w:type="dxa"/>
            <w:vAlign w:val="center"/>
          </w:tcPr>
          <w:p w14:paraId="10950258" w14:textId="38558C18" w:rsidR="00FB2754" w:rsidRPr="00242F5C" w:rsidRDefault="00184B5D" w:rsidP="004D20E7">
            <w:pPr>
              <w:spacing w:line="480" w:lineRule="auto"/>
              <w:jc w:val="center"/>
              <w:rPr>
                <w:color w:val="000000"/>
                <w:sz w:val="20"/>
                <w:szCs w:val="20"/>
              </w:rPr>
            </w:pPr>
            <w:r w:rsidRPr="00242F5C">
              <w:rPr>
                <w:color w:val="000000"/>
                <w:sz w:val="20"/>
                <w:szCs w:val="20"/>
              </w:rPr>
              <w:t>15 (11.1%)</w:t>
            </w:r>
          </w:p>
        </w:tc>
        <w:tc>
          <w:tcPr>
            <w:tcW w:w="1710" w:type="dxa"/>
            <w:vAlign w:val="center"/>
          </w:tcPr>
          <w:p w14:paraId="3F87A850" w14:textId="2EA2E2D8" w:rsidR="00FB2754" w:rsidRPr="00242F5C" w:rsidRDefault="00184B5D" w:rsidP="004D20E7">
            <w:pPr>
              <w:spacing w:line="480" w:lineRule="auto"/>
              <w:jc w:val="center"/>
              <w:rPr>
                <w:color w:val="000000"/>
                <w:sz w:val="20"/>
                <w:szCs w:val="20"/>
              </w:rPr>
            </w:pPr>
            <w:r w:rsidRPr="00242F5C">
              <w:rPr>
                <w:color w:val="000000"/>
                <w:sz w:val="20"/>
                <w:szCs w:val="20"/>
              </w:rPr>
              <w:t>20 (15.2%)</w:t>
            </w:r>
          </w:p>
        </w:tc>
        <w:tc>
          <w:tcPr>
            <w:tcW w:w="810" w:type="dxa"/>
            <w:vAlign w:val="center"/>
          </w:tcPr>
          <w:p w14:paraId="770B85AB" w14:textId="78228818"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5250D456" w14:textId="5120FABD" w:rsidR="00FB2754" w:rsidRPr="00242F5C" w:rsidRDefault="00184B5D" w:rsidP="004D20E7">
            <w:pPr>
              <w:spacing w:line="480" w:lineRule="auto"/>
              <w:jc w:val="center"/>
              <w:rPr>
                <w:color w:val="000000"/>
                <w:sz w:val="20"/>
                <w:szCs w:val="20"/>
              </w:rPr>
            </w:pPr>
            <w:r w:rsidRPr="00242F5C">
              <w:rPr>
                <w:color w:val="000000"/>
                <w:sz w:val="20"/>
                <w:szCs w:val="20"/>
              </w:rPr>
              <w:t>4 (5.7%)</w:t>
            </w:r>
          </w:p>
        </w:tc>
        <w:tc>
          <w:tcPr>
            <w:tcW w:w="1080" w:type="dxa"/>
            <w:vAlign w:val="center"/>
          </w:tcPr>
          <w:p w14:paraId="5E4F4657" w14:textId="7EB05255" w:rsidR="00FB2754" w:rsidRPr="00242F5C" w:rsidRDefault="00184B5D" w:rsidP="004D20E7">
            <w:pPr>
              <w:spacing w:line="480" w:lineRule="auto"/>
              <w:jc w:val="center"/>
              <w:rPr>
                <w:color w:val="000000"/>
                <w:sz w:val="20"/>
                <w:szCs w:val="20"/>
              </w:rPr>
            </w:pPr>
            <w:r w:rsidRPr="00242F5C">
              <w:rPr>
                <w:color w:val="000000"/>
                <w:sz w:val="20"/>
                <w:szCs w:val="20"/>
              </w:rPr>
              <w:t>8 (15.4%)</w:t>
            </w:r>
          </w:p>
        </w:tc>
        <w:tc>
          <w:tcPr>
            <w:tcW w:w="810" w:type="dxa"/>
            <w:vAlign w:val="center"/>
          </w:tcPr>
          <w:p w14:paraId="01EEC7D4" w14:textId="05B72691" w:rsidR="00FB2754" w:rsidRPr="00242F5C" w:rsidRDefault="00FB2754" w:rsidP="004D20E7">
            <w:pPr>
              <w:spacing w:line="480" w:lineRule="auto"/>
              <w:jc w:val="center"/>
              <w:rPr>
                <w:color w:val="000000"/>
                <w:sz w:val="20"/>
                <w:szCs w:val="20"/>
              </w:rPr>
            </w:pPr>
          </w:p>
        </w:tc>
        <w:tc>
          <w:tcPr>
            <w:tcW w:w="1080" w:type="dxa"/>
            <w:shd w:val="clear" w:color="auto" w:fill="auto"/>
            <w:noWrap/>
            <w:vAlign w:val="center"/>
          </w:tcPr>
          <w:p w14:paraId="4074C8A9" w14:textId="5E3E24B0" w:rsidR="00FB2754" w:rsidRPr="00242F5C" w:rsidRDefault="00184B5D" w:rsidP="004D20E7">
            <w:pPr>
              <w:spacing w:line="480" w:lineRule="auto"/>
              <w:jc w:val="center"/>
              <w:rPr>
                <w:color w:val="000000"/>
                <w:sz w:val="20"/>
                <w:szCs w:val="20"/>
              </w:rPr>
            </w:pPr>
            <w:r w:rsidRPr="00242F5C">
              <w:rPr>
                <w:color w:val="000000"/>
                <w:sz w:val="20"/>
                <w:szCs w:val="20"/>
              </w:rPr>
              <w:t>11 (16.9%)</w:t>
            </w:r>
          </w:p>
        </w:tc>
        <w:tc>
          <w:tcPr>
            <w:tcW w:w="1080" w:type="dxa"/>
            <w:vAlign w:val="center"/>
          </w:tcPr>
          <w:p w14:paraId="74F14AAB" w14:textId="69CE96F8" w:rsidR="00FB2754" w:rsidRPr="00242F5C" w:rsidRDefault="00184B5D" w:rsidP="004D20E7">
            <w:pPr>
              <w:spacing w:line="480" w:lineRule="auto"/>
              <w:jc w:val="center"/>
              <w:rPr>
                <w:color w:val="000000"/>
                <w:sz w:val="20"/>
                <w:szCs w:val="20"/>
              </w:rPr>
            </w:pPr>
            <w:r w:rsidRPr="00242F5C">
              <w:rPr>
                <w:color w:val="000000"/>
                <w:sz w:val="20"/>
                <w:szCs w:val="20"/>
              </w:rPr>
              <w:t>12 (15.0%)</w:t>
            </w:r>
          </w:p>
        </w:tc>
        <w:tc>
          <w:tcPr>
            <w:tcW w:w="810" w:type="dxa"/>
            <w:shd w:val="clear" w:color="auto" w:fill="auto"/>
            <w:noWrap/>
            <w:vAlign w:val="center"/>
          </w:tcPr>
          <w:p w14:paraId="5B42E186" w14:textId="35576603" w:rsidR="00FB2754" w:rsidRPr="00242F5C" w:rsidRDefault="00FB2754" w:rsidP="004D20E7">
            <w:pPr>
              <w:spacing w:line="480" w:lineRule="auto"/>
              <w:jc w:val="center"/>
              <w:rPr>
                <w:color w:val="000000"/>
                <w:sz w:val="20"/>
                <w:szCs w:val="20"/>
                <w:highlight w:val="yellow"/>
              </w:rPr>
            </w:pPr>
          </w:p>
        </w:tc>
      </w:tr>
      <w:tr w:rsidR="00242F5C" w:rsidRPr="00242F5C" w14:paraId="5801AB95" w14:textId="77777777" w:rsidTr="00216514">
        <w:trPr>
          <w:trHeight w:val="281"/>
        </w:trPr>
        <w:tc>
          <w:tcPr>
            <w:tcW w:w="2505" w:type="dxa"/>
            <w:shd w:val="clear" w:color="auto" w:fill="auto"/>
            <w:noWrap/>
            <w:vAlign w:val="center"/>
            <w:hideMark/>
          </w:tcPr>
          <w:p w14:paraId="085ADDAA" w14:textId="1BFBAB5F" w:rsidR="00FB2754" w:rsidRPr="00242F5C" w:rsidRDefault="00184B5D" w:rsidP="004D20E7">
            <w:pPr>
              <w:spacing w:line="480" w:lineRule="auto"/>
              <w:rPr>
                <w:color w:val="000000"/>
                <w:sz w:val="20"/>
                <w:szCs w:val="20"/>
              </w:rPr>
            </w:pPr>
            <w:r w:rsidRPr="00242F5C">
              <w:rPr>
                <w:b/>
                <w:bCs/>
                <w:color w:val="000000"/>
                <w:sz w:val="20"/>
                <w:szCs w:val="20"/>
              </w:rPr>
              <w:t xml:space="preserve">Best Response with fPBC </w:t>
            </w:r>
          </w:p>
        </w:tc>
        <w:tc>
          <w:tcPr>
            <w:tcW w:w="1800" w:type="dxa"/>
            <w:vAlign w:val="center"/>
          </w:tcPr>
          <w:p w14:paraId="7DD34540" w14:textId="51198D33" w:rsidR="00FB2754" w:rsidRPr="00242F5C" w:rsidRDefault="00FB2754" w:rsidP="004D20E7">
            <w:pPr>
              <w:spacing w:line="480" w:lineRule="auto"/>
              <w:jc w:val="center"/>
              <w:rPr>
                <w:color w:val="000000"/>
                <w:sz w:val="20"/>
                <w:szCs w:val="20"/>
              </w:rPr>
            </w:pPr>
          </w:p>
        </w:tc>
        <w:tc>
          <w:tcPr>
            <w:tcW w:w="1710" w:type="dxa"/>
            <w:vAlign w:val="center"/>
          </w:tcPr>
          <w:p w14:paraId="36C4F415" w14:textId="1525401E" w:rsidR="00FB2754" w:rsidRPr="00242F5C" w:rsidRDefault="00FB2754" w:rsidP="004D20E7">
            <w:pPr>
              <w:spacing w:line="480" w:lineRule="auto"/>
              <w:jc w:val="center"/>
              <w:rPr>
                <w:color w:val="000000"/>
                <w:sz w:val="20"/>
                <w:szCs w:val="20"/>
              </w:rPr>
            </w:pPr>
          </w:p>
        </w:tc>
        <w:tc>
          <w:tcPr>
            <w:tcW w:w="810" w:type="dxa"/>
            <w:vAlign w:val="center"/>
          </w:tcPr>
          <w:p w14:paraId="077DDE2E" w14:textId="0F4A8C67" w:rsidR="00FB2754" w:rsidRPr="00242F5C" w:rsidRDefault="00184B5D" w:rsidP="004D20E7">
            <w:pPr>
              <w:spacing w:line="480" w:lineRule="auto"/>
              <w:jc w:val="center"/>
              <w:rPr>
                <w:color w:val="000000"/>
                <w:sz w:val="20"/>
                <w:szCs w:val="20"/>
              </w:rPr>
            </w:pPr>
            <w:r w:rsidRPr="00242F5C">
              <w:rPr>
                <w:color w:val="000000"/>
                <w:sz w:val="20"/>
                <w:szCs w:val="20"/>
              </w:rPr>
              <w:t>0.002</w:t>
            </w:r>
          </w:p>
        </w:tc>
        <w:tc>
          <w:tcPr>
            <w:tcW w:w="1170" w:type="dxa"/>
            <w:shd w:val="clear" w:color="auto" w:fill="auto"/>
            <w:noWrap/>
            <w:vAlign w:val="center"/>
          </w:tcPr>
          <w:p w14:paraId="20F67689" w14:textId="24ACD2F1" w:rsidR="00FB2754" w:rsidRPr="00242F5C" w:rsidRDefault="00FB2754" w:rsidP="004D20E7">
            <w:pPr>
              <w:spacing w:line="480" w:lineRule="auto"/>
              <w:jc w:val="center"/>
              <w:rPr>
                <w:color w:val="000000"/>
                <w:sz w:val="20"/>
                <w:szCs w:val="20"/>
              </w:rPr>
            </w:pPr>
          </w:p>
        </w:tc>
        <w:tc>
          <w:tcPr>
            <w:tcW w:w="1080" w:type="dxa"/>
            <w:vAlign w:val="center"/>
          </w:tcPr>
          <w:p w14:paraId="460A85B9" w14:textId="51116DC4" w:rsidR="00FB2754" w:rsidRPr="00242F5C" w:rsidRDefault="00FB2754" w:rsidP="004D20E7">
            <w:pPr>
              <w:spacing w:line="480" w:lineRule="auto"/>
              <w:jc w:val="center"/>
              <w:rPr>
                <w:sz w:val="20"/>
                <w:szCs w:val="20"/>
              </w:rPr>
            </w:pPr>
          </w:p>
        </w:tc>
        <w:tc>
          <w:tcPr>
            <w:tcW w:w="810" w:type="dxa"/>
            <w:vAlign w:val="center"/>
          </w:tcPr>
          <w:p w14:paraId="43A3769A" w14:textId="43C28DAB" w:rsidR="00FB2754" w:rsidRPr="00242F5C" w:rsidRDefault="00184B5D" w:rsidP="004D20E7">
            <w:pPr>
              <w:spacing w:line="480" w:lineRule="auto"/>
              <w:jc w:val="center"/>
              <w:rPr>
                <w:sz w:val="20"/>
                <w:szCs w:val="20"/>
              </w:rPr>
            </w:pPr>
            <w:r w:rsidRPr="00242F5C">
              <w:rPr>
                <w:sz w:val="20"/>
                <w:szCs w:val="20"/>
              </w:rPr>
              <w:t>0.002</w:t>
            </w:r>
          </w:p>
        </w:tc>
        <w:tc>
          <w:tcPr>
            <w:tcW w:w="1080" w:type="dxa"/>
            <w:shd w:val="clear" w:color="auto" w:fill="auto"/>
            <w:noWrap/>
            <w:vAlign w:val="center"/>
          </w:tcPr>
          <w:p w14:paraId="2A2E2CF4" w14:textId="5B31C3E5" w:rsidR="00FB2754" w:rsidRPr="00242F5C" w:rsidRDefault="00FB2754" w:rsidP="004D20E7">
            <w:pPr>
              <w:spacing w:line="480" w:lineRule="auto"/>
              <w:jc w:val="center"/>
              <w:rPr>
                <w:sz w:val="20"/>
                <w:szCs w:val="20"/>
              </w:rPr>
            </w:pPr>
          </w:p>
        </w:tc>
        <w:tc>
          <w:tcPr>
            <w:tcW w:w="1080" w:type="dxa"/>
            <w:vAlign w:val="center"/>
          </w:tcPr>
          <w:p w14:paraId="29A527D3" w14:textId="55D80482" w:rsidR="00FB2754" w:rsidRPr="00242F5C" w:rsidRDefault="00FB2754" w:rsidP="004D20E7">
            <w:pPr>
              <w:spacing w:line="480" w:lineRule="auto"/>
              <w:jc w:val="center"/>
              <w:rPr>
                <w:color w:val="000000"/>
                <w:sz w:val="20"/>
                <w:szCs w:val="20"/>
              </w:rPr>
            </w:pPr>
          </w:p>
        </w:tc>
        <w:tc>
          <w:tcPr>
            <w:tcW w:w="810" w:type="dxa"/>
            <w:shd w:val="clear" w:color="auto" w:fill="auto"/>
            <w:noWrap/>
            <w:vAlign w:val="center"/>
            <w:hideMark/>
          </w:tcPr>
          <w:p w14:paraId="487F558C" w14:textId="223F3893" w:rsidR="00FB2754" w:rsidRPr="00242F5C" w:rsidRDefault="00184B5D" w:rsidP="004D20E7">
            <w:pPr>
              <w:spacing w:line="480" w:lineRule="auto"/>
              <w:jc w:val="center"/>
              <w:rPr>
                <w:color w:val="000000"/>
                <w:sz w:val="20"/>
                <w:szCs w:val="20"/>
              </w:rPr>
            </w:pPr>
            <w:r w:rsidRPr="00242F5C">
              <w:rPr>
                <w:color w:val="000000"/>
                <w:sz w:val="20"/>
                <w:szCs w:val="20"/>
              </w:rPr>
              <w:t>0.185</w:t>
            </w:r>
          </w:p>
        </w:tc>
      </w:tr>
      <w:tr w:rsidR="00242F5C" w:rsidRPr="00242F5C" w14:paraId="1E2C7BB3" w14:textId="77777777" w:rsidTr="00216514">
        <w:trPr>
          <w:trHeight w:val="281"/>
        </w:trPr>
        <w:tc>
          <w:tcPr>
            <w:tcW w:w="2505" w:type="dxa"/>
            <w:shd w:val="clear" w:color="auto" w:fill="auto"/>
            <w:noWrap/>
            <w:vAlign w:val="center"/>
          </w:tcPr>
          <w:p w14:paraId="22260E28" w14:textId="36B8AA47" w:rsidR="00FB2754" w:rsidRPr="00242F5C" w:rsidRDefault="00A13645" w:rsidP="004D20E7">
            <w:pPr>
              <w:spacing w:line="480" w:lineRule="auto"/>
              <w:ind w:left="153"/>
              <w:rPr>
                <w:color w:val="000000"/>
                <w:sz w:val="20"/>
                <w:szCs w:val="20"/>
              </w:rPr>
            </w:pPr>
            <w:r w:rsidRPr="00242F5C">
              <w:rPr>
                <w:color w:val="000000"/>
                <w:sz w:val="20"/>
                <w:szCs w:val="20"/>
              </w:rPr>
              <w:t>D</w:t>
            </w:r>
            <w:r w:rsidR="00216514">
              <w:rPr>
                <w:color w:val="000000"/>
                <w:sz w:val="20"/>
                <w:szCs w:val="20"/>
              </w:rPr>
              <w:t>isease Control</w:t>
            </w:r>
          </w:p>
        </w:tc>
        <w:tc>
          <w:tcPr>
            <w:tcW w:w="1800" w:type="dxa"/>
            <w:vAlign w:val="center"/>
          </w:tcPr>
          <w:p w14:paraId="28F9C89C" w14:textId="7E2AE862" w:rsidR="00FB2754" w:rsidRPr="00242F5C" w:rsidRDefault="00184B5D" w:rsidP="004D20E7">
            <w:pPr>
              <w:spacing w:line="480" w:lineRule="auto"/>
              <w:jc w:val="center"/>
              <w:rPr>
                <w:color w:val="000000"/>
                <w:sz w:val="20"/>
                <w:szCs w:val="20"/>
              </w:rPr>
            </w:pPr>
            <w:r w:rsidRPr="00242F5C">
              <w:rPr>
                <w:color w:val="000000"/>
                <w:sz w:val="20"/>
                <w:szCs w:val="20"/>
              </w:rPr>
              <w:t>99 (78.6%)</w:t>
            </w:r>
          </w:p>
        </w:tc>
        <w:tc>
          <w:tcPr>
            <w:tcW w:w="1710" w:type="dxa"/>
            <w:vAlign w:val="center"/>
          </w:tcPr>
          <w:p w14:paraId="1191C55E" w14:textId="4F21EAEA" w:rsidR="00FB2754" w:rsidRPr="00242F5C" w:rsidRDefault="00184B5D" w:rsidP="004D20E7">
            <w:pPr>
              <w:spacing w:line="480" w:lineRule="auto"/>
              <w:jc w:val="center"/>
              <w:rPr>
                <w:color w:val="000000"/>
                <w:sz w:val="20"/>
                <w:szCs w:val="20"/>
              </w:rPr>
            </w:pPr>
            <w:r w:rsidRPr="00242F5C">
              <w:rPr>
                <w:color w:val="000000"/>
                <w:sz w:val="20"/>
                <w:szCs w:val="20"/>
              </w:rPr>
              <w:t>75 (60.5%)</w:t>
            </w:r>
          </w:p>
        </w:tc>
        <w:tc>
          <w:tcPr>
            <w:tcW w:w="810" w:type="dxa"/>
            <w:vAlign w:val="center"/>
          </w:tcPr>
          <w:p w14:paraId="204D5F92"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53583543" w14:textId="633E01D3" w:rsidR="00FB2754" w:rsidRPr="00242F5C" w:rsidRDefault="00184B5D" w:rsidP="004D20E7">
            <w:pPr>
              <w:spacing w:line="480" w:lineRule="auto"/>
              <w:jc w:val="center"/>
              <w:rPr>
                <w:color w:val="000000"/>
                <w:sz w:val="20"/>
                <w:szCs w:val="20"/>
              </w:rPr>
            </w:pPr>
            <w:r w:rsidRPr="00242F5C">
              <w:rPr>
                <w:color w:val="000000"/>
                <w:sz w:val="20"/>
                <w:szCs w:val="20"/>
              </w:rPr>
              <w:t>55 (87.3%)</w:t>
            </w:r>
          </w:p>
        </w:tc>
        <w:tc>
          <w:tcPr>
            <w:tcW w:w="1080" w:type="dxa"/>
            <w:vAlign w:val="center"/>
          </w:tcPr>
          <w:p w14:paraId="7A002148" w14:textId="5CD8EE4B" w:rsidR="00FB2754" w:rsidRPr="00242F5C" w:rsidRDefault="00184B5D" w:rsidP="004D20E7">
            <w:pPr>
              <w:spacing w:line="480" w:lineRule="auto"/>
              <w:jc w:val="center"/>
              <w:rPr>
                <w:sz w:val="20"/>
                <w:szCs w:val="20"/>
              </w:rPr>
            </w:pPr>
            <w:r w:rsidRPr="00242F5C">
              <w:rPr>
                <w:sz w:val="20"/>
                <w:szCs w:val="20"/>
              </w:rPr>
              <w:t>32 (62.7%)</w:t>
            </w:r>
          </w:p>
        </w:tc>
        <w:tc>
          <w:tcPr>
            <w:tcW w:w="810" w:type="dxa"/>
            <w:vAlign w:val="center"/>
          </w:tcPr>
          <w:p w14:paraId="7209AE1B" w14:textId="12B1A2E3" w:rsidR="00FB2754" w:rsidRPr="00242F5C" w:rsidRDefault="00FB2754" w:rsidP="004D20E7">
            <w:pPr>
              <w:spacing w:line="480" w:lineRule="auto"/>
              <w:jc w:val="center"/>
              <w:rPr>
                <w:sz w:val="20"/>
                <w:szCs w:val="20"/>
              </w:rPr>
            </w:pPr>
          </w:p>
        </w:tc>
        <w:tc>
          <w:tcPr>
            <w:tcW w:w="1080" w:type="dxa"/>
            <w:shd w:val="clear" w:color="auto" w:fill="auto"/>
            <w:noWrap/>
            <w:vAlign w:val="center"/>
          </w:tcPr>
          <w:p w14:paraId="786931D3" w14:textId="25BF1C9D" w:rsidR="00FB2754" w:rsidRPr="00242F5C" w:rsidRDefault="00184B5D" w:rsidP="004D20E7">
            <w:pPr>
              <w:spacing w:line="480" w:lineRule="auto"/>
              <w:jc w:val="center"/>
              <w:rPr>
                <w:sz w:val="20"/>
                <w:szCs w:val="20"/>
              </w:rPr>
            </w:pPr>
            <w:r w:rsidRPr="00242F5C">
              <w:rPr>
                <w:sz w:val="20"/>
                <w:szCs w:val="20"/>
              </w:rPr>
              <w:t>44 (69.8%)</w:t>
            </w:r>
          </w:p>
        </w:tc>
        <w:tc>
          <w:tcPr>
            <w:tcW w:w="1080" w:type="dxa"/>
            <w:vAlign w:val="center"/>
          </w:tcPr>
          <w:p w14:paraId="76A95AC5" w14:textId="2FB98A2E" w:rsidR="00FB2754" w:rsidRPr="00242F5C" w:rsidRDefault="00184B5D" w:rsidP="004D20E7">
            <w:pPr>
              <w:spacing w:line="480" w:lineRule="auto"/>
              <w:jc w:val="center"/>
              <w:rPr>
                <w:color w:val="000000"/>
                <w:sz w:val="20"/>
                <w:szCs w:val="20"/>
              </w:rPr>
            </w:pPr>
            <w:r w:rsidRPr="00242F5C">
              <w:rPr>
                <w:color w:val="000000"/>
                <w:sz w:val="20"/>
                <w:szCs w:val="20"/>
              </w:rPr>
              <w:t>43 (58.9%)</w:t>
            </w:r>
          </w:p>
        </w:tc>
        <w:tc>
          <w:tcPr>
            <w:tcW w:w="810" w:type="dxa"/>
            <w:shd w:val="clear" w:color="auto" w:fill="auto"/>
            <w:noWrap/>
            <w:vAlign w:val="center"/>
          </w:tcPr>
          <w:p w14:paraId="5A0C1FCA" w14:textId="77777777" w:rsidR="00FB2754" w:rsidRPr="00242F5C" w:rsidRDefault="00FB2754" w:rsidP="004D20E7">
            <w:pPr>
              <w:spacing w:line="480" w:lineRule="auto"/>
              <w:jc w:val="center"/>
              <w:rPr>
                <w:color w:val="000000"/>
                <w:sz w:val="20"/>
                <w:szCs w:val="20"/>
              </w:rPr>
            </w:pPr>
          </w:p>
        </w:tc>
      </w:tr>
      <w:tr w:rsidR="00242F5C" w:rsidRPr="00242F5C" w14:paraId="20D212B4" w14:textId="77777777" w:rsidTr="00216514">
        <w:trPr>
          <w:trHeight w:val="281"/>
        </w:trPr>
        <w:tc>
          <w:tcPr>
            <w:tcW w:w="2505" w:type="dxa"/>
            <w:shd w:val="clear" w:color="auto" w:fill="auto"/>
            <w:noWrap/>
            <w:vAlign w:val="center"/>
          </w:tcPr>
          <w:p w14:paraId="27391A81" w14:textId="065492CC" w:rsidR="00FB2754" w:rsidRPr="00242F5C" w:rsidRDefault="00184B5D" w:rsidP="004D20E7">
            <w:pPr>
              <w:spacing w:line="480" w:lineRule="auto"/>
              <w:ind w:left="153"/>
              <w:rPr>
                <w:color w:val="000000"/>
                <w:sz w:val="20"/>
                <w:szCs w:val="20"/>
              </w:rPr>
            </w:pPr>
            <w:r w:rsidRPr="00242F5C">
              <w:rPr>
                <w:color w:val="000000"/>
                <w:sz w:val="20"/>
                <w:szCs w:val="20"/>
              </w:rPr>
              <w:t>P</w:t>
            </w:r>
            <w:r w:rsidR="00216514">
              <w:rPr>
                <w:color w:val="000000"/>
                <w:sz w:val="20"/>
                <w:szCs w:val="20"/>
              </w:rPr>
              <w:t>rogressive Disease</w:t>
            </w:r>
          </w:p>
        </w:tc>
        <w:tc>
          <w:tcPr>
            <w:tcW w:w="1800" w:type="dxa"/>
            <w:vAlign w:val="center"/>
          </w:tcPr>
          <w:p w14:paraId="54BA8188" w14:textId="0BA21856" w:rsidR="00FB2754" w:rsidRPr="00242F5C" w:rsidRDefault="00184B5D" w:rsidP="004D20E7">
            <w:pPr>
              <w:spacing w:line="480" w:lineRule="auto"/>
              <w:jc w:val="center"/>
              <w:rPr>
                <w:color w:val="000000"/>
                <w:sz w:val="20"/>
                <w:szCs w:val="20"/>
              </w:rPr>
            </w:pPr>
            <w:r w:rsidRPr="00242F5C">
              <w:rPr>
                <w:color w:val="000000"/>
                <w:sz w:val="20"/>
                <w:szCs w:val="20"/>
              </w:rPr>
              <w:t>27 (21.4%)</w:t>
            </w:r>
          </w:p>
        </w:tc>
        <w:tc>
          <w:tcPr>
            <w:tcW w:w="1710" w:type="dxa"/>
            <w:vAlign w:val="center"/>
          </w:tcPr>
          <w:p w14:paraId="120820DD" w14:textId="0DE405FD" w:rsidR="00FB2754" w:rsidRPr="00242F5C" w:rsidRDefault="00184B5D" w:rsidP="004D20E7">
            <w:pPr>
              <w:spacing w:line="480" w:lineRule="auto"/>
              <w:jc w:val="center"/>
              <w:rPr>
                <w:color w:val="000000"/>
                <w:sz w:val="20"/>
                <w:szCs w:val="20"/>
              </w:rPr>
            </w:pPr>
            <w:r w:rsidRPr="00242F5C">
              <w:rPr>
                <w:color w:val="000000"/>
                <w:sz w:val="20"/>
                <w:szCs w:val="20"/>
              </w:rPr>
              <w:t>49 (39.5%)</w:t>
            </w:r>
          </w:p>
        </w:tc>
        <w:tc>
          <w:tcPr>
            <w:tcW w:w="810" w:type="dxa"/>
            <w:vAlign w:val="center"/>
          </w:tcPr>
          <w:p w14:paraId="5CE18BAF" w14:textId="77777777" w:rsidR="00FB2754" w:rsidRPr="00242F5C" w:rsidRDefault="00FB2754" w:rsidP="004D20E7">
            <w:pPr>
              <w:spacing w:line="480" w:lineRule="auto"/>
              <w:jc w:val="center"/>
              <w:rPr>
                <w:color w:val="000000"/>
                <w:sz w:val="20"/>
                <w:szCs w:val="20"/>
              </w:rPr>
            </w:pPr>
          </w:p>
        </w:tc>
        <w:tc>
          <w:tcPr>
            <w:tcW w:w="1170" w:type="dxa"/>
            <w:shd w:val="clear" w:color="auto" w:fill="auto"/>
            <w:noWrap/>
            <w:vAlign w:val="center"/>
          </w:tcPr>
          <w:p w14:paraId="53B8AAC4" w14:textId="1295E2B6" w:rsidR="00FB2754" w:rsidRPr="00242F5C" w:rsidRDefault="00184B5D" w:rsidP="004D20E7">
            <w:pPr>
              <w:spacing w:line="480" w:lineRule="auto"/>
              <w:jc w:val="center"/>
              <w:rPr>
                <w:color w:val="000000"/>
                <w:sz w:val="20"/>
                <w:szCs w:val="20"/>
              </w:rPr>
            </w:pPr>
            <w:r w:rsidRPr="00242F5C">
              <w:rPr>
                <w:color w:val="000000"/>
                <w:sz w:val="20"/>
                <w:szCs w:val="20"/>
              </w:rPr>
              <w:t>8 (12.7%)</w:t>
            </w:r>
          </w:p>
        </w:tc>
        <w:tc>
          <w:tcPr>
            <w:tcW w:w="1080" w:type="dxa"/>
            <w:vAlign w:val="center"/>
          </w:tcPr>
          <w:p w14:paraId="6E7BF425" w14:textId="04A6E833" w:rsidR="00FB2754" w:rsidRPr="00242F5C" w:rsidRDefault="00184B5D" w:rsidP="004D20E7">
            <w:pPr>
              <w:spacing w:line="480" w:lineRule="auto"/>
              <w:jc w:val="center"/>
              <w:rPr>
                <w:sz w:val="20"/>
                <w:szCs w:val="20"/>
              </w:rPr>
            </w:pPr>
            <w:r w:rsidRPr="00242F5C">
              <w:rPr>
                <w:sz w:val="20"/>
                <w:szCs w:val="20"/>
              </w:rPr>
              <w:t>19 (37.3%)</w:t>
            </w:r>
          </w:p>
        </w:tc>
        <w:tc>
          <w:tcPr>
            <w:tcW w:w="810" w:type="dxa"/>
            <w:vAlign w:val="center"/>
          </w:tcPr>
          <w:p w14:paraId="24523291" w14:textId="77777777" w:rsidR="00FB2754" w:rsidRPr="00242F5C" w:rsidRDefault="00FB2754" w:rsidP="004D20E7">
            <w:pPr>
              <w:spacing w:line="480" w:lineRule="auto"/>
              <w:jc w:val="center"/>
              <w:rPr>
                <w:sz w:val="20"/>
                <w:szCs w:val="20"/>
              </w:rPr>
            </w:pPr>
          </w:p>
        </w:tc>
        <w:tc>
          <w:tcPr>
            <w:tcW w:w="1080" w:type="dxa"/>
            <w:shd w:val="clear" w:color="auto" w:fill="auto"/>
            <w:noWrap/>
            <w:vAlign w:val="center"/>
          </w:tcPr>
          <w:p w14:paraId="006AB9B9" w14:textId="3560A886" w:rsidR="00FB2754" w:rsidRPr="00242F5C" w:rsidRDefault="00184B5D" w:rsidP="004D20E7">
            <w:pPr>
              <w:spacing w:line="480" w:lineRule="auto"/>
              <w:jc w:val="center"/>
              <w:rPr>
                <w:sz w:val="20"/>
                <w:szCs w:val="20"/>
              </w:rPr>
            </w:pPr>
            <w:r w:rsidRPr="00242F5C">
              <w:rPr>
                <w:sz w:val="20"/>
                <w:szCs w:val="20"/>
              </w:rPr>
              <w:t>19 (30.2%)</w:t>
            </w:r>
          </w:p>
        </w:tc>
        <w:tc>
          <w:tcPr>
            <w:tcW w:w="1080" w:type="dxa"/>
            <w:vAlign w:val="center"/>
          </w:tcPr>
          <w:p w14:paraId="1963A7E8" w14:textId="223AA4B7" w:rsidR="00FB2754" w:rsidRPr="00242F5C" w:rsidRDefault="00184B5D" w:rsidP="004D20E7">
            <w:pPr>
              <w:spacing w:line="480" w:lineRule="auto"/>
              <w:jc w:val="center"/>
              <w:rPr>
                <w:color w:val="000000"/>
                <w:sz w:val="20"/>
                <w:szCs w:val="20"/>
              </w:rPr>
            </w:pPr>
            <w:r w:rsidRPr="00242F5C">
              <w:rPr>
                <w:color w:val="000000"/>
                <w:sz w:val="20"/>
                <w:szCs w:val="20"/>
              </w:rPr>
              <w:t>30 (41.1%)</w:t>
            </w:r>
          </w:p>
        </w:tc>
        <w:tc>
          <w:tcPr>
            <w:tcW w:w="810" w:type="dxa"/>
            <w:shd w:val="clear" w:color="auto" w:fill="auto"/>
            <w:noWrap/>
            <w:vAlign w:val="center"/>
          </w:tcPr>
          <w:p w14:paraId="1F2D1D84" w14:textId="77777777" w:rsidR="00FB2754" w:rsidRPr="00242F5C" w:rsidRDefault="00FB2754" w:rsidP="004D20E7">
            <w:pPr>
              <w:spacing w:line="480" w:lineRule="auto"/>
              <w:jc w:val="center"/>
              <w:rPr>
                <w:color w:val="000000"/>
                <w:sz w:val="20"/>
                <w:szCs w:val="20"/>
              </w:rPr>
            </w:pPr>
          </w:p>
        </w:tc>
      </w:tr>
      <w:tr w:rsidR="00242F5C" w:rsidRPr="00242F5C" w14:paraId="05DB11F6" w14:textId="77777777" w:rsidTr="00216514">
        <w:trPr>
          <w:trHeight w:val="281"/>
        </w:trPr>
        <w:tc>
          <w:tcPr>
            <w:tcW w:w="2505" w:type="dxa"/>
            <w:shd w:val="clear" w:color="auto" w:fill="auto"/>
            <w:noWrap/>
            <w:vAlign w:val="center"/>
            <w:hideMark/>
          </w:tcPr>
          <w:p w14:paraId="3BCA9BBC" w14:textId="2AA80AF7" w:rsidR="00FB2754" w:rsidRPr="00242F5C" w:rsidRDefault="00184B5D" w:rsidP="004D20E7">
            <w:pPr>
              <w:spacing w:line="480" w:lineRule="auto"/>
              <w:rPr>
                <w:color w:val="000000"/>
                <w:sz w:val="20"/>
                <w:szCs w:val="20"/>
              </w:rPr>
            </w:pPr>
            <w:r w:rsidRPr="00242F5C">
              <w:rPr>
                <w:b/>
                <w:bCs/>
                <w:sz w:val="20"/>
                <w:szCs w:val="20"/>
              </w:rPr>
              <w:t>Months Elapsed since fPBC</w:t>
            </w:r>
            <w:r w:rsidRPr="00242F5C">
              <w:rPr>
                <w:b/>
                <w:bCs/>
                <w:color w:val="000000"/>
                <w:sz w:val="20"/>
                <w:szCs w:val="20"/>
              </w:rPr>
              <w:t>; Median (IQR)</w:t>
            </w:r>
          </w:p>
        </w:tc>
        <w:tc>
          <w:tcPr>
            <w:tcW w:w="1800" w:type="dxa"/>
            <w:vAlign w:val="center"/>
          </w:tcPr>
          <w:p w14:paraId="396FC30D" w14:textId="3EE82A5E" w:rsidR="00FB2754" w:rsidRPr="00242F5C" w:rsidRDefault="00184B5D" w:rsidP="004D20E7">
            <w:pPr>
              <w:spacing w:line="480" w:lineRule="auto"/>
              <w:jc w:val="center"/>
              <w:rPr>
                <w:color w:val="000000"/>
                <w:sz w:val="20"/>
                <w:szCs w:val="20"/>
              </w:rPr>
            </w:pPr>
            <w:r w:rsidRPr="00242F5C">
              <w:rPr>
                <w:color w:val="000000"/>
                <w:sz w:val="20"/>
                <w:szCs w:val="20"/>
              </w:rPr>
              <w:t>3.9 (1.0-8.9)</w:t>
            </w:r>
          </w:p>
        </w:tc>
        <w:tc>
          <w:tcPr>
            <w:tcW w:w="1710" w:type="dxa"/>
            <w:vAlign w:val="center"/>
          </w:tcPr>
          <w:p w14:paraId="1208A577" w14:textId="393CAFB6" w:rsidR="00FB2754" w:rsidRPr="00242F5C" w:rsidRDefault="00184B5D" w:rsidP="004D20E7">
            <w:pPr>
              <w:spacing w:line="480" w:lineRule="auto"/>
              <w:jc w:val="center"/>
              <w:rPr>
                <w:color w:val="000000"/>
                <w:sz w:val="20"/>
                <w:szCs w:val="20"/>
              </w:rPr>
            </w:pPr>
            <w:r w:rsidRPr="00242F5C">
              <w:rPr>
                <w:color w:val="000000"/>
                <w:sz w:val="20"/>
                <w:szCs w:val="20"/>
              </w:rPr>
              <w:t>2.8 (1.1-5.5)</w:t>
            </w:r>
          </w:p>
        </w:tc>
        <w:tc>
          <w:tcPr>
            <w:tcW w:w="810" w:type="dxa"/>
            <w:vAlign w:val="center"/>
          </w:tcPr>
          <w:p w14:paraId="7CBF8D0E" w14:textId="248B303D" w:rsidR="00FB2754" w:rsidRPr="00242F5C" w:rsidRDefault="00184B5D" w:rsidP="004D20E7">
            <w:pPr>
              <w:spacing w:line="480" w:lineRule="auto"/>
              <w:jc w:val="center"/>
              <w:rPr>
                <w:color w:val="000000"/>
                <w:sz w:val="20"/>
                <w:szCs w:val="20"/>
              </w:rPr>
            </w:pPr>
            <w:r w:rsidRPr="00242F5C">
              <w:rPr>
                <w:color w:val="000000"/>
                <w:sz w:val="20"/>
                <w:szCs w:val="20"/>
              </w:rPr>
              <w:t>0.051</w:t>
            </w:r>
            <w:r w:rsidRPr="00242F5C">
              <w:rPr>
                <w:color w:val="000000"/>
                <w:sz w:val="20"/>
                <w:szCs w:val="20"/>
                <w:vertAlign w:val="superscript"/>
              </w:rPr>
              <w:t>b</w:t>
            </w:r>
          </w:p>
        </w:tc>
        <w:tc>
          <w:tcPr>
            <w:tcW w:w="1170" w:type="dxa"/>
            <w:shd w:val="clear" w:color="auto" w:fill="auto"/>
            <w:noWrap/>
            <w:vAlign w:val="center"/>
            <w:hideMark/>
          </w:tcPr>
          <w:p w14:paraId="66C54088" w14:textId="490322D1" w:rsidR="00FB2754" w:rsidRPr="00242F5C" w:rsidRDefault="00184B5D" w:rsidP="004D20E7">
            <w:pPr>
              <w:spacing w:line="480" w:lineRule="auto"/>
              <w:jc w:val="center"/>
              <w:rPr>
                <w:color w:val="000000"/>
                <w:sz w:val="20"/>
                <w:szCs w:val="20"/>
              </w:rPr>
            </w:pPr>
            <w:r w:rsidRPr="00242F5C">
              <w:rPr>
                <w:color w:val="000000"/>
                <w:sz w:val="20"/>
                <w:szCs w:val="20"/>
              </w:rPr>
              <w:t>6.0 (1.5-10.1)</w:t>
            </w:r>
          </w:p>
        </w:tc>
        <w:tc>
          <w:tcPr>
            <w:tcW w:w="1080" w:type="dxa"/>
            <w:vAlign w:val="center"/>
          </w:tcPr>
          <w:p w14:paraId="34E11D8F" w14:textId="47B277EA" w:rsidR="00FB2754" w:rsidRPr="00242F5C" w:rsidRDefault="00184B5D" w:rsidP="004D20E7">
            <w:pPr>
              <w:spacing w:line="480" w:lineRule="auto"/>
              <w:jc w:val="center"/>
              <w:rPr>
                <w:sz w:val="20"/>
                <w:szCs w:val="20"/>
              </w:rPr>
            </w:pPr>
            <w:r w:rsidRPr="00242F5C">
              <w:rPr>
                <w:sz w:val="20"/>
                <w:szCs w:val="20"/>
              </w:rPr>
              <w:t>2.9 (1.1-5.4)</w:t>
            </w:r>
          </w:p>
        </w:tc>
        <w:tc>
          <w:tcPr>
            <w:tcW w:w="810" w:type="dxa"/>
            <w:vAlign w:val="center"/>
          </w:tcPr>
          <w:p w14:paraId="73487DEC" w14:textId="759CD407" w:rsidR="00FB2754" w:rsidRPr="00242F5C" w:rsidRDefault="00184B5D" w:rsidP="004D20E7">
            <w:pPr>
              <w:spacing w:line="480" w:lineRule="auto"/>
              <w:jc w:val="center"/>
              <w:rPr>
                <w:sz w:val="20"/>
                <w:szCs w:val="20"/>
              </w:rPr>
            </w:pPr>
            <w:r w:rsidRPr="00242F5C">
              <w:rPr>
                <w:sz w:val="20"/>
                <w:szCs w:val="20"/>
              </w:rPr>
              <w:t>0.008</w:t>
            </w:r>
            <w:r w:rsidRPr="00242F5C">
              <w:rPr>
                <w:color w:val="000000"/>
                <w:sz w:val="20"/>
                <w:szCs w:val="20"/>
                <w:vertAlign w:val="superscript"/>
              </w:rPr>
              <w:t>b</w:t>
            </w:r>
          </w:p>
        </w:tc>
        <w:tc>
          <w:tcPr>
            <w:tcW w:w="1080" w:type="dxa"/>
            <w:shd w:val="clear" w:color="auto" w:fill="auto"/>
            <w:noWrap/>
            <w:vAlign w:val="center"/>
            <w:hideMark/>
          </w:tcPr>
          <w:p w14:paraId="38498BF4" w14:textId="6A117FCA" w:rsidR="00FB2754" w:rsidRPr="00242F5C" w:rsidRDefault="00184B5D" w:rsidP="004D20E7">
            <w:pPr>
              <w:spacing w:line="480" w:lineRule="auto"/>
              <w:jc w:val="center"/>
              <w:rPr>
                <w:sz w:val="20"/>
                <w:szCs w:val="20"/>
              </w:rPr>
            </w:pPr>
            <w:r w:rsidRPr="00242F5C">
              <w:rPr>
                <w:sz w:val="20"/>
                <w:szCs w:val="20"/>
              </w:rPr>
              <w:t>2.2 (0.9-6.6)</w:t>
            </w:r>
          </w:p>
        </w:tc>
        <w:tc>
          <w:tcPr>
            <w:tcW w:w="1080" w:type="dxa"/>
            <w:vAlign w:val="center"/>
          </w:tcPr>
          <w:p w14:paraId="7F62551D" w14:textId="26C2AD83" w:rsidR="00FB2754" w:rsidRPr="00242F5C" w:rsidRDefault="00184B5D" w:rsidP="004D20E7">
            <w:pPr>
              <w:spacing w:line="480" w:lineRule="auto"/>
              <w:jc w:val="center"/>
              <w:rPr>
                <w:color w:val="000000"/>
                <w:sz w:val="20"/>
                <w:szCs w:val="20"/>
              </w:rPr>
            </w:pPr>
            <w:r w:rsidRPr="00242F5C">
              <w:rPr>
                <w:color w:val="000000"/>
                <w:sz w:val="20"/>
                <w:szCs w:val="20"/>
              </w:rPr>
              <w:t>2.6 (1.0-5.6)</w:t>
            </w:r>
          </w:p>
        </w:tc>
        <w:tc>
          <w:tcPr>
            <w:tcW w:w="810" w:type="dxa"/>
            <w:shd w:val="clear" w:color="auto" w:fill="auto"/>
            <w:noWrap/>
            <w:vAlign w:val="center"/>
            <w:hideMark/>
          </w:tcPr>
          <w:p w14:paraId="788AF4B7" w14:textId="50BDEC33" w:rsidR="00FB2754" w:rsidRPr="00242F5C" w:rsidRDefault="00184B5D" w:rsidP="004D20E7">
            <w:pPr>
              <w:spacing w:line="480" w:lineRule="auto"/>
              <w:jc w:val="center"/>
              <w:rPr>
                <w:color w:val="000000"/>
                <w:sz w:val="20"/>
                <w:szCs w:val="20"/>
              </w:rPr>
            </w:pPr>
            <w:r w:rsidRPr="00242F5C">
              <w:rPr>
                <w:color w:val="000000"/>
                <w:sz w:val="20"/>
                <w:szCs w:val="20"/>
              </w:rPr>
              <w:t>0.769</w:t>
            </w:r>
            <w:r w:rsidRPr="00242F5C">
              <w:rPr>
                <w:color w:val="000000"/>
                <w:sz w:val="20"/>
                <w:szCs w:val="20"/>
                <w:vertAlign w:val="superscript"/>
              </w:rPr>
              <w:t>b</w:t>
            </w:r>
          </w:p>
        </w:tc>
      </w:tr>
    </w:tbl>
    <w:p w14:paraId="445E1ABF" w14:textId="75904CCF" w:rsidR="00FB2754" w:rsidRPr="00242F5C" w:rsidRDefault="00184B5D" w:rsidP="004D20E7">
      <w:pPr>
        <w:adjustRightInd w:val="0"/>
        <w:spacing w:before="160" w:line="480" w:lineRule="auto"/>
        <w:rPr>
          <w:sz w:val="20"/>
          <w:szCs w:val="20"/>
        </w:rPr>
      </w:pPr>
      <w:r w:rsidRPr="00242F5C">
        <w:rPr>
          <w:sz w:val="20"/>
          <w:szCs w:val="20"/>
        </w:rPr>
        <w:t>Abbreviations: sPBC, subsequent platinum-based chemotherapy; sNPBC, subsequent non-platinum-based chemotherapy; ECOG PS, Eastern Cooperative Oncology Group Performance Status; CCI, Charlson Comorbidity Index; fPBC, first-line platinum-based chemotherapy; IQR, interquartile range.</w:t>
      </w:r>
    </w:p>
    <w:p w14:paraId="08CEB99B" w14:textId="4C633CAF" w:rsidR="00FB2754" w:rsidRPr="00242F5C" w:rsidRDefault="00184B5D" w:rsidP="004D20E7">
      <w:pPr>
        <w:adjustRightInd w:val="0"/>
        <w:spacing w:before="160" w:line="480" w:lineRule="auto"/>
        <w:rPr>
          <w:color w:val="000000"/>
          <w:sz w:val="20"/>
          <w:szCs w:val="20"/>
        </w:rPr>
      </w:pPr>
      <w:r w:rsidRPr="00242F5C">
        <w:rPr>
          <w:color w:val="000000"/>
          <w:sz w:val="20"/>
          <w:szCs w:val="20"/>
          <w:vertAlign w:val="superscript"/>
        </w:rPr>
        <w:t>a</w:t>
      </w:r>
      <w:r w:rsidRPr="00242F5C">
        <w:rPr>
          <w:color w:val="000000"/>
          <w:sz w:val="20"/>
          <w:szCs w:val="20"/>
        </w:rPr>
        <w:t>Total number of patients for some variables may be less than “n” due to missing values. Due to rounding, some columns may not add up to 100.0%.</w:t>
      </w:r>
      <w:r w:rsidRPr="00242F5C">
        <w:rPr>
          <w:color w:val="000000"/>
          <w:sz w:val="20"/>
          <w:szCs w:val="20"/>
        </w:rPr>
        <w:br/>
      </w:r>
      <w:r w:rsidRPr="00242F5C">
        <w:rPr>
          <w:color w:val="000000"/>
          <w:sz w:val="20"/>
          <w:szCs w:val="20"/>
          <w:vertAlign w:val="superscript"/>
        </w:rPr>
        <w:t>b</w:t>
      </w:r>
      <w:r w:rsidRPr="00242F5C">
        <w:rPr>
          <w:color w:val="000000"/>
          <w:sz w:val="20"/>
          <w:szCs w:val="20"/>
        </w:rPr>
        <w:t>Mann-Whitney U test used to compare nonparametric data.</w:t>
      </w:r>
    </w:p>
    <w:p w14:paraId="13FD5E53" w14:textId="77777777" w:rsidR="00FB2754" w:rsidRPr="00242F5C" w:rsidRDefault="00FB2754" w:rsidP="004D20E7">
      <w:pPr>
        <w:spacing w:line="480" w:lineRule="auto"/>
        <w:rPr>
          <w:color w:val="000000"/>
          <w:sz w:val="20"/>
          <w:szCs w:val="20"/>
        </w:rPr>
        <w:sectPr w:rsidR="00FB2754" w:rsidRPr="00242F5C" w:rsidSect="00FB2754">
          <w:pgSz w:w="15840" w:h="12240" w:orient="landscape"/>
          <w:pgMar w:top="1440" w:right="1440" w:bottom="1440" w:left="1440" w:header="720" w:footer="720" w:gutter="0"/>
          <w:cols w:space="720"/>
          <w:docGrid w:linePitch="360"/>
        </w:sectPr>
      </w:pPr>
    </w:p>
    <w:p w14:paraId="7B10ED3B" w14:textId="5D897017" w:rsidR="00FB2754" w:rsidRPr="00242F5C" w:rsidRDefault="00184B5D" w:rsidP="004D20E7">
      <w:pPr>
        <w:adjustRightInd w:val="0"/>
        <w:spacing w:before="160" w:line="480" w:lineRule="auto"/>
      </w:pPr>
      <w:r w:rsidRPr="00242F5C">
        <w:rPr>
          <w:b/>
          <w:bCs/>
        </w:rPr>
        <w:lastRenderedPageBreak/>
        <w:t>Table 4 – Factors Associated with Progression-Free Survival, Subgroup Analysis by Type of Subsequent Chemotherapy</w:t>
      </w:r>
    </w:p>
    <w:tbl>
      <w:tblPr>
        <w:tblW w:w="51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7"/>
        <w:gridCol w:w="1508"/>
        <w:gridCol w:w="1434"/>
        <w:gridCol w:w="672"/>
        <w:gridCol w:w="1531"/>
        <w:gridCol w:w="1451"/>
        <w:gridCol w:w="672"/>
      </w:tblGrid>
      <w:tr w:rsidR="00FB2754" w:rsidRPr="00242F5C" w14:paraId="2A7BB31D" w14:textId="77777777" w:rsidTr="00FB2754">
        <w:trPr>
          <w:trHeight w:val="285"/>
        </w:trPr>
        <w:tc>
          <w:tcPr>
            <w:tcW w:w="1259" w:type="pct"/>
            <w:vMerge w:val="restart"/>
            <w:shd w:val="clear" w:color="auto" w:fill="auto"/>
            <w:noWrap/>
            <w:vAlign w:val="center"/>
          </w:tcPr>
          <w:p w14:paraId="4E6C84BD" w14:textId="77777777" w:rsidR="00FB2754" w:rsidRPr="00242F5C" w:rsidRDefault="00184B5D" w:rsidP="004D20E7">
            <w:pPr>
              <w:spacing w:line="480" w:lineRule="auto"/>
              <w:jc w:val="center"/>
              <w:rPr>
                <w:b/>
                <w:bCs/>
                <w:sz w:val="20"/>
                <w:szCs w:val="20"/>
              </w:rPr>
            </w:pPr>
            <w:r w:rsidRPr="00242F5C">
              <w:rPr>
                <w:b/>
                <w:bCs/>
                <w:sz w:val="20"/>
                <w:szCs w:val="20"/>
              </w:rPr>
              <w:t>Variable</w:t>
            </w:r>
          </w:p>
        </w:tc>
        <w:tc>
          <w:tcPr>
            <w:tcW w:w="1860" w:type="pct"/>
            <w:gridSpan w:val="3"/>
            <w:shd w:val="clear" w:color="auto" w:fill="auto"/>
            <w:noWrap/>
            <w:vAlign w:val="center"/>
          </w:tcPr>
          <w:p w14:paraId="342D236C" w14:textId="73371025" w:rsidR="00FB2754" w:rsidRPr="00242F5C" w:rsidRDefault="00184B5D" w:rsidP="004D20E7">
            <w:pPr>
              <w:spacing w:line="480" w:lineRule="auto"/>
              <w:jc w:val="center"/>
              <w:rPr>
                <w:b/>
                <w:sz w:val="20"/>
                <w:szCs w:val="20"/>
              </w:rPr>
            </w:pPr>
            <w:r w:rsidRPr="00242F5C">
              <w:rPr>
                <w:b/>
                <w:sz w:val="20"/>
                <w:szCs w:val="20"/>
              </w:rPr>
              <w:t>sPBC, Risk of Progression</w:t>
            </w:r>
          </w:p>
        </w:tc>
        <w:tc>
          <w:tcPr>
            <w:tcW w:w="1881" w:type="pct"/>
            <w:gridSpan w:val="3"/>
            <w:vAlign w:val="center"/>
          </w:tcPr>
          <w:p w14:paraId="42B4BB21" w14:textId="27142FC2" w:rsidR="00FB2754" w:rsidRPr="00242F5C" w:rsidRDefault="00184B5D" w:rsidP="004D20E7">
            <w:pPr>
              <w:spacing w:line="480" w:lineRule="auto"/>
              <w:jc w:val="center"/>
              <w:rPr>
                <w:b/>
                <w:sz w:val="20"/>
                <w:szCs w:val="20"/>
              </w:rPr>
            </w:pPr>
            <w:r w:rsidRPr="00242F5C">
              <w:rPr>
                <w:b/>
                <w:sz w:val="20"/>
                <w:szCs w:val="20"/>
              </w:rPr>
              <w:t>sNPBC, Risk of Progression</w:t>
            </w:r>
          </w:p>
        </w:tc>
      </w:tr>
      <w:tr w:rsidR="00FB2754" w:rsidRPr="00242F5C" w14:paraId="5DD1AE93" w14:textId="77777777" w:rsidTr="00FB2754">
        <w:trPr>
          <w:trHeight w:val="285"/>
        </w:trPr>
        <w:tc>
          <w:tcPr>
            <w:tcW w:w="1259" w:type="pct"/>
            <w:vMerge/>
            <w:shd w:val="clear" w:color="auto" w:fill="auto"/>
            <w:noWrap/>
            <w:vAlign w:val="center"/>
            <w:hideMark/>
          </w:tcPr>
          <w:p w14:paraId="66931602" w14:textId="77777777" w:rsidR="00FB2754" w:rsidRPr="00242F5C" w:rsidRDefault="00FB2754" w:rsidP="004D20E7">
            <w:pPr>
              <w:spacing w:line="480" w:lineRule="auto"/>
              <w:jc w:val="center"/>
              <w:rPr>
                <w:b/>
                <w:bCs/>
                <w:sz w:val="20"/>
                <w:szCs w:val="20"/>
              </w:rPr>
            </w:pPr>
          </w:p>
        </w:tc>
        <w:tc>
          <w:tcPr>
            <w:tcW w:w="776" w:type="pct"/>
            <w:shd w:val="clear" w:color="auto" w:fill="auto"/>
            <w:noWrap/>
            <w:vAlign w:val="center"/>
            <w:hideMark/>
          </w:tcPr>
          <w:p w14:paraId="33C02697" w14:textId="77777777" w:rsidR="00FB2754" w:rsidRPr="00242F5C" w:rsidRDefault="00184B5D" w:rsidP="004D20E7">
            <w:pPr>
              <w:spacing w:line="480" w:lineRule="auto"/>
              <w:jc w:val="center"/>
              <w:rPr>
                <w:b/>
                <w:bCs/>
                <w:sz w:val="20"/>
                <w:szCs w:val="20"/>
              </w:rPr>
            </w:pPr>
            <w:r w:rsidRPr="00242F5C">
              <w:rPr>
                <w:b/>
                <w:bCs/>
                <w:sz w:val="20"/>
                <w:szCs w:val="20"/>
              </w:rPr>
              <w:t>HR (95% CI)</w:t>
            </w:r>
          </w:p>
        </w:tc>
        <w:tc>
          <w:tcPr>
            <w:tcW w:w="738" w:type="pct"/>
            <w:shd w:val="clear" w:color="auto" w:fill="auto"/>
            <w:noWrap/>
            <w:vAlign w:val="center"/>
            <w:hideMark/>
          </w:tcPr>
          <w:p w14:paraId="6D953CDA" w14:textId="77777777" w:rsidR="00FB2754" w:rsidRPr="00242F5C" w:rsidRDefault="00184B5D" w:rsidP="004D20E7">
            <w:pPr>
              <w:spacing w:line="480" w:lineRule="auto"/>
              <w:jc w:val="center"/>
              <w:rPr>
                <w:b/>
                <w:bCs/>
                <w:sz w:val="20"/>
                <w:szCs w:val="20"/>
              </w:rPr>
            </w:pPr>
            <w:r w:rsidRPr="00242F5C">
              <w:rPr>
                <w:b/>
                <w:sz w:val="20"/>
                <w:szCs w:val="20"/>
              </w:rPr>
              <w:t>Standard Error</w:t>
            </w:r>
          </w:p>
        </w:tc>
        <w:tc>
          <w:tcPr>
            <w:tcW w:w="346" w:type="pct"/>
            <w:shd w:val="clear" w:color="auto" w:fill="auto"/>
            <w:noWrap/>
            <w:vAlign w:val="center"/>
            <w:hideMark/>
          </w:tcPr>
          <w:p w14:paraId="114C7AC6" w14:textId="77777777" w:rsidR="00FB2754" w:rsidRPr="00242F5C" w:rsidRDefault="00184B5D" w:rsidP="004D20E7">
            <w:pPr>
              <w:spacing w:line="480" w:lineRule="auto"/>
              <w:jc w:val="center"/>
              <w:rPr>
                <w:b/>
                <w:bCs/>
                <w:sz w:val="20"/>
                <w:szCs w:val="20"/>
              </w:rPr>
            </w:pPr>
            <w:r w:rsidRPr="00242F5C">
              <w:rPr>
                <w:b/>
                <w:sz w:val="20"/>
                <w:szCs w:val="20"/>
              </w:rPr>
              <w:t>χ</w:t>
            </w:r>
            <w:r w:rsidRPr="00242F5C">
              <w:rPr>
                <w:b/>
                <w:sz w:val="20"/>
                <w:szCs w:val="20"/>
                <w:vertAlign w:val="superscript"/>
              </w:rPr>
              <w:t>2</w:t>
            </w:r>
          </w:p>
        </w:tc>
        <w:tc>
          <w:tcPr>
            <w:tcW w:w="788" w:type="pct"/>
            <w:vAlign w:val="center"/>
          </w:tcPr>
          <w:p w14:paraId="3E0EAFE8" w14:textId="77777777" w:rsidR="00FB2754" w:rsidRPr="00242F5C" w:rsidRDefault="00184B5D" w:rsidP="004D20E7">
            <w:pPr>
              <w:spacing w:line="480" w:lineRule="auto"/>
              <w:jc w:val="center"/>
              <w:rPr>
                <w:b/>
                <w:sz w:val="20"/>
                <w:szCs w:val="20"/>
              </w:rPr>
            </w:pPr>
            <w:r w:rsidRPr="00242F5C">
              <w:rPr>
                <w:b/>
                <w:bCs/>
                <w:sz w:val="20"/>
                <w:szCs w:val="20"/>
              </w:rPr>
              <w:t>HR (95% CI)</w:t>
            </w:r>
          </w:p>
        </w:tc>
        <w:tc>
          <w:tcPr>
            <w:tcW w:w="747" w:type="pct"/>
            <w:vAlign w:val="center"/>
          </w:tcPr>
          <w:p w14:paraId="547F370A" w14:textId="77777777" w:rsidR="00FB2754" w:rsidRPr="00242F5C" w:rsidRDefault="00184B5D" w:rsidP="004D20E7">
            <w:pPr>
              <w:spacing w:line="480" w:lineRule="auto"/>
              <w:jc w:val="center"/>
              <w:rPr>
                <w:b/>
                <w:sz w:val="20"/>
                <w:szCs w:val="20"/>
              </w:rPr>
            </w:pPr>
            <w:r w:rsidRPr="00242F5C">
              <w:rPr>
                <w:b/>
                <w:sz w:val="20"/>
                <w:szCs w:val="20"/>
              </w:rPr>
              <w:t>Standard Error</w:t>
            </w:r>
          </w:p>
        </w:tc>
        <w:tc>
          <w:tcPr>
            <w:tcW w:w="346" w:type="pct"/>
            <w:vAlign w:val="center"/>
          </w:tcPr>
          <w:p w14:paraId="2F6F59B8" w14:textId="77777777" w:rsidR="00FB2754" w:rsidRPr="00242F5C" w:rsidRDefault="00184B5D" w:rsidP="004D20E7">
            <w:pPr>
              <w:spacing w:line="480" w:lineRule="auto"/>
              <w:jc w:val="center"/>
              <w:rPr>
                <w:b/>
                <w:sz w:val="20"/>
                <w:szCs w:val="20"/>
              </w:rPr>
            </w:pPr>
            <w:r w:rsidRPr="00242F5C">
              <w:rPr>
                <w:b/>
                <w:sz w:val="20"/>
                <w:szCs w:val="20"/>
              </w:rPr>
              <w:t>χ</w:t>
            </w:r>
            <w:r w:rsidRPr="00242F5C">
              <w:rPr>
                <w:b/>
                <w:sz w:val="20"/>
                <w:szCs w:val="20"/>
                <w:vertAlign w:val="superscript"/>
              </w:rPr>
              <w:t>2</w:t>
            </w:r>
          </w:p>
        </w:tc>
      </w:tr>
      <w:tr w:rsidR="00FB2754" w:rsidRPr="00242F5C" w14:paraId="3971E6EE" w14:textId="77777777" w:rsidTr="00FB2754">
        <w:trPr>
          <w:trHeight w:val="285"/>
        </w:trPr>
        <w:tc>
          <w:tcPr>
            <w:tcW w:w="1259" w:type="pct"/>
            <w:shd w:val="clear" w:color="auto" w:fill="auto"/>
            <w:noWrap/>
            <w:vAlign w:val="center"/>
            <w:hideMark/>
          </w:tcPr>
          <w:p w14:paraId="3ADF6E11" w14:textId="77777777" w:rsidR="00FB2754" w:rsidRPr="00242F5C" w:rsidRDefault="00184B5D" w:rsidP="004D20E7">
            <w:pPr>
              <w:spacing w:line="480" w:lineRule="auto"/>
              <w:rPr>
                <w:b/>
                <w:bCs/>
                <w:sz w:val="20"/>
                <w:szCs w:val="20"/>
              </w:rPr>
            </w:pPr>
            <w:r w:rsidRPr="00242F5C">
              <w:rPr>
                <w:b/>
                <w:bCs/>
                <w:sz w:val="20"/>
                <w:szCs w:val="20"/>
              </w:rPr>
              <w:t>ECOG PS</w:t>
            </w:r>
          </w:p>
        </w:tc>
        <w:tc>
          <w:tcPr>
            <w:tcW w:w="776" w:type="pct"/>
            <w:shd w:val="clear" w:color="auto" w:fill="auto"/>
            <w:noWrap/>
            <w:vAlign w:val="center"/>
            <w:hideMark/>
          </w:tcPr>
          <w:p w14:paraId="288E489C" w14:textId="77777777" w:rsidR="00FB2754" w:rsidRPr="00242F5C" w:rsidRDefault="00FB2754" w:rsidP="004D20E7">
            <w:pPr>
              <w:spacing w:line="480" w:lineRule="auto"/>
              <w:jc w:val="center"/>
              <w:rPr>
                <w:b/>
                <w:bCs/>
                <w:sz w:val="20"/>
                <w:szCs w:val="20"/>
              </w:rPr>
            </w:pPr>
          </w:p>
        </w:tc>
        <w:tc>
          <w:tcPr>
            <w:tcW w:w="738" w:type="pct"/>
            <w:shd w:val="clear" w:color="auto" w:fill="auto"/>
            <w:noWrap/>
            <w:vAlign w:val="center"/>
            <w:hideMark/>
          </w:tcPr>
          <w:p w14:paraId="7584589E"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hideMark/>
          </w:tcPr>
          <w:p w14:paraId="71489E54" w14:textId="77777777" w:rsidR="00FB2754" w:rsidRPr="00242F5C" w:rsidRDefault="00FB2754" w:rsidP="004D20E7">
            <w:pPr>
              <w:spacing w:line="480" w:lineRule="auto"/>
              <w:jc w:val="center"/>
              <w:rPr>
                <w:sz w:val="20"/>
                <w:szCs w:val="20"/>
              </w:rPr>
            </w:pPr>
          </w:p>
        </w:tc>
        <w:tc>
          <w:tcPr>
            <w:tcW w:w="788" w:type="pct"/>
            <w:vAlign w:val="center"/>
          </w:tcPr>
          <w:p w14:paraId="09EF0351" w14:textId="77777777" w:rsidR="00FB2754" w:rsidRPr="00242F5C" w:rsidRDefault="00FB2754" w:rsidP="004D20E7">
            <w:pPr>
              <w:spacing w:line="480" w:lineRule="auto"/>
              <w:jc w:val="center"/>
              <w:rPr>
                <w:sz w:val="20"/>
                <w:szCs w:val="20"/>
              </w:rPr>
            </w:pPr>
          </w:p>
        </w:tc>
        <w:tc>
          <w:tcPr>
            <w:tcW w:w="747" w:type="pct"/>
            <w:vAlign w:val="center"/>
          </w:tcPr>
          <w:p w14:paraId="315EE536" w14:textId="77777777" w:rsidR="00FB2754" w:rsidRPr="00242F5C" w:rsidRDefault="00FB2754" w:rsidP="004D20E7">
            <w:pPr>
              <w:spacing w:line="480" w:lineRule="auto"/>
              <w:jc w:val="center"/>
              <w:rPr>
                <w:sz w:val="20"/>
                <w:szCs w:val="20"/>
              </w:rPr>
            </w:pPr>
          </w:p>
        </w:tc>
        <w:tc>
          <w:tcPr>
            <w:tcW w:w="346" w:type="pct"/>
            <w:vAlign w:val="center"/>
          </w:tcPr>
          <w:p w14:paraId="208C1798" w14:textId="77777777" w:rsidR="00FB2754" w:rsidRPr="00242F5C" w:rsidRDefault="00FB2754" w:rsidP="004D20E7">
            <w:pPr>
              <w:spacing w:line="480" w:lineRule="auto"/>
              <w:jc w:val="center"/>
              <w:rPr>
                <w:sz w:val="20"/>
                <w:szCs w:val="20"/>
              </w:rPr>
            </w:pPr>
          </w:p>
        </w:tc>
      </w:tr>
      <w:tr w:rsidR="00FB2754" w:rsidRPr="00242F5C" w14:paraId="648A7D9B" w14:textId="77777777" w:rsidTr="00FB2754">
        <w:trPr>
          <w:trHeight w:val="285"/>
        </w:trPr>
        <w:tc>
          <w:tcPr>
            <w:tcW w:w="1259" w:type="pct"/>
            <w:shd w:val="clear" w:color="auto" w:fill="auto"/>
            <w:noWrap/>
            <w:vAlign w:val="center"/>
            <w:hideMark/>
          </w:tcPr>
          <w:p w14:paraId="61B50197" w14:textId="77777777" w:rsidR="00FB2754" w:rsidRPr="00242F5C" w:rsidRDefault="00184B5D" w:rsidP="004D20E7">
            <w:pPr>
              <w:spacing w:line="480" w:lineRule="auto"/>
              <w:ind w:firstLineChars="166" w:firstLine="332"/>
              <w:rPr>
                <w:sz w:val="20"/>
                <w:szCs w:val="20"/>
              </w:rPr>
            </w:pPr>
            <w:r w:rsidRPr="00242F5C">
              <w:rPr>
                <w:sz w:val="20"/>
                <w:szCs w:val="20"/>
              </w:rPr>
              <w:t>1 vs. 0</w:t>
            </w:r>
          </w:p>
        </w:tc>
        <w:tc>
          <w:tcPr>
            <w:tcW w:w="776" w:type="pct"/>
            <w:shd w:val="clear" w:color="auto" w:fill="auto"/>
            <w:noWrap/>
            <w:hideMark/>
          </w:tcPr>
          <w:p w14:paraId="780AE27B" w14:textId="5EA3B141" w:rsidR="00FB2754" w:rsidRPr="00242F5C" w:rsidRDefault="00184B5D" w:rsidP="004D20E7">
            <w:pPr>
              <w:spacing w:line="480" w:lineRule="auto"/>
              <w:jc w:val="center"/>
              <w:rPr>
                <w:sz w:val="20"/>
                <w:szCs w:val="20"/>
              </w:rPr>
            </w:pPr>
            <w:r w:rsidRPr="00242F5C">
              <w:rPr>
                <w:sz w:val="20"/>
                <w:szCs w:val="20"/>
              </w:rPr>
              <w:t>0.97 (0.61-1.52)</w:t>
            </w:r>
          </w:p>
        </w:tc>
        <w:tc>
          <w:tcPr>
            <w:tcW w:w="738" w:type="pct"/>
            <w:shd w:val="clear" w:color="auto" w:fill="auto"/>
            <w:noWrap/>
            <w:hideMark/>
          </w:tcPr>
          <w:p w14:paraId="549F86B6" w14:textId="7865CB42" w:rsidR="00FB2754" w:rsidRPr="00242F5C" w:rsidRDefault="00184B5D" w:rsidP="004D20E7">
            <w:pPr>
              <w:spacing w:line="480" w:lineRule="auto"/>
              <w:jc w:val="center"/>
              <w:rPr>
                <w:sz w:val="20"/>
                <w:szCs w:val="20"/>
              </w:rPr>
            </w:pPr>
            <w:r w:rsidRPr="00242F5C">
              <w:rPr>
                <w:sz w:val="20"/>
                <w:szCs w:val="20"/>
              </w:rPr>
              <w:t>0.23</w:t>
            </w:r>
          </w:p>
        </w:tc>
        <w:tc>
          <w:tcPr>
            <w:tcW w:w="346" w:type="pct"/>
            <w:shd w:val="clear" w:color="auto" w:fill="auto"/>
            <w:noWrap/>
            <w:hideMark/>
          </w:tcPr>
          <w:p w14:paraId="06FFE20A" w14:textId="5D23F9A4" w:rsidR="00FB2754" w:rsidRPr="00242F5C" w:rsidRDefault="00184B5D" w:rsidP="004D20E7">
            <w:pPr>
              <w:spacing w:line="480" w:lineRule="auto"/>
              <w:jc w:val="center"/>
              <w:rPr>
                <w:sz w:val="20"/>
                <w:szCs w:val="20"/>
              </w:rPr>
            </w:pPr>
            <w:r w:rsidRPr="00242F5C">
              <w:rPr>
                <w:sz w:val="20"/>
                <w:szCs w:val="20"/>
              </w:rPr>
              <w:t>0.883</w:t>
            </w:r>
          </w:p>
        </w:tc>
        <w:tc>
          <w:tcPr>
            <w:tcW w:w="788" w:type="pct"/>
          </w:tcPr>
          <w:p w14:paraId="218F5F05" w14:textId="3226422F" w:rsidR="00FB2754" w:rsidRPr="00242F5C" w:rsidRDefault="00184B5D" w:rsidP="004D20E7">
            <w:pPr>
              <w:spacing w:line="480" w:lineRule="auto"/>
              <w:jc w:val="center"/>
              <w:rPr>
                <w:sz w:val="20"/>
                <w:szCs w:val="20"/>
              </w:rPr>
            </w:pPr>
            <w:r w:rsidRPr="00242F5C">
              <w:rPr>
                <w:sz w:val="20"/>
                <w:szCs w:val="20"/>
              </w:rPr>
              <w:t>1.01 (0.67-1.51)</w:t>
            </w:r>
          </w:p>
        </w:tc>
        <w:tc>
          <w:tcPr>
            <w:tcW w:w="747" w:type="pct"/>
          </w:tcPr>
          <w:p w14:paraId="143CFDF0" w14:textId="68AA41B4" w:rsidR="00FB2754" w:rsidRPr="00242F5C" w:rsidRDefault="00184B5D" w:rsidP="004D20E7">
            <w:pPr>
              <w:spacing w:line="480" w:lineRule="auto"/>
              <w:jc w:val="center"/>
              <w:rPr>
                <w:sz w:val="20"/>
                <w:szCs w:val="20"/>
              </w:rPr>
            </w:pPr>
            <w:r w:rsidRPr="00242F5C">
              <w:rPr>
                <w:sz w:val="20"/>
                <w:szCs w:val="20"/>
              </w:rPr>
              <w:t>0.20</w:t>
            </w:r>
          </w:p>
        </w:tc>
        <w:tc>
          <w:tcPr>
            <w:tcW w:w="346" w:type="pct"/>
          </w:tcPr>
          <w:p w14:paraId="02E69FBB" w14:textId="49AB5EC4" w:rsidR="00FB2754" w:rsidRPr="00242F5C" w:rsidRDefault="00184B5D" w:rsidP="004D20E7">
            <w:pPr>
              <w:spacing w:line="480" w:lineRule="auto"/>
              <w:jc w:val="center"/>
              <w:rPr>
                <w:sz w:val="20"/>
                <w:szCs w:val="20"/>
              </w:rPr>
            </w:pPr>
            <w:r w:rsidRPr="00242F5C">
              <w:rPr>
                <w:sz w:val="20"/>
                <w:szCs w:val="20"/>
              </w:rPr>
              <w:t>0.970</w:t>
            </w:r>
          </w:p>
        </w:tc>
      </w:tr>
      <w:tr w:rsidR="00FB2754" w:rsidRPr="00242F5C" w14:paraId="194D66B8" w14:textId="77777777" w:rsidTr="00FB2754">
        <w:trPr>
          <w:trHeight w:val="285"/>
        </w:trPr>
        <w:tc>
          <w:tcPr>
            <w:tcW w:w="1259" w:type="pct"/>
            <w:shd w:val="clear" w:color="auto" w:fill="auto"/>
            <w:noWrap/>
            <w:vAlign w:val="center"/>
          </w:tcPr>
          <w:p w14:paraId="300197C0" w14:textId="77777777" w:rsidR="00FB2754" w:rsidRPr="00242F5C" w:rsidRDefault="00184B5D" w:rsidP="004D20E7">
            <w:pPr>
              <w:spacing w:line="480" w:lineRule="auto"/>
              <w:ind w:firstLineChars="166" w:firstLine="332"/>
              <w:rPr>
                <w:sz w:val="20"/>
                <w:szCs w:val="20"/>
              </w:rPr>
            </w:pPr>
            <w:r w:rsidRPr="00242F5C">
              <w:rPr>
                <w:color w:val="222222"/>
                <w:sz w:val="20"/>
                <w:szCs w:val="20"/>
                <w:shd w:val="clear" w:color="auto" w:fill="FFFFFF"/>
              </w:rPr>
              <w:t>≥</w:t>
            </w:r>
            <w:r w:rsidRPr="00242F5C">
              <w:rPr>
                <w:sz w:val="20"/>
                <w:szCs w:val="20"/>
              </w:rPr>
              <w:t>2 vs. 0</w:t>
            </w:r>
          </w:p>
        </w:tc>
        <w:tc>
          <w:tcPr>
            <w:tcW w:w="776" w:type="pct"/>
            <w:shd w:val="clear" w:color="auto" w:fill="auto"/>
            <w:noWrap/>
          </w:tcPr>
          <w:p w14:paraId="48277592" w14:textId="5C61EB82" w:rsidR="00FB2754" w:rsidRPr="00242F5C" w:rsidRDefault="00184B5D" w:rsidP="004D20E7">
            <w:pPr>
              <w:spacing w:line="480" w:lineRule="auto"/>
              <w:jc w:val="center"/>
              <w:rPr>
                <w:sz w:val="20"/>
                <w:szCs w:val="20"/>
              </w:rPr>
            </w:pPr>
            <w:r w:rsidRPr="00242F5C">
              <w:rPr>
                <w:sz w:val="20"/>
                <w:szCs w:val="20"/>
              </w:rPr>
              <w:t>1.18 (0.53-2.65)</w:t>
            </w:r>
          </w:p>
        </w:tc>
        <w:tc>
          <w:tcPr>
            <w:tcW w:w="738" w:type="pct"/>
            <w:shd w:val="clear" w:color="auto" w:fill="auto"/>
            <w:noWrap/>
          </w:tcPr>
          <w:p w14:paraId="2CD62D32" w14:textId="73051DE6" w:rsidR="00FB2754" w:rsidRPr="00242F5C" w:rsidRDefault="00184B5D" w:rsidP="004D20E7">
            <w:pPr>
              <w:spacing w:line="480" w:lineRule="auto"/>
              <w:jc w:val="center"/>
              <w:rPr>
                <w:sz w:val="20"/>
                <w:szCs w:val="20"/>
              </w:rPr>
            </w:pPr>
            <w:r w:rsidRPr="00242F5C">
              <w:rPr>
                <w:sz w:val="20"/>
                <w:szCs w:val="20"/>
              </w:rPr>
              <w:t>0.41</w:t>
            </w:r>
          </w:p>
        </w:tc>
        <w:tc>
          <w:tcPr>
            <w:tcW w:w="346" w:type="pct"/>
            <w:shd w:val="clear" w:color="auto" w:fill="auto"/>
            <w:noWrap/>
          </w:tcPr>
          <w:p w14:paraId="2F9091C2" w14:textId="42657840" w:rsidR="00FB2754" w:rsidRPr="00242F5C" w:rsidRDefault="00184B5D" w:rsidP="004D20E7">
            <w:pPr>
              <w:spacing w:line="480" w:lineRule="auto"/>
              <w:jc w:val="center"/>
              <w:rPr>
                <w:sz w:val="20"/>
                <w:szCs w:val="20"/>
              </w:rPr>
            </w:pPr>
            <w:r w:rsidRPr="00242F5C">
              <w:rPr>
                <w:sz w:val="20"/>
                <w:szCs w:val="20"/>
              </w:rPr>
              <w:t>0.683</w:t>
            </w:r>
          </w:p>
        </w:tc>
        <w:tc>
          <w:tcPr>
            <w:tcW w:w="788" w:type="pct"/>
          </w:tcPr>
          <w:p w14:paraId="58349AF6" w14:textId="651A7BDC" w:rsidR="00FB2754" w:rsidRPr="00242F5C" w:rsidRDefault="00184B5D" w:rsidP="004D20E7">
            <w:pPr>
              <w:spacing w:line="480" w:lineRule="auto"/>
              <w:jc w:val="center"/>
              <w:rPr>
                <w:sz w:val="20"/>
                <w:szCs w:val="20"/>
              </w:rPr>
            </w:pPr>
            <w:r w:rsidRPr="00242F5C">
              <w:rPr>
                <w:sz w:val="20"/>
                <w:szCs w:val="20"/>
              </w:rPr>
              <w:t>2.03 (1.28-3.22)</w:t>
            </w:r>
          </w:p>
        </w:tc>
        <w:tc>
          <w:tcPr>
            <w:tcW w:w="747" w:type="pct"/>
          </w:tcPr>
          <w:p w14:paraId="7529C740" w14:textId="526D94BF" w:rsidR="00FB2754" w:rsidRPr="00242F5C" w:rsidRDefault="00184B5D" w:rsidP="004D20E7">
            <w:pPr>
              <w:spacing w:line="480" w:lineRule="auto"/>
              <w:jc w:val="center"/>
              <w:rPr>
                <w:sz w:val="20"/>
                <w:szCs w:val="20"/>
              </w:rPr>
            </w:pPr>
            <w:r w:rsidRPr="00242F5C">
              <w:rPr>
                <w:sz w:val="20"/>
                <w:szCs w:val="20"/>
              </w:rPr>
              <w:t>0.24</w:t>
            </w:r>
          </w:p>
        </w:tc>
        <w:tc>
          <w:tcPr>
            <w:tcW w:w="346" w:type="pct"/>
          </w:tcPr>
          <w:p w14:paraId="5ECDD411" w14:textId="46A92076" w:rsidR="00FB2754" w:rsidRPr="00242F5C" w:rsidRDefault="00184B5D" w:rsidP="004D20E7">
            <w:pPr>
              <w:spacing w:line="480" w:lineRule="auto"/>
              <w:jc w:val="center"/>
              <w:rPr>
                <w:sz w:val="20"/>
                <w:szCs w:val="20"/>
              </w:rPr>
            </w:pPr>
            <w:r w:rsidRPr="00242F5C">
              <w:rPr>
                <w:sz w:val="20"/>
                <w:szCs w:val="20"/>
              </w:rPr>
              <w:t>0.003</w:t>
            </w:r>
          </w:p>
        </w:tc>
      </w:tr>
      <w:tr w:rsidR="00FB2754" w:rsidRPr="00242F5C" w14:paraId="2D27259E" w14:textId="77777777" w:rsidTr="00FB2754">
        <w:trPr>
          <w:trHeight w:val="285"/>
        </w:trPr>
        <w:tc>
          <w:tcPr>
            <w:tcW w:w="1259" w:type="pct"/>
            <w:shd w:val="clear" w:color="auto" w:fill="auto"/>
            <w:noWrap/>
            <w:vAlign w:val="center"/>
            <w:hideMark/>
          </w:tcPr>
          <w:p w14:paraId="496A72D1" w14:textId="77777777" w:rsidR="00FB2754" w:rsidRPr="00242F5C" w:rsidRDefault="00184B5D" w:rsidP="004D20E7">
            <w:pPr>
              <w:spacing w:line="480" w:lineRule="auto"/>
              <w:ind w:firstLineChars="166" w:firstLine="332"/>
              <w:rPr>
                <w:sz w:val="20"/>
                <w:szCs w:val="20"/>
              </w:rPr>
            </w:pPr>
            <w:r w:rsidRPr="00242F5C">
              <w:rPr>
                <w:sz w:val="20"/>
                <w:szCs w:val="20"/>
              </w:rPr>
              <w:t>Unknown vs. 0</w:t>
            </w:r>
          </w:p>
        </w:tc>
        <w:tc>
          <w:tcPr>
            <w:tcW w:w="776" w:type="pct"/>
            <w:shd w:val="clear" w:color="auto" w:fill="auto"/>
            <w:noWrap/>
            <w:hideMark/>
          </w:tcPr>
          <w:p w14:paraId="13C38AD4" w14:textId="4FFF3559" w:rsidR="00FB2754" w:rsidRPr="00242F5C" w:rsidRDefault="00184B5D" w:rsidP="004D20E7">
            <w:pPr>
              <w:spacing w:line="480" w:lineRule="auto"/>
              <w:jc w:val="center"/>
              <w:rPr>
                <w:sz w:val="20"/>
                <w:szCs w:val="20"/>
              </w:rPr>
            </w:pPr>
            <w:r w:rsidRPr="00242F5C">
              <w:rPr>
                <w:sz w:val="20"/>
                <w:szCs w:val="20"/>
              </w:rPr>
              <w:t>1.19 (0.69-2.06)</w:t>
            </w:r>
          </w:p>
        </w:tc>
        <w:tc>
          <w:tcPr>
            <w:tcW w:w="738" w:type="pct"/>
            <w:shd w:val="clear" w:color="auto" w:fill="auto"/>
            <w:noWrap/>
            <w:hideMark/>
          </w:tcPr>
          <w:p w14:paraId="4FB1A4C2" w14:textId="44FF4E0A" w:rsidR="00FB2754" w:rsidRPr="00242F5C" w:rsidRDefault="00184B5D" w:rsidP="004D20E7">
            <w:pPr>
              <w:spacing w:line="480" w:lineRule="auto"/>
              <w:jc w:val="center"/>
              <w:rPr>
                <w:sz w:val="20"/>
                <w:szCs w:val="20"/>
              </w:rPr>
            </w:pPr>
            <w:r w:rsidRPr="00242F5C">
              <w:rPr>
                <w:sz w:val="20"/>
                <w:szCs w:val="20"/>
              </w:rPr>
              <w:t>0.28</w:t>
            </w:r>
          </w:p>
        </w:tc>
        <w:tc>
          <w:tcPr>
            <w:tcW w:w="346" w:type="pct"/>
            <w:shd w:val="clear" w:color="auto" w:fill="auto"/>
            <w:noWrap/>
            <w:hideMark/>
          </w:tcPr>
          <w:p w14:paraId="6D0A73BA" w14:textId="49C30CAF" w:rsidR="00FB2754" w:rsidRPr="00242F5C" w:rsidRDefault="00184B5D" w:rsidP="004D20E7">
            <w:pPr>
              <w:spacing w:line="480" w:lineRule="auto"/>
              <w:jc w:val="center"/>
              <w:rPr>
                <w:sz w:val="20"/>
                <w:szCs w:val="20"/>
              </w:rPr>
            </w:pPr>
            <w:r w:rsidRPr="00242F5C">
              <w:rPr>
                <w:sz w:val="20"/>
                <w:szCs w:val="20"/>
              </w:rPr>
              <w:t>0.530</w:t>
            </w:r>
          </w:p>
        </w:tc>
        <w:tc>
          <w:tcPr>
            <w:tcW w:w="788" w:type="pct"/>
          </w:tcPr>
          <w:p w14:paraId="45068AD3" w14:textId="36B1DBC8" w:rsidR="00FB2754" w:rsidRPr="00242F5C" w:rsidRDefault="00184B5D" w:rsidP="004D20E7">
            <w:pPr>
              <w:spacing w:line="480" w:lineRule="auto"/>
              <w:jc w:val="center"/>
              <w:rPr>
                <w:sz w:val="20"/>
                <w:szCs w:val="20"/>
              </w:rPr>
            </w:pPr>
            <w:r w:rsidRPr="00242F5C">
              <w:rPr>
                <w:sz w:val="20"/>
                <w:szCs w:val="20"/>
              </w:rPr>
              <w:t>1.06 (0.66-1.72)</w:t>
            </w:r>
          </w:p>
        </w:tc>
        <w:tc>
          <w:tcPr>
            <w:tcW w:w="747" w:type="pct"/>
          </w:tcPr>
          <w:p w14:paraId="27089BFE" w14:textId="13D97071" w:rsidR="00FB2754" w:rsidRPr="00242F5C" w:rsidRDefault="00184B5D" w:rsidP="004D20E7">
            <w:pPr>
              <w:spacing w:line="480" w:lineRule="auto"/>
              <w:jc w:val="center"/>
              <w:rPr>
                <w:sz w:val="20"/>
                <w:szCs w:val="20"/>
              </w:rPr>
            </w:pPr>
            <w:r w:rsidRPr="00242F5C">
              <w:rPr>
                <w:sz w:val="20"/>
                <w:szCs w:val="20"/>
              </w:rPr>
              <w:t>0.25</w:t>
            </w:r>
          </w:p>
        </w:tc>
        <w:tc>
          <w:tcPr>
            <w:tcW w:w="346" w:type="pct"/>
          </w:tcPr>
          <w:p w14:paraId="105522DD" w14:textId="3723F7B7" w:rsidR="00FB2754" w:rsidRPr="00242F5C" w:rsidRDefault="00184B5D" w:rsidP="004D20E7">
            <w:pPr>
              <w:spacing w:line="480" w:lineRule="auto"/>
              <w:jc w:val="center"/>
              <w:rPr>
                <w:sz w:val="20"/>
                <w:szCs w:val="20"/>
              </w:rPr>
            </w:pPr>
            <w:r w:rsidRPr="00242F5C">
              <w:rPr>
                <w:sz w:val="20"/>
                <w:szCs w:val="20"/>
              </w:rPr>
              <w:t>0.802</w:t>
            </w:r>
          </w:p>
        </w:tc>
      </w:tr>
      <w:tr w:rsidR="00FB2754" w:rsidRPr="00242F5C" w14:paraId="69EF86D7" w14:textId="77777777" w:rsidTr="00FB2754">
        <w:trPr>
          <w:trHeight w:val="285"/>
        </w:trPr>
        <w:tc>
          <w:tcPr>
            <w:tcW w:w="1259" w:type="pct"/>
            <w:shd w:val="clear" w:color="auto" w:fill="auto"/>
            <w:noWrap/>
            <w:vAlign w:val="center"/>
          </w:tcPr>
          <w:p w14:paraId="51DAF41E" w14:textId="77777777" w:rsidR="00FB2754" w:rsidRPr="00242F5C" w:rsidRDefault="00FB2754" w:rsidP="004D20E7">
            <w:pPr>
              <w:spacing w:line="480" w:lineRule="auto"/>
              <w:ind w:firstLineChars="166" w:firstLine="332"/>
              <w:rPr>
                <w:sz w:val="20"/>
                <w:szCs w:val="20"/>
              </w:rPr>
            </w:pPr>
          </w:p>
        </w:tc>
        <w:tc>
          <w:tcPr>
            <w:tcW w:w="776" w:type="pct"/>
            <w:shd w:val="clear" w:color="auto" w:fill="auto"/>
            <w:noWrap/>
            <w:vAlign w:val="center"/>
          </w:tcPr>
          <w:p w14:paraId="57D3F4F2" w14:textId="77777777" w:rsidR="00FB2754" w:rsidRPr="00242F5C" w:rsidRDefault="00FB2754" w:rsidP="004D20E7">
            <w:pPr>
              <w:spacing w:line="480" w:lineRule="auto"/>
              <w:jc w:val="center"/>
              <w:rPr>
                <w:sz w:val="20"/>
                <w:szCs w:val="20"/>
              </w:rPr>
            </w:pPr>
          </w:p>
        </w:tc>
        <w:tc>
          <w:tcPr>
            <w:tcW w:w="738" w:type="pct"/>
            <w:shd w:val="clear" w:color="auto" w:fill="auto"/>
            <w:noWrap/>
            <w:vAlign w:val="center"/>
          </w:tcPr>
          <w:p w14:paraId="7968BDC7"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424581A4" w14:textId="77777777" w:rsidR="00FB2754" w:rsidRPr="00242F5C" w:rsidRDefault="00FB2754" w:rsidP="004D20E7">
            <w:pPr>
              <w:spacing w:line="480" w:lineRule="auto"/>
              <w:jc w:val="center"/>
              <w:rPr>
                <w:sz w:val="20"/>
                <w:szCs w:val="20"/>
              </w:rPr>
            </w:pPr>
          </w:p>
        </w:tc>
        <w:tc>
          <w:tcPr>
            <w:tcW w:w="788" w:type="pct"/>
            <w:vAlign w:val="center"/>
          </w:tcPr>
          <w:p w14:paraId="7F8B3E46" w14:textId="77777777" w:rsidR="00FB2754" w:rsidRPr="00242F5C" w:rsidRDefault="00FB2754" w:rsidP="004D20E7">
            <w:pPr>
              <w:spacing w:line="480" w:lineRule="auto"/>
              <w:jc w:val="center"/>
              <w:rPr>
                <w:sz w:val="20"/>
                <w:szCs w:val="20"/>
              </w:rPr>
            </w:pPr>
          </w:p>
        </w:tc>
        <w:tc>
          <w:tcPr>
            <w:tcW w:w="747" w:type="pct"/>
            <w:vAlign w:val="center"/>
          </w:tcPr>
          <w:p w14:paraId="1BE1117F" w14:textId="77777777" w:rsidR="00FB2754" w:rsidRPr="00242F5C" w:rsidRDefault="00FB2754" w:rsidP="004D20E7">
            <w:pPr>
              <w:spacing w:line="480" w:lineRule="auto"/>
              <w:jc w:val="center"/>
              <w:rPr>
                <w:sz w:val="20"/>
                <w:szCs w:val="20"/>
              </w:rPr>
            </w:pPr>
          </w:p>
        </w:tc>
        <w:tc>
          <w:tcPr>
            <w:tcW w:w="346" w:type="pct"/>
            <w:vAlign w:val="center"/>
          </w:tcPr>
          <w:p w14:paraId="2468F79A" w14:textId="77777777" w:rsidR="00FB2754" w:rsidRPr="00242F5C" w:rsidRDefault="00FB2754" w:rsidP="004D20E7">
            <w:pPr>
              <w:spacing w:line="480" w:lineRule="auto"/>
              <w:jc w:val="center"/>
              <w:rPr>
                <w:sz w:val="20"/>
                <w:szCs w:val="20"/>
              </w:rPr>
            </w:pPr>
          </w:p>
        </w:tc>
      </w:tr>
      <w:tr w:rsidR="00FB2754" w:rsidRPr="00242F5C" w14:paraId="2CABE06B" w14:textId="77777777" w:rsidTr="00FB2754">
        <w:trPr>
          <w:trHeight w:val="285"/>
        </w:trPr>
        <w:tc>
          <w:tcPr>
            <w:tcW w:w="1259" w:type="pct"/>
            <w:shd w:val="clear" w:color="auto" w:fill="auto"/>
            <w:noWrap/>
            <w:vAlign w:val="center"/>
            <w:hideMark/>
          </w:tcPr>
          <w:p w14:paraId="2514D347" w14:textId="77777777" w:rsidR="00FB2754" w:rsidRPr="00242F5C" w:rsidRDefault="00184B5D" w:rsidP="004D20E7">
            <w:pPr>
              <w:spacing w:line="480" w:lineRule="auto"/>
              <w:rPr>
                <w:b/>
                <w:bCs/>
                <w:sz w:val="20"/>
                <w:szCs w:val="20"/>
              </w:rPr>
            </w:pPr>
            <w:r w:rsidRPr="00242F5C">
              <w:rPr>
                <w:b/>
                <w:bCs/>
                <w:sz w:val="20"/>
                <w:szCs w:val="20"/>
              </w:rPr>
              <w:t>CCI</w:t>
            </w:r>
          </w:p>
        </w:tc>
        <w:tc>
          <w:tcPr>
            <w:tcW w:w="776" w:type="pct"/>
            <w:shd w:val="clear" w:color="auto" w:fill="auto"/>
            <w:noWrap/>
            <w:vAlign w:val="center"/>
            <w:hideMark/>
          </w:tcPr>
          <w:p w14:paraId="2AFA1739" w14:textId="77777777" w:rsidR="00FB2754" w:rsidRPr="00242F5C" w:rsidRDefault="00FB2754" w:rsidP="004D20E7">
            <w:pPr>
              <w:spacing w:line="480" w:lineRule="auto"/>
              <w:jc w:val="center"/>
              <w:rPr>
                <w:b/>
                <w:bCs/>
                <w:sz w:val="20"/>
                <w:szCs w:val="20"/>
              </w:rPr>
            </w:pPr>
          </w:p>
        </w:tc>
        <w:tc>
          <w:tcPr>
            <w:tcW w:w="738" w:type="pct"/>
            <w:shd w:val="clear" w:color="auto" w:fill="auto"/>
            <w:noWrap/>
            <w:vAlign w:val="center"/>
            <w:hideMark/>
          </w:tcPr>
          <w:p w14:paraId="5759A3AC"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hideMark/>
          </w:tcPr>
          <w:p w14:paraId="24E8DFA4" w14:textId="77777777" w:rsidR="00FB2754" w:rsidRPr="00242F5C" w:rsidRDefault="00FB2754" w:rsidP="004D20E7">
            <w:pPr>
              <w:spacing w:line="480" w:lineRule="auto"/>
              <w:jc w:val="center"/>
              <w:rPr>
                <w:sz w:val="20"/>
                <w:szCs w:val="20"/>
              </w:rPr>
            </w:pPr>
          </w:p>
        </w:tc>
        <w:tc>
          <w:tcPr>
            <w:tcW w:w="788" w:type="pct"/>
            <w:vAlign w:val="center"/>
          </w:tcPr>
          <w:p w14:paraId="14D86E79" w14:textId="77777777" w:rsidR="00FB2754" w:rsidRPr="00242F5C" w:rsidRDefault="00FB2754" w:rsidP="004D20E7">
            <w:pPr>
              <w:spacing w:line="480" w:lineRule="auto"/>
              <w:jc w:val="center"/>
              <w:rPr>
                <w:sz w:val="20"/>
                <w:szCs w:val="20"/>
              </w:rPr>
            </w:pPr>
          </w:p>
        </w:tc>
        <w:tc>
          <w:tcPr>
            <w:tcW w:w="747" w:type="pct"/>
            <w:vAlign w:val="center"/>
          </w:tcPr>
          <w:p w14:paraId="4E12CDE8" w14:textId="77777777" w:rsidR="00FB2754" w:rsidRPr="00242F5C" w:rsidRDefault="00FB2754" w:rsidP="004D20E7">
            <w:pPr>
              <w:spacing w:line="480" w:lineRule="auto"/>
              <w:jc w:val="center"/>
              <w:rPr>
                <w:sz w:val="20"/>
                <w:szCs w:val="20"/>
              </w:rPr>
            </w:pPr>
          </w:p>
        </w:tc>
        <w:tc>
          <w:tcPr>
            <w:tcW w:w="346" w:type="pct"/>
            <w:vAlign w:val="center"/>
          </w:tcPr>
          <w:p w14:paraId="42720EBA" w14:textId="77777777" w:rsidR="00FB2754" w:rsidRPr="00242F5C" w:rsidRDefault="00FB2754" w:rsidP="004D20E7">
            <w:pPr>
              <w:spacing w:line="480" w:lineRule="auto"/>
              <w:jc w:val="center"/>
              <w:rPr>
                <w:sz w:val="20"/>
                <w:szCs w:val="20"/>
              </w:rPr>
            </w:pPr>
          </w:p>
        </w:tc>
      </w:tr>
      <w:tr w:rsidR="00FB2754" w:rsidRPr="00242F5C" w14:paraId="69F99190" w14:textId="77777777" w:rsidTr="00FB2754">
        <w:trPr>
          <w:trHeight w:val="285"/>
        </w:trPr>
        <w:tc>
          <w:tcPr>
            <w:tcW w:w="1259" w:type="pct"/>
            <w:shd w:val="clear" w:color="auto" w:fill="auto"/>
            <w:noWrap/>
            <w:vAlign w:val="center"/>
            <w:hideMark/>
          </w:tcPr>
          <w:p w14:paraId="58CD4375" w14:textId="77777777" w:rsidR="00FB2754" w:rsidRPr="00242F5C" w:rsidRDefault="00184B5D" w:rsidP="004D20E7">
            <w:pPr>
              <w:spacing w:line="480" w:lineRule="auto"/>
              <w:ind w:firstLineChars="166" w:firstLine="332"/>
              <w:rPr>
                <w:sz w:val="20"/>
                <w:szCs w:val="20"/>
              </w:rPr>
            </w:pPr>
            <w:r w:rsidRPr="00242F5C">
              <w:rPr>
                <w:sz w:val="20"/>
                <w:szCs w:val="20"/>
              </w:rPr>
              <w:t>1 vs. 0</w:t>
            </w:r>
          </w:p>
        </w:tc>
        <w:tc>
          <w:tcPr>
            <w:tcW w:w="776" w:type="pct"/>
            <w:shd w:val="clear" w:color="auto" w:fill="auto"/>
            <w:noWrap/>
            <w:hideMark/>
          </w:tcPr>
          <w:p w14:paraId="55A1D07F" w14:textId="60B7CBC6" w:rsidR="00FB2754" w:rsidRPr="00242F5C" w:rsidRDefault="00184B5D" w:rsidP="004D20E7">
            <w:pPr>
              <w:spacing w:line="480" w:lineRule="auto"/>
              <w:jc w:val="center"/>
              <w:rPr>
                <w:sz w:val="20"/>
                <w:szCs w:val="20"/>
              </w:rPr>
            </w:pPr>
            <w:r w:rsidRPr="00242F5C">
              <w:rPr>
                <w:sz w:val="20"/>
                <w:szCs w:val="20"/>
              </w:rPr>
              <w:t>0.98 (0.52-1.83)</w:t>
            </w:r>
          </w:p>
        </w:tc>
        <w:tc>
          <w:tcPr>
            <w:tcW w:w="738" w:type="pct"/>
            <w:shd w:val="clear" w:color="auto" w:fill="auto"/>
            <w:noWrap/>
            <w:hideMark/>
          </w:tcPr>
          <w:p w14:paraId="3BC86EAE" w14:textId="52A712F0" w:rsidR="00FB2754" w:rsidRPr="00242F5C" w:rsidRDefault="00184B5D" w:rsidP="004D20E7">
            <w:pPr>
              <w:spacing w:line="480" w:lineRule="auto"/>
              <w:jc w:val="center"/>
              <w:rPr>
                <w:sz w:val="20"/>
                <w:szCs w:val="20"/>
              </w:rPr>
            </w:pPr>
            <w:r w:rsidRPr="00242F5C">
              <w:rPr>
                <w:sz w:val="20"/>
                <w:szCs w:val="20"/>
              </w:rPr>
              <w:t>0.32</w:t>
            </w:r>
          </w:p>
        </w:tc>
        <w:tc>
          <w:tcPr>
            <w:tcW w:w="346" w:type="pct"/>
            <w:shd w:val="clear" w:color="auto" w:fill="auto"/>
            <w:noWrap/>
            <w:hideMark/>
          </w:tcPr>
          <w:p w14:paraId="134ADB2F" w14:textId="5ACA82D1" w:rsidR="00FB2754" w:rsidRPr="00242F5C" w:rsidRDefault="00184B5D" w:rsidP="004D20E7">
            <w:pPr>
              <w:spacing w:line="480" w:lineRule="auto"/>
              <w:jc w:val="center"/>
              <w:rPr>
                <w:sz w:val="20"/>
                <w:szCs w:val="20"/>
              </w:rPr>
            </w:pPr>
            <w:r w:rsidRPr="00242F5C">
              <w:rPr>
                <w:sz w:val="20"/>
                <w:szCs w:val="20"/>
              </w:rPr>
              <w:t>0.937</w:t>
            </w:r>
          </w:p>
        </w:tc>
        <w:tc>
          <w:tcPr>
            <w:tcW w:w="788" w:type="pct"/>
          </w:tcPr>
          <w:p w14:paraId="39C768F9" w14:textId="2B1B8A80" w:rsidR="00FB2754" w:rsidRPr="00242F5C" w:rsidRDefault="00184B5D" w:rsidP="004D20E7">
            <w:pPr>
              <w:spacing w:line="480" w:lineRule="auto"/>
              <w:jc w:val="center"/>
              <w:rPr>
                <w:sz w:val="20"/>
                <w:szCs w:val="20"/>
              </w:rPr>
            </w:pPr>
            <w:r w:rsidRPr="00242F5C">
              <w:rPr>
                <w:sz w:val="20"/>
                <w:szCs w:val="20"/>
              </w:rPr>
              <w:t>2.22 (1.19-4.14)</w:t>
            </w:r>
          </w:p>
        </w:tc>
        <w:tc>
          <w:tcPr>
            <w:tcW w:w="747" w:type="pct"/>
          </w:tcPr>
          <w:p w14:paraId="3212FC90" w14:textId="4540D0B0" w:rsidR="00FB2754" w:rsidRPr="00242F5C" w:rsidRDefault="00184B5D" w:rsidP="004D20E7">
            <w:pPr>
              <w:spacing w:line="480" w:lineRule="auto"/>
              <w:jc w:val="center"/>
              <w:rPr>
                <w:sz w:val="20"/>
                <w:szCs w:val="20"/>
              </w:rPr>
            </w:pPr>
            <w:r w:rsidRPr="00242F5C">
              <w:rPr>
                <w:sz w:val="20"/>
                <w:szCs w:val="20"/>
              </w:rPr>
              <w:t>0.32</w:t>
            </w:r>
          </w:p>
        </w:tc>
        <w:tc>
          <w:tcPr>
            <w:tcW w:w="346" w:type="pct"/>
          </w:tcPr>
          <w:p w14:paraId="1D6FED91" w14:textId="7E3D95DF" w:rsidR="00FB2754" w:rsidRPr="00242F5C" w:rsidRDefault="00184B5D" w:rsidP="004D20E7">
            <w:pPr>
              <w:spacing w:line="480" w:lineRule="auto"/>
              <w:jc w:val="center"/>
              <w:rPr>
                <w:sz w:val="20"/>
                <w:szCs w:val="20"/>
              </w:rPr>
            </w:pPr>
            <w:r w:rsidRPr="00242F5C">
              <w:rPr>
                <w:sz w:val="20"/>
                <w:szCs w:val="20"/>
              </w:rPr>
              <w:t>0.013</w:t>
            </w:r>
          </w:p>
        </w:tc>
      </w:tr>
      <w:tr w:rsidR="00FB2754" w:rsidRPr="00242F5C" w14:paraId="0E0171DA" w14:textId="77777777" w:rsidTr="00FB2754">
        <w:trPr>
          <w:trHeight w:val="285"/>
        </w:trPr>
        <w:tc>
          <w:tcPr>
            <w:tcW w:w="1259" w:type="pct"/>
            <w:shd w:val="clear" w:color="auto" w:fill="auto"/>
            <w:noWrap/>
            <w:vAlign w:val="center"/>
          </w:tcPr>
          <w:p w14:paraId="265242DE" w14:textId="77777777" w:rsidR="00FB2754" w:rsidRPr="00242F5C" w:rsidRDefault="00184B5D" w:rsidP="004D20E7">
            <w:pPr>
              <w:spacing w:line="480" w:lineRule="auto"/>
              <w:ind w:firstLineChars="166" w:firstLine="332"/>
              <w:rPr>
                <w:sz w:val="20"/>
                <w:szCs w:val="20"/>
              </w:rPr>
            </w:pPr>
            <w:r w:rsidRPr="00242F5C">
              <w:rPr>
                <w:sz w:val="20"/>
                <w:szCs w:val="20"/>
              </w:rPr>
              <w:t>2 vs. 0</w:t>
            </w:r>
          </w:p>
        </w:tc>
        <w:tc>
          <w:tcPr>
            <w:tcW w:w="776" w:type="pct"/>
            <w:shd w:val="clear" w:color="auto" w:fill="auto"/>
            <w:noWrap/>
          </w:tcPr>
          <w:p w14:paraId="3CDBF44C" w14:textId="3EF82FE2" w:rsidR="00FB2754" w:rsidRPr="00242F5C" w:rsidRDefault="00184B5D" w:rsidP="004D20E7">
            <w:pPr>
              <w:spacing w:line="480" w:lineRule="auto"/>
              <w:jc w:val="center"/>
              <w:rPr>
                <w:sz w:val="20"/>
                <w:szCs w:val="20"/>
              </w:rPr>
            </w:pPr>
            <w:r w:rsidRPr="00242F5C">
              <w:rPr>
                <w:sz w:val="20"/>
                <w:szCs w:val="20"/>
              </w:rPr>
              <w:t>0.98 (0.52-1.82)</w:t>
            </w:r>
          </w:p>
        </w:tc>
        <w:tc>
          <w:tcPr>
            <w:tcW w:w="738" w:type="pct"/>
            <w:shd w:val="clear" w:color="auto" w:fill="auto"/>
            <w:noWrap/>
          </w:tcPr>
          <w:p w14:paraId="5D37E38C" w14:textId="5A83D6DA" w:rsidR="00FB2754" w:rsidRPr="00242F5C" w:rsidRDefault="00184B5D" w:rsidP="004D20E7">
            <w:pPr>
              <w:spacing w:line="480" w:lineRule="auto"/>
              <w:jc w:val="center"/>
              <w:rPr>
                <w:sz w:val="20"/>
                <w:szCs w:val="20"/>
              </w:rPr>
            </w:pPr>
            <w:r w:rsidRPr="00242F5C">
              <w:rPr>
                <w:sz w:val="20"/>
                <w:szCs w:val="20"/>
              </w:rPr>
              <w:t>0.32</w:t>
            </w:r>
          </w:p>
        </w:tc>
        <w:tc>
          <w:tcPr>
            <w:tcW w:w="346" w:type="pct"/>
            <w:shd w:val="clear" w:color="auto" w:fill="auto"/>
            <w:noWrap/>
          </w:tcPr>
          <w:p w14:paraId="442146D4" w14:textId="260985B0" w:rsidR="00FB2754" w:rsidRPr="00242F5C" w:rsidRDefault="00184B5D" w:rsidP="004D20E7">
            <w:pPr>
              <w:spacing w:line="480" w:lineRule="auto"/>
              <w:jc w:val="center"/>
              <w:rPr>
                <w:sz w:val="20"/>
                <w:szCs w:val="20"/>
              </w:rPr>
            </w:pPr>
            <w:r w:rsidRPr="00242F5C">
              <w:rPr>
                <w:sz w:val="20"/>
                <w:szCs w:val="20"/>
              </w:rPr>
              <w:t>0.942</w:t>
            </w:r>
          </w:p>
        </w:tc>
        <w:tc>
          <w:tcPr>
            <w:tcW w:w="788" w:type="pct"/>
          </w:tcPr>
          <w:p w14:paraId="4BA70C1B" w14:textId="6E34E67C" w:rsidR="00FB2754" w:rsidRPr="00242F5C" w:rsidRDefault="00184B5D" w:rsidP="004D20E7">
            <w:pPr>
              <w:spacing w:line="480" w:lineRule="auto"/>
              <w:jc w:val="center"/>
              <w:rPr>
                <w:sz w:val="20"/>
                <w:szCs w:val="20"/>
              </w:rPr>
            </w:pPr>
            <w:r w:rsidRPr="00242F5C">
              <w:rPr>
                <w:sz w:val="20"/>
                <w:szCs w:val="20"/>
              </w:rPr>
              <w:t>0.84 (0.53-1.33)</w:t>
            </w:r>
          </w:p>
        </w:tc>
        <w:tc>
          <w:tcPr>
            <w:tcW w:w="747" w:type="pct"/>
          </w:tcPr>
          <w:p w14:paraId="62884086" w14:textId="4F8B5AAA" w:rsidR="00FB2754" w:rsidRPr="00242F5C" w:rsidRDefault="00184B5D" w:rsidP="004D20E7">
            <w:pPr>
              <w:spacing w:line="480" w:lineRule="auto"/>
              <w:jc w:val="center"/>
              <w:rPr>
                <w:sz w:val="20"/>
                <w:szCs w:val="20"/>
              </w:rPr>
            </w:pPr>
            <w:r w:rsidRPr="00242F5C">
              <w:rPr>
                <w:sz w:val="20"/>
                <w:szCs w:val="20"/>
              </w:rPr>
              <w:t>0.23</w:t>
            </w:r>
          </w:p>
        </w:tc>
        <w:tc>
          <w:tcPr>
            <w:tcW w:w="346" w:type="pct"/>
          </w:tcPr>
          <w:p w14:paraId="202030EB" w14:textId="1BAB9416" w:rsidR="00FB2754" w:rsidRPr="00242F5C" w:rsidRDefault="00184B5D" w:rsidP="004D20E7">
            <w:pPr>
              <w:spacing w:line="480" w:lineRule="auto"/>
              <w:jc w:val="center"/>
              <w:rPr>
                <w:sz w:val="20"/>
                <w:szCs w:val="20"/>
              </w:rPr>
            </w:pPr>
            <w:r w:rsidRPr="00242F5C">
              <w:rPr>
                <w:sz w:val="20"/>
                <w:szCs w:val="20"/>
              </w:rPr>
              <w:t>0.464</w:t>
            </w:r>
          </w:p>
        </w:tc>
      </w:tr>
      <w:tr w:rsidR="00FB2754" w:rsidRPr="00242F5C" w14:paraId="756492D4" w14:textId="77777777" w:rsidTr="00FB2754">
        <w:trPr>
          <w:trHeight w:val="285"/>
        </w:trPr>
        <w:tc>
          <w:tcPr>
            <w:tcW w:w="1259" w:type="pct"/>
            <w:shd w:val="clear" w:color="auto" w:fill="auto"/>
            <w:noWrap/>
            <w:vAlign w:val="center"/>
            <w:hideMark/>
          </w:tcPr>
          <w:p w14:paraId="687980CC" w14:textId="77777777" w:rsidR="00FB2754" w:rsidRPr="00242F5C" w:rsidRDefault="00184B5D" w:rsidP="004D20E7">
            <w:pPr>
              <w:spacing w:line="480" w:lineRule="auto"/>
              <w:ind w:firstLineChars="166" w:firstLine="332"/>
              <w:rPr>
                <w:sz w:val="20"/>
                <w:szCs w:val="20"/>
              </w:rPr>
            </w:pPr>
            <w:r w:rsidRPr="00242F5C">
              <w:rPr>
                <w:color w:val="222222"/>
                <w:sz w:val="20"/>
                <w:szCs w:val="20"/>
                <w:shd w:val="clear" w:color="auto" w:fill="FFFFFF"/>
              </w:rPr>
              <w:t>≥3</w:t>
            </w:r>
            <w:r w:rsidRPr="00242F5C">
              <w:rPr>
                <w:sz w:val="20"/>
                <w:szCs w:val="20"/>
              </w:rPr>
              <w:t xml:space="preserve"> vs. 0</w:t>
            </w:r>
          </w:p>
        </w:tc>
        <w:tc>
          <w:tcPr>
            <w:tcW w:w="776" w:type="pct"/>
            <w:shd w:val="clear" w:color="auto" w:fill="auto"/>
            <w:noWrap/>
            <w:hideMark/>
          </w:tcPr>
          <w:p w14:paraId="184F12B0" w14:textId="0E071F4C" w:rsidR="00FB2754" w:rsidRPr="00242F5C" w:rsidRDefault="00184B5D" w:rsidP="004D20E7">
            <w:pPr>
              <w:spacing w:line="480" w:lineRule="auto"/>
              <w:jc w:val="center"/>
              <w:rPr>
                <w:sz w:val="20"/>
                <w:szCs w:val="20"/>
              </w:rPr>
            </w:pPr>
            <w:r w:rsidRPr="00242F5C">
              <w:rPr>
                <w:sz w:val="20"/>
                <w:szCs w:val="20"/>
              </w:rPr>
              <w:t>1.01 (0.67-1.53)</w:t>
            </w:r>
          </w:p>
        </w:tc>
        <w:tc>
          <w:tcPr>
            <w:tcW w:w="738" w:type="pct"/>
            <w:shd w:val="clear" w:color="auto" w:fill="auto"/>
            <w:noWrap/>
            <w:hideMark/>
          </w:tcPr>
          <w:p w14:paraId="2C8CB817" w14:textId="1EB35430" w:rsidR="00FB2754" w:rsidRPr="00242F5C" w:rsidRDefault="00184B5D" w:rsidP="004D20E7">
            <w:pPr>
              <w:spacing w:line="480" w:lineRule="auto"/>
              <w:jc w:val="center"/>
              <w:rPr>
                <w:sz w:val="20"/>
                <w:szCs w:val="20"/>
              </w:rPr>
            </w:pPr>
            <w:r w:rsidRPr="00242F5C">
              <w:rPr>
                <w:sz w:val="20"/>
                <w:szCs w:val="20"/>
              </w:rPr>
              <w:t>0.21</w:t>
            </w:r>
          </w:p>
        </w:tc>
        <w:tc>
          <w:tcPr>
            <w:tcW w:w="346" w:type="pct"/>
            <w:shd w:val="clear" w:color="auto" w:fill="auto"/>
            <w:noWrap/>
            <w:hideMark/>
          </w:tcPr>
          <w:p w14:paraId="2D7F0F24" w14:textId="565A6AC8" w:rsidR="00FB2754" w:rsidRPr="00242F5C" w:rsidRDefault="00184B5D" w:rsidP="004D20E7">
            <w:pPr>
              <w:spacing w:line="480" w:lineRule="auto"/>
              <w:jc w:val="center"/>
              <w:rPr>
                <w:sz w:val="20"/>
                <w:szCs w:val="20"/>
              </w:rPr>
            </w:pPr>
            <w:r w:rsidRPr="00242F5C">
              <w:rPr>
                <w:sz w:val="20"/>
                <w:szCs w:val="20"/>
              </w:rPr>
              <w:t>0.947</w:t>
            </w:r>
          </w:p>
        </w:tc>
        <w:tc>
          <w:tcPr>
            <w:tcW w:w="788" w:type="pct"/>
          </w:tcPr>
          <w:p w14:paraId="7E74A82C" w14:textId="239A66C4" w:rsidR="00FB2754" w:rsidRPr="00242F5C" w:rsidRDefault="00184B5D" w:rsidP="004D20E7">
            <w:pPr>
              <w:spacing w:line="480" w:lineRule="auto"/>
              <w:jc w:val="center"/>
              <w:rPr>
                <w:sz w:val="20"/>
                <w:szCs w:val="20"/>
              </w:rPr>
            </w:pPr>
            <w:r w:rsidRPr="00242F5C">
              <w:rPr>
                <w:sz w:val="20"/>
                <w:szCs w:val="20"/>
              </w:rPr>
              <w:t>1.39 (0.88-2.17)</w:t>
            </w:r>
          </w:p>
        </w:tc>
        <w:tc>
          <w:tcPr>
            <w:tcW w:w="747" w:type="pct"/>
          </w:tcPr>
          <w:p w14:paraId="5C64A6DB" w14:textId="43858809" w:rsidR="00FB2754" w:rsidRPr="00242F5C" w:rsidRDefault="00184B5D" w:rsidP="004D20E7">
            <w:pPr>
              <w:spacing w:line="480" w:lineRule="auto"/>
              <w:jc w:val="center"/>
              <w:rPr>
                <w:sz w:val="20"/>
                <w:szCs w:val="20"/>
              </w:rPr>
            </w:pPr>
            <w:r w:rsidRPr="00242F5C">
              <w:rPr>
                <w:sz w:val="20"/>
                <w:szCs w:val="20"/>
              </w:rPr>
              <w:t>0.23</w:t>
            </w:r>
          </w:p>
        </w:tc>
        <w:tc>
          <w:tcPr>
            <w:tcW w:w="346" w:type="pct"/>
          </w:tcPr>
          <w:p w14:paraId="1C61F79A" w14:textId="65B3D5F6" w:rsidR="00FB2754" w:rsidRPr="00242F5C" w:rsidRDefault="00184B5D" w:rsidP="004D20E7">
            <w:pPr>
              <w:spacing w:line="480" w:lineRule="auto"/>
              <w:jc w:val="center"/>
              <w:rPr>
                <w:sz w:val="20"/>
                <w:szCs w:val="20"/>
              </w:rPr>
            </w:pPr>
            <w:r w:rsidRPr="00242F5C">
              <w:rPr>
                <w:sz w:val="20"/>
                <w:szCs w:val="20"/>
              </w:rPr>
              <w:t>0.155</w:t>
            </w:r>
          </w:p>
        </w:tc>
      </w:tr>
      <w:tr w:rsidR="00FB2754" w:rsidRPr="00242F5C" w14:paraId="4E654039" w14:textId="77777777" w:rsidTr="00FB2754">
        <w:trPr>
          <w:trHeight w:val="285"/>
        </w:trPr>
        <w:tc>
          <w:tcPr>
            <w:tcW w:w="1259" w:type="pct"/>
            <w:shd w:val="clear" w:color="auto" w:fill="auto"/>
            <w:noWrap/>
            <w:vAlign w:val="center"/>
          </w:tcPr>
          <w:p w14:paraId="2E61BE96" w14:textId="77777777" w:rsidR="00FB2754" w:rsidRPr="00242F5C" w:rsidRDefault="00FB2754" w:rsidP="004D20E7">
            <w:pPr>
              <w:spacing w:line="480" w:lineRule="auto"/>
              <w:ind w:firstLineChars="166" w:firstLine="332"/>
              <w:rPr>
                <w:color w:val="222222"/>
                <w:sz w:val="20"/>
                <w:szCs w:val="20"/>
                <w:shd w:val="clear" w:color="auto" w:fill="FFFFFF"/>
              </w:rPr>
            </w:pPr>
          </w:p>
        </w:tc>
        <w:tc>
          <w:tcPr>
            <w:tcW w:w="776" w:type="pct"/>
            <w:shd w:val="clear" w:color="auto" w:fill="auto"/>
            <w:noWrap/>
            <w:vAlign w:val="center"/>
          </w:tcPr>
          <w:p w14:paraId="76D945CC" w14:textId="77777777" w:rsidR="00FB2754" w:rsidRPr="00242F5C" w:rsidRDefault="00FB2754" w:rsidP="004D20E7">
            <w:pPr>
              <w:spacing w:line="480" w:lineRule="auto"/>
              <w:jc w:val="center"/>
              <w:rPr>
                <w:sz w:val="20"/>
                <w:szCs w:val="20"/>
              </w:rPr>
            </w:pPr>
          </w:p>
        </w:tc>
        <w:tc>
          <w:tcPr>
            <w:tcW w:w="738" w:type="pct"/>
            <w:shd w:val="clear" w:color="auto" w:fill="auto"/>
            <w:noWrap/>
            <w:vAlign w:val="center"/>
          </w:tcPr>
          <w:p w14:paraId="0857A3FD"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253AE493" w14:textId="77777777" w:rsidR="00FB2754" w:rsidRPr="00242F5C" w:rsidRDefault="00FB2754" w:rsidP="004D20E7">
            <w:pPr>
              <w:spacing w:line="480" w:lineRule="auto"/>
              <w:jc w:val="center"/>
              <w:rPr>
                <w:sz w:val="20"/>
                <w:szCs w:val="20"/>
              </w:rPr>
            </w:pPr>
          </w:p>
        </w:tc>
        <w:tc>
          <w:tcPr>
            <w:tcW w:w="788" w:type="pct"/>
            <w:vAlign w:val="center"/>
          </w:tcPr>
          <w:p w14:paraId="5F5F8FB3" w14:textId="77777777" w:rsidR="00FB2754" w:rsidRPr="00242F5C" w:rsidRDefault="00FB2754" w:rsidP="004D20E7">
            <w:pPr>
              <w:spacing w:line="480" w:lineRule="auto"/>
              <w:jc w:val="center"/>
              <w:rPr>
                <w:sz w:val="20"/>
                <w:szCs w:val="20"/>
              </w:rPr>
            </w:pPr>
          </w:p>
        </w:tc>
        <w:tc>
          <w:tcPr>
            <w:tcW w:w="747" w:type="pct"/>
            <w:vAlign w:val="center"/>
          </w:tcPr>
          <w:p w14:paraId="7018BDFC" w14:textId="77777777" w:rsidR="00FB2754" w:rsidRPr="00242F5C" w:rsidRDefault="00FB2754" w:rsidP="004D20E7">
            <w:pPr>
              <w:spacing w:line="480" w:lineRule="auto"/>
              <w:jc w:val="center"/>
              <w:rPr>
                <w:sz w:val="20"/>
                <w:szCs w:val="20"/>
              </w:rPr>
            </w:pPr>
          </w:p>
        </w:tc>
        <w:tc>
          <w:tcPr>
            <w:tcW w:w="346" w:type="pct"/>
            <w:vAlign w:val="center"/>
          </w:tcPr>
          <w:p w14:paraId="003D6556" w14:textId="77777777" w:rsidR="00FB2754" w:rsidRPr="00242F5C" w:rsidRDefault="00FB2754" w:rsidP="004D20E7">
            <w:pPr>
              <w:spacing w:line="480" w:lineRule="auto"/>
              <w:jc w:val="center"/>
              <w:rPr>
                <w:sz w:val="20"/>
                <w:szCs w:val="20"/>
              </w:rPr>
            </w:pPr>
          </w:p>
        </w:tc>
      </w:tr>
      <w:tr w:rsidR="00FB2754" w:rsidRPr="00242F5C" w14:paraId="35D088F6" w14:textId="77777777" w:rsidTr="00FB2754">
        <w:trPr>
          <w:trHeight w:val="285"/>
        </w:trPr>
        <w:tc>
          <w:tcPr>
            <w:tcW w:w="1259" w:type="pct"/>
            <w:shd w:val="clear" w:color="auto" w:fill="auto"/>
            <w:noWrap/>
            <w:vAlign w:val="center"/>
          </w:tcPr>
          <w:p w14:paraId="1D5DBC74" w14:textId="77777777" w:rsidR="00FB2754" w:rsidRPr="00242F5C" w:rsidRDefault="00184B5D" w:rsidP="004D20E7">
            <w:pPr>
              <w:spacing w:line="480" w:lineRule="auto"/>
              <w:rPr>
                <w:b/>
                <w:bCs/>
                <w:sz w:val="20"/>
                <w:szCs w:val="20"/>
              </w:rPr>
            </w:pPr>
            <w:r w:rsidRPr="00242F5C">
              <w:rPr>
                <w:b/>
                <w:bCs/>
                <w:sz w:val="20"/>
                <w:szCs w:val="20"/>
              </w:rPr>
              <w:t xml:space="preserve">Liver Metastases </w:t>
            </w:r>
          </w:p>
        </w:tc>
        <w:tc>
          <w:tcPr>
            <w:tcW w:w="776" w:type="pct"/>
            <w:shd w:val="clear" w:color="auto" w:fill="auto"/>
            <w:noWrap/>
            <w:vAlign w:val="center"/>
          </w:tcPr>
          <w:p w14:paraId="301365AA" w14:textId="77777777" w:rsidR="00FB2754" w:rsidRPr="00242F5C" w:rsidRDefault="00FB2754" w:rsidP="004D20E7">
            <w:pPr>
              <w:spacing w:line="480" w:lineRule="auto"/>
              <w:jc w:val="center"/>
              <w:rPr>
                <w:b/>
                <w:bCs/>
                <w:sz w:val="20"/>
                <w:szCs w:val="20"/>
              </w:rPr>
            </w:pPr>
          </w:p>
        </w:tc>
        <w:tc>
          <w:tcPr>
            <w:tcW w:w="738" w:type="pct"/>
            <w:shd w:val="clear" w:color="auto" w:fill="auto"/>
            <w:noWrap/>
            <w:vAlign w:val="center"/>
          </w:tcPr>
          <w:p w14:paraId="732FF515"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11DA2E07" w14:textId="77777777" w:rsidR="00FB2754" w:rsidRPr="00242F5C" w:rsidRDefault="00FB2754" w:rsidP="004D20E7">
            <w:pPr>
              <w:spacing w:line="480" w:lineRule="auto"/>
              <w:jc w:val="center"/>
              <w:rPr>
                <w:sz w:val="20"/>
                <w:szCs w:val="20"/>
              </w:rPr>
            </w:pPr>
          </w:p>
        </w:tc>
        <w:tc>
          <w:tcPr>
            <w:tcW w:w="788" w:type="pct"/>
            <w:vAlign w:val="center"/>
          </w:tcPr>
          <w:p w14:paraId="7A247EB5" w14:textId="77777777" w:rsidR="00FB2754" w:rsidRPr="00242F5C" w:rsidRDefault="00FB2754" w:rsidP="004D20E7">
            <w:pPr>
              <w:spacing w:line="480" w:lineRule="auto"/>
              <w:jc w:val="center"/>
              <w:rPr>
                <w:sz w:val="20"/>
                <w:szCs w:val="20"/>
              </w:rPr>
            </w:pPr>
          </w:p>
        </w:tc>
        <w:tc>
          <w:tcPr>
            <w:tcW w:w="747" w:type="pct"/>
            <w:vAlign w:val="center"/>
          </w:tcPr>
          <w:p w14:paraId="651DE07C" w14:textId="77777777" w:rsidR="00FB2754" w:rsidRPr="00242F5C" w:rsidRDefault="00FB2754" w:rsidP="004D20E7">
            <w:pPr>
              <w:spacing w:line="480" w:lineRule="auto"/>
              <w:jc w:val="center"/>
              <w:rPr>
                <w:sz w:val="20"/>
                <w:szCs w:val="20"/>
              </w:rPr>
            </w:pPr>
          </w:p>
        </w:tc>
        <w:tc>
          <w:tcPr>
            <w:tcW w:w="346" w:type="pct"/>
            <w:vAlign w:val="center"/>
          </w:tcPr>
          <w:p w14:paraId="4639E344" w14:textId="77777777" w:rsidR="00FB2754" w:rsidRPr="00242F5C" w:rsidRDefault="00FB2754" w:rsidP="004D20E7">
            <w:pPr>
              <w:spacing w:line="480" w:lineRule="auto"/>
              <w:jc w:val="center"/>
              <w:rPr>
                <w:sz w:val="20"/>
                <w:szCs w:val="20"/>
              </w:rPr>
            </w:pPr>
          </w:p>
        </w:tc>
      </w:tr>
      <w:tr w:rsidR="00FB2754" w:rsidRPr="00242F5C" w14:paraId="012BDB21" w14:textId="77777777" w:rsidTr="00FB2754">
        <w:trPr>
          <w:trHeight w:val="285"/>
        </w:trPr>
        <w:tc>
          <w:tcPr>
            <w:tcW w:w="1259" w:type="pct"/>
            <w:shd w:val="clear" w:color="auto" w:fill="auto"/>
            <w:noWrap/>
            <w:vAlign w:val="center"/>
            <w:hideMark/>
          </w:tcPr>
          <w:p w14:paraId="1C23165E" w14:textId="77777777" w:rsidR="00FB2754" w:rsidRPr="00242F5C" w:rsidRDefault="00184B5D" w:rsidP="004D20E7">
            <w:pPr>
              <w:spacing w:line="480" w:lineRule="auto"/>
              <w:ind w:firstLineChars="166" w:firstLine="332"/>
              <w:rPr>
                <w:sz w:val="20"/>
                <w:szCs w:val="20"/>
              </w:rPr>
            </w:pPr>
            <w:r w:rsidRPr="00242F5C">
              <w:rPr>
                <w:sz w:val="20"/>
                <w:szCs w:val="20"/>
              </w:rPr>
              <w:t>Yes vs. No</w:t>
            </w:r>
          </w:p>
        </w:tc>
        <w:tc>
          <w:tcPr>
            <w:tcW w:w="776" w:type="pct"/>
            <w:shd w:val="clear" w:color="auto" w:fill="auto"/>
            <w:noWrap/>
            <w:hideMark/>
          </w:tcPr>
          <w:p w14:paraId="091DD531" w14:textId="47643F92" w:rsidR="00FB2754" w:rsidRPr="00242F5C" w:rsidRDefault="00184B5D" w:rsidP="004D20E7">
            <w:pPr>
              <w:spacing w:line="480" w:lineRule="auto"/>
              <w:jc w:val="center"/>
              <w:rPr>
                <w:sz w:val="20"/>
                <w:szCs w:val="20"/>
              </w:rPr>
            </w:pPr>
            <w:r w:rsidRPr="00242F5C">
              <w:rPr>
                <w:sz w:val="20"/>
                <w:szCs w:val="20"/>
              </w:rPr>
              <w:t>1.78 (1.14-2.79)</w:t>
            </w:r>
          </w:p>
        </w:tc>
        <w:tc>
          <w:tcPr>
            <w:tcW w:w="738" w:type="pct"/>
            <w:shd w:val="clear" w:color="auto" w:fill="auto"/>
            <w:noWrap/>
            <w:hideMark/>
          </w:tcPr>
          <w:p w14:paraId="58885F63" w14:textId="69229A9B" w:rsidR="00FB2754" w:rsidRPr="00242F5C" w:rsidRDefault="00184B5D" w:rsidP="004D20E7">
            <w:pPr>
              <w:spacing w:line="480" w:lineRule="auto"/>
              <w:jc w:val="center"/>
              <w:rPr>
                <w:sz w:val="20"/>
                <w:szCs w:val="20"/>
              </w:rPr>
            </w:pPr>
            <w:r w:rsidRPr="00242F5C">
              <w:rPr>
                <w:sz w:val="20"/>
                <w:szCs w:val="20"/>
              </w:rPr>
              <w:t>0.23</w:t>
            </w:r>
          </w:p>
        </w:tc>
        <w:tc>
          <w:tcPr>
            <w:tcW w:w="346" w:type="pct"/>
            <w:shd w:val="clear" w:color="auto" w:fill="auto"/>
            <w:noWrap/>
            <w:hideMark/>
          </w:tcPr>
          <w:p w14:paraId="02C047B7" w14:textId="65BF5D2F" w:rsidR="00FB2754" w:rsidRPr="00242F5C" w:rsidRDefault="00184B5D" w:rsidP="004D20E7">
            <w:pPr>
              <w:spacing w:line="480" w:lineRule="auto"/>
              <w:jc w:val="center"/>
              <w:rPr>
                <w:sz w:val="20"/>
                <w:szCs w:val="20"/>
              </w:rPr>
            </w:pPr>
            <w:r w:rsidRPr="00242F5C">
              <w:rPr>
                <w:sz w:val="20"/>
                <w:szCs w:val="20"/>
              </w:rPr>
              <w:t>0.011</w:t>
            </w:r>
          </w:p>
        </w:tc>
        <w:tc>
          <w:tcPr>
            <w:tcW w:w="788" w:type="pct"/>
          </w:tcPr>
          <w:p w14:paraId="258BD66E" w14:textId="54FA377E" w:rsidR="00FB2754" w:rsidRPr="00242F5C" w:rsidRDefault="00184B5D" w:rsidP="004D20E7">
            <w:pPr>
              <w:spacing w:line="480" w:lineRule="auto"/>
              <w:jc w:val="center"/>
              <w:rPr>
                <w:sz w:val="20"/>
                <w:szCs w:val="20"/>
              </w:rPr>
            </w:pPr>
            <w:r w:rsidRPr="00242F5C">
              <w:rPr>
                <w:sz w:val="20"/>
                <w:szCs w:val="20"/>
              </w:rPr>
              <w:t>0.97 (0.68-1.39)</w:t>
            </w:r>
          </w:p>
        </w:tc>
        <w:tc>
          <w:tcPr>
            <w:tcW w:w="747" w:type="pct"/>
          </w:tcPr>
          <w:p w14:paraId="00ADEE1E" w14:textId="1EB0F51C" w:rsidR="00FB2754" w:rsidRPr="00242F5C" w:rsidRDefault="00184B5D" w:rsidP="004D20E7">
            <w:pPr>
              <w:spacing w:line="480" w:lineRule="auto"/>
              <w:jc w:val="center"/>
              <w:rPr>
                <w:sz w:val="20"/>
                <w:szCs w:val="20"/>
              </w:rPr>
            </w:pPr>
            <w:r w:rsidRPr="00242F5C">
              <w:rPr>
                <w:sz w:val="20"/>
                <w:szCs w:val="20"/>
              </w:rPr>
              <w:t>0.18</w:t>
            </w:r>
          </w:p>
        </w:tc>
        <w:tc>
          <w:tcPr>
            <w:tcW w:w="346" w:type="pct"/>
          </w:tcPr>
          <w:p w14:paraId="2B94A933" w14:textId="699639D5" w:rsidR="00FB2754" w:rsidRPr="00242F5C" w:rsidRDefault="00184B5D" w:rsidP="004D20E7">
            <w:pPr>
              <w:spacing w:line="480" w:lineRule="auto"/>
              <w:jc w:val="center"/>
              <w:rPr>
                <w:sz w:val="20"/>
                <w:szCs w:val="20"/>
              </w:rPr>
            </w:pPr>
            <w:r w:rsidRPr="00242F5C">
              <w:rPr>
                <w:sz w:val="20"/>
                <w:szCs w:val="20"/>
              </w:rPr>
              <w:t>0.859</w:t>
            </w:r>
          </w:p>
        </w:tc>
      </w:tr>
      <w:tr w:rsidR="00FB2754" w:rsidRPr="00242F5C" w14:paraId="5376A29D" w14:textId="77777777" w:rsidTr="00FB2754">
        <w:trPr>
          <w:trHeight w:val="285"/>
        </w:trPr>
        <w:tc>
          <w:tcPr>
            <w:tcW w:w="1259" w:type="pct"/>
            <w:shd w:val="clear" w:color="auto" w:fill="auto"/>
            <w:noWrap/>
            <w:vAlign w:val="center"/>
            <w:hideMark/>
          </w:tcPr>
          <w:p w14:paraId="0A82388D" w14:textId="77777777" w:rsidR="00FB2754" w:rsidRPr="00242F5C" w:rsidRDefault="00184B5D" w:rsidP="004D20E7">
            <w:pPr>
              <w:spacing w:line="480" w:lineRule="auto"/>
              <w:ind w:firstLineChars="166" w:firstLine="332"/>
              <w:rPr>
                <w:sz w:val="20"/>
                <w:szCs w:val="20"/>
              </w:rPr>
            </w:pPr>
            <w:r w:rsidRPr="00242F5C">
              <w:rPr>
                <w:sz w:val="20"/>
                <w:szCs w:val="20"/>
              </w:rPr>
              <w:t>Unknown vs. No</w:t>
            </w:r>
          </w:p>
        </w:tc>
        <w:tc>
          <w:tcPr>
            <w:tcW w:w="776" w:type="pct"/>
            <w:shd w:val="clear" w:color="auto" w:fill="auto"/>
            <w:noWrap/>
            <w:hideMark/>
          </w:tcPr>
          <w:p w14:paraId="40C033DB" w14:textId="60A2C2F0" w:rsidR="00FB2754" w:rsidRPr="00242F5C" w:rsidRDefault="00184B5D" w:rsidP="004D20E7">
            <w:pPr>
              <w:spacing w:line="480" w:lineRule="auto"/>
              <w:jc w:val="center"/>
              <w:rPr>
                <w:sz w:val="20"/>
                <w:szCs w:val="20"/>
              </w:rPr>
            </w:pPr>
            <w:r w:rsidRPr="00242F5C">
              <w:rPr>
                <w:sz w:val="20"/>
                <w:szCs w:val="20"/>
              </w:rPr>
              <w:t>0.35 (0.07-1.84)</w:t>
            </w:r>
          </w:p>
        </w:tc>
        <w:tc>
          <w:tcPr>
            <w:tcW w:w="738" w:type="pct"/>
            <w:shd w:val="clear" w:color="auto" w:fill="auto"/>
            <w:noWrap/>
            <w:hideMark/>
          </w:tcPr>
          <w:p w14:paraId="28922FDA" w14:textId="66F35AFD" w:rsidR="00FB2754" w:rsidRPr="00242F5C" w:rsidRDefault="00184B5D" w:rsidP="004D20E7">
            <w:pPr>
              <w:spacing w:line="480" w:lineRule="auto"/>
              <w:jc w:val="center"/>
              <w:rPr>
                <w:sz w:val="20"/>
                <w:szCs w:val="20"/>
              </w:rPr>
            </w:pPr>
            <w:r w:rsidRPr="00242F5C">
              <w:rPr>
                <w:sz w:val="20"/>
                <w:szCs w:val="20"/>
              </w:rPr>
              <w:t>0.85</w:t>
            </w:r>
          </w:p>
        </w:tc>
        <w:tc>
          <w:tcPr>
            <w:tcW w:w="346" w:type="pct"/>
            <w:shd w:val="clear" w:color="auto" w:fill="auto"/>
            <w:noWrap/>
            <w:hideMark/>
          </w:tcPr>
          <w:p w14:paraId="0B428921" w14:textId="642E71AD" w:rsidR="00FB2754" w:rsidRPr="00242F5C" w:rsidRDefault="00184B5D" w:rsidP="004D20E7">
            <w:pPr>
              <w:spacing w:line="480" w:lineRule="auto"/>
              <w:jc w:val="center"/>
              <w:rPr>
                <w:sz w:val="20"/>
                <w:szCs w:val="20"/>
              </w:rPr>
            </w:pPr>
            <w:r w:rsidRPr="00242F5C">
              <w:rPr>
                <w:sz w:val="20"/>
                <w:szCs w:val="20"/>
              </w:rPr>
              <w:t>0.214</w:t>
            </w:r>
          </w:p>
        </w:tc>
        <w:tc>
          <w:tcPr>
            <w:tcW w:w="788" w:type="pct"/>
          </w:tcPr>
          <w:p w14:paraId="12935CAE" w14:textId="10A1AA51" w:rsidR="00FB2754" w:rsidRPr="00242F5C" w:rsidRDefault="00184B5D" w:rsidP="004D20E7">
            <w:pPr>
              <w:spacing w:line="480" w:lineRule="auto"/>
              <w:jc w:val="center"/>
              <w:rPr>
                <w:sz w:val="20"/>
                <w:szCs w:val="20"/>
              </w:rPr>
            </w:pPr>
            <w:r w:rsidRPr="00242F5C">
              <w:rPr>
                <w:sz w:val="20"/>
                <w:szCs w:val="20"/>
              </w:rPr>
              <w:t>1.07 (0.57-1.99)</w:t>
            </w:r>
          </w:p>
        </w:tc>
        <w:tc>
          <w:tcPr>
            <w:tcW w:w="747" w:type="pct"/>
          </w:tcPr>
          <w:p w14:paraId="3A5740B3" w14:textId="2AFAE408" w:rsidR="00FB2754" w:rsidRPr="00242F5C" w:rsidRDefault="00184B5D" w:rsidP="004D20E7">
            <w:pPr>
              <w:spacing w:line="480" w:lineRule="auto"/>
              <w:jc w:val="center"/>
              <w:rPr>
                <w:sz w:val="20"/>
                <w:szCs w:val="20"/>
              </w:rPr>
            </w:pPr>
            <w:r w:rsidRPr="00242F5C">
              <w:rPr>
                <w:sz w:val="20"/>
                <w:szCs w:val="20"/>
              </w:rPr>
              <w:t>0.32</w:t>
            </w:r>
          </w:p>
        </w:tc>
        <w:tc>
          <w:tcPr>
            <w:tcW w:w="346" w:type="pct"/>
          </w:tcPr>
          <w:p w14:paraId="4059E36D" w14:textId="433593FE" w:rsidR="00FB2754" w:rsidRPr="00242F5C" w:rsidRDefault="00184B5D" w:rsidP="004D20E7">
            <w:pPr>
              <w:spacing w:line="480" w:lineRule="auto"/>
              <w:jc w:val="center"/>
              <w:rPr>
                <w:sz w:val="20"/>
                <w:szCs w:val="20"/>
              </w:rPr>
            </w:pPr>
            <w:r w:rsidRPr="00242F5C">
              <w:rPr>
                <w:sz w:val="20"/>
                <w:szCs w:val="20"/>
              </w:rPr>
              <w:t>0.839</w:t>
            </w:r>
          </w:p>
        </w:tc>
      </w:tr>
      <w:tr w:rsidR="00FB2754" w:rsidRPr="00242F5C" w14:paraId="1A862940" w14:textId="77777777" w:rsidTr="00FB2754">
        <w:trPr>
          <w:trHeight w:val="285"/>
        </w:trPr>
        <w:tc>
          <w:tcPr>
            <w:tcW w:w="1259" w:type="pct"/>
            <w:shd w:val="clear" w:color="auto" w:fill="auto"/>
            <w:noWrap/>
            <w:vAlign w:val="center"/>
          </w:tcPr>
          <w:p w14:paraId="09494EF5" w14:textId="77777777" w:rsidR="00FB2754" w:rsidRPr="00242F5C" w:rsidRDefault="00FB2754" w:rsidP="004D20E7">
            <w:pPr>
              <w:spacing w:line="480" w:lineRule="auto"/>
              <w:ind w:firstLineChars="166" w:firstLine="332"/>
              <w:rPr>
                <w:sz w:val="20"/>
                <w:szCs w:val="20"/>
              </w:rPr>
            </w:pPr>
          </w:p>
        </w:tc>
        <w:tc>
          <w:tcPr>
            <w:tcW w:w="776" w:type="pct"/>
            <w:shd w:val="clear" w:color="auto" w:fill="auto"/>
            <w:noWrap/>
            <w:vAlign w:val="center"/>
          </w:tcPr>
          <w:p w14:paraId="5C66D263" w14:textId="77777777" w:rsidR="00FB2754" w:rsidRPr="00242F5C" w:rsidRDefault="00FB2754" w:rsidP="004D20E7">
            <w:pPr>
              <w:spacing w:line="480" w:lineRule="auto"/>
              <w:jc w:val="center"/>
              <w:rPr>
                <w:sz w:val="20"/>
                <w:szCs w:val="20"/>
              </w:rPr>
            </w:pPr>
          </w:p>
        </w:tc>
        <w:tc>
          <w:tcPr>
            <w:tcW w:w="738" w:type="pct"/>
            <w:shd w:val="clear" w:color="auto" w:fill="auto"/>
            <w:noWrap/>
            <w:vAlign w:val="center"/>
          </w:tcPr>
          <w:p w14:paraId="6FA20172"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351E5851" w14:textId="77777777" w:rsidR="00FB2754" w:rsidRPr="00242F5C" w:rsidRDefault="00FB2754" w:rsidP="004D20E7">
            <w:pPr>
              <w:spacing w:line="480" w:lineRule="auto"/>
              <w:jc w:val="center"/>
              <w:rPr>
                <w:sz w:val="20"/>
                <w:szCs w:val="20"/>
              </w:rPr>
            </w:pPr>
          </w:p>
        </w:tc>
        <w:tc>
          <w:tcPr>
            <w:tcW w:w="788" w:type="pct"/>
            <w:vAlign w:val="center"/>
          </w:tcPr>
          <w:p w14:paraId="682EF676" w14:textId="77777777" w:rsidR="00FB2754" w:rsidRPr="00242F5C" w:rsidRDefault="00FB2754" w:rsidP="004D20E7">
            <w:pPr>
              <w:spacing w:line="480" w:lineRule="auto"/>
              <w:jc w:val="center"/>
              <w:rPr>
                <w:sz w:val="20"/>
                <w:szCs w:val="20"/>
              </w:rPr>
            </w:pPr>
          </w:p>
        </w:tc>
        <w:tc>
          <w:tcPr>
            <w:tcW w:w="747" w:type="pct"/>
            <w:vAlign w:val="center"/>
          </w:tcPr>
          <w:p w14:paraId="6CB2014E" w14:textId="77777777" w:rsidR="00FB2754" w:rsidRPr="00242F5C" w:rsidRDefault="00FB2754" w:rsidP="004D20E7">
            <w:pPr>
              <w:spacing w:line="480" w:lineRule="auto"/>
              <w:jc w:val="center"/>
              <w:rPr>
                <w:sz w:val="20"/>
                <w:szCs w:val="20"/>
              </w:rPr>
            </w:pPr>
          </w:p>
        </w:tc>
        <w:tc>
          <w:tcPr>
            <w:tcW w:w="346" w:type="pct"/>
            <w:vAlign w:val="center"/>
          </w:tcPr>
          <w:p w14:paraId="03E8F185" w14:textId="77777777" w:rsidR="00FB2754" w:rsidRPr="00242F5C" w:rsidRDefault="00FB2754" w:rsidP="004D20E7">
            <w:pPr>
              <w:spacing w:line="480" w:lineRule="auto"/>
              <w:jc w:val="center"/>
              <w:rPr>
                <w:sz w:val="20"/>
                <w:szCs w:val="20"/>
              </w:rPr>
            </w:pPr>
          </w:p>
        </w:tc>
      </w:tr>
      <w:tr w:rsidR="00FB2754" w:rsidRPr="00242F5C" w14:paraId="22A20D0E" w14:textId="77777777" w:rsidTr="00FB2754">
        <w:trPr>
          <w:trHeight w:val="285"/>
        </w:trPr>
        <w:tc>
          <w:tcPr>
            <w:tcW w:w="1259" w:type="pct"/>
            <w:shd w:val="clear" w:color="auto" w:fill="auto"/>
            <w:noWrap/>
            <w:vAlign w:val="center"/>
          </w:tcPr>
          <w:p w14:paraId="27E93CFD" w14:textId="77777777" w:rsidR="00FB2754" w:rsidRPr="00242F5C" w:rsidRDefault="00184B5D" w:rsidP="004D20E7">
            <w:pPr>
              <w:spacing w:line="480" w:lineRule="auto"/>
              <w:rPr>
                <w:b/>
                <w:bCs/>
                <w:color w:val="000000"/>
                <w:sz w:val="20"/>
                <w:szCs w:val="20"/>
              </w:rPr>
            </w:pPr>
            <w:r w:rsidRPr="00242F5C">
              <w:rPr>
                <w:b/>
                <w:bCs/>
                <w:color w:val="000000"/>
                <w:sz w:val="20"/>
                <w:szCs w:val="20"/>
              </w:rPr>
              <w:t>Number of fPBC cycles</w:t>
            </w:r>
          </w:p>
        </w:tc>
        <w:tc>
          <w:tcPr>
            <w:tcW w:w="776" w:type="pct"/>
            <w:shd w:val="clear" w:color="auto" w:fill="auto"/>
            <w:noWrap/>
            <w:vAlign w:val="center"/>
          </w:tcPr>
          <w:p w14:paraId="39D58D5A" w14:textId="52C13203" w:rsidR="00FB2754" w:rsidRPr="00242F5C" w:rsidRDefault="00184B5D" w:rsidP="004D20E7">
            <w:pPr>
              <w:spacing w:line="480" w:lineRule="auto"/>
              <w:jc w:val="center"/>
              <w:rPr>
                <w:sz w:val="20"/>
                <w:szCs w:val="20"/>
              </w:rPr>
            </w:pPr>
            <w:r w:rsidRPr="00242F5C">
              <w:rPr>
                <w:sz w:val="20"/>
                <w:szCs w:val="20"/>
              </w:rPr>
              <w:t>1.10 (0.94-1.29)</w:t>
            </w:r>
          </w:p>
        </w:tc>
        <w:tc>
          <w:tcPr>
            <w:tcW w:w="738" w:type="pct"/>
            <w:shd w:val="clear" w:color="auto" w:fill="auto"/>
            <w:noWrap/>
            <w:vAlign w:val="center"/>
          </w:tcPr>
          <w:p w14:paraId="509C8E8F" w14:textId="385BB86E" w:rsidR="00FB2754" w:rsidRPr="00242F5C" w:rsidRDefault="00184B5D" w:rsidP="004D20E7">
            <w:pPr>
              <w:spacing w:line="480" w:lineRule="auto"/>
              <w:jc w:val="center"/>
              <w:rPr>
                <w:sz w:val="20"/>
                <w:szCs w:val="20"/>
              </w:rPr>
            </w:pPr>
            <w:r w:rsidRPr="00242F5C">
              <w:rPr>
                <w:sz w:val="20"/>
                <w:szCs w:val="20"/>
              </w:rPr>
              <w:t>0.08</w:t>
            </w:r>
          </w:p>
        </w:tc>
        <w:tc>
          <w:tcPr>
            <w:tcW w:w="346" w:type="pct"/>
            <w:shd w:val="clear" w:color="auto" w:fill="auto"/>
            <w:noWrap/>
            <w:vAlign w:val="center"/>
          </w:tcPr>
          <w:p w14:paraId="2115EE20" w14:textId="64CBDA21" w:rsidR="00FB2754" w:rsidRPr="00242F5C" w:rsidRDefault="00184B5D" w:rsidP="004D20E7">
            <w:pPr>
              <w:spacing w:line="480" w:lineRule="auto"/>
              <w:jc w:val="center"/>
              <w:rPr>
                <w:sz w:val="20"/>
                <w:szCs w:val="20"/>
              </w:rPr>
            </w:pPr>
            <w:r w:rsidRPr="00242F5C">
              <w:rPr>
                <w:sz w:val="20"/>
                <w:szCs w:val="20"/>
              </w:rPr>
              <w:t>0.248</w:t>
            </w:r>
          </w:p>
        </w:tc>
        <w:tc>
          <w:tcPr>
            <w:tcW w:w="788" w:type="pct"/>
          </w:tcPr>
          <w:p w14:paraId="615D03DC" w14:textId="235C0F0B" w:rsidR="00FB2754" w:rsidRPr="00242F5C" w:rsidRDefault="00184B5D" w:rsidP="004D20E7">
            <w:pPr>
              <w:spacing w:line="480" w:lineRule="auto"/>
              <w:jc w:val="center"/>
              <w:rPr>
                <w:sz w:val="20"/>
                <w:szCs w:val="20"/>
              </w:rPr>
            </w:pPr>
            <w:r w:rsidRPr="00242F5C">
              <w:rPr>
                <w:sz w:val="20"/>
                <w:szCs w:val="20"/>
              </w:rPr>
              <w:t>1.21 (1.07-1.38)</w:t>
            </w:r>
          </w:p>
        </w:tc>
        <w:tc>
          <w:tcPr>
            <w:tcW w:w="747" w:type="pct"/>
            <w:vAlign w:val="center"/>
          </w:tcPr>
          <w:p w14:paraId="4869FEA4" w14:textId="77AD924C" w:rsidR="00FB2754" w:rsidRPr="00242F5C" w:rsidRDefault="00184B5D" w:rsidP="004D20E7">
            <w:pPr>
              <w:spacing w:line="480" w:lineRule="auto"/>
              <w:jc w:val="center"/>
              <w:rPr>
                <w:sz w:val="20"/>
                <w:szCs w:val="20"/>
              </w:rPr>
            </w:pPr>
            <w:r w:rsidRPr="00242F5C">
              <w:rPr>
                <w:sz w:val="20"/>
                <w:szCs w:val="20"/>
              </w:rPr>
              <w:t>0.07</w:t>
            </w:r>
          </w:p>
        </w:tc>
        <w:tc>
          <w:tcPr>
            <w:tcW w:w="346" w:type="pct"/>
            <w:vAlign w:val="center"/>
          </w:tcPr>
          <w:p w14:paraId="255AACC0" w14:textId="797B5B86" w:rsidR="00FB2754" w:rsidRPr="00242F5C" w:rsidRDefault="00184B5D" w:rsidP="004D20E7">
            <w:pPr>
              <w:spacing w:line="480" w:lineRule="auto"/>
              <w:jc w:val="center"/>
              <w:rPr>
                <w:sz w:val="20"/>
                <w:szCs w:val="20"/>
              </w:rPr>
            </w:pPr>
            <w:r w:rsidRPr="00242F5C">
              <w:rPr>
                <w:sz w:val="20"/>
                <w:szCs w:val="20"/>
              </w:rPr>
              <w:t>0.003</w:t>
            </w:r>
          </w:p>
        </w:tc>
      </w:tr>
      <w:tr w:rsidR="00FB2754" w:rsidRPr="00242F5C" w14:paraId="6CD298FB" w14:textId="77777777" w:rsidTr="00FB2754">
        <w:trPr>
          <w:trHeight w:val="285"/>
        </w:trPr>
        <w:tc>
          <w:tcPr>
            <w:tcW w:w="1259" w:type="pct"/>
            <w:shd w:val="clear" w:color="auto" w:fill="auto"/>
            <w:noWrap/>
            <w:vAlign w:val="center"/>
          </w:tcPr>
          <w:p w14:paraId="3DDB9A9E" w14:textId="77777777" w:rsidR="00FB2754" w:rsidRPr="00242F5C" w:rsidRDefault="00FB2754" w:rsidP="004D20E7">
            <w:pPr>
              <w:spacing w:line="480" w:lineRule="auto"/>
              <w:rPr>
                <w:b/>
                <w:bCs/>
                <w:color w:val="000000"/>
                <w:sz w:val="20"/>
                <w:szCs w:val="20"/>
              </w:rPr>
            </w:pPr>
          </w:p>
        </w:tc>
        <w:tc>
          <w:tcPr>
            <w:tcW w:w="776" w:type="pct"/>
            <w:shd w:val="clear" w:color="auto" w:fill="auto"/>
            <w:noWrap/>
            <w:vAlign w:val="center"/>
          </w:tcPr>
          <w:p w14:paraId="2CC772A5" w14:textId="77777777" w:rsidR="00FB2754" w:rsidRPr="00242F5C" w:rsidRDefault="00FB2754" w:rsidP="004D20E7">
            <w:pPr>
              <w:spacing w:line="480" w:lineRule="auto"/>
              <w:jc w:val="center"/>
              <w:rPr>
                <w:sz w:val="20"/>
                <w:szCs w:val="20"/>
              </w:rPr>
            </w:pPr>
          </w:p>
        </w:tc>
        <w:tc>
          <w:tcPr>
            <w:tcW w:w="738" w:type="pct"/>
            <w:shd w:val="clear" w:color="auto" w:fill="auto"/>
            <w:noWrap/>
            <w:vAlign w:val="center"/>
          </w:tcPr>
          <w:p w14:paraId="7A85F636"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00436065" w14:textId="77777777" w:rsidR="00FB2754" w:rsidRPr="00242F5C" w:rsidRDefault="00FB2754" w:rsidP="004D20E7">
            <w:pPr>
              <w:spacing w:line="480" w:lineRule="auto"/>
              <w:jc w:val="center"/>
              <w:rPr>
                <w:sz w:val="20"/>
                <w:szCs w:val="20"/>
              </w:rPr>
            </w:pPr>
          </w:p>
        </w:tc>
        <w:tc>
          <w:tcPr>
            <w:tcW w:w="788" w:type="pct"/>
            <w:vAlign w:val="center"/>
          </w:tcPr>
          <w:p w14:paraId="33D5B006" w14:textId="77777777" w:rsidR="00FB2754" w:rsidRPr="00242F5C" w:rsidRDefault="00FB2754" w:rsidP="004D20E7">
            <w:pPr>
              <w:spacing w:line="480" w:lineRule="auto"/>
              <w:jc w:val="center"/>
              <w:rPr>
                <w:sz w:val="20"/>
                <w:szCs w:val="20"/>
              </w:rPr>
            </w:pPr>
          </w:p>
        </w:tc>
        <w:tc>
          <w:tcPr>
            <w:tcW w:w="747" w:type="pct"/>
            <w:vAlign w:val="center"/>
          </w:tcPr>
          <w:p w14:paraId="27CEABE7" w14:textId="77777777" w:rsidR="00FB2754" w:rsidRPr="00242F5C" w:rsidRDefault="00FB2754" w:rsidP="004D20E7">
            <w:pPr>
              <w:spacing w:line="480" w:lineRule="auto"/>
              <w:jc w:val="center"/>
              <w:rPr>
                <w:sz w:val="20"/>
                <w:szCs w:val="20"/>
              </w:rPr>
            </w:pPr>
          </w:p>
        </w:tc>
        <w:tc>
          <w:tcPr>
            <w:tcW w:w="346" w:type="pct"/>
            <w:vAlign w:val="center"/>
          </w:tcPr>
          <w:p w14:paraId="3EA576FD" w14:textId="77777777" w:rsidR="00FB2754" w:rsidRPr="00242F5C" w:rsidRDefault="00FB2754" w:rsidP="004D20E7">
            <w:pPr>
              <w:spacing w:line="480" w:lineRule="auto"/>
              <w:jc w:val="center"/>
              <w:rPr>
                <w:sz w:val="20"/>
                <w:szCs w:val="20"/>
              </w:rPr>
            </w:pPr>
          </w:p>
        </w:tc>
      </w:tr>
      <w:tr w:rsidR="00FB2754" w:rsidRPr="00242F5C" w14:paraId="6B5C37FB" w14:textId="77777777" w:rsidTr="00FB2754">
        <w:trPr>
          <w:trHeight w:val="285"/>
        </w:trPr>
        <w:tc>
          <w:tcPr>
            <w:tcW w:w="1259" w:type="pct"/>
            <w:shd w:val="clear" w:color="auto" w:fill="auto"/>
            <w:noWrap/>
            <w:vAlign w:val="center"/>
          </w:tcPr>
          <w:p w14:paraId="6643C38D" w14:textId="77777777" w:rsidR="00FB2754" w:rsidRPr="00242F5C" w:rsidRDefault="00184B5D" w:rsidP="004D20E7">
            <w:pPr>
              <w:spacing w:line="480" w:lineRule="auto"/>
              <w:rPr>
                <w:b/>
                <w:bCs/>
                <w:sz w:val="20"/>
                <w:szCs w:val="20"/>
              </w:rPr>
            </w:pPr>
            <w:r w:rsidRPr="00242F5C">
              <w:rPr>
                <w:b/>
                <w:bCs/>
                <w:color w:val="000000"/>
                <w:sz w:val="20"/>
                <w:szCs w:val="20"/>
              </w:rPr>
              <w:t xml:space="preserve">Best Response to fPBC </w:t>
            </w:r>
          </w:p>
        </w:tc>
        <w:tc>
          <w:tcPr>
            <w:tcW w:w="776" w:type="pct"/>
            <w:shd w:val="clear" w:color="auto" w:fill="auto"/>
            <w:noWrap/>
            <w:vAlign w:val="center"/>
          </w:tcPr>
          <w:p w14:paraId="50B1E77E" w14:textId="77777777" w:rsidR="00FB2754" w:rsidRPr="00242F5C" w:rsidRDefault="00FB2754" w:rsidP="004D20E7">
            <w:pPr>
              <w:spacing w:line="480" w:lineRule="auto"/>
              <w:jc w:val="center"/>
              <w:rPr>
                <w:b/>
                <w:bCs/>
                <w:sz w:val="20"/>
                <w:szCs w:val="20"/>
              </w:rPr>
            </w:pPr>
          </w:p>
        </w:tc>
        <w:tc>
          <w:tcPr>
            <w:tcW w:w="738" w:type="pct"/>
            <w:shd w:val="clear" w:color="auto" w:fill="auto"/>
            <w:noWrap/>
            <w:vAlign w:val="center"/>
          </w:tcPr>
          <w:p w14:paraId="540A9C7F"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3622982B" w14:textId="77777777" w:rsidR="00FB2754" w:rsidRPr="00242F5C" w:rsidRDefault="00FB2754" w:rsidP="004D20E7">
            <w:pPr>
              <w:spacing w:line="480" w:lineRule="auto"/>
              <w:jc w:val="center"/>
              <w:rPr>
                <w:sz w:val="20"/>
                <w:szCs w:val="20"/>
              </w:rPr>
            </w:pPr>
          </w:p>
        </w:tc>
        <w:tc>
          <w:tcPr>
            <w:tcW w:w="788" w:type="pct"/>
            <w:vAlign w:val="center"/>
          </w:tcPr>
          <w:p w14:paraId="68346FE7" w14:textId="77777777" w:rsidR="00FB2754" w:rsidRPr="00242F5C" w:rsidRDefault="00FB2754" w:rsidP="004D20E7">
            <w:pPr>
              <w:spacing w:line="480" w:lineRule="auto"/>
              <w:jc w:val="center"/>
              <w:rPr>
                <w:sz w:val="20"/>
                <w:szCs w:val="20"/>
              </w:rPr>
            </w:pPr>
          </w:p>
        </w:tc>
        <w:tc>
          <w:tcPr>
            <w:tcW w:w="747" w:type="pct"/>
            <w:vAlign w:val="center"/>
          </w:tcPr>
          <w:p w14:paraId="3EB5D94B" w14:textId="77777777" w:rsidR="00FB2754" w:rsidRPr="00242F5C" w:rsidRDefault="00FB2754" w:rsidP="004D20E7">
            <w:pPr>
              <w:spacing w:line="480" w:lineRule="auto"/>
              <w:jc w:val="center"/>
              <w:rPr>
                <w:sz w:val="20"/>
                <w:szCs w:val="20"/>
              </w:rPr>
            </w:pPr>
          </w:p>
        </w:tc>
        <w:tc>
          <w:tcPr>
            <w:tcW w:w="346" w:type="pct"/>
            <w:vAlign w:val="center"/>
          </w:tcPr>
          <w:p w14:paraId="615DED0F" w14:textId="77777777" w:rsidR="00FB2754" w:rsidRPr="00242F5C" w:rsidRDefault="00FB2754" w:rsidP="004D20E7">
            <w:pPr>
              <w:spacing w:line="480" w:lineRule="auto"/>
              <w:jc w:val="center"/>
              <w:rPr>
                <w:sz w:val="20"/>
                <w:szCs w:val="20"/>
              </w:rPr>
            </w:pPr>
          </w:p>
        </w:tc>
      </w:tr>
      <w:tr w:rsidR="00FB2754" w:rsidRPr="00242F5C" w14:paraId="60EF6DC7" w14:textId="77777777" w:rsidTr="00FB2754">
        <w:trPr>
          <w:trHeight w:val="285"/>
        </w:trPr>
        <w:tc>
          <w:tcPr>
            <w:tcW w:w="1259" w:type="pct"/>
            <w:shd w:val="clear" w:color="auto" w:fill="auto"/>
            <w:noWrap/>
            <w:vAlign w:val="center"/>
          </w:tcPr>
          <w:p w14:paraId="4BDC88BA" w14:textId="77777777" w:rsidR="00FB2754" w:rsidRPr="00242F5C" w:rsidRDefault="00184B5D" w:rsidP="004D20E7">
            <w:pPr>
              <w:spacing w:line="480" w:lineRule="auto"/>
              <w:ind w:firstLine="333"/>
              <w:rPr>
                <w:b/>
                <w:bCs/>
                <w:sz w:val="20"/>
                <w:szCs w:val="20"/>
              </w:rPr>
            </w:pPr>
            <w:r w:rsidRPr="00242F5C">
              <w:rPr>
                <w:color w:val="000000"/>
                <w:sz w:val="20"/>
                <w:szCs w:val="20"/>
              </w:rPr>
              <w:t>PR vs. CR</w:t>
            </w:r>
          </w:p>
        </w:tc>
        <w:tc>
          <w:tcPr>
            <w:tcW w:w="776" w:type="pct"/>
            <w:shd w:val="clear" w:color="auto" w:fill="auto"/>
            <w:noWrap/>
          </w:tcPr>
          <w:p w14:paraId="66761AD0" w14:textId="67DF4AFF" w:rsidR="00FB2754" w:rsidRPr="00242F5C" w:rsidRDefault="00184B5D" w:rsidP="004D20E7">
            <w:pPr>
              <w:spacing w:line="480" w:lineRule="auto"/>
              <w:jc w:val="center"/>
              <w:rPr>
                <w:bCs/>
                <w:sz w:val="20"/>
                <w:szCs w:val="20"/>
              </w:rPr>
            </w:pPr>
            <w:r w:rsidRPr="00242F5C">
              <w:rPr>
                <w:sz w:val="20"/>
                <w:szCs w:val="20"/>
              </w:rPr>
              <w:t>1.42 (0.72-2.81)</w:t>
            </w:r>
          </w:p>
        </w:tc>
        <w:tc>
          <w:tcPr>
            <w:tcW w:w="738" w:type="pct"/>
            <w:shd w:val="clear" w:color="auto" w:fill="auto"/>
            <w:noWrap/>
          </w:tcPr>
          <w:p w14:paraId="5BEF9632" w14:textId="41EC358C" w:rsidR="00FB2754" w:rsidRPr="00242F5C" w:rsidRDefault="00184B5D" w:rsidP="004D20E7">
            <w:pPr>
              <w:spacing w:line="480" w:lineRule="auto"/>
              <w:jc w:val="center"/>
              <w:rPr>
                <w:sz w:val="20"/>
                <w:szCs w:val="20"/>
              </w:rPr>
            </w:pPr>
            <w:r w:rsidRPr="00242F5C">
              <w:rPr>
                <w:sz w:val="20"/>
                <w:szCs w:val="20"/>
              </w:rPr>
              <w:t>0.35</w:t>
            </w:r>
          </w:p>
        </w:tc>
        <w:tc>
          <w:tcPr>
            <w:tcW w:w="346" w:type="pct"/>
            <w:shd w:val="clear" w:color="auto" w:fill="auto"/>
            <w:noWrap/>
          </w:tcPr>
          <w:p w14:paraId="1161E6F1" w14:textId="613CCF8C" w:rsidR="00FB2754" w:rsidRPr="00242F5C" w:rsidRDefault="00184B5D" w:rsidP="004D20E7">
            <w:pPr>
              <w:spacing w:line="480" w:lineRule="auto"/>
              <w:jc w:val="center"/>
              <w:rPr>
                <w:sz w:val="20"/>
                <w:szCs w:val="20"/>
              </w:rPr>
            </w:pPr>
            <w:r w:rsidRPr="00242F5C">
              <w:rPr>
                <w:sz w:val="20"/>
                <w:szCs w:val="20"/>
              </w:rPr>
              <w:t>0.313</w:t>
            </w:r>
          </w:p>
        </w:tc>
        <w:tc>
          <w:tcPr>
            <w:tcW w:w="788" w:type="pct"/>
          </w:tcPr>
          <w:p w14:paraId="73E558CE" w14:textId="08A7D4D4" w:rsidR="00FB2754" w:rsidRPr="00242F5C" w:rsidRDefault="00184B5D" w:rsidP="004D20E7">
            <w:pPr>
              <w:spacing w:line="480" w:lineRule="auto"/>
              <w:jc w:val="center"/>
              <w:rPr>
                <w:sz w:val="20"/>
                <w:szCs w:val="20"/>
              </w:rPr>
            </w:pPr>
            <w:r w:rsidRPr="00242F5C">
              <w:rPr>
                <w:sz w:val="20"/>
                <w:szCs w:val="20"/>
              </w:rPr>
              <w:t>0.82 (0.41-1.66)</w:t>
            </w:r>
          </w:p>
        </w:tc>
        <w:tc>
          <w:tcPr>
            <w:tcW w:w="747" w:type="pct"/>
          </w:tcPr>
          <w:p w14:paraId="408CCBF3" w14:textId="5620659F" w:rsidR="00FB2754" w:rsidRPr="00242F5C" w:rsidRDefault="00184B5D" w:rsidP="004D20E7">
            <w:pPr>
              <w:spacing w:line="480" w:lineRule="auto"/>
              <w:jc w:val="center"/>
              <w:rPr>
                <w:sz w:val="20"/>
                <w:szCs w:val="20"/>
              </w:rPr>
            </w:pPr>
            <w:r w:rsidRPr="00242F5C">
              <w:rPr>
                <w:sz w:val="20"/>
                <w:szCs w:val="20"/>
              </w:rPr>
              <w:t>0.36</w:t>
            </w:r>
          </w:p>
        </w:tc>
        <w:tc>
          <w:tcPr>
            <w:tcW w:w="346" w:type="pct"/>
          </w:tcPr>
          <w:p w14:paraId="7478FF84" w14:textId="0C73253C" w:rsidR="00FB2754" w:rsidRPr="00242F5C" w:rsidRDefault="00184B5D" w:rsidP="004D20E7">
            <w:pPr>
              <w:spacing w:line="480" w:lineRule="auto"/>
              <w:jc w:val="center"/>
              <w:rPr>
                <w:sz w:val="20"/>
                <w:szCs w:val="20"/>
              </w:rPr>
            </w:pPr>
            <w:r w:rsidRPr="00242F5C">
              <w:rPr>
                <w:sz w:val="20"/>
                <w:szCs w:val="20"/>
              </w:rPr>
              <w:t>0.580</w:t>
            </w:r>
          </w:p>
        </w:tc>
      </w:tr>
      <w:tr w:rsidR="00FB2754" w:rsidRPr="00242F5C" w14:paraId="5F45DB99" w14:textId="77777777" w:rsidTr="00FB2754">
        <w:trPr>
          <w:trHeight w:val="285"/>
        </w:trPr>
        <w:tc>
          <w:tcPr>
            <w:tcW w:w="1259" w:type="pct"/>
            <w:shd w:val="clear" w:color="auto" w:fill="auto"/>
            <w:noWrap/>
            <w:vAlign w:val="center"/>
          </w:tcPr>
          <w:p w14:paraId="5C534AD3" w14:textId="77777777" w:rsidR="00FB2754" w:rsidRPr="00242F5C" w:rsidRDefault="00184B5D" w:rsidP="004D20E7">
            <w:pPr>
              <w:spacing w:line="480" w:lineRule="auto"/>
              <w:ind w:firstLine="333"/>
              <w:rPr>
                <w:b/>
                <w:bCs/>
                <w:sz w:val="20"/>
                <w:szCs w:val="20"/>
              </w:rPr>
            </w:pPr>
            <w:r w:rsidRPr="00242F5C">
              <w:rPr>
                <w:color w:val="000000"/>
                <w:sz w:val="20"/>
                <w:szCs w:val="20"/>
              </w:rPr>
              <w:t>SD vs. CR</w:t>
            </w:r>
          </w:p>
        </w:tc>
        <w:tc>
          <w:tcPr>
            <w:tcW w:w="776" w:type="pct"/>
            <w:shd w:val="clear" w:color="auto" w:fill="auto"/>
            <w:noWrap/>
          </w:tcPr>
          <w:p w14:paraId="026A7133" w14:textId="7DA994FF" w:rsidR="00FB2754" w:rsidRPr="00242F5C" w:rsidRDefault="00184B5D" w:rsidP="004D20E7">
            <w:pPr>
              <w:spacing w:line="480" w:lineRule="auto"/>
              <w:jc w:val="center"/>
              <w:rPr>
                <w:bCs/>
                <w:sz w:val="20"/>
                <w:szCs w:val="20"/>
              </w:rPr>
            </w:pPr>
            <w:r w:rsidRPr="00242F5C">
              <w:rPr>
                <w:sz w:val="20"/>
                <w:szCs w:val="20"/>
              </w:rPr>
              <w:t>2.75 (1.32-5.72)</w:t>
            </w:r>
          </w:p>
        </w:tc>
        <w:tc>
          <w:tcPr>
            <w:tcW w:w="738" w:type="pct"/>
            <w:shd w:val="clear" w:color="auto" w:fill="auto"/>
            <w:noWrap/>
          </w:tcPr>
          <w:p w14:paraId="48855E42" w14:textId="13366AD6" w:rsidR="00FB2754" w:rsidRPr="00242F5C" w:rsidRDefault="00184B5D" w:rsidP="004D20E7">
            <w:pPr>
              <w:spacing w:line="480" w:lineRule="auto"/>
              <w:jc w:val="center"/>
              <w:rPr>
                <w:sz w:val="20"/>
                <w:szCs w:val="20"/>
              </w:rPr>
            </w:pPr>
            <w:r w:rsidRPr="00242F5C">
              <w:rPr>
                <w:sz w:val="20"/>
                <w:szCs w:val="20"/>
              </w:rPr>
              <w:t>0.37</w:t>
            </w:r>
          </w:p>
        </w:tc>
        <w:tc>
          <w:tcPr>
            <w:tcW w:w="346" w:type="pct"/>
            <w:shd w:val="clear" w:color="auto" w:fill="auto"/>
            <w:noWrap/>
          </w:tcPr>
          <w:p w14:paraId="3F7DF4AD" w14:textId="366E91FF" w:rsidR="00FB2754" w:rsidRPr="00242F5C" w:rsidRDefault="00184B5D" w:rsidP="004D20E7">
            <w:pPr>
              <w:spacing w:line="480" w:lineRule="auto"/>
              <w:jc w:val="center"/>
              <w:rPr>
                <w:sz w:val="20"/>
                <w:szCs w:val="20"/>
              </w:rPr>
            </w:pPr>
            <w:r w:rsidRPr="00242F5C">
              <w:rPr>
                <w:sz w:val="20"/>
                <w:szCs w:val="20"/>
              </w:rPr>
              <w:t>0.007</w:t>
            </w:r>
          </w:p>
        </w:tc>
        <w:tc>
          <w:tcPr>
            <w:tcW w:w="788" w:type="pct"/>
          </w:tcPr>
          <w:p w14:paraId="5E207480" w14:textId="1FC3DE69" w:rsidR="00FB2754" w:rsidRPr="00242F5C" w:rsidRDefault="00184B5D" w:rsidP="004D20E7">
            <w:pPr>
              <w:spacing w:line="480" w:lineRule="auto"/>
              <w:jc w:val="center"/>
              <w:rPr>
                <w:sz w:val="20"/>
                <w:szCs w:val="20"/>
              </w:rPr>
            </w:pPr>
            <w:r w:rsidRPr="00242F5C">
              <w:rPr>
                <w:sz w:val="20"/>
                <w:szCs w:val="20"/>
              </w:rPr>
              <w:t>0.88 (0.42-1.86)</w:t>
            </w:r>
          </w:p>
        </w:tc>
        <w:tc>
          <w:tcPr>
            <w:tcW w:w="747" w:type="pct"/>
          </w:tcPr>
          <w:p w14:paraId="1E2242AC" w14:textId="6CA10CC8" w:rsidR="00FB2754" w:rsidRPr="00242F5C" w:rsidRDefault="00184B5D" w:rsidP="004D20E7">
            <w:pPr>
              <w:spacing w:line="480" w:lineRule="auto"/>
              <w:jc w:val="center"/>
              <w:rPr>
                <w:sz w:val="20"/>
                <w:szCs w:val="20"/>
              </w:rPr>
            </w:pPr>
            <w:r w:rsidRPr="00242F5C">
              <w:rPr>
                <w:sz w:val="20"/>
                <w:szCs w:val="20"/>
              </w:rPr>
              <w:t>0.38</w:t>
            </w:r>
          </w:p>
        </w:tc>
        <w:tc>
          <w:tcPr>
            <w:tcW w:w="346" w:type="pct"/>
          </w:tcPr>
          <w:p w14:paraId="236470BE" w14:textId="5D5F8C8E" w:rsidR="00FB2754" w:rsidRPr="00242F5C" w:rsidRDefault="00184B5D" w:rsidP="004D20E7">
            <w:pPr>
              <w:spacing w:line="480" w:lineRule="auto"/>
              <w:jc w:val="center"/>
              <w:rPr>
                <w:sz w:val="20"/>
                <w:szCs w:val="20"/>
              </w:rPr>
            </w:pPr>
            <w:r w:rsidRPr="00242F5C">
              <w:rPr>
                <w:sz w:val="20"/>
                <w:szCs w:val="20"/>
              </w:rPr>
              <w:t>0.738</w:t>
            </w:r>
          </w:p>
        </w:tc>
      </w:tr>
      <w:tr w:rsidR="00FB2754" w:rsidRPr="00242F5C" w14:paraId="4F2BAB5A" w14:textId="77777777" w:rsidTr="00FB2754">
        <w:trPr>
          <w:trHeight w:val="285"/>
        </w:trPr>
        <w:tc>
          <w:tcPr>
            <w:tcW w:w="1259" w:type="pct"/>
            <w:shd w:val="clear" w:color="auto" w:fill="auto"/>
            <w:noWrap/>
            <w:vAlign w:val="center"/>
          </w:tcPr>
          <w:p w14:paraId="16066DBA" w14:textId="77777777" w:rsidR="00FB2754" w:rsidRPr="00242F5C" w:rsidRDefault="00184B5D" w:rsidP="004D20E7">
            <w:pPr>
              <w:spacing w:line="480" w:lineRule="auto"/>
              <w:ind w:firstLine="333"/>
              <w:rPr>
                <w:b/>
                <w:bCs/>
                <w:sz w:val="20"/>
                <w:szCs w:val="20"/>
              </w:rPr>
            </w:pPr>
            <w:r w:rsidRPr="00242F5C">
              <w:rPr>
                <w:color w:val="000000"/>
                <w:sz w:val="20"/>
                <w:szCs w:val="20"/>
              </w:rPr>
              <w:t>PD vs. CR</w:t>
            </w:r>
          </w:p>
        </w:tc>
        <w:tc>
          <w:tcPr>
            <w:tcW w:w="776" w:type="pct"/>
            <w:shd w:val="clear" w:color="auto" w:fill="auto"/>
            <w:noWrap/>
          </w:tcPr>
          <w:p w14:paraId="0FAC36B0" w14:textId="5EDB0BC6" w:rsidR="00FB2754" w:rsidRPr="00242F5C" w:rsidRDefault="00184B5D" w:rsidP="004D20E7">
            <w:pPr>
              <w:spacing w:line="480" w:lineRule="auto"/>
              <w:jc w:val="center"/>
              <w:rPr>
                <w:bCs/>
                <w:sz w:val="20"/>
                <w:szCs w:val="20"/>
              </w:rPr>
            </w:pPr>
            <w:r w:rsidRPr="00242F5C">
              <w:rPr>
                <w:sz w:val="20"/>
                <w:szCs w:val="20"/>
              </w:rPr>
              <w:t>2.15 (0.95-4.87)</w:t>
            </w:r>
          </w:p>
        </w:tc>
        <w:tc>
          <w:tcPr>
            <w:tcW w:w="738" w:type="pct"/>
            <w:shd w:val="clear" w:color="auto" w:fill="auto"/>
            <w:noWrap/>
          </w:tcPr>
          <w:p w14:paraId="5CBAC7AA" w14:textId="607FD3CD" w:rsidR="00FB2754" w:rsidRPr="00242F5C" w:rsidRDefault="00184B5D" w:rsidP="004D20E7">
            <w:pPr>
              <w:spacing w:line="480" w:lineRule="auto"/>
              <w:jc w:val="center"/>
              <w:rPr>
                <w:sz w:val="20"/>
                <w:szCs w:val="20"/>
              </w:rPr>
            </w:pPr>
            <w:r w:rsidRPr="00242F5C">
              <w:rPr>
                <w:sz w:val="20"/>
                <w:szCs w:val="20"/>
              </w:rPr>
              <w:t>0.42</w:t>
            </w:r>
          </w:p>
        </w:tc>
        <w:tc>
          <w:tcPr>
            <w:tcW w:w="346" w:type="pct"/>
            <w:shd w:val="clear" w:color="auto" w:fill="auto"/>
            <w:noWrap/>
          </w:tcPr>
          <w:p w14:paraId="048ABAC6" w14:textId="021CF2DC" w:rsidR="00FB2754" w:rsidRPr="00242F5C" w:rsidRDefault="00184B5D" w:rsidP="004D20E7">
            <w:pPr>
              <w:spacing w:line="480" w:lineRule="auto"/>
              <w:jc w:val="center"/>
              <w:rPr>
                <w:sz w:val="20"/>
                <w:szCs w:val="20"/>
              </w:rPr>
            </w:pPr>
            <w:r w:rsidRPr="00242F5C">
              <w:rPr>
                <w:sz w:val="20"/>
                <w:szCs w:val="20"/>
              </w:rPr>
              <w:t>0.066</w:t>
            </w:r>
          </w:p>
        </w:tc>
        <w:tc>
          <w:tcPr>
            <w:tcW w:w="788" w:type="pct"/>
          </w:tcPr>
          <w:p w14:paraId="592BF4A0" w14:textId="3F8AEB2F" w:rsidR="00FB2754" w:rsidRPr="00242F5C" w:rsidRDefault="00184B5D" w:rsidP="004D20E7">
            <w:pPr>
              <w:spacing w:line="480" w:lineRule="auto"/>
              <w:jc w:val="center"/>
              <w:rPr>
                <w:sz w:val="20"/>
                <w:szCs w:val="20"/>
              </w:rPr>
            </w:pPr>
            <w:r w:rsidRPr="00242F5C">
              <w:rPr>
                <w:sz w:val="20"/>
                <w:szCs w:val="20"/>
              </w:rPr>
              <w:t>1.49 (0.68-3.27)</w:t>
            </w:r>
          </w:p>
        </w:tc>
        <w:tc>
          <w:tcPr>
            <w:tcW w:w="747" w:type="pct"/>
          </w:tcPr>
          <w:p w14:paraId="06548EE5" w14:textId="2122E7A4" w:rsidR="00FB2754" w:rsidRPr="00242F5C" w:rsidRDefault="00184B5D" w:rsidP="004D20E7">
            <w:pPr>
              <w:spacing w:line="480" w:lineRule="auto"/>
              <w:jc w:val="center"/>
              <w:rPr>
                <w:sz w:val="20"/>
                <w:szCs w:val="20"/>
              </w:rPr>
            </w:pPr>
            <w:r w:rsidRPr="00242F5C">
              <w:rPr>
                <w:sz w:val="20"/>
                <w:szCs w:val="20"/>
              </w:rPr>
              <w:t>0.40</w:t>
            </w:r>
          </w:p>
        </w:tc>
        <w:tc>
          <w:tcPr>
            <w:tcW w:w="346" w:type="pct"/>
          </w:tcPr>
          <w:p w14:paraId="74FAA8D3" w14:textId="41E4DAD7" w:rsidR="00FB2754" w:rsidRPr="00242F5C" w:rsidRDefault="00184B5D" w:rsidP="004D20E7">
            <w:pPr>
              <w:spacing w:line="480" w:lineRule="auto"/>
              <w:jc w:val="center"/>
              <w:rPr>
                <w:sz w:val="20"/>
                <w:szCs w:val="20"/>
              </w:rPr>
            </w:pPr>
            <w:r w:rsidRPr="00242F5C">
              <w:rPr>
                <w:sz w:val="20"/>
                <w:szCs w:val="20"/>
              </w:rPr>
              <w:t>0.320</w:t>
            </w:r>
          </w:p>
        </w:tc>
      </w:tr>
      <w:tr w:rsidR="00FB2754" w:rsidRPr="00242F5C" w14:paraId="154004F3" w14:textId="77777777" w:rsidTr="00FB2754">
        <w:trPr>
          <w:trHeight w:val="285"/>
        </w:trPr>
        <w:tc>
          <w:tcPr>
            <w:tcW w:w="1259" w:type="pct"/>
            <w:shd w:val="clear" w:color="auto" w:fill="auto"/>
            <w:noWrap/>
            <w:vAlign w:val="center"/>
          </w:tcPr>
          <w:p w14:paraId="5959698B" w14:textId="77777777" w:rsidR="00FB2754" w:rsidRPr="00242F5C" w:rsidRDefault="00184B5D" w:rsidP="004D20E7">
            <w:pPr>
              <w:spacing w:line="480" w:lineRule="auto"/>
              <w:ind w:firstLine="333"/>
              <w:rPr>
                <w:b/>
                <w:bCs/>
                <w:sz w:val="20"/>
                <w:szCs w:val="20"/>
              </w:rPr>
            </w:pPr>
            <w:r w:rsidRPr="00242F5C">
              <w:rPr>
                <w:color w:val="000000"/>
                <w:sz w:val="20"/>
                <w:szCs w:val="20"/>
              </w:rPr>
              <w:t>Unknown vs. CR</w:t>
            </w:r>
          </w:p>
        </w:tc>
        <w:tc>
          <w:tcPr>
            <w:tcW w:w="776" w:type="pct"/>
            <w:shd w:val="clear" w:color="auto" w:fill="auto"/>
            <w:noWrap/>
          </w:tcPr>
          <w:p w14:paraId="5632EF22" w14:textId="47BA87EF" w:rsidR="00FB2754" w:rsidRPr="00242F5C" w:rsidRDefault="00184B5D" w:rsidP="004D20E7">
            <w:pPr>
              <w:spacing w:line="480" w:lineRule="auto"/>
              <w:jc w:val="center"/>
              <w:rPr>
                <w:bCs/>
                <w:sz w:val="20"/>
                <w:szCs w:val="20"/>
              </w:rPr>
            </w:pPr>
            <w:r w:rsidRPr="00242F5C">
              <w:rPr>
                <w:sz w:val="20"/>
                <w:szCs w:val="20"/>
              </w:rPr>
              <w:t>1.17 (0.46-3.00)</w:t>
            </w:r>
          </w:p>
        </w:tc>
        <w:tc>
          <w:tcPr>
            <w:tcW w:w="738" w:type="pct"/>
            <w:shd w:val="clear" w:color="auto" w:fill="auto"/>
            <w:noWrap/>
          </w:tcPr>
          <w:p w14:paraId="7B0CCBEE" w14:textId="6ECCEBC1" w:rsidR="00FB2754" w:rsidRPr="00242F5C" w:rsidRDefault="00184B5D" w:rsidP="004D20E7">
            <w:pPr>
              <w:spacing w:line="480" w:lineRule="auto"/>
              <w:jc w:val="center"/>
              <w:rPr>
                <w:sz w:val="20"/>
                <w:szCs w:val="20"/>
              </w:rPr>
            </w:pPr>
            <w:r w:rsidRPr="00242F5C">
              <w:rPr>
                <w:sz w:val="20"/>
                <w:szCs w:val="20"/>
              </w:rPr>
              <w:t>0.48</w:t>
            </w:r>
          </w:p>
        </w:tc>
        <w:tc>
          <w:tcPr>
            <w:tcW w:w="346" w:type="pct"/>
            <w:shd w:val="clear" w:color="auto" w:fill="auto"/>
            <w:noWrap/>
          </w:tcPr>
          <w:p w14:paraId="34F86ED6" w14:textId="2B9D98D9" w:rsidR="00FB2754" w:rsidRPr="00242F5C" w:rsidRDefault="00184B5D" w:rsidP="004D20E7">
            <w:pPr>
              <w:spacing w:line="480" w:lineRule="auto"/>
              <w:jc w:val="center"/>
              <w:rPr>
                <w:sz w:val="20"/>
                <w:szCs w:val="20"/>
              </w:rPr>
            </w:pPr>
            <w:r w:rsidRPr="00242F5C">
              <w:rPr>
                <w:sz w:val="20"/>
                <w:szCs w:val="20"/>
              </w:rPr>
              <w:t>0.747</w:t>
            </w:r>
          </w:p>
        </w:tc>
        <w:tc>
          <w:tcPr>
            <w:tcW w:w="788" w:type="pct"/>
          </w:tcPr>
          <w:p w14:paraId="39C0C782" w14:textId="63D2D6E4" w:rsidR="00FB2754" w:rsidRPr="00242F5C" w:rsidRDefault="00184B5D" w:rsidP="004D20E7">
            <w:pPr>
              <w:spacing w:line="480" w:lineRule="auto"/>
              <w:jc w:val="center"/>
              <w:rPr>
                <w:sz w:val="20"/>
                <w:szCs w:val="20"/>
              </w:rPr>
            </w:pPr>
            <w:r w:rsidRPr="00242F5C">
              <w:rPr>
                <w:sz w:val="20"/>
                <w:szCs w:val="20"/>
              </w:rPr>
              <w:t>1.76 (0.75-4.09)</w:t>
            </w:r>
          </w:p>
        </w:tc>
        <w:tc>
          <w:tcPr>
            <w:tcW w:w="747" w:type="pct"/>
          </w:tcPr>
          <w:p w14:paraId="33B28FCF" w14:textId="2E427A4F" w:rsidR="00FB2754" w:rsidRPr="00242F5C" w:rsidRDefault="00184B5D" w:rsidP="004D20E7">
            <w:pPr>
              <w:spacing w:line="480" w:lineRule="auto"/>
              <w:jc w:val="center"/>
              <w:rPr>
                <w:sz w:val="20"/>
                <w:szCs w:val="20"/>
              </w:rPr>
            </w:pPr>
            <w:r w:rsidRPr="00242F5C">
              <w:rPr>
                <w:sz w:val="20"/>
                <w:szCs w:val="20"/>
              </w:rPr>
              <w:t>0.43</w:t>
            </w:r>
          </w:p>
        </w:tc>
        <w:tc>
          <w:tcPr>
            <w:tcW w:w="346" w:type="pct"/>
          </w:tcPr>
          <w:p w14:paraId="6443B9E9" w14:textId="03AC5063" w:rsidR="00FB2754" w:rsidRPr="00242F5C" w:rsidRDefault="00184B5D" w:rsidP="004D20E7">
            <w:pPr>
              <w:spacing w:line="480" w:lineRule="auto"/>
              <w:jc w:val="center"/>
              <w:rPr>
                <w:sz w:val="20"/>
                <w:szCs w:val="20"/>
              </w:rPr>
            </w:pPr>
            <w:r w:rsidRPr="00242F5C">
              <w:rPr>
                <w:sz w:val="20"/>
                <w:szCs w:val="20"/>
              </w:rPr>
              <w:t>0.193</w:t>
            </w:r>
          </w:p>
        </w:tc>
      </w:tr>
      <w:tr w:rsidR="00FB2754" w:rsidRPr="00242F5C" w14:paraId="1568A27B" w14:textId="77777777" w:rsidTr="00FB2754">
        <w:trPr>
          <w:trHeight w:val="285"/>
        </w:trPr>
        <w:tc>
          <w:tcPr>
            <w:tcW w:w="1259" w:type="pct"/>
            <w:shd w:val="clear" w:color="auto" w:fill="auto"/>
            <w:noWrap/>
            <w:vAlign w:val="center"/>
          </w:tcPr>
          <w:p w14:paraId="540AA7EE" w14:textId="77777777" w:rsidR="00FB2754" w:rsidRPr="00242F5C" w:rsidRDefault="00FB2754" w:rsidP="004D20E7">
            <w:pPr>
              <w:spacing w:line="480" w:lineRule="auto"/>
              <w:ind w:firstLine="333"/>
              <w:rPr>
                <w:color w:val="000000"/>
                <w:sz w:val="20"/>
                <w:szCs w:val="20"/>
              </w:rPr>
            </w:pPr>
          </w:p>
        </w:tc>
        <w:tc>
          <w:tcPr>
            <w:tcW w:w="776" w:type="pct"/>
            <w:shd w:val="clear" w:color="auto" w:fill="auto"/>
            <w:noWrap/>
            <w:vAlign w:val="center"/>
          </w:tcPr>
          <w:p w14:paraId="37D94481" w14:textId="77777777" w:rsidR="00FB2754" w:rsidRPr="00242F5C" w:rsidRDefault="00FB2754" w:rsidP="004D20E7">
            <w:pPr>
              <w:spacing w:line="480" w:lineRule="auto"/>
              <w:jc w:val="center"/>
              <w:rPr>
                <w:bCs/>
                <w:sz w:val="20"/>
                <w:szCs w:val="20"/>
              </w:rPr>
            </w:pPr>
          </w:p>
        </w:tc>
        <w:tc>
          <w:tcPr>
            <w:tcW w:w="738" w:type="pct"/>
            <w:shd w:val="clear" w:color="auto" w:fill="auto"/>
            <w:noWrap/>
            <w:vAlign w:val="center"/>
          </w:tcPr>
          <w:p w14:paraId="2525EA0C" w14:textId="77777777" w:rsidR="00FB2754" w:rsidRPr="00242F5C" w:rsidRDefault="00FB2754" w:rsidP="004D20E7">
            <w:pPr>
              <w:spacing w:line="480" w:lineRule="auto"/>
              <w:jc w:val="center"/>
              <w:rPr>
                <w:sz w:val="20"/>
                <w:szCs w:val="20"/>
              </w:rPr>
            </w:pPr>
          </w:p>
        </w:tc>
        <w:tc>
          <w:tcPr>
            <w:tcW w:w="346" w:type="pct"/>
            <w:shd w:val="clear" w:color="auto" w:fill="auto"/>
            <w:noWrap/>
            <w:vAlign w:val="center"/>
          </w:tcPr>
          <w:p w14:paraId="3A909864" w14:textId="77777777" w:rsidR="00FB2754" w:rsidRPr="00242F5C" w:rsidRDefault="00FB2754" w:rsidP="004D20E7">
            <w:pPr>
              <w:spacing w:line="480" w:lineRule="auto"/>
              <w:jc w:val="center"/>
              <w:rPr>
                <w:sz w:val="20"/>
                <w:szCs w:val="20"/>
              </w:rPr>
            </w:pPr>
          </w:p>
        </w:tc>
        <w:tc>
          <w:tcPr>
            <w:tcW w:w="788" w:type="pct"/>
            <w:vAlign w:val="center"/>
          </w:tcPr>
          <w:p w14:paraId="5832F97C" w14:textId="77777777" w:rsidR="00FB2754" w:rsidRPr="00242F5C" w:rsidRDefault="00FB2754" w:rsidP="004D20E7">
            <w:pPr>
              <w:spacing w:line="480" w:lineRule="auto"/>
              <w:jc w:val="center"/>
              <w:rPr>
                <w:sz w:val="20"/>
                <w:szCs w:val="20"/>
              </w:rPr>
            </w:pPr>
          </w:p>
        </w:tc>
        <w:tc>
          <w:tcPr>
            <w:tcW w:w="747" w:type="pct"/>
            <w:vAlign w:val="center"/>
          </w:tcPr>
          <w:p w14:paraId="3699FCFD" w14:textId="77777777" w:rsidR="00FB2754" w:rsidRPr="00242F5C" w:rsidRDefault="00FB2754" w:rsidP="004D20E7">
            <w:pPr>
              <w:spacing w:line="480" w:lineRule="auto"/>
              <w:jc w:val="center"/>
              <w:rPr>
                <w:sz w:val="20"/>
                <w:szCs w:val="20"/>
              </w:rPr>
            </w:pPr>
          </w:p>
        </w:tc>
        <w:tc>
          <w:tcPr>
            <w:tcW w:w="346" w:type="pct"/>
            <w:vAlign w:val="center"/>
          </w:tcPr>
          <w:p w14:paraId="4C8B41D0" w14:textId="77777777" w:rsidR="00FB2754" w:rsidRPr="00242F5C" w:rsidRDefault="00FB2754" w:rsidP="004D20E7">
            <w:pPr>
              <w:spacing w:line="480" w:lineRule="auto"/>
              <w:jc w:val="center"/>
              <w:rPr>
                <w:sz w:val="20"/>
                <w:szCs w:val="20"/>
              </w:rPr>
            </w:pPr>
          </w:p>
        </w:tc>
      </w:tr>
      <w:tr w:rsidR="00FB2754" w:rsidRPr="00242F5C" w14:paraId="26710112" w14:textId="77777777" w:rsidTr="00FB2754">
        <w:trPr>
          <w:trHeight w:val="285"/>
        </w:trPr>
        <w:tc>
          <w:tcPr>
            <w:tcW w:w="1259" w:type="pct"/>
            <w:shd w:val="clear" w:color="auto" w:fill="auto"/>
            <w:noWrap/>
            <w:vAlign w:val="center"/>
          </w:tcPr>
          <w:p w14:paraId="6A2DFAF5" w14:textId="77777777" w:rsidR="00FB2754" w:rsidRPr="00242F5C" w:rsidRDefault="00184B5D" w:rsidP="004D20E7">
            <w:pPr>
              <w:spacing w:line="480" w:lineRule="auto"/>
              <w:rPr>
                <w:b/>
                <w:bCs/>
                <w:sz w:val="20"/>
                <w:szCs w:val="20"/>
              </w:rPr>
            </w:pPr>
            <w:r w:rsidRPr="00242F5C">
              <w:rPr>
                <w:b/>
                <w:bCs/>
                <w:sz w:val="20"/>
                <w:szCs w:val="20"/>
              </w:rPr>
              <w:lastRenderedPageBreak/>
              <w:t>Months Elapsed since fPBC</w:t>
            </w:r>
          </w:p>
        </w:tc>
        <w:tc>
          <w:tcPr>
            <w:tcW w:w="776" w:type="pct"/>
            <w:shd w:val="clear" w:color="auto" w:fill="auto"/>
            <w:noWrap/>
          </w:tcPr>
          <w:p w14:paraId="010184A4" w14:textId="496AABEE" w:rsidR="00FB2754" w:rsidRPr="00242F5C" w:rsidRDefault="00184B5D" w:rsidP="004D20E7">
            <w:pPr>
              <w:spacing w:line="480" w:lineRule="auto"/>
              <w:jc w:val="center"/>
              <w:rPr>
                <w:bCs/>
                <w:sz w:val="20"/>
                <w:szCs w:val="20"/>
              </w:rPr>
            </w:pPr>
            <w:r w:rsidRPr="00242F5C">
              <w:rPr>
                <w:sz w:val="20"/>
                <w:szCs w:val="20"/>
              </w:rPr>
              <w:t>0.98 (0.94-1.02)</w:t>
            </w:r>
          </w:p>
        </w:tc>
        <w:tc>
          <w:tcPr>
            <w:tcW w:w="738" w:type="pct"/>
            <w:shd w:val="clear" w:color="auto" w:fill="auto"/>
            <w:noWrap/>
            <w:vAlign w:val="center"/>
          </w:tcPr>
          <w:p w14:paraId="324A2FD1" w14:textId="3E0B9370" w:rsidR="00FB2754" w:rsidRPr="00242F5C" w:rsidRDefault="00184B5D" w:rsidP="004D20E7">
            <w:pPr>
              <w:spacing w:line="480" w:lineRule="auto"/>
              <w:jc w:val="center"/>
              <w:rPr>
                <w:sz w:val="20"/>
                <w:szCs w:val="20"/>
              </w:rPr>
            </w:pPr>
            <w:r w:rsidRPr="00242F5C">
              <w:rPr>
                <w:sz w:val="20"/>
                <w:szCs w:val="20"/>
              </w:rPr>
              <w:t>0.02</w:t>
            </w:r>
          </w:p>
        </w:tc>
        <w:tc>
          <w:tcPr>
            <w:tcW w:w="346" w:type="pct"/>
            <w:shd w:val="clear" w:color="auto" w:fill="auto"/>
            <w:noWrap/>
          </w:tcPr>
          <w:p w14:paraId="63192D28" w14:textId="5333B837" w:rsidR="00FB2754" w:rsidRPr="00242F5C" w:rsidRDefault="00184B5D" w:rsidP="004D20E7">
            <w:pPr>
              <w:spacing w:line="480" w:lineRule="auto"/>
              <w:jc w:val="center"/>
              <w:rPr>
                <w:sz w:val="20"/>
                <w:szCs w:val="20"/>
              </w:rPr>
            </w:pPr>
            <w:r w:rsidRPr="00242F5C">
              <w:rPr>
                <w:sz w:val="20"/>
                <w:szCs w:val="20"/>
              </w:rPr>
              <w:t>0.295</w:t>
            </w:r>
          </w:p>
        </w:tc>
        <w:tc>
          <w:tcPr>
            <w:tcW w:w="788" w:type="pct"/>
            <w:vAlign w:val="center"/>
          </w:tcPr>
          <w:p w14:paraId="57E640C4" w14:textId="66CE4BCE" w:rsidR="00FB2754" w:rsidRPr="00242F5C" w:rsidRDefault="00184B5D" w:rsidP="004D20E7">
            <w:pPr>
              <w:spacing w:line="480" w:lineRule="auto"/>
              <w:jc w:val="center"/>
              <w:rPr>
                <w:sz w:val="20"/>
                <w:szCs w:val="20"/>
              </w:rPr>
            </w:pPr>
            <w:r w:rsidRPr="00242F5C">
              <w:rPr>
                <w:sz w:val="20"/>
                <w:szCs w:val="20"/>
              </w:rPr>
              <w:t>0.99 (0.97-1.01)</w:t>
            </w:r>
          </w:p>
        </w:tc>
        <w:tc>
          <w:tcPr>
            <w:tcW w:w="747" w:type="pct"/>
            <w:vAlign w:val="center"/>
          </w:tcPr>
          <w:p w14:paraId="374F90A5" w14:textId="6531FC5D" w:rsidR="00FB2754" w:rsidRPr="00242F5C" w:rsidRDefault="00184B5D" w:rsidP="004D20E7">
            <w:pPr>
              <w:spacing w:line="480" w:lineRule="auto"/>
              <w:jc w:val="center"/>
              <w:rPr>
                <w:sz w:val="20"/>
                <w:szCs w:val="20"/>
              </w:rPr>
            </w:pPr>
            <w:r w:rsidRPr="00242F5C">
              <w:rPr>
                <w:sz w:val="20"/>
                <w:szCs w:val="20"/>
              </w:rPr>
              <w:t>0.01</w:t>
            </w:r>
          </w:p>
        </w:tc>
        <w:tc>
          <w:tcPr>
            <w:tcW w:w="346" w:type="pct"/>
            <w:vAlign w:val="center"/>
          </w:tcPr>
          <w:p w14:paraId="026CE3EF" w14:textId="7991A0FC" w:rsidR="00FB2754" w:rsidRPr="00242F5C" w:rsidRDefault="00184B5D" w:rsidP="004D20E7">
            <w:pPr>
              <w:spacing w:line="480" w:lineRule="auto"/>
              <w:jc w:val="center"/>
              <w:rPr>
                <w:sz w:val="20"/>
                <w:szCs w:val="20"/>
              </w:rPr>
            </w:pPr>
            <w:r w:rsidRPr="00242F5C">
              <w:rPr>
                <w:sz w:val="20"/>
                <w:szCs w:val="20"/>
              </w:rPr>
              <w:t>0.381</w:t>
            </w:r>
          </w:p>
        </w:tc>
      </w:tr>
    </w:tbl>
    <w:p w14:paraId="649955E1" w14:textId="6AA0ED92" w:rsidR="00FB2754" w:rsidRPr="00242F5C" w:rsidRDefault="00184B5D" w:rsidP="004D20E7">
      <w:pPr>
        <w:adjustRightInd w:val="0"/>
        <w:spacing w:before="160" w:line="480" w:lineRule="auto"/>
        <w:rPr>
          <w:sz w:val="20"/>
          <w:szCs w:val="20"/>
        </w:rPr>
      </w:pPr>
      <w:r w:rsidRPr="00242F5C">
        <w:rPr>
          <w:sz w:val="20"/>
          <w:szCs w:val="20"/>
        </w:rPr>
        <w:t>Abbreviations: HR, hazard ratio; CI, confidence interval; sPBC, subsequent platinum-based chemotherapy; sNPBC, subsequent non-platinum-based chemotherapy; ECOG PS, Eastern Cooperative Oncology Group Performance Status; CCI, Charlson Comorbidity Index; fPBC, first-line platinum-based chemotherapy; PR, partial response; CR, complete response; SD, stable disease; PD, progressive disease.</w:t>
      </w:r>
    </w:p>
    <w:p w14:paraId="7112D383" w14:textId="5FFB02D8" w:rsidR="00FB2754" w:rsidRPr="00C65B10" w:rsidRDefault="00C0346D" w:rsidP="004D20E7">
      <w:pPr>
        <w:spacing w:line="480" w:lineRule="auto"/>
        <w:rPr>
          <w:sz w:val="20"/>
          <w:szCs w:val="20"/>
        </w:rPr>
      </w:pPr>
      <w:r w:rsidRPr="00DE4071">
        <w:rPr>
          <w:rFonts w:cstheme="minorHAnsi"/>
          <w:b/>
          <w:bCs/>
        </w:rPr>
        <w:t xml:space="preserve"> </w:t>
      </w:r>
    </w:p>
    <w:sectPr w:rsidR="00FB2754" w:rsidRPr="00C65B10" w:rsidSect="00FB27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0ADF0" w14:textId="77777777" w:rsidR="00AF38C6" w:rsidRDefault="00AF38C6">
      <w:r>
        <w:separator/>
      </w:r>
    </w:p>
  </w:endnote>
  <w:endnote w:type="continuationSeparator" w:id="0">
    <w:p w14:paraId="1CE48966" w14:textId="77777777" w:rsidR="00AF38C6" w:rsidRDefault="00AF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378241"/>
      <w:docPartObj>
        <w:docPartGallery w:val="Page Numbers (Bottom of Page)"/>
        <w:docPartUnique/>
      </w:docPartObj>
    </w:sdtPr>
    <w:sdtEndPr/>
    <w:sdtContent>
      <w:p w14:paraId="05860A7F" w14:textId="6CCB04AE" w:rsidR="00F63670" w:rsidRDefault="00F63670" w:rsidP="00FB2754">
        <w:pPr>
          <w:framePr w:wrap="none" w:vAnchor="text" w:hAnchor="margin" w:xAlign="right" w:y="1"/>
        </w:pPr>
        <w:r>
          <w:fldChar w:fldCharType="begin"/>
        </w:r>
        <w:r>
          <w:instrText xml:space="preserve"> PAGE </w:instrText>
        </w:r>
        <w:r>
          <w:fldChar w:fldCharType="end"/>
        </w:r>
      </w:p>
    </w:sdtContent>
  </w:sdt>
  <w:p w14:paraId="3CD9AB1B" w14:textId="77777777" w:rsidR="00F63670" w:rsidRDefault="00F63670" w:rsidP="00FB2754">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537018"/>
      <w:docPartObj>
        <w:docPartGallery w:val="Page Numbers (Bottom of Page)"/>
        <w:docPartUnique/>
      </w:docPartObj>
    </w:sdtPr>
    <w:sdtEndPr/>
    <w:sdtContent>
      <w:p w14:paraId="1E26BE74" w14:textId="46FB4FEB" w:rsidR="00F63670" w:rsidRDefault="00F63670" w:rsidP="00FB2754">
        <w:pPr>
          <w:framePr w:wrap="none" w:vAnchor="text" w:hAnchor="margin" w:xAlign="right" w:y="1"/>
        </w:pPr>
        <w:r>
          <w:fldChar w:fldCharType="begin"/>
        </w:r>
        <w:r>
          <w:instrText xml:space="preserve"> PAGE </w:instrText>
        </w:r>
        <w:r>
          <w:fldChar w:fldCharType="separate"/>
        </w:r>
        <w:r w:rsidR="00830268">
          <w:rPr>
            <w:noProof/>
          </w:rPr>
          <w:t>1</w:t>
        </w:r>
        <w:r>
          <w:fldChar w:fldCharType="end"/>
        </w:r>
      </w:p>
    </w:sdtContent>
  </w:sdt>
  <w:p w14:paraId="63DFDCCE" w14:textId="77777777" w:rsidR="00F63670" w:rsidRDefault="00F63670" w:rsidP="00FB275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144C1" w14:textId="77777777" w:rsidR="00AF38C6" w:rsidRDefault="00AF38C6">
      <w:r>
        <w:separator/>
      </w:r>
    </w:p>
  </w:footnote>
  <w:footnote w:type="continuationSeparator" w:id="0">
    <w:p w14:paraId="4740CB5C" w14:textId="77777777" w:rsidR="00AF38C6" w:rsidRDefault="00AF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11972"/>
    <w:multiLevelType w:val="hybridMultilevel"/>
    <w:tmpl w:val="DFD4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0014C"/>
    <w:multiLevelType w:val="multilevel"/>
    <w:tmpl w:val="C338E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23"/>
    <w:rsid w:val="00063143"/>
    <w:rsid w:val="000A2839"/>
    <w:rsid w:val="000A4DB6"/>
    <w:rsid w:val="000B7D01"/>
    <w:rsid w:val="000D41C5"/>
    <w:rsid w:val="00103587"/>
    <w:rsid w:val="00153A49"/>
    <w:rsid w:val="00184B5D"/>
    <w:rsid w:val="001945F7"/>
    <w:rsid w:val="001977C5"/>
    <w:rsid w:val="001C7283"/>
    <w:rsid w:val="001F0DF0"/>
    <w:rsid w:val="001F192A"/>
    <w:rsid w:val="00201B2C"/>
    <w:rsid w:val="00216514"/>
    <w:rsid w:val="00242F5C"/>
    <w:rsid w:val="00271EAC"/>
    <w:rsid w:val="002E5B21"/>
    <w:rsid w:val="00300579"/>
    <w:rsid w:val="00303A53"/>
    <w:rsid w:val="0031261F"/>
    <w:rsid w:val="00374128"/>
    <w:rsid w:val="003871A8"/>
    <w:rsid w:val="00476B19"/>
    <w:rsid w:val="004A6117"/>
    <w:rsid w:val="004B05B3"/>
    <w:rsid w:val="004B22B9"/>
    <w:rsid w:val="004D20E7"/>
    <w:rsid w:val="004E773E"/>
    <w:rsid w:val="004F300C"/>
    <w:rsid w:val="00526F58"/>
    <w:rsid w:val="005313CB"/>
    <w:rsid w:val="00557A27"/>
    <w:rsid w:val="00563B8A"/>
    <w:rsid w:val="00564001"/>
    <w:rsid w:val="00572C0D"/>
    <w:rsid w:val="00576323"/>
    <w:rsid w:val="00582996"/>
    <w:rsid w:val="00590F4E"/>
    <w:rsid w:val="00594776"/>
    <w:rsid w:val="005A2363"/>
    <w:rsid w:val="005E6C5D"/>
    <w:rsid w:val="006065A2"/>
    <w:rsid w:val="0061053B"/>
    <w:rsid w:val="00676C0A"/>
    <w:rsid w:val="0068378C"/>
    <w:rsid w:val="006A6186"/>
    <w:rsid w:val="006B6B17"/>
    <w:rsid w:val="006D0E2B"/>
    <w:rsid w:val="006D3A80"/>
    <w:rsid w:val="006F44B1"/>
    <w:rsid w:val="00732D05"/>
    <w:rsid w:val="007A610F"/>
    <w:rsid w:val="007B5591"/>
    <w:rsid w:val="007E0D7B"/>
    <w:rsid w:val="007E46EC"/>
    <w:rsid w:val="007E7717"/>
    <w:rsid w:val="00800ED7"/>
    <w:rsid w:val="00802F20"/>
    <w:rsid w:val="008059B1"/>
    <w:rsid w:val="008140F9"/>
    <w:rsid w:val="00827065"/>
    <w:rsid w:val="00830268"/>
    <w:rsid w:val="00867083"/>
    <w:rsid w:val="008833D5"/>
    <w:rsid w:val="008B61F4"/>
    <w:rsid w:val="008D7812"/>
    <w:rsid w:val="00941B99"/>
    <w:rsid w:val="00941F7D"/>
    <w:rsid w:val="00963C85"/>
    <w:rsid w:val="00965701"/>
    <w:rsid w:val="00980BCA"/>
    <w:rsid w:val="009B766F"/>
    <w:rsid w:val="009C3611"/>
    <w:rsid w:val="009D04AD"/>
    <w:rsid w:val="00A0056B"/>
    <w:rsid w:val="00A06F21"/>
    <w:rsid w:val="00A13645"/>
    <w:rsid w:val="00A20C79"/>
    <w:rsid w:val="00A215E8"/>
    <w:rsid w:val="00A7082C"/>
    <w:rsid w:val="00AC7D44"/>
    <w:rsid w:val="00AF38C6"/>
    <w:rsid w:val="00B00EB0"/>
    <w:rsid w:val="00B2472A"/>
    <w:rsid w:val="00B37A7B"/>
    <w:rsid w:val="00B56BD1"/>
    <w:rsid w:val="00B571CB"/>
    <w:rsid w:val="00B60C50"/>
    <w:rsid w:val="00B8123F"/>
    <w:rsid w:val="00B853B2"/>
    <w:rsid w:val="00BC10A0"/>
    <w:rsid w:val="00BC62C8"/>
    <w:rsid w:val="00C0346D"/>
    <w:rsid w:val="00C33788"/>
    <w:rsid w:val="00C659DD"/>
    <w:rsid w:val="00C65B10"/>
    <w:rsid w:val="00C9372B"/>
    <w:rsid w:val="00CA2831"/>
    <w:rsid w:val="00CB36DD"/>
    <w:rsid w:val="00CF767A"/>
    <w:rsid w:val="00D4657B"/>
    <w:rsid w:val="00D473A9"/>
    <w:rsid w:val="00D748FC"/>
    <w:rsid w:val="00D9531A"/>
    <w:rsid w:val="00D97A9B"/>
    <w:rsid w:val="00E01635"/>
    <w:rsid w:val="00E019AA"/>
    <w:rsid w:val="00E13D16"/>
    <w:rsid w:val="00E4465F"/>
    <w:rsid w:val="00E50E2C"/>
    <w:rsid w:val="00EB73E2"/>
    <w:rsid w:val="00EC2BDA"/>
    <w:rsid w:val="00EF1A22"/>
    <w:rsid w:val="00F01EF3"/>
    <w:rsid w:val="00F023AC"/>
    <w:rsid w:val="00F1428E"/>
    <w:rsid w:val="00F178FB"/>
    <w:rsid w:val="00F433C5"/>
    <w:rsid w:val="00F54C23"/>
    <w:rsid w:val="00F63670"/>
    <w:rsid w:val="00F63CBF"/>
    <w:rsid w:val="00F75DF1"/>
    <w:rsid w:val="00F85EB8"/>
    <w:rsid w:val="00FB2754"/>
    <w:rsid w:val="00FB522E"/>
    <w:rsid w:val="00FC12A5"/>
    <w:rsid w:val="00FD6CD2"/>
    <w:rsid w:val="00FE440C"/>
    <w:rsid w:val="00FF4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F14A"/>
  <w15:docId w15:val="{62164D84-1449-3840-BFF8-075443AD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10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4C23"/>
    <w:rPr>
      <w:rFonts w:eastAsiaTheme="minorEastAsia"/>
      <w:sz w:val="18"/>
      <w:szCs w:val="18"/>
      <w:lang w:eastAsia="en-US"/>
    </w:rPr>
  </w:style>
  <w:style w:type="character" w:customStyle="1" w:styleId="BalloonTextChar">
    <w:name w:val="Balloon Text Char"/>
    <w:basedOn w:val="DefaultParagraphFont"/>
    <w:link w:val="BalloonText"/>
    <w:uiPriority w:val="99"/>
    <w:semiHidden/>
    <w:rsid w:val="00F54C2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54C23"/>
    <w:rPr>
      <w:b/>
      <w:bCs/>
    </w:rPr>
  </w:style>
  <w:style w:type="character" w:customStyle="1" w:styleId="CommentSubjectChar">
    <w:name w:val="Comment Subject Char"/>
    <w:basedOn w:val="CommentTextChar"/>
    <w:link w:val="CommentSubject"/>
    <w:uiPriority w:val="99"/>
    <w:semiHidden/>
    <w:rsid w:val="00F54C23"/>
    <w:rPr>
      <w:b/>
      <w:bCs/>
      <w:sz w:val="20"/>
      <w:szCs w:val="20"/>
    </w:rPr>
  </w:style>
  <w:style w:type="paragraph" w:styleId="Revision">
    <w:name w:val="Revision"/>
    <w:hidden/>
    <w:uiPriority w:val="99"/>
    <w:semiHidden/>
    <w:rsid w:val="00FB2754"/>
  </w:style>
  <w:style w:type="paragraph" w:styleId="NormalWeb">
    <w:name w:val="Normal (Web)"/>
    <w:basedOn w:val="Normal"/>
    <w:uiPriority w:val="99"/>
    <w:semiHidden/>
    <w:unhideWhenUsed/>
    <w:rsid w:val="00E4465F"/>
    <w:rPr>
      <w:rFonts w:eastAsiaTheme="minorEastAsia"/>
      <w:lang w:eastAsia="en-US"/>
    </w:rPr>
  </w:style>
  <w:style w:type="character" w:styleId="Hyperlink">
    <w:name w:val="Hyperlink"/>
    <w:basedOn w:val="DefaultParagraphFont"/>
    <w:uiPriority w:val="99"/>
    <w:unhideWhenUsed/>
    <w:rsid w:val="00E4465F"/>
    <w:rPr>
      <w:color w:val="0563C1" w:themeColor="hyperlink"/>
      <w:u w:val="single"/>
    </w:rPr>
  </w:style>
  <w:style w:type="character" w:customStyle="1" w:styleId="UnresolvedMention">
    <w:name w:val="Unresolved Mention"/>
    <w:basedOn w:val="DefaultParagraphFont"/>
    <w:uiPriority w:val="99"/>
    <w:semiHidden/>
    <w:unhideWhenUsed/>
    <w:rsid w:val="00E4465F"/>
    <w:rPr>
      <w:color w:val="605E5C"/>
      <w:shd w:val="clear" w:color="auto" w:fill="E1DFDD"/>
    </w:rPr>
  </w:style>
  <w:style w:type="paragraph" w:styleId="ListParagraph">
    <w:name w:val="List Paragraph"/>
    <w:basedOn w:val="Normal"/>
    <w:uiPriority w:val="34"/>
    <w:qFormat/>
    <w:rsid w:val="001977C5"/>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C0346D"/>
    <w:pPr>
      <w:tabs>
        <w:tab w:val="center" w:pos="4680"/>
        <w:tab w:val="right" w:pos="9360"/>
      </w:tabs>
    </w:pPr>
  </w:style>
  <w:style w:type="character" w:customStyle="1" w:styleId="HeaderChar">
    <w:name w:val="Header Char"/>
    <w:basedOn w:val="DefaultParagraphFont"/>
    <w:link w:val="Header"/>
    <w:uiPriority w:val="99"/>
    <w:rsid w:val="00C0346D"/>
    <w:rPr>
      <w:rFonts w:ascii="Times New Roman" w:eastAsia="Times New Roman" w:hAnsi="Times New Roman" w:cs="Times New Roman"/>
      <w:lang w:eastAsia="zh-CN"/>
    </w:rPr>
  </w:style>
  <w:style w:type="paragraph" w:styleId="Footer">
    <w:name w:val="footer"/>
    <w:basedOn w:val="Normal"/>
    <w:link w:val="FooterChar"/>
    <w:uiPriority w:val="99"/>
    <w:unhideWhenUsed/>
    <w:rsid w:val="00C0346D"/>
    <w:pPr>
      <w:tabs>
        <w:tab w:val="center" w:pos="4680"/>
        <w:tab w:val="right" w:pos="9360"/>
      </w:tabs>
    </w:pPr>
  </w:style>
  <w:style w:type="character" w:customStyle="1" w:styleId="FooterChar">
    <w:name w:val="Footer Char"/>
    <w:basedOn w:val="DefaultParagraphFont"/>
    <w:link w:val="Footer"/>
    <w:uiPriority w:val="99"/>
    <w:rsid w:val="00C0346D"/>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5896">
      <w:bodyDiv w:val="1"/>
      <w:marLeft w:val="0"/>
      <w:marRight w:val="0"/>
      <w:marTop w:val="0"/>
      <w:marBottom w:val="0"/>
      <w:divBdr>
        <w:top w:val="none" w:sz="0" w:space="0" w:color="auto"/>
        <w:left w:val="none" w:sz="0" w:space="0" w:color="auto"/>
        <w:bottom w:val="none" w:sz="0" w:space="0" w:color="auto"/>
        <w:right w:val="none" w:sz="0" w:space="0" w:color="auto"/>
      </w:divBdr>
    </w:div>
    <w:div w:id="409237245">
      <w:bodyDiv w:val="1"/>
      <w:marLeft w:val="0"/>
      <w:marRight w:val="0"/>
      <w:marTop w:val="0"/>
      <w:marBottom w:val="0"/>
      <w:divBdr>
        <w:top w:val="none" w:sz="0" w:space="0" w:color="auto"/>
        <w:left w:val="none" w:sz="0" w:space="0" w:color="auto"/>
        <w:bottom w:val="none" w:sz="0" w:space="0" w:color="auto"/>
        <w:right w:val="none" w:sz="0" w:space="0" w:color="auto"/>
      </w:divBdr>
    </w:div>
    <w:div w:id="1178499533">
      <w:bodyDiv w:val="1"/>
      <w:marLeft w:val="0"/>
      <w:marRight w:val="0"/>
      <w:marTop w:val="0"/>
      <w:marBottom w:val="0"/>
      <w:divBdr>
        <w:top w:val="none" w:sz="0" w:space="0" w:color="auto"/>
        <w:left w:val="none" w:sz="0" w:space="0" w:color="auto"/>
        <w:bottom w:val="none" w:sz="0" w:space="0" w:color="auto"/>
        <w:right w:val="none" w:sz="0" w:space="0" w:color="auto"/>
      </w:divBdr>
    </w:div>
    <w:div w:id="1209413765">
      <w:bodyDiv w:val="1"/>
      <w:marLeft w:val="0"/>
      <w:marRight w:val="0"/>
      <w:marTop w:val="0"/>
      <w:marBottom w:val="0"/>
      <w:divBdr>
        <w:top w:val="none" w:sz="0" w:space="0" w:color="auto"/>
        <w:left w:val="none" w:sz="0" w:space="0" w:color="auto"/>
        <w:bottom w:val="none" w:sz="0" w:space="0" w:color="auto"/>
        <w:right w:val="none" w:sz="0" w:space="0" w:color="auto"/>
      </w:divBdr>
    </w:div>
    <w:div w:id="1209802918">
      <w:bodyDiv w:val="1"/>
      <w:marLeft w:val="0"/>
      <w:marRight w:val="0"/>
      <w:marTop w:val="0"/>
      <w:marBottom w:val="0"/>
      <w:divBdr>
        <w:top w:val="none" w:sz="0" w:space="0" w:color="auto"/>
        <w:left w:val="none" w:sz="0" w:space="0" w:color="auto"/>
        <w:bottom w:val="none" w:sz="0" w:space="0" w:color="auto"/>
        <w:right w:val="none" w:sz="0" w:space="0" w:color="auto"/>
      </w:divBdr>
    </w:div>
    <w:div w:id="1254121018">
      <w:bodyDiv w:val="1"/>
      <w:marLeft w:val="0"/>
      <w:marRight w:val="0"/>
      <w:marTop w:val="0"/>
      <w:marBottom w:val="0"/>
      <w:divBdr>
        <w:top w:val="none" w:sz="0" w:space="0" w:color="auto"/>
        <w:left w:val="none" w:sz="0" w:space="0" w:color="auto"/>
        <w:bottom w:val="none" w:sz="0" w:space="0" w:color="auto"/>
        <w:right w:val="none" w:sz="0" w:space="0" w:color="auto"/>
      </w:divBdr>
    </w:div>
    <w:div w:id="1594390190">
      <w:bodyDiv w:val="1"/>
      <w:marLeft w:val="0"/>
      <w:marRight w:val="0"/>
      <w:marTop w:val="0"/>
      <w:marBottom w:val="0"/>
      <w:divBdr>
        <w:top w:val="none" w:sz="0" w:space="0" w:color="auto"/>
        <w:left w:val="none" w:sz="0" w:space="0" w:color="auto"/>
        <w:bottom w:val="none" w:sz="0" w:space="0" w:color="auto"/>
        <w:right w:val="none" w:sz="0" w:space="0" w:color="auto"/>
      </w:divBdr>
    </w:div>
    <w:div w:id="1706102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Crabb</dc:creator>
  <cp:lastModifiedBy>Simon Crabb</cp:lastModifiedBy>
  <cp:revision>2</cp:revision>
  <dcterms:created xsi:type="dcterms:W3CDTF">2021-10-12T13:29:00Z</dcterms:created>
  <dcterms:modified xsi:type="dcterms:W3CDTF">2021-10-12T13:29:00Z</dcterms:modified>
</cp:coreProperties>
</file>