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ADBB9" w14:textId="093861B6" w:rsidR="007A6B1D" w:rsidRPr="007A6B1D" w:rsidRDefault="006A5CE4" w:rsidP="007A6B1D">
      <w:pPr>
        <w:spacing w:line="360" w:lineRule="auto"/>
        <w:jc w:val="center"/>
        <w:rPr>
          <w:rFonts w:ascii="Times New Roman" w:hAnsi="Times New Roman" w:cs="Times New Roman"/>
          <w:b/>
        </w:rPr>
      </w:pPr>
      <w:r>
        <w:rPr>
          <w:rFonts w:ascii="Times New Roman" w:hAnsi="Times New Roman" w:cs="Times New Roman"/>
          <w:b/>
        </w:rPr>
        <w:t>EQUIVALENCE TESTING OF A NEWLY DEVELOPED INTERVIEWER-LED TELEPHONE SCRIPT FOR</w:t>
      </w:r>
      <w:r w:rsidR="007A6B1D">
        <w:rPr>
          <w:rFonts w:ascii="Times New Roman" w:hAnsi="Times New Roman" w:cs="Times New Roman"/>
          <w:b/>
        </w:rPr>
        <w:t xml:space="preserve"> THE EORTC QLQ-C30</w:t>
      </w:r>
    </w:p>
    <w:p w14:paraId="38DE8D9B" w14:textId="263FA9B3" w:rsidR="007A6B1D" w:rsidRPr="00731C19" w:rsidRDefault="00731C19" w:rsidP="007A6B1D">
      <w:pPr>
        <w:spacing w:line="360" w:lineRule="auto"/>
        <w:jc w:val="center"/>
        <w:rPr>
          <w:rFonts w:ascii="Times New Roman" w:hAnsi="Times New Roman" w:cs="Times New Roman"/>
          <w:vertAlign w:val="superscript"/>
        </w:rPr>
      </w:pPr>
      <w:r>
        <w:rPr>
          <w:rFonts w:ascii="Times New Roman" w:hAnsi="Times New Roman" w:cs="Times New Roman"/>
        </w:rPr>
        <w:t>Claire Piccinin</w:t>
      </w:r>
      <w:r>
        <w:rPr>
          <w:rFonts w:ascii="Times New Roman" w:hAnsi="Times New Roman" w:cs="Times New Roman"/>
          <w:vertAlign w:val="superscript"/>
        </w:rPr>
        <w:t>1</w:t>
      </w:r>
      <w:r>
        <w:rPr>
          <w:rFonts w:ascii="Times New Roman" w:hAnsi="Times New Roman" w:cs="Times New Roman"/>
        </w:rPr>
        <w:t>, Madeline Pe</w:t>
      </w:r>
      <w:r>
        <w:rPr>
          <w:rFonts w:ascii="Times New Roman" w:hAnsi="Times New Roman" w:cs="Times New Roman"/>
          <w:vertAlign w:val="superscript"/>
        </w:rPr>
        <w:t>1</w:t>
      </w:r>
      <w:r>
        <w:rPr>
          <w:rFonts w:ascii="Times New Roman" w:hAnsi="Times New Roman" w:cs="Times New Roman"/>
        </w:rPr>
        <w:t xml:space="preserve">, </w:t>
      </w:r>
      <w:r w:rsidRPr="00731C19">
        <w:rPr>
          <w:rFonts w:ascii="Times New Roman" w:hAnsi="Times New Roman" w:cs="Times New Roman"/>
        </w:rPr>
        <w:t>Dagmara Kuliś</w:t>
      </w:r>
      <w:r>
        <w:rPr>
          <w:rFonts w:ascii="Times New Roman" w:hAnsi="Times New Roman" w:cs="Times New Roman"/>
          <w:vertAlign w:val="superscript"/>
        </w:rPr>
        <w:t>1</w:t>
      </w:r>
      <w:r>
        <w:rPr>
          <w:rFonts w:ascii="Times New Roman" w:hAnsi="Times New Roman" w:cs="Times New Roman"/>
        </w:rPr>
        <w:t>, James W. Shaw</w:t>
      </w:r>
      <w:r>
        <w:rPr>
          <w:rFonts w:ascii="Times New Roman" w:hAnsi="Times New Roman" w:cs="Times New Roman"/>
          <w:vertAlign w:val="superscript"/>
        </w:rPr>
        <w:t>2</w:t>
      </w:r>
      <w:r>
        <w:rPr>
          <w:rFonts w:ascii="Times New Roman" w:hAnsi="Times New Roman" w:cs="Times New Roman"/>
        </w:rPr>
        <w:t xml:space="preserve">, Sally </w:t>
      </w:r>
      <w:r w:rsidR="00F44343">
        <w:rPr>
          <w:rFonts w:ascii="Times New Roman" w:hAnsi="Times New Roman" w:cs="Times New Roman"/>
        </w:rPr>
        <w:t xml:space="preserve">J. </w:t>
      </w:r>
      <w:r>
        <w:rPr>
          <w:rFonts w:ascii="Times New Roman" w:hAnsi="Times New Roman" w:cs="Times New Roman"/>
        </w:rPr>
        <w:t>Wheelwright</w:t>
      </w:r>
      <w:r>
        <w:rPr>
          <w:rFonts w:ascii="Times New Roman" w:hAnsi="Times New Roman" w:cs="Times New Roman"/>
          <w:vertAlign w:val="superscript"/>
        </w:rPr>
        <w:t>3</w:t>
      </w:r>
      <w:r>
        <w:rPr>
          <w:rFonts w:ascii="Times New Roman" w:hAnsi="Times New Roman" w:cs="Times New Roman"/>
        </w:rPr>
        <w:t>, &amp; Andrew Bottomley</w:t>
      </w:r>
      <w:r>
        <w:rPr>
          <w:rFonts w:ascii="Times New Roman" w:hAnsi="Times New Roman" w:cs="Times New Roman"/>
          <w:vertAlign w:val="superscript"/>
        </w:rPr>
        <w:t>1</w:t>
      </w:r>
    </w:p>
    <w:p w14:paraId="3C515FB7" w14:textId="62052FDD" w:rsidR="00731C19" w:rsidRPr="007A6B1D" w:rsidRDefault="00731C19" w:rsidP="007A6B1D">
      <w:pPr>
        <w:pStyle w:val="ListParagraph"/>
        <w:numPr>
          <w:ilvl w:val="0"/>
          <w:numId w:val="1"/>
        </w:numPr>
        <w:spacing w:line="360" w:lineRule="auto"/>
        <w:rPr>
          <w:rFonts w:ascii="Times New Roman" w:hAnsi="Times New Roman" w:cs="Times New Roman"/>
        </w:rPr>
      </w:pPr>
      <w:r w:rsidRPr="007A6B1D">
        <w:rPr>
          <w:rFonts w:ascii="Times New Roman" w:hAnsi="Times New Roman" w:cs="Times New Roman"/>
        </w:rPr>
        <w:t>Quality of Life Department, EORTC, Brussels, Belgium</w:t>
      </w:r>
    </w:p>
    <w:p w14:paraId="18D1C31A" w14:textId="77777777" w:rsidR="00731C19" w:rsidRDefault="00731C19" w:rsidP="00731C19">
      <w:pPr>
        <w:pStyle w:val="ListParagraph"/>
        <w:numPr>
          <w:ilvl w:val="0"/>
          <w:numId w:val="1"/>
        </w:numPr>
        <w:spacing w:line="360" w:lineRule="auto"/>
        <w:rPr>
          <w:rFonts w:ascii="Times New Roman" w:hAnsi="Times New Roman" w:cs="Times New Roman"/>
        </w:rPr>
      </w:pPr>
      <w:r>
        <w:rPr>
          <w:rFonts w:ascii="Times New Roman" w:hAnsi="Times New Roman" w:cs="Times New Roman"/>
        </w:rPr>
        <w:t>Patient-Reported Outcomes Assessment, Bristol-Meyers Squibb, Lawrenceville, New Jersey</w:t>
      </w:r>
    </w:p>
    <w:p w14:paraId="42368B32" w14:textId="77777777" w:rsidR="00731C19" w:rsidRPr="00731C19" w:rsidRDefault="00731C19" w:rsidP="00731C19">
      <w:pPr>
        <w:pStyle w:val="ListParagraph"/>
        <w:numPr>
          <w:ilvl w:val="0"/>
          <w:numId w:val="1"/>
        </w:numPr>
        <w:rPr>
          <w:rFonts w:ascii="Times New Roman" w:hAnsi="Times New Roman" w:cs="Times New Roman"/>
        </w:rPr>
      </w:pPr>
      <w:r w:rsidRPr="00731C19">
        <w:rPr>
          <w:rFonts w:ascii="Times New Roman" w:hAnsi="Times New Roman" w:cs="Times New Roman"/>
        </w:rPr>
        <w:t>Macmillan Survivorship Research Group, University of Southampton, Southampton, United Kingdom</w:t>
      </w:r>
    </w:p>
    <w:p w14:paraId="4186D355" w14:textId="77777777" w:rsidR="00731C19" w:rsidRPr="00731C19" w:rsidRDefault="00731C19" w:rsidP="00731C19">
      <w:pPr>
        <w:pStyle w:val="ListParagraph"/>
        <w:spacing w:line="360" w:lineRule="auto"/>
        <w:rPr>
          <w:rFonts w:ascii="Times New Roman" w:hAnsi="Times New Roman" w:cs="Times New Roman"/>
        </w:rPr>
      </w:pPr>
    </w:p>
    <w:p w14:paraId="423403EE" w14:textId="69A2A6E3" w:rsidR="00731C19" w:rsidRDefault="00CD652E" w:rsidP="00F02208">
      <w:pPr>
        <w:spacing w:line="480" w:lineRule="auto"/>
        <w:rPr>
          <w:rFonts w:ascii="Times New Roman" w:hAnsi="Times New Roman" w:cs="Times New Roman"/>
        </w:rPr>
      </w:pPr>
      <w:r>
        <w:rPr>
          <w:rFonts w:ascii="Times New Roman" w:hAnsi="Times New Roman" w:cs="Times New Roman"/>
          <w:b/>
        </w:rPr>
        <w:t xml:space="preserve">Corresponding author: </w:t>
      </w:r>
      <w:hyperlink r:id="rId11" w:history="1">
        <w:r w:rsidRPr="006551B4">
          <w:rPr>
            <w:rStyle w:val="Hyperlink"/>
            <w:rFonts w:ascii="Times New Roman" w:hAnsi="Times New Roman" w:cs="Times New Roman"/>
          </w:rPr>
          <w:t>claire.piccinin@eortc.org</w:t>
        </w:r>
      </w:hyperlink>
      <w:r>
        <w:rPr>
          <w:rFonts w:ascii="Times New Roman" w:hAnsi="Times New Roman" w:cs="Times New Roman"/>
        </w:rPr>
        <w:t xml:space="preserve"> </w:t>
      </w:r>
    </w:p>
    <w:p w14:paraId="1FE9500C" w14:textId="5D6A616D" w:rsidR="00DA1B74" w:rsidRPr="00DA1B74" w:rsidRDefault="00DA1B74" w:rsidP="00F02208">
      <w:pPr>
        <w:spacing w:line="480" w:lineRule="auto"/>
        <w:rPr>
          <w:rFonts w:ascii="Times New Roman" w:hAnsi="Times New Roman" w:cs="Times New Roman"/>
          <w:b/>
        </w:rPr>
      </w:pPr>
      <w:r w:rsidRPr="006D5585">
        <w:rPr>
          <w:rFonts w:ascii="Times New Roman" w:hAnsi="Times New Roman" w:cs="Times New Roman"/>
          <w:b/>
        </w:rPr>
        <w:t xml:space="preserve">Word count (excluding abstract, tables, and references): </w:t>
      </w:r>
      <w:r w:rsidR="006D5585" w:rsidRPr="006D5585">
        <w:rPr>
          <w:rFonts w:ascii="Times New Roman" w:hAnsi="Times New Roman" w:cs="Times New Roman"/>
        </w:rPr>
        <w:t>3</w:t>
      </w:r>
      <w:r w:rsidR="00297B75">
        <w:rPr>
          <w:rFonts w:ascii="Times New Roman" w:hAnsi="Times New Roman" w:cs="Times New Roman"/>
        </w:rPr>
        <w:t>941</w:t>
      </w:r>
    </w:p>
    <w:p w14:paraId="66E6FD11" w14:textId="77777777" w:rsidR="00DA52F2" w:rsidRDefault="00DA52F2" w:rsidP="00F02208">
      <w:pPr>
        <w:spacing w:line="480" w:lineRule="auto"/>
        <w:rPr>
          <w:rFonts w:ascii="Times New Roman" w:hAnsi="Times New Roman" w:cs="Times New Roman"/>
          <w:b/>
        </w:rPr>
      </w:pPr>
    </w:p>
    <w:p w14:paraId="3D7DE0E6" w14:textId="77777777" w:rsidR="00CD652E" w:rsidRDefault="00CD652E" w:rsidP="00F02208">
      <w:pPr>
        <w:spacing w:line="480" w:lineRule="auto"/>
        <w:rPr>
          <w:rFonts w:ascii="Times New Roman" w:hAnsi="Times New Roman" w:cs="Times New Roman"/>
          <w:b/>
        </w:rPr>
      </w:pPr>
    </w:p>
    <w:p w14:paraId="230B9C41" w14:textId="77777777" w:rsidR="00CD652E" w:rsidRDefault="00CD652E" w:rsidP="00F02208">
      <w:pPr>
        <w:spacing w:line="480" w:lineRule="auto"/>
        <w:rPr>
          <w:rFonts w:ascii="Times New Roman" w:hAnsi="Times New Roman" w:cs="Times New Roman"/>
          <w:b/>
        </w:rPr>
      </w:pPr>
    </w:p>
    <w:p w14:paraId="62EDB53A" w14:textId="77777777" w:rsidR="00CD652E" w:rsidRDefault="00CD652E" w:rsidP="00F02208">
      <w:pPr>
        <w:spacing w:line="480" w:lineRule="auto"/>
        <w:rPr>
          <w:rFonts w:ascii="Times New Roman" w:hAnsi="Times New Roman" w:cs="Times New Roman"/>
          <w:b/>
        </w:rPr>
      </w:pPr>
    </w:p>
    <w:p w14:paraId="05762151" w14:textId="77777777" w:rsidR="00CD652E" w:rsidRDefault="00CD652E" w:rsidP="00F02208">
      <w:pPr>
        <w:spacing w:line="480" w:lineRule="auto"/>
        <w:rPr>
          <w:rFonts w:ascii="Times New Roman" w:hAnsi="Times New Roman" w:cs="Times New Roman"/>
          <w:b/>
        </w:rPr>
      </w:pPr>
    </w:p>
    <w:p w14:paraId="36D10E2E" w14:textId="77777777" w:rsidR="00CD652E" w:rsidRDefault="00CD652E" w:rsidP="00F02208">
      <w:pPr>
        <w:spacing w:line="480" w:lineRule="auto"/>
        <w:rPr>
          <w:rFonts w:ascii="Times New Roman" w:hAnsi="Times New Roman" w:cs="Times New Roman"/>
          <w:b/>
        </w:rPr>
      </w:pPr>
    </w:p>
    <w:p w14:paraId="7C6ED2E1" w14:textId="77777777" w:rsidR="00CD652E" w:rsidRDefault="00CD652E" w:rsidP="00F02208">
      <w:pPr>
        <w:spacing w:line="480" w:lineRule="auto"/>
        <w:rPr>
          <w:rFonts w:ascii="Times New Roman" w:hAnsi="Times New Roman" w:cs="Times New Roman"/>
          <w:b/>
        </w:rPr>
      </w:pPr>
    </w:p>
    <w:p w14:paraId="7143CFC5" w14:textId="77777777" w:rsidR="00CD652E" w:rsidRDefault="00CD652E" w:rsidP="00F02208">
      <w:pPr>
        <w:spacing w:line="480" w:lineRule="auto"/>
        <w:rPr>
          <w:rFonts w:ascii="Times New Roman" w:hAnsi="Times New Roman" w:cs="Times New Roman"/>
          <w:b/>
        </w:rPr>
      </w:pPr>
    </w:p>
    <w:p w14:paraId="6915E6E6" w14:textId="77777777" w:rsidR="00CD652E" w:rsidRDefault="00CD652E" w:rsidP="00F02208">
      <w:pPr>
        <w:spacing w:line="480" w:lineRule="auto"/>
        <w:rPr>
          <w:rFonts w:ascii="Times New Roman" w:hAnsi="Times New Roman" w:cs="Times New Roman"/>
          <w:b/>
        </w:rPr>
      </w:pPr>
    </w:p>
    <w:p w14:paraId="224FF366" w14:textId="77777777" w:rsidR="00CD652E" w:rsidRDefault="00CD652E" w:rsidP="00F02208">
      <w:pPr>
        <w:spacing w:line="480" w:lineRule="auto"/>
        <w:rPr>
          <w:rFonts w:ascii="Times New Roman" w:hAnsi="Times New Roman" w:cs="Times New Roman"/>
          <w:b/>
        </w:rPr>
      </w:pPr>
    </w:p>
    <w:p w14:paraId="259E6D4A" w14:textId="77777777" w:rsidR="00CD652E" w:rsidRDefault="00CD652E" w:rsidP="00F02208">
      <w:pPr>
        <w:spacing w:line="480" w:lineRule="auto"/>
        <w:rPr>
          <w:rFonts w:ascii="Times New Roman" w:hAnsi="Times New Roman" w:cs="Times New Roman"/>
          <w:b/>
        </w:rPr>
      </w:pPr>
    </w:p>
    <w:p w14:paraId="25275950" w14:textId="77777777" w:rsidR="00CD652E" w:rsidRDefault="00CD652E" w:rsidP="00F02208">
      <w:pPr>
        <w:spacing w:line="480" w:lineRule="auto"/>
        <w:rPr>
          <w:rFonts w:ascii="Times New Roman" w:hAnsi="Times New Roman" w:cs="Times New Roman"/>
          <w:b/>
        </w:rPr>
      </w:pPr>
    </w:p>
    <w:p w14:paraId="3814A52C" w14:textId="04D4077E" w:rsidR="00CD652E" w:rsidRDefault="00CD652E" w:rsidP="00F02208">
      <w:pPr>
        <w:spacing w:line="480" w:lineRule="auto"/>
        <w:rPr>
          <w:rFonts w:ascii="Times New Roman" w:hAnsi="Times New Roman" w:cs="Times New Roman"/>
          <w:b/>
        </w:rPr>
        <w:sectPr w:rsidR="00CD652E" w:rsidSect="00EC414E">
          <w:footerReference w:type="default" r:id="rId12"/>
          <w:pgSz w:w="11906" w:h="16838"/>
          <w:pgMar w:top="1440" w:right="1440" w:bottom="1440" w:left="1440" w:header="708" w:footer="708" w:gutter="0"/>
          <w:cols w:space="708"/>
          <w:docGrid w:linePitch="360"/>
        </w:sectPr>
      </w:pPr>
    </w:p>
    <w:p w14:paraId="5D19B700" w14:textId="4DD80D87" w:rsidR="00C940A5" w:rsidRDefault="00CD652E" w:rsidP="00F02208">
      <w:pPr>
        <w:spacing w:line="480" w:lineRule="auto"/>
        <w:rPr>
          <w:rFonts w:ascii="Times New Roman" w:hAnsi="Times New Roman" w:cs="Times New Roman"/>
          <w:b/>
        </w:rPr>
      </w:pPr>
      <w:r>
        <w:rPr>
          <w:rFonts w:ascii="Times New Roman" w:hAnsi="Times New Roman" w:cs="Times New Roman"/>
          <w:b/>
        </w:rPr>
        <w:lastRenderedPageBreak/>
        <w:t>PURPOSE</w:t>
      </w:r>
    </w:p>
    <w:p w14:paraId="7DFCB3C7" w14:textId="6959A053" w:rsidR="00394E40" w:rsidRDefault="00347DE6" w:rsidP="00F02208">
      <w:pPr>
        <w:spacing w:line="480" w:lineRule="auto"/>
        <w:rPr>
          <w:rFonts w:ascii="Times New Roman" w:hAnsi="Times New Roman" w:cs="Times New Roman"/>
        </w:rPr>
      </w:pPr>
      <w:r>
        <w:rPr>
          <w:rFonts w:ascii="Times New Roman" w:hAnsi="Times New Roman" w:cs="Times New Roman"/>
        </w:rPr>
        <w:t xml:space="preserve">The European Organisation for Research and Treatment of Cancer (EORTC) Quality of Life-Core </w:t>
      </w:r>
      <w:r w:rsidRPr="00347DE6">
        <w:rPr>
          <w:rFonts w:ascii="Times New Roman" w:hAnsi="Times New Roman" w:cs="Times New Roman"/>
        </w:rPr>
        <w:t>Questionnaire (QLQ-C30)</w:t>
      </w:r>
      <w:r w:rsidR="00AD4E56">
        <w:rPr>
          <w:rFonts w:ascii="Times New Roman" w:hAnsi="Times New Roman" w:cs="Times New Roman"/>
        </w:rPr>
        <w:t xml:space="preserve"> </w:t>
      </w:r>
      <w:r w:rsidR="00AD4E56">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{"citationItems":[{"id":"ITEM-1","itemData":{"DOI":"10.1093/jnci/85.5.365","ISSN":"00278874","PMID":"8433390","abstract":"Background: In 1986, the European Organization for Research and Treatment of Cancer (EORTC) initiated a research program to develop an integrated, modular approach for evaluating the quality of life of patients participating in international clinical trials. Purpose: We report here the results of an international field study of the practicality, reliability, and validity of the EORTC QLQ-C30, the current core questionnaire. The QLQ-C30 incorporates nine multi-item scales: five functional scales (physical, role, cognitive, emotional, and social); three symptom scales (fatigue, pain, and nausea and vomiting); and a global health and quality-of-life scale. Several single-item symptom measures are also included. Methods: The questionnaire was administered before treatment and once during treatment to 305 patients with nonresectable lung cancer from centers in 13 countries. Clinical variables assessed included disease stage, weight loss, performance status, and treatment toxicity. Results: The average time required to complete the questionnaire was approximately 11 minutes, and most patients required no assistance. The data supported the hypothesized scale structure of the questionnaire with the exception of role functioning (work and household activities), which was also the only multi-item scale that failed to meet the minimal standards for reliability (Cronbach's alpha coefficient &gt;.70) either before or during treatment. Validity was shown by three findings. First, while all interscale correlations were statistically significant, the correlation was moderate, indicating that the scales were assessing distinct components of the quality-of-life construct. Second, most of the functional and symptom measures discriminated clearly between patients differing in clinical status as defined by the Eastern Cooperative Oncology Group performance status scale, weight loss, and treatment toxicity. Third, there were statistically significant changes, in the expected direction, in physical and role functioning, global quality of life, fatigue, and nausea and vomiting, for patients whose performance status had improved or worsened during treatment. The reliability and validity of the questionnaire were highly consistent across the three language-cultural groups studied: patients from English-speaking countries, Northern Europe, and Southern Europe. Conclusions: These results support the EORTC QLQ-C30 as a reliable and valid measure of the quality of life of cancer patien…","author":[{"dropping-particle":"","family":"Aaronson","given":"Neil K.","non-dropping-particle":"","parse-names":false,"suffix":""},{"dropping-particle":"","family":"Ahmedzai","given":"Sam","non-dropping-particle":"","parse-names":false,"suffix":""},{"dropping-particle":"","family":"Bergman","given":"Bengt","non-dropping-particle":"","parse-names":false,"suffix":""},{"dropping-particle":"","family":"Bullinger","given":"Monika","non-dropping-particle":"","parse-names":false,"suffix":""},{"dropping-particle":"","family":"Cull","given":"Ann","non-dropping-particle":"","parse-names":false,"suffix":""},{"dropping-particle":"","family":"Duez","given":"Nicole J.","non-dropping-particle":"","parse-names":false,"suffix":""},{"dropping-particle":"","family":"Filiberti","given":"Antonio","non-dropping-particle":"","parse-names":false,"suffix":""},{"dropping-particle":"","family":"Flechtner","given":"Henning","non-dropping-particle":"","parse-names":false,"suffix":""},{"dropping-particle":"","family":"Fleishman","given":"Stewart B.","non-dropping-particle":"","parse-names":false,"suffix":""},{"dropping-particle":"","family":"Haes","given":"Johanna C.J.M.De","non-dropping-particle":"","parse-names":false,"suffix":""},{"dropping-particle":"","family":"Kaasa","given":"Stein","non-dropping-particle":"","parse-names":false,"suffix":""},{"dropping-particle":"","family":"Klee","given":"Marianne","non-dropping-particle":"","parse-names":false,"suffix":""},{"dropping-particle":"","family":"Osoba","given":"David","non-dropping-particle":"","parse-names":false,"suffix":""},{"dropping-particle":"","family":"Razavi","given":"Darius","non-dropping-particle":"","parse-names":false,"suffix":""},{"dropping-particle":"","family":"Rofe","given":"Peter B.","non-dropping-particle":"","parse-names":false,"suffix":""},{"dropping-particle":"","family":"Schraub","given":"Simon","non-dropping-particle":"","parse-names":false,"suffix":""},{"dropping-particle":"","family":"Sneeuw","given":"Kommer","non-dropping-particle":"","parse-names":false,"suffix":""},{"dropping-particle":"","family":"Sullivan","given":"Marianne","non-dropping-particle":"","parse-names":false,"suffix":""},{"dropping-particle":"","family":"Takeda","given":"Fumikazu","non-dropping-particle":"","parse-names":false,"suffix":""}],"container-title":"Journal of the National Cancer Institute","id":"ITEM-1","issued":{"date-parts":[["1993"]]},"title":"The European organization for research and treatment of cancer QLQ-C30: A quality-of-life instrument for use in international clinical trials in oncology","type":"article-journal"},"uris":["http://www.mendeley.com/documents/?uuid=4fa6e911-b99f-4f36-be4f-7b902849a8e7"]}],"mendeley":{"formattedCitation":"[1]","plainTextFormattedCitation":"[1]","previouslyFormattedCitation":"[1]"},"properties":{"noteIndex":0},"schema":"https://github.com/citation-style-language/schema/raw/master/csl-citation.json"}</w:instrText>
      </w:r>
      <w:r w:rsidR="00AD4E56">
        <w:rPr>
          <w:rFonts w:ascii="Times New Roman" w:hAnsi="Times New Roman" w:cs="Times New Roman"/>
        </w:rPr>
        <w:fldChar w:fldCharType="separate"/>
      </w:r>
      <w:r w:rsidR="002E0324" w:rsidRPr="002E0324">
        <w:rPr>
          <w:rFonts w:ascii="Times New Roman" w:hAnsi="Times New Roman" w:cs="Times New Roman"/>
          <w:noProof/>
        </w:rPr>
        <w:t>[1]</w:t>
      </w:r>
      <w:r w:rsidR="00AD4E56">
        <w:rPr>
          <w:rFonts w:ascii="Times New Roman" w:hAnsi="Times New Roman" w:cs="Times New Roman"/>
        </w:rPr>
        <w:fldChar w:fldCharType="end"/>
      </w:r>
      <w:r>
        <w:rPr>
          <w:rFonts w:ascii="Times New Roman" w:hAnsi="Times New Roman" w:cs="Times New Roman"/>
        </w:rPr>
        <w:t xml:space="preserve"> is </w:t>
      </w:r>
      <w:r w:rsidR="00501FC3">
        <w:rPr>
          <w:rFonts w:ascii="Times New Roman" w:hAnsi="Times New Roman" w:cs="Times New Roman"/>
        </w:rPr>
        <w:t>currently one of the most</w:t>
      </w:r>
      <w:r>
        <w:rPr>
          <w:rFonts w:ascii="Times New Roman" w:hAnsi="Times New Roman" w:cs="Times New Roman"/>
        </w:rPr>
        <w:t xml:space="preserve"> widely used self-report measure of health-related quality of life (HRQOL) for cancer patients</w:t>
      </w:r>
      <w:r w:rsidR="00501FC3">
        <w:rPr>
          <w:rFonts w:ascii="Times New Roman" w:hAnsi="Times New Roman" w:cs="Times New Roman"/>
        </w:rPr>
        <w:t xml:space="preserve"> </w:t>
      </w:r>
      <w:r w:rsidR="00501FC3">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{"citationItems":[{"id":"ITEM-1","itemData":{"DOI":"10.1016/S1470-2045(19)30656-4","ISSN":"14745488","abstract":"A previous review published in 2008 highlighted the prognostic significance of baseline patient-reported outcomes (PROs) as independent predictors of the overall survival of patients with cancer in clinical studies. In response to the methodological limitations of studies included in the previous review, recommendations were subsequently published in the same year to promote a higher level of methodological rigour in studies of prognostic factors. Our systematic review aimed to provide an update on progress with the implementation of these recommendations and to assess whether the methodological quality of prognostic factor analyses has changed over time. Of the 44 studies published between 2006 and 2018 that were included in our review, more standardisation and rigour of the methods used for prognostic factor analysis was found compared with the previous review. 41 (93%) of the trials reported at least one PRO domain as independently prognostic. The most common significant prognostic factors reported were physical functioning (17 [39%] studies) and global health or quality of life (15 [34%] studies). These findings highlight the value of PROs as prognostic or stratification factors in research across most types of cancer.","author":[{"dropping-particle":"","family":"Mierzynska","given":"Justyna","non-dropping-particle":"","parse-names":false,"suffix":""},{"dropping-particle":"","family":"Piccinin","given":"Claire","non-dropping-particle":"","parse-names":false,"suffix":""},{"dropping-particle":"","family":"Pe","given":"Madeline","non-dropping-particle":"","parse-names":false,"suffix":""},{"dropping-particle":"","family":"Martinelli","given":"Francesca","non-dropping-particle":"","parse-names":false,"suffix":""},{"dropping-particle":"","family":"Gotay","given":"Carolyn","non-dropping-particle":"","parse-names":false,"suffix":""},{"dropping-particle":"","family":"Coens","given":"Corneel","non-dropping-particle":"","parse-names":false,"suffix":""},{"dropping-particle":"","family":"Mauer","given":"Murielle","non-dropping-particle":"","parse-names":false,"suffix":""},{"dropping-particle":"","family":"Eggermont","given":"Alexander","non-dropping-particle":"","parse-names":false,"suffix":""},{"dropping-particle":"","family":"Groenvold","given":"Mogens","non-dropping-particle":"","parse-names":false,"suffix":""},{"dropping-particle":"","family":"Bjordal","given":"Kristin","non-dropping-particle":"","parse-names":false,"suffix":""},{"dropping-particle":"","family":"Reijneveld","given":"Jaap","non-dropping-particle":"","parse-names":false,"suffix":""},{"dropping-particle":"","family":"Velikova","given":"Galina","non-dropping-particle":"","parse-names":false,"suffix":""},{"dropping-particle":"","family":"Bottomley","given":"Andrew","non-dropping-particle":"","parse-names":false,"suffix":""}],"container-title":"The Lancet Oncology","id":"ITEM-1","issue":"12","issued":{"date-parts":[["2019"]]},"page":"e685-e698","publisher":"Elsevier Ltd","title":"Prognostic value of patient-reported outcomes from international randomised clinical trials on cancer: a systematic review","type":"article-journal","volume":"20"},"uris":["http://www.mendeley.com/documents/?uuid=49a647df-15b9-4689-8c2f-7bb25e231173"]}],"mendeley":{"formattedCitation":"[2]","plainTextFormattedCitation":"[2]","previouslyFormattedCitation":"[2]"},"properties":{"noteIndex":0},"schema":"https://github.com/citation-style-language/schema/raw/master/csl-citation.json"}</w:instrText>
      </w:r>
      <w:r w:rsidR="00501FC3">
        <w:rPr>
          <w:rFonts w:ascii="Times New Roman" w:hAnsi="Times New Roman" w:cs="Times New Roman"/>
        </w:rPr>
        <w:fldChar w:fldCharType="separate"/>
      </w:r>
      <w:r w:rsidR="002E0324" w:rsidRPr="002E0324">
        <w:rPr>
          <w:rFonts w:ascii="Times New Roman" w:hAnsi="Times New Roman" w:cs="Times New Roman"/>
          <w:noProof/>
        </w:rPr>
        <w:t>[2]</w:t>
      </w:r>
      <w:r w:rsidR="00501FC3">
        <w:rPr>
          <w:rFonts w:ascii="Times New Roman" w:hAnsi="Times New Roman" w:cs="Times New Roman"/>
        </w:rPr>
        <w:fldChar w:fldCharType="end"/>
      </w:r>
      <w:r>
        <w:rPr>
          <w:rFonts w:ascii="Times New Roman" w:hAnsi="Times New Roman" w:cs="Times New Roman"/>
        </w:rPr>
        <w:t>.</w:t>
      </w:r>
      <w:r w:rsidR="00394E40">
        <w:rPr>
          <w:rFonts w:ascii="Times New Roman" w:hAnsi="Times New Roman" w:cs="Times New Roman"/>
        </w:rPr>
        <w:t xml:space="preserve"> Patient reports using the EORTC QLQ-C30 </w:t>
      </w:r>
      <w:r w:rsidR="00F1093F">
        <w:rPr>
          <w:rFonts w:ascii="Times New Roman" w:hAnsi="Times New Roman" w:cs="Times New Roman"/>
        </w:rPr>
        <w:t xml:space="preserve">are carried out </w:t>
      </w:r>
      <w:r w:rsidR="00394E40">
        <w:rPr>
          <w:rFonts w:ascii="Times New Roman" w:hAnsi="Times New Roman" w:cs="Times New Roman"/>
        </w:rPr>
        <w:t>us</w:t>
      </w:r>
      <w:r w:rsidR="00F1093F">
        <w:rPr>
          <w:rFonts w:ascii="Times New Roman" w:hAnsi="Times New Roman" w:cs="Times New Roman"/>
        </w:rPr>
        <w:t>ing</w:t>
      </w:r>
      <w:r w:rsidR="00394E40">
        <w:rPr>
          <w:rFonts w:ascii="Times New Roman" w:hAnsi="Times New Roman" w:cs="Times New Roman"/>
        </w:rPr>
        <w:t xml:space="preserve"> paper-and-pencil </w:t>
      </w:r>
      <w:r w:rsidR="00F1093F">
        <w:rPr>
          <w:rFonts w:ascii="Times New Roman" w:hAnsi="Times New Roman" w:cs="Times New Roman"/>
        </w:rPr>
        <w:t xml:space="preserve">administration </w:t>
      </w:r>
      <w:r w:rsidR="00394E40">
        <w:rPr>
          <w:rFonts w:ascii="Times New Roman" w:hAnsi="Times New Roman" w:cs="Times New Roman"/>
        </w:rPr>
        <w:t xml:space="preserve">or through electronic methods. </w:t>
      </w:r>
      <w:r w:rsidR="004A2EDF">
        <w:rPr>
          <w:rFonts w:ascii="Times New Roman" w:hAnsi="Times New Roman" w:cs="Times New Roman"/>
        </w:rPr>
        <w:t>However</w:t>
      </w:r>
      <w:r w:rsidR="004052A2">
        <w:rPr>
          <w:rFonts w:ascii="Times New Roman" w:hAnsi="Times New Roman" w:cs="Times New Roman"/>
        </w:rPr>
        <w:t>,</w:t>
      </w:r>
      <w:r w:rsidR="004A2EDF">
        <w:rPr>
          <w:rFonts w:ascii="Times New Roman" w:hAnsi="Times New Roman" w:cs="Times New Roman"/>
        </w:rPr>
        <w:t xml:space="preserve"> to increase the accessibility of the questionnaire across </w:t>
      </w:r>
      <w:r w:rsidR="004A2EDF" w:rsidRPr="004A2EDF">
        <w:rPr>
          <w:rFonts w:ascii="Times New Roman" w:hAnsi="Times New Roman" w:cs="Times New Roman"/>
        </w:rPr>
        <w:t xml:space="preserve">different research settings and populations (e.g., in patients that could be at risk of exclusion </w:t>
      </w:r>
      <w:r w:rsidR="004A2EDF">
        <w:rPr>
          <w:rFonts w:ascii="Times New Roman" w:hAnsi="Times New Roman" w:cs="Times New Roman"/>
        </w:rPr>
        <w:t>because of illiteracy</w:t>
      </w:r>
      <w:r w:rsidR="004A2EDF" w:rsidRPr="004A2EDF">
        <w:rPr>
          <w:rFonts w:ascii="Times New Roman" w:hAnsi="Times New Roman" w:cs="Times New Roman"/>
        </w:rPr>
        <w:t>),</w:t>
      </w:r>
      <w:r w:rsidR="00D41784">
        <w:rPr>
          <w:rFonts w:ascii="Times New Roman" w:hAnsi="Times New Roman" w:cs="Times New Roman"/>
        </w:rPr>
        <w:t xml:space="preserve"> and to minimize the need for otherwise unnecessary </w:t>
      </w:r>
      <w:r w:rsidR="0073728F">
        <w:rPr>
          <w:rFonts w:ascii="Times New Roman" w:hAnsi="Times New Roman" w:cs="Times New Roman"/>
        </w:rPr>
        <w:t>clinic trips</w:t>
      </w:r>
      <w:r w:rsidR="00D41784">
        <w:rPr>
          <w:rFonts w:ascii="Times New Roman" w:hAnsi="Times New Roman" w:cs="Times New Roman"/>
        </w:rPr>
        <w:t>,</w:t>
      </w:r>
      <w:r w:rsidR="004A2EDF" w:rsidRPr="004A2EDF">
        <w:rPr>
          <w:rFonts w:ascii="Times New Roman" w:hAnsi="Times New Roman" w:cs="Times New Roman"/>
        </w:rPr>
        <w:t xml:space="preserve"> the EORTC </w:t>
      </w:r>
      <w:r w:rsidR="00AA64A0">
        <w:rPr>
          <w:rFonts w:ascii="Times New Roman" w:hAnsi="Times New Roman" w:cs="Times New Roman"/>
        </w:rPr>
        <w:t>Quality of Life Group (</w:t>
      </w:r>
      <w:r w:rsidR="004A2EDF" w:rsidRPr="004A2EDF">
        <w:rPr>
          <w:rFonts w:ascii="Times New Roman" w:hAnsi="Times New Roman" w:cs="Times New Roman"/>
        </w:rPr>
        <w:t>QLG</w:t>
      </w:r>
      <w:r w:rsidR="00AA64A0">
        <w:rPr>
          <w:rFonts w:ascii="Times New Roman" w:hAnsi="Times New Roman" w:cs="Times New Roman"/>
        </w:rPr>
        <w:t>)</w:t>
      </w:r>
      <w:r w:rsidR="004A2EDF" w:rsidRPr="004A2EDF">
        <w:rPr>
          <w:rFonts w:ascii="Times New Roman" w:hAnsi="Times New Roman" w:cs="Times New Roman"/>
        </w:rPr>
        <w:t xml:space="preserve"> set out to develop </w:t>
      </w:r>
      <w:r w:rsidR="004A2EDF">
        <w:rPr>
          <w:rFonts w:ascii="Times New Roman" w:hAnsi="Times New Roman" w:cs="Times New Roman"/>
        </w:rPr>
        <w:t xml:space="preserve">and validate </w:t>
      </w:r>
      <w:r w:rsidR="004A2EDF" w:rsidRPr="004A2EDF">
        <w:rPr>
          <w:rFonts w:ascii="Times New Roman" w:hAnsi="Times New Roman" w:cs="Times New Roman"/>
        </w:rPr>
        <w:t>a voice script for phone administration of the questionnaire.</w:t>
      </w:r>
      <w:r w:rsidR="0041195C">
        <w:rPr>
          <w:rFonts w:ascii="Times New Roman" w:hAnsi="Times New Roman" w:cs="Times New Roman"/>
        </w:rPr>
        <w:t xml:space="preserve"> The voice script would incorporate all relevant elements of the QLQ-C30, along with additional instructions and text, where </w:t>
      </w:r>
      <w:r w:rsidR="00AA018E">
        <w:rPr>
          <w:rFonts w:ascii="Times New Roman" w:hAnsi="Times New Roman" w:cs="Times New Roman"/>
        </w:rPr>
        <w:t>necessary</w:t>
      </w:r>
      <w:r w:rsidR="0041195C">
        <w:rPr>
          <w:rFonts w:ascii="Times New Roman" w:hAnsi="Times New Roman" w:cs="Times New Roman"/>
        </w:rPr>
        <w:t xml:space="preserve">, to facilitate its interviewer-led administration, </w:t>
      </w:r>
    </w:p>
    <w:p w14:paraId="3E8E5B22" w14:textId="28413597" w:rsidR="00D109F7" w:rsidRDefault="004A2EDF" w:rsidP="00F02208">
      <w:pPr>
        <w:spacing w:line="480" w:lineRule="auto"/>
        <w:rPr>
          <w:rFonts w:ascii="Times New Roman" w:hAnsi="Times New Roman" w:cs="Times New Roman"/>
        </w:rPr>
      </w:pPr>
      <w:r>
        <w:rPr>
          <w:rFonts w:ascii="Times New Roman" w:hAnsi="Times New Roman" w:cs="Times New Roman"/>
        </w:rPr>
        <w:t>The EORTC QLQ-C30 was f</w:t>
      </w:r>
      <w:r w:rsidR="00347DE6">
        <w:rPr>
          <w:rFonts w:ascii="Times New Roman" w:hAnsi="Times New Roman" w:cs="Times New Roman"/>
        </w:rPr>
        <w:t xml:space="preserve">irst </w:t>
      </w:r>
      <w:r w:rsidR="00A67031">
        <w:rPr>
          <w:rFonts w:ascii="Times New Roman" w:hAnsi="Times New Roman" w:cs="Times New Roman"/>
        </w:rPr>
        <w:t>released</w:t>
      </w:r>
      <w:r w:rsidR="00347DE6">
        <w:rPr>
          <w:rFonts w:ascii="Times New Roman" w:hAnsi="Times New Roman" w:cs="Times New Roman"/>
        </w:rPr>
        <w:t xml:space="preserve"> in </w:t>
      </w:r>
      <w:r w:rsidR="00A67031">
        <w:rPr>
          <w:rFonts w:ascii="Times New Roman" w:hAnsi="Times New Roman" w:cs="Times New Roman"/>
        </w:rPr>
        <w:t>1987 by Aaronson and colleagues</w:t>
      </w:r>
      <w:r w:rsidR="00FD7830">
        <w:rPr>
          <w:rFonts w:ascii="Times New Roman" w:hAnsi="Times New Roman" w:cs="Times New Roman"/>
        </w:rPr>
        <w:t xml:space="preserve"> </w:t>
      </w:r>
      <w:r w:rsidR="00FD7830">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{"citationItems":[{"id":"ITEM-1","itemData":{"DOI":"10.1007/978-3-642-83419-6_27","ISSN":"00800015","author":[{"dropping-particle":"","family":"Aaronson","given":"N. K.","non-dropping-particle":"","parse-names":false,"suffix":""},{"dropping-particle":"","family":"Bullinger","given":"M.","non-dropping-particle":"","parse-names":false,"suffix":""},{"dropping-particle":"","family":"Ahmedzai","given":"S.","non-dropping-particle":"","parse-names":false,"suffix":""}],"container-title":"Recent results in cancer research. Fortschritte der Krebsforschung. Progrès dans les recherches sur le cancer","id":"ITEM-1","issued":{"date-parts":[["1988"]]},"page":"231-249","title":"A modular approach to quality-of-life assessment in cancer clinical trials.","type":"article-journal","volume":"111"},"uris":["http://www.mendeley.com/documents/?uuid=23436ead-975b-4ae8-9483-115334ae608e"]}],"mendeley":{"formattedCitation":"[3]","plainTextFormattedCitation":"[3]","previouslyFormattedCitation":"[3]"},"properties":{"noteIndex":0},"schema":"https://github.com/citation-style-language/schema/raw/master/csl-citation.json"}</w:instrText>
      </w:r>
      <w:r w:rsidR="00FD7830">
        <w:rPr>
          <w:rFonts w:ascii="Times New Roman" w:hAnsi="Times New Roman" w:cs="Times New Roman"/>
        </w:rPr>
        <w:fldChar w:fldCharType="separate"/>
      </w:r>
      <w:r w:rsidR="002E0324" w:rsidRPr="002E0324">
        <w:rPr>
          <w:rFonts w:ascii="Times New Roman" w:hAnsi="Times New Roman" w:cs="Times New Roman"/>
          <w:noProof/>
        </w:rPr>
        <w:t>[3]</w:t>
      </w:r>
      <w:r w:rsidR="00FD7830">
        <w:rPr>
          <w:rFonts w:ascii="Times New Roman" w:hAnsi="Times New Roman" w:cs="Times New Roman"/>
        </w:rPr>
        <w:fldChar w:fldCharType="end"/>
      </w:r>
      <w:r w:rsidR="00A67031">
        <w:rPr>
          <w:rFonts w:ascii="Times New Roman" w:hAnsi="Times New Roman" w:cs="Times New Roman"/>
        </w:rPr>
        <w:t xml:space="preserve">, </w:t>
      </w:r>
      <w:r>
        <w:rPr>
          <w:rFonts w:ascii="Times New Roman" w:hAnsi="Times New Roman" w:cs="Times New Roman"/>
        </w:rPr>
        <w:t xml:space="preserve">and </w:t>
      </w:r>
      <w:r w:rsidR="00101A27">
        <w:rPr>
          <w:rFonts w:ascii="Times New Roman" w:hAnsi="Times New Roman" w:cs="Times New Roman"/>
        </w:rPr>
        <w:t>underwent</w:t>
      </w:r>
      <w:r w:rsidR="00990261">
        <w:rPr>
          <w:rFonts w:ascii="Times New Roman" w:hAnsi="Times New Roman" w:cs="Times New Roman"/>
        </w:rPr>
        <w:t xml:space="preserve"> further</w:t>
      </w:r>
      <w:r w:rsidR="00101A27">
        <w:rPr>
          <w:rFonts w:ascii="Times New Roman" w:hAnsi="Times New Roman" w:cs="Times New Roman"/>
        </w:rPr>
        <w:t xml:space="preserve"> revisions</w:t>
      </w:r>
      <w:r w:rsidR="002411B3">
        <w:rPr>
          <w:rFonts w:ascii="Times New Roman" w:hAnsi="Times New Roman" w:cs="Times New Roman"/>
        </w:rPr>
        <w:t xml:space="preserve"> leading to the development of its third version</w:t>
      </w:r>
      <w:r w:rsidR="00FD7830">
        <w:rPr>
          <w:rFonts w:ascii="Times New Roman" w:hAnsi="Times New Roman" w:cs="Times New Roman"/>
        </w:rPr>
        <w:t xml:space="preserve"> </w:t>
      </w:r>
      <w:r w:rsidR="00FD7830">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{"citationItems":[{"id":"ITEM-1","itemData":{"DOI":"10.1093/jnci/85.5.365","ISSN":"00278874","PMID":"8433390","abstract":"Background: In 1986, the European Organization for Research and Treatment of Cancer (EORTC) initiated a research program to develop an integrated, modular approach for evaluating the quality of life of patients participating in international clinical trials. Purpose: We report here the results of an international field study of the practicality, reliability, and validity of the EORTC QLQ-C30, the current core questionnaire. The QLQ-C30 incorporates nine multi-item scales: five functional scales (physical, role, cognitive, emotional, and social); three symptom scales (fatigue, pain, and nausea and vomiting); and a global health and quality-of-life scale. Several single-item symptom measures are also included. Methods: The questionnaire was administered before treatment and once during treatment to 305 patients with nonresectable lung cancer from centers in 13 countries. Clinical variables assessed included disease stage, weight loss, performance status, and treatment toxicity. Results: The average time required to complete the questionnaire was approximately 11 minutes, and most patients required no assistance. The data supported the hypothesized scale structure of the questionnaire with the exception of role functioning (work and household activities), which was also the only multi-item scale that failed to meet the minimal standards for reliability (Cronbach's alpha coefficient &gt;.70) either before or during treatment. Validity was shown by three findings. First, while all interscale correlations were statistically significant, the correlation was moderate, indicating that the scales were assessing distinct components of the quality-of-life construct. Second, most of the functional and symptom measures discriminated clearly between patients differing in clinical status as defined by the Eastern Cooperative Oncology Group performance status scale, weight loss, and treatment toxicity. Third, there were statistically significant changes, in the expected direction, in physical and role functioning, global quality of life, fatigue, and nausea and vomiting, for patients whose performance status had improved or worsened during treatment. The reliability and validity of the questionnaire were highly consistent across the three language-cultural groups studied: patients from English-speaking countries, Northern Europe, and Southern Europe. Conclusions: These results support the EORTC QLQ-C30 as a reliable and valid measure of the quality of life of cancer patien…","author":[{"dropping-particle":"","family":"Aaronson","given":"Neil K.","non-dropping-particle":"","parse-names":false,"suffix":""},{"dropping-particle":"","family":"Ahmedzai","given":"Sam","non-dropping-particle":"","parse-names":false,"suffix":""},{"dropping-particle":"","family":"Bergman","given":"Bengt","non-dropping-particle":"","parse-names":false,"suffix":""},{"dropping-particle":"","family":"Bullinger","given":"Monika","non-dropping-particle":"","parse-names":false,"suffix":""},{"dropping-particle":"","family":"Cull","given":"Ann","non-dropping-particle":"","parse-names":false,"suffix":""},{"dropping-particle":"","family":"Duez","given":"Nicole J.","non-dropping-particle":"","parse-names":false,"suffix":""},{"dropping-particle":"","family":"Filiberti","given":"Antonio","non-dropping-particle":"","parse-names":false,"suffix":""},{"dropping-particle":"","family":"Flechtner","given":"Henning","non-dropping-particle":"","parse-names":false,"suffix":""},{"dropping-particle":"","family":"Fleishman","given":"Stewart B.","non-dropping-particle":"","parse-names":false,"suffix":""},{"dropping-particle":"","family":"Haes","given":"Johanna C.J.M.De","non-dropping-particle":"","parse-names":false,"suffix":""},{"dropping-particle":"","family":"Kaasa","given":"Stein","non-dropping-particle":"","parse-names":false,"suffix":""},{"dropping-particle":"","family":"Klee","given":"Marianne","non-dropping-particle":"","parse-names":false,"suffix":""},{"dropping-particle":"","family":"Osoba","given":"David","non-dropping-particle":"","parse-names":false,"suffix":""},{"dropping-particle":"","family":"Razavi","given":"Darius","non-dropping-particle":"","parse-names":false,"suffix":""},{"dropping-particle":"","family":"Rofe","given":"Peter B.","non-dropping-particle":"","parse-names":false,"suffix":""},{"dropping-particle":"","family":"Schraub","given":"Simon","non-dropping-particle":"","parse-names":false,"suffix":""},{"dropping-particle":"","family":"Sneeuw","given":"Kommer","non-dropping-particle":"","parse-names":false,"suffix":""},{"dropping-particle":"","family":"Sullivan","given":"Marianne","non-dropping-particle":"","parse-names":false,"suffix":""},{"dropping-particle":"","family":"Takeda","given":"Fumikazu","non-dropping-particle":"","parse-names":false,"suffix":""}],"container-title":"Journal of the National Cancer Institute","id":"ITEM-1","issued":{"date-parts":[["1993"]]},"title":"The European organization for research and treatment of cancer QLQ-C30: A quality-of-life instrument for use in international clinical trials in oncology","type":"article-journal"},"uris":["http://www.mendeley.com/documents/?uuid=4fa6e911-b99f-4f36-be4f-7b902849a8e7"]}],"mendeley":{"formattedCitation":"[1]","plainTextFormattedCitation":"[1]","previouslyFormattedCitation":"[1]"},"properties":{"noteIndex":0},"schema":"https://github.com/citation-style-language/schema/raw/master/csl-citation.json"}</w:instrText>
      </w:r>
      <w:r w:rsidR="00FD7830">
        <w:rPr>
          <w:rFonts w:ascii="Times New Roman" w:hAnsi="Times New Roman" w:cs="Times New Roman"/>
        </w:rPr>
        <w:fldChar w:fldCharType="separate"/>
      </w:r>
      <w:r w:rsidR="002E0324" w:rsidRPr="002E0324">
        <w:rPr>
          <w:rFonts w:ascii="Times New Roman" w:hAnsi="Times New Roman" w:cs="Times New Roman"/>
          <w:noProof/>
        </w:rPr>
        <w:t>[1]</w:t>
      </w:r>
      <w:r w:rsidR="00FD7830">
        <w:rPr>
          <w:rFonts w:ascii="Times New Roman" w:hAnsi="Times New Roman" w:cs="Times New Roman"/>
        </w:rPr>
        <w:fldChar w:fldCharType="end"/>
      </w:r>
      <w:r w:rsidR="002411B3">
        <w:rPr>
          <w:rFonts w:ascii="Times New Roman" w:hAnsi="Times New Roman" w:cs="Times New Roman"/>
        </w:rPr>
        <w:t>, which is still in use today.</w:t>
      </w:r>
      <w:r w:rsidR="00036450">
        <w:rPr>
          <w:rFonts w:ascii="Times New Roman" w:hAnsi="Times New Roman" w:cs="Times New Roman"/>
        </w:rPr>
        <w:t xml:space="preserve"> Comprised of 30 different items</w:t>
      </w:r>
      <w:r w:rsidR="006058AF">
        <w:rPr>
          <w:rFonts w:ascii="Times New Roman" w:hAnsi="Times New Roman" w:cs="Times New Roman"/>
        </w:rPr>
        <w:t xml:space="preserve"> (questions), it is made up of eight</w:t>
      </w:r>
      <w:r w:rsidR="00036450">
        <w:rPr>
          <w:rFonts w:ascii="Times New Roman" w:hAnsi="Times New Roman" w:cs="Times New Roman"/>
        </w:rPr>
        <w:t xml:space="preserve"> multi-item functional (physical, role, emotional, cognitive, and social) and symptom (fatigue, pain, and nausea) scales, one global health status and quality of life (QOL) scale, and six single items </w:t>
      </w:r>
      <w:r w:rsidR="0007150B">
        <w:rPr>
          <w:rFonts w:ascii="Times New Roman" w:hAnsi="Times New Roman" w:cs="Times New Roman"/>
        </w:rPr>
        <w:t xml:space="preserve">(dyspnoea, insomnia, appetite loss, constipation, diarrhoea, and financial difficulties). </w:t>
      </w:r>
      <w:r w:rsidR="00F06AB2">
        <w:rPr>
          <w:rFonts w:ascii="Times New Roman" w:hAnsi="Times New Roman" w:cs="Times New Roman"/>
        </w:rPr>
        <w:t>Covering the majority of the core symptoms recommend</w:t>
      </w:r>
      <w:r w:rsidR="004052A2">
        <w:rPr>
          <w:rFonts w:ascii="Times New Roman" w:hAnsi="Times New Roman" w:cs="Times New Roman"/>
        </w:rPr>
        <w:t>ed for patient-reported outcome</w:t>
      </w:r>
      <w:r w:rsidR="00F06AB2">
        <w:rPr>
          <w:rFonts w:ascii="Times New Roman" w:hAnsi="Times New Roman" w:cs="Times New Roman"/>
        </w:rPr>
        <w:t xml:space="preserve"> (PRO) measure</w:t>
      </w:r>
      <w:r w:rsidR="00B90AD7">
        <w:rPr>
          <w:rFonts w:ascii="Times New Roman" w:hAnsi="Times New Roman" w:cs="Times New Roman"/>
        </w:rPr>
        <w:t xml:space="preserve">ment in cancer clinical trials </w:t>
      </w:r>
      <w:r w:rsidR="00B90AD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{"citationItems":[{"id":"ITEM-1","itemData":{"DOI":"10.1093/jnci/dju129","ISSN":"14602105","PMID":"25006191","abstract":"Background The National Cancer Institute's Symptom Management and Health-Related Quality of Life Steering Committee held a clinical trials planning meeting (September 2011) to identify a core symptom set to be assessed across oncology trials for the purposes of better understanding treatment efficacy and toxicity and to facilitate cross-study comparisons. We report the results of an evidence-synthesis and consensus-building effort that culminated in recommendations for core symptoms to be measured in adult cancer clinical trials that include a patient-reported outcome (PRO). Methods We used a data-driven, consensus-building process. A panel of experts, including patient representatives, conducted a systematic review of the literature (2001-2011) and analyzed six large datasets. Results were reviewed at a multistakeholder meeting, and a final set was derived emphasizing symptom prevalence across diverse cancer populations, impact on health outcomes and quality of life, and attribution to either disease or anticancer treatment. Results We recommend that a core set of 12 symptoms - specifically fatigue, insomnia, pain, anorexia (appetite loss), dyspnea, cognitive problems, anxiety (includes worry), nausea, depression (includes sadness), sensory neuropathy, constipation, and diarrhea - be considered for inclusion in clinical trials where a PRO is measured. Inclusion of symptoms and other patient-reported endpoints should be well justified, hypothesis driven, and meaningful to patients. Conclusions This core set will promote consistent assessment of common and clinically relevant disease- and treatment-related symptoms across cancer trials. As such, it provides a foundation to support data harmonization and continued efforts to enhance measurement of patient-centered outcomes in cancer clinical trials and observational studies. © 2014 The Author 2014. Published by Oxford University Press. All rights reserved.","author":[{"dropping-particle":"","family":"Reeve","given":"Bryce B.","non-dropping-particle":"","parse-names":false,"suffix":""},{"dropping-particle":"","family":"Mitchell","given":"Sandra A.","non-dropping-particle":"","parse-names":false,"suffix":""},{"dropping-particle":"","family":"Dueck","given":"Amylou C.","non-dropping-particle":"","parse-names":false,"suffix":""},{"dropping-particle":"","family":"Basch","given":"Ethan","non-dropping-particle":"","parse-names":false,"suffix":""},{"dropping-particle":"","family":"Cella","given":"David","non-dropping-particle":"","parse-names":false,"suffix":""},{"dropping-particle":"","family":"Reilly","given":"Carolyn Miller","non-dropping-particle":"","parse-names":false,"suffix":""},{"dropping-particle":"","family":"Minasian","given":"Lori M.","non-dropping-particle":"","parse-names":false,"suffix":""},{"dropping-particle":"","family":"Denicoff","given":"Andrea M.","non-dropping-particle":"","parse-names":false,"suffix":""},{"dropping-particle":"","family":"O'Mara","given":"Ann M.","non-dropping-particle":"","parse-names":false,"suffix":""},{"dropping-particle":"","family":"Fisch","given":"Michael J.","non-dropping-particle":"","parse-names":false,"suffix":""},{"dropping-particle":"","family":"Chauhan","given":"Cynthia","non-dropping-particle":"","parse-names":false,"suffix":""},{"dropping-particle":"","family":"Aaronson","given":"Neil K.","non-dropping-particle":"","parse-names":false,"suffix":""},{"dropping-particle":"","family":"Coens","given":"Corneel","non-dropping-particle":"","parse-names":false,"suffix":""},{"dropping-particle":"","family":"Bruner","given":"Deborah Watkins","non-dropping-particle":"","parse-names":false,"suffix":""}],"container-title":"Journal of the National Cancer Institute","id":"ITEM-1","issued":{"date-parts":[["2014"]]},"title":"Recommended patient-reported core set of symptoms to measure in adult cancer treatment trials","type":"article-journal"},"uris":["http://www.mendeley.com/documents/?uuid=5d6ac990-cf46-425d-9d98-32ce27ce6ecb"]}],"mendeley":{"formattedCitation":"[4]","plainTextFormattedCitation":"[4]","previouslyFormattedCitation":"[4]"},"properties":{"noteIndex":0},"schema":"https://github.com/citation-style-language/schema/raw/master/csl-citation.json"}</w:instrText>
      </w:r>
      <w:r w:rsidR="00B90AD7">
        <w:rPr>
          <w:rFonts w:ascii="Times New Roman" w:hAnsi="Times New Roman" w:cs="Times New Roman"/>
        </w:rPr>
        <w:fldChar w:fldCharType="separate"/>
      </w:r>
      <w:r w:rsidR="002E0324" w:rsidRPr="002E0324">
        <w:rPr>
          <w:rFonts w:ascii="Times New Roman" w:hAnsi="Times New Roman" w:cs="Times New Roman"/>
          <w:noProof/>
        </w:rPr>
        <w:t>[4]</w:t>
      </w:r>
      <w:r w:rsidR="00B90AD7">
        <w:rPr>
          <w:rFonts w:ascii="Times New Roman" w:hAnsi="Times New Roman" w:cs="Times New Roman"/>
        </w:rPr>
        <w:fldChar w:fldCharType="end"/>
      </w:r>
      <w:r w:rsidR="00F06AB2">
        <w:rPr>
          <w:rFonts w:ascii="Times New Roman" w:hAnsi="Times New Roman" w:cs="Times New Roman"/>
        </w:rPr>
        <w:t>, it is available for use in over 110 language</w:t>
      </w:r>
      <w:r w:rsidR="00F53684">
        <w:rPr>
          <w:rFonts w:ascii="Times New Roman" w:hAnsi="Times New Roman" w:cs="Times New Roman"/>
        </w:rPr>
        <w:t xml:space="preserve"> version</w:t>
      </w:r>
      <w:r w:rsidR="00F06AB2">
        <w:rPr>
          <w:rFonts w:ascii="Times New Roman" w:hAnsi="Times New Roman" w:cs="Times New Roman"/>
        </w:rPr>
        <w:t xml:space="preserve">s, having undergone extensive </w:t>
      </w:r>
      <w:r w:rsidR="00F53684">
        <w:rPr>
          <w:rFonts w:ascii="Times New Roman" w:hAnsi="Times New Roman" w:cs="Times New Roman"/>
        </w:rPr>
        <w:t xml:space="preserve">testing to </w:t>
      </w:r>
      <w:r w:rsidR="008B3ECD">
        <w:rPr>
          <w:rFonts w:ascii="Times New Roman" w:hAnsi="Times New Roman" w:cs="Times New Roman"/>
        </w:rPr>
        <w:t xml:space="preserve">demonstrate </w:t>
      </w:r>
      <w:r w:rsidR="00F53684">
        <w:rPr>
          <w:rFonts w:ascii="Times New Roman" w:hAnsi="Times New Roman" w:cs="Times New Roman"/>
        </w:rPr>
        <w:t xml:space="preserve">its </w:t>
      </w:r>
      <w:r w:rsidR="00882532">
        <w:rPr>
          <w:rFonts w:ascii="Times New Roman" w:hAnsi="Times New Roman" w:cs="Times New Roman"/>
        </w:rPr>
        <w:t>psychometri</w:t>
      </w:r>
      <w:r w:rsidR="00F06AB2">
        <w:rPr>
          <w:rFonts w:ascii="Times New Roman" w:hAnsi="Times New Roman" w:cs="Times New Roman"/>
        </w:rPr>
        <w:t>c</w:t>
      </w:r>
      <w:r w:rsidR="00B90AD7">
        <w:rPr>
          <w:rFonts w:ascii="Times New Roman" w:hAnsi="Times New Roman" w:cs="Times New Roman"/>
        </w:rPr>
        <w:t xml:space="preserve"> </w:t>
      </w:r>
      <w:r w:rsidR="00B90AD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{"citationItems":[{"id":"ITEM-1","itemData":{"DOI":"10.1007/s11136-011-0082-6","ISSN":"09629343","abstract":"Purpose To investigate the statistical fit of alternative higher order models for summarizing the health-related quality of life profile generated by the EORTC QLQ-C30 questionnaire. Methods A 50% random sample was drawn from a dataset of more than 9,000 pre-treatment QLQ-C30 v 3.0 questionnaires completed by cancer patients from 48 countries, differing in primary tumor site and disease stage. Building on a \"standard\" 14-dimensional QLQ-C30 model, confirmatory factor analysis was used to compare 6 higher order models, including a 1-dimensional (1D) model, a 2D \"symptom burden and function\" model, two 2D \"mental/ physical\" models, and two models with a \"formative\" (or \"causal\") formulation of \"symptom burden,\" and \"function.\" Results All of the models considered had at least an \"adequate\" fit to the data: the less restricted the model, the better the fit. The RMSEA fit indices for the various models ranged from 0.042 to 0.061, CFI's 0.90-0.96, and TLI's from 0.96 to 0.98. All chi-square tests were significant. One of the Physical/Mental models had fit indices superior to the other models considered. Conclusions The Physical/Mental health model had the best fit of the higher order models considered, and enjoys empirical and theoretical support in comparable instruments and applications. © Springer Science+Business Media B.V. 2012.","author":[{"dropping-particle":"","family":"Gundy","given":"Chad M.","non-dropping-particle":"","parse-names":false,"suffix":""},{"dropping-particle":"","family":"Fayers","given":"Peter M.","non-dropping-particle":"","parse-names":false,"suffix":""},{"dropping-particle":"","family":"Groenvold","given":"Mogens","non-dropping-particle":"","parse-names":false,"suffix":""},{"dropping-particle":"","family":"Petersen","given":"Morten Aa","non-dropping-particle":"","parse-names":false,"suffix":""},{"dropping-particle":"","family":"Scott","given":"Neil W.","non-dropping-particle":"","parse-names":false,"suffix":""},{"dropping-particle":"","family":"Sprangers","given":"Mirjam A.G.","non-dropping-particle":"","parse-names":false,"suffix":""},{"dropping-particle":"","family":"Velikova","given":"Galina","non-dropping-particle":"","parse-names":false,"suffix":""},{"dropping-particle":"","family":"Aaronson","given":"Neil K.","non-dropping-particle":"","parse-names":false,"suffix":""}],"container-title":"Quality of Life Research","id":"ITEM-1","issued":{"date-parts":[["2012"]]},"title":"Comparing higher order models for the EORTC QLQ-C30","type":"article-journal"},"uris":["http://www.mendeley.com/documents/?uuid=4a065996-cc67-480a-a078-a2dfcd66b305"]}],"mendeley":{"formattedCitation":"[5]","plainTextFormattedCitation":"[5]","previouslyFormattedCitation":"[5]"},"properties":{"noteIndex":0},"schema":"https://github.com/citation-style-language/schema/raw/master/csl-citation.json"}</w:instrText>
      </w:r>
      <w:r w:rsidR="00B90AD7">
        <w:rPr>
          <w:rFonts w:ascii="Times New Roman" w:hAnsi="Times New Roman" w:cs="Times New Roman"/>
        </w:rPr>
        <w:fldChar w:fldCharType="separate"/>
      </w:r>
      <w:r w:rsidR="002E0324" w:rsidRPr="002E0324">
        <w:rPr>
          <w:rFonts w:ascii="Times New Roman" w:hAnsi="Times New Roman" w:cs="Times New Roman"/>
          <w:noProof/>
        </w:rPr>
        <w:t>[5]</w:t>
      </w:r>
      <w:r w:rsidR="00B90AD7">
        <w:rPr>
          <w:rFonts w:ascii="Times New Roman" w:hAnsi="Times New Roman" w:cs="Times New Roman"/>
        </w:rPr>
        <w:fldChar w:fldCharType="end"/>
      </w:r>
      <w:r w:rsidR="00882532">
        <w:rPr>
          <w:rFonts w:ascii="Times New Roman" w:hAnsi="Times New Roman" w:cs="Times New Roman"/>
        </w:rPr>
        <w:t xml:space="preserve"> </w:t>
      </w:r>
      <w:r w:rsidR="00F06AB2">
        <w:rPr>
          <w:rFonts w:ascii="Times New Roman" w:hAnsi="Times New Roman" w:cs="Times New Roman"/>
        </w:rPr>
        <w:t>and cultural</w:t>
      </w:r>
      <w:r w:rsidR="00B90AD7">
        <w:rPr>
          <w:rFonts w:ascii="Times New Roman" w:hAnsi="Times New Roman" w:cs="Times New Roman"/>
        </w:rPr>
        <w:t xml:space="preserve"> </w:t>
      </w:r>
      <w:r w:rsidR="00B90AD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{"citationItems":[{"id":"ITEM-1","itemData":{"DOI":"10.1007/s11136-006-9120-1","ISSN":"09629343","abstract":"Introduction: The European Organisation for Research and Treatment of Cancer (EORTC) QLQ-C30 is a widely used health-related quality of life instrument. The main aim of this study is to investigate whether there are international differences in response to the questionnaire that can be explained by cultural factors. Methods: Analyses involved a database of 106 separate studies including data from over 28,000 respondents. Differential item functioning (DIF) analyses using logistic regression were conducted for each item of the EORTC QLQ-C30 with respect to cultural/geographic group. Results were qualitatively compared with previously reported DIF analyses by translation to explore whether the source of the DIF was more likely to be linguistic or cultural in nature. Results: Although most response patterns were similar, there were a number of international differences in how the questionnaire was answered. The largest variations were found in the results for Eastern Europe and East Asia. Results for the UK, the US and Australia tended to be similar. Many of the European results followed patterns that were more clearly explained when grouped by translation than when grouped by geographical region. Discussion: Our results suggest that, in general, the EORTC QLQ-C30 is suitable for use in a wide variety of countries and settings. Some response variations that have the potential to affect the results of international studies were identified, but it was not always clear whether the source of the variation was primarily linguistic or cultural. © 2006 Springer Science+Business Media B.V.","author":[{"dropping-particle":"","family":"Scott","given":"N. W.","non-dropping-particle":"","parse-names":false,"suffix":""},{"dropping-particle":"","family":"Fayers","given":"P. M.","non-dropping-particle":"","parse-names":false,"suffix":""},{"dropping-particle":"","family":"Aaronson","given":"N. K.","non-dropping-particle":"","parse-names":false,"suffix":""},{"dropping-particle":"","family":"Bottomley","given":"A.","non-dropping-particle":"","parse-names":false,"suffix":""},{"dropping-particle":"","family":"Graeff","given":"A.","non-dropping-particle":"De","parse-names":false,"suffix":""},{"dropping-particle":"","family":"Groenvold","given":"M.","non-dropping-particle":"","parse-names":false,"suffix":""},{"dropping-particle":"","family":"Koller","given":"M.","non-dropping-particle":"","parse-names":false,"suffix":""},{"dropping-particle":"","family":"Petersen","given":"M. A.","non-dropping-particle":"","parse-names":false,"suffix":""},{"dropping-particle":"","family":"Sprangers","given":"M. A.G.","non-dropping-particle":"","parse-names":false,"suffix":""}],"container-title":"Quality of Life Research","id":"ITEM-1","issued":{"date-parts":[["2007"]]},"title":"The use of differential item functioning analyses to identify cultural differences in responses to the EORTC QLQ-C30","type":"article-journal"},"uris":["http://www.mendeley.com/documents/?uuid=401dd6e0-4adb-4d98-a836-00b7c11c76b3"]}],"mendeley":{"formattedCitation":"[6]","plainTextFormattedCitation":"[6]","previouslyFormattedCitation":"[6]"},"properties":{"noteIndex":0},"schema":"https://github.com/citation-style-language/schema/raw/master/csl-citation.json"}</w:instrText>
      </w:r>
      <w:r w:rsidR="00B90AD7">
        <w:rPr>
          <w:rFonts w:ascii="Times New Roman" w:hAnsi="Times New Roman" w:cs="Times New Roman"/>
        </w:rPr>
        <w:fldChar w:fldCharType="separate"/>
      </w:r>
      <w:r w:rsidR="002E0324" w:rsidRPr="002E0324">
        <w:rPr>
          <w:rFonts w:ascii="Times New Roman" w:hAnsi="Times New Roman" w:cs="Times New Roman"/>
          <w:noProof/>
        </w:rPr>
        <w:t>[6]</w:t>
      </w:r>
      <w:r w:rsidR="00B90AD7">
        <w:rPr>
          <w:rFonts w:ascii="Times New Roman" w:hAnsi="Times New Roman" w:cs="Times New Roman"/>
        </w:rPr>
        <w:fldChar w:fldCharType="end"/>
      </w:r>
      <w:r w:rsidR="00F06AB2">
        <w:rPr>
          <w:rFonts w:ascii="Times New Roman" w:hAnsi="Times New Roman" w:cs="Times New Roman"/>
        </w:rPr>
        <w:t xml:space="preserve"> </w:t>
      </w:r>
      <w:r w:rsidR="00F53684">
        <w:rPr>
          <w:rFonts w:ascii="Times New Roman" w:hAnsi="Times New Roman" w:cs="Times New Roman"/>
        </w:rPr>
        <w:t>validity</w:t>
      </w:r>
      <w:r w:rsidR="00F06AB2">
        <w:rPr>
          <w:rFonts w:ascii="Times New Roman" w:hAnsi="Times New Roman" w:cs="Times New Roman"/>
        </w:rPr>
        <w:t>.</w:t>
      </w:r>
    </w:p>
    <w:p w14:paraId="764B02E9" w14:textId="5EA8A550" w:rsidR="000C6BCF" w:rsidRDefault="006903D7" w:rsidP="00F02208">
      <w:pPr>
        <w:spacing w:line="480" w:lineRule="auto"/>
        <w:rPr>
          <w:rFonts w:ascii="Times New Roman" w:hAnsi="Times New Roman" w:cs="Times New Roman"/>
        </w:rPr>
      </w:pPr>
      <w:r>
        <w:rPr>
          <w:rFonts w:ascii="Times New Roman" w:hAnsi="Times New Roman" w:cs="Times New Roman"/>
        </w:rPr>
        <w:t>The majority of QLQ-C30 items (n=28) are measured by a four-option</w:t>
      </w:r>
      <w:r w:rsidR="009546D2">
        <w:rPr>
          <w:rFonts w:ascii="Times New Roman" w:hAnsi="Times New Roman" w:cs="Times New Roman"/>
        </w:rPr>
        <w:t xml:space="preserve"> Likert</w:t>
      </w:r>
      <w:r>
        <w:rPr>
          <w:rFonts w:ascii="Times New Roman" w:hAnsi="Times New Roman" w:cs="Times New Roman"/>
        </w:rPr>
        <w:t xml:space="preserve"> response scale that ranges from 1, indicating “not at all”</w:t>
      </w:r>
      <w:r w:rsidR="00F53684">
        <w:rPr>
          <w:rFonts w:ascii="Times New Roman" w:hAnsi="Times New Roman" w:cs="Times New Roman"/>
        </w:rPr>
        <w:t>,</w:t>
      </w:r>
      <w:r>
        <w:rPr>
          <w:rFonts w:ascii="Times New Roman" w:hAnsi="Times New Roman" w:cs="Times New Roman"/>
        </w:rPr>
        <w:t xml:space="preserve"> to 4, indicating “very much”, capturing the presence and/or severity of a symptom or issue and its impact on QOL. The final two items which make up the global health status and QOL scale are rated on a scale from 1 to 7, with 1 indicating “very poor” and 7 “excellent”. The time scale for all items is “during the past week” with the exception of the first </w:t>
      </w:r>
      <w:r w:rsidR="00AA7DE2">
        <w:rPr>
          <w:rFonts w:ascii="Times New Roman" w:hAnsi="Times New Roman" w:cs="Times New Roman"/>
        </w:rPr>
        <w:t xml:space="preserve">5 items (the physical functioning scale), </w:t>
      </w:r>
      <w:r w:rsidR="005D40B6">
        <w:rPr>
          <w:rFonts w:ascii="Times New Roman" w:hAnsi="Times New Roman" w:cs="Times New Roman"/>
        </w:rPr>
        <w:t>for which no</w:t>
      </w:r>
      <w:r w:rsidR="005A2879">
        <w:rPr>
          <w:rFonts w:ascii="Times New Roman" w:hAnsi="Times New Roman" w:cs="Times New Roman"/>
        </w:rPr>
        <w:t xml:space="preserve"> specific timeframe </w:t>
      </w:r>
      <w:r w:rsidR="005D40B6">
        <w:rPr>
          <w:rFonts w:ascii="Times New Roman" w:hAnsi="Times New Roman" w:cs="Times New Roman"/>
        </w:rPr>
        <w:t>is used, given the intent</w:t>
      </w:r>
      <w:r w:rsidR="00AA7DE2">
        <w:rPr>
          <w:rFonts w:ascii="Times New Roman" w:hAnsi="Times New Roman" w:cs="Times New Roman"/>
        </w:rPr>
        <w:t xml:space="preserve"> to capture a more global impact on physical functioning, not limited to a one-week </w:t>
      </w:r>
      <w:r w:rsidR="005A2879">
        <w:rPr>
          <w:rFonts w:ascii="Times New Roman" w:hAnsi="Times New Roman" w:cs="Times New Roman"/>
        </w:rPr>
        <w:t>recall period</w:t>
      </w:r>
      <w:r w:rsidR="00AA7DE2">
        <w:rPr>
          <w:rFonts w:ascii="Times New Roman" w:hAnsi="Times New Roman" w:cs="Times New Roman"/>
        </w:rPr>
        <w:t>.</w:t>
      </w:r>
      <w:r w:rsidR="006E2D4C">
        <w:rPr>
          <w:rFonts w:ascii="Times New Roman" w:hAnsi="Times New Roman" w:cs="Times New Roman"/>
        </w:rPr>
        <w:t xml:space="preserve"> </w:t>
      </w:r>
      <w:r w:rsidR="00FE7CB4">
        <w:rPr>
          <w:rFonts w:ascii="Times New Roman" w:hAnsi="Times New Roman" w:cs="Times New Roman"/>
        </w:rPr>
        <w:t>All</w:t>
      </w:r>
      <w:r w:rsidR="006E2D4C">
        <w:rPr>
          <w:rFonts w:ascii="Times New Roman" w:hAnsi="Times New Roman" w:cs="Times New Roman"/>
        </w:rPr>
        <w:t xml:space="preserve"> </w:t>
      </w:r>
      <w:r w:rsidR="006E2D4C">
        <w:rPr>
          <w:rFonts w:ascii="Times New Roman" w:hAnsi="Times New Roman" w:cs="Times New Roman"/>
        </w:rPr>
        <w:lastRenderedPageBreak/>
        <w:t>single items and multi-item scales</w:t>
      </w:r>
      <w:r w:rsidR="00953C90">
        <w:rPr>
          <w:rFonts w:ascii="Times New Roman" w:hAnsi="Times New Roman" w:cs="Times New Roman"/>
        </w:rPr>
        <w:t xml:space="preserve"> in the questionnaire</w:t>
      </w:r>
      <w:r w:rsidR="006E2D4C">
        <w:rPr>
          <w:rFonts w:ascii="Times New Roman" w:hAnsi="Times New Roman" w:cs="Times New Roman"/>
        </w:rPr>
        <w:t xml:space="preserve"> are scored and</w:t>
      </w:r>
      <w:r w:rsidR="00FE7CB4">
        <w:rPr>
          <w:rFonts w:ascii="Times New Roman" w:hAnsi="Times New Roman" w:cs="Times New Roman"/>
        </w:rPr>
        <w:t xml:space="preserve"> transformed o</w:t>
      </w:r>
      <w:r w:rsidR="002078A3">
        <w:rPr>
          <w:rFonts w:ascii="Times New Roman" w:hAnsi="Times New Roman" w:cs="Times New Roman"/>
        </w:rPr>
        <w:t>nto a 0-100 scale, with higher scores for the functional and global health status/QOL scales indicating higher levels of functioning and QOL, and higher scores for symptom scales and single items indicating a higher degree of symptomatology and problems.</w:t>
      </w:r>
    </w:p>
    <w:p w14:paraId="36BBA380" w14:textId="79606EA3" w:rsidR="00D109F7" w:rsidRDefault="004052A2" w:rsidP="00807C11">
      <w:pPr>
        <w:spacing w:line="480" w:lineRule="auto"/>
        <w:rPr>
          <w:rFonts w:ascii="Times New Roman" w:hAnsi="Times New Roman" w:cs="Times New Roman"/>
        </w:rPr>
      </w:pPr>
      <w:r>
        <w:rPr>
          <w:rFonts w:ascii="Times New Roman" w:hAnsi="Times New Roman" w:cs="Times New Roman"/>
        </w:rPr>
        <w:t>In addition to its frequent</w:t>
      </w:r>
      <w:r w:rsidR="0076558C">
        <w:rPr>
          <w:rFonts w:ascii="Times New Roman" w:hAnsi="Times New Roman" w:cs="Times New Roman"/>
        </w:rPr>
        <w:t xml:space="preserve"> </w:t>
      </w:r>
      <w:r>
        <w:rPr>
          <w:rFonts w:ascii="Times New Roman" w:hAnsi="Times New Roman" w:cs="Times New Roman"/>
        </w:rPr>
        <w:t>use</w:t>
      </w:r>
      <w:r w:rsidR="0076558C">
        <w:rPr>
          <w:rFonts w:ascii="Times New Roman" w:hAnsi="Times New Roman" w:cs="Times New Roman"/>
        </w:rPr>
        <w:t xml:space="preserve"> in cancer research</w:t>
      </w:r>
      <w:r w:rsidR="006058AF">
        <w:rPr>
          <w:rFonts w:ascii="Times New Roman" w:hAnsi="Times New Roman" w:cs="Times New Roman"/>
        </w:rPr>
        <w:t xml:space="preserve"> and clinical trials</w:t>
      </w:r>
      <w:r w:rsidR="005E6E31">
        <w:rPr>
          <w:rFonts w:ascii="Times New Roman" w:hAnsi="Times New Roman" w:cs="Times New Roman"/>
        </w:rPr>
        <w:t xml:space="preserve">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{"citationItems":[{"id":"ITEM-1","itemData":{"DOI":"10.1016/S1470-2045(19)30656-4","ISSN":"14745488","abstract":"A previous review published in 2008 highlighted the prognostic significance of baseline patient-reported outcomes (PROs) as independent predictors of the overall survival of patients with cancer in clinical studies. In response to the methodological limitations of studies included in the previous review, recommendations were subsequently published in the same year to promote a higher level of methodological rigour in studies of prognostic factors. Our systematic review aimed to provide an update on progress with the implementation of these recommendations and to assess whether the methodological quality of prognostic factor analyses has changed over time. Of the 44 studies published between 2006 and 2018 that were included in our review, more standardisation and rigour of the methods used for prognostic factor analysis was found compared with the previous review. 41 (93%) of the trials reported at least one PRO domain as independently prognostic. The most common significant prognostic factors reported were physical functioning (17 [39%] studies) and global health or quality of life (15 [34%] studies). These findings highlight the value of PROs as prognostic or stratification factors in research across most types of cancer.","author":[{"dropping-particle":"","family":"Mierzynska","given":"Justyna","non-dropping-particle":"","parse-names":false,"suffix":""},{"dropping-particle":"","family":"Piccinin","given":"Claire","non-dropping-particle":"","parse-names":false,"suffix":""},{"dropping-particle":"","family":"Pe","given":"Madeline","non-dropping-particle":"","parse-names":false,"suffix":""},{"dropping-particle":"","family":"Martinelli","given":"Francesca","non-dropping-particle":"","parse-names":false,"suffix":""},{"dropping-particle":"","family":"Gotay","given":"Carolyn","non-dropping-particle":"","parse-names":false,"suffix":""},{"dropping-particle":"","family":"Coens","given":"Corneel","non-dropping-particle":"","parse-names":false,"suffix":""},{"dropping-particle":"","family":"Mauer","given":"Murielle","non-dropping-particle":"","parse-names":false,"suffix":""},{"dropping-particle":"","family":"Eggermont","given":"Alexander","non-dropping-particle":"","parse-names":false,"suffix":""},{"dropping-particle":"","family":"Groenvold","given":"Mogens","non-dropping-particle":"","parse-names":false,"suffix":""},{"dropping-particle":"","family":"Bjordal","given":"Kristin","non-dropping-particle":"","parse-names":false,"suffix":""},{"dropping-particle":"","family":"Reijneveld","given":"Jaap","non-dropping-particle":"","parse-names":false,"suffix":""},{"dropping-particle":"","family":"Velikova","given":"Galina","non-dropping-particle":"","parse-names":false,"suffix":""},{"dropping-particle":"","family":"Bottomley","given":"Andrew","non-dropping-particle":"","parse-names":false,"suffix":""}],"container-title":"The Lancet Oncology","id":"ITEM-1","issue":"12","issued":{"date-parts":[["2019"]]},"page":"e685-e698","publisher":"Elsevier Ltd","title":"Prognostic value of patient-reported outcomes from international randomised clinical trials on cancer: a systematic review","type":"article-journal","volume":"20"},"uris":["http://www.mendeley.com/documents/?uuid=49a647df-15b9-4689-8c2f-7bb25e231173"]},{"id":"ITEM-2","itemData":{"DOI":"10.1200/JCO.2007.13.3439","ISSN":"0732183X","PMID":"18227528","abstract":"Purpose: Patient-reported outcomes (PROs), routinely collected as a part of cancer clinical trials, have been linked with survival in numerous clinical studies, but a comprehensive critical review has not been reported. This study systematically assessed the impact of PROs on patient survival after a cancer diagnosis within the context of clinical trials. Design: Cancer clinical trials that assessed baseline PROs and mortality were identified through MEDLINE (through December 2006) supplemented by the Cochrane database, American Society of Clinical Oncology/European Society for Medical Oncology abstracts and hand searches. Inclusion criteria were publication in English language and use of multivariate analyses of PROs that controlled for one or more clinical factors. Two raters reviewed each study, abstracted data, and assessed study quality; two additional raters verified abstractions. Results: In 36 of 39 studies (N = 13,874), at least one PRO was significantly associated with survival (P &lt; .05) in multivariate analysis, with varying effect sizes. Studies of lung (n = 12) and breast cancer (n = 8) were most prevalent. The most commonly assessed PRO was quality of life, measured by the European Organization for Research and Treatment of Cancer Quality of Life Questionnaire C30 in 56% of studies. Clinical variables adjusted for included performance status (PS), treatment arm, stage, weight loss, and serum markers. Results indicated that PROs provide distinct prognostic information beyond standard clinical measures in cancer clinical trials. Conclusion: PROs might be considered for stratification purposes in future trials, as they were often better predictors of survival than PS. Studies are needed to determine whether interventions that improve PROs also increase survival and to identify explanatory mechanisms through which PROs relate to survival. © 2008 by American Society of Clinical Oncology.","author":[{"dropping-particle":"","family":"Gotay","given":"Carolyn C.","non-dropping-particle":"","parse-names":false,"suffix":""},{"dropping-particle":"","family":"Kawamoto","given":"Crissy T.","non-dropping-particle":"","parse-names":false,"suffix":""},{"dropping-particle":"","family":"Bottomley","given":"Andrew","non-dropping-particle":"","parse-names":false,"suffix":""},{"dropping-particle":"","family":"Efficace","given":"Fabio","non-dropping-particle":"","parse-names":false,"suffix":""}],"container-title":"Journal of Clinical Oncology","id":"ITEM-2","issued":{"date-parts":[["2008"]]},"title":"The prognostic significance of patient-reported outcomes in cancer clinical trials","type":"article"},"uris":["http://www.mendeley.com/documents/?uuid=02f8c6df-60b1-44e5-af8f-3539baf2a959"]}],"mendeley":{"formattedCitation":"[2, 7]","plainTextFormattedCitation":"[2, 7]","previouslyFormattedCitation":"[2, 7]"},"properties":{"noteIndex":0},"schema":"https://github.com/citation-style-language/schema/raw/master/csl-citation.json"}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[2, 7]</w:t>
      </w:r>
      <w:r w:rsidR="00CB70C7">
        <w:rPr>
          <w:rFonts w:ascii="Times New Roman" w:hAnsi="Times New Roman" w:cs="Times New Roman"/>
        </w:rPr>
        <w:fldChar w:fldCharType="end"/>
      </w:r>
      <w:r w:rsidR="00CC2FB5">
        <w:rPr>
          <w:rFonts w:ascii="Times New Roman" w:hAnsi="Times New Roman" w:cs="Times New Roman"/>
        </w:rPr>
        <w:t xml:space="preserve">, </w:t>
      </w:r>
      <w:r>
        <w:rPr>
          <w:rFonts w:ascii="Times New Roman" w:hAnsi="Times New Roman" w:cs="Times New Roman"/>
        </w:rPr>
        <w:t>the QLQ-C30</w:t>
      </w:r>
      <w:r w:rsidR="00CC2FB5">
        <w:rPr>
          <w:rFonts w:ascii="Times New Roman" w:hAnsi="Times New Roman" w:cs="Times New Roman"/>
        </w:rPr>
        <w:t xml:space="preserve"> is being increasingly used for monitoring purposes in clinical practice</w:t>
      </w:r>
      <w:r w:rsidR="00FD7830">
        <w:rPr>
          <w:rFonts w:ascii="Times New Roman" w:hAnsi="Times New Roman" w:cs="Times New Roman"/>
        </w:rPr>
        <w:t xml:space="preserve"> </w:t>
      </w:r>
      <w:r w:rsidR="00FD7830">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{"citationItems":[{"id":"ITEM-1","itemData":{"DOI":"10.1016/j.ejca.2016.08.024","ISSN":"18790852","abstract":"Cancer has increasingly become a chronic condition and the routine collection of patient-reported outcomes (PROs) like quality of life is widely recommended for clinical practice. Nonetheless, the successful implementation of PROs is still a major challenge, although common barriers to and facilitators of their beneficial use are well known. To support health care professionals and other stakeholders in the implementation of the EORTC PRO measures, the EORTC Quality of Life Group provides guidance on issues considered important for their use in daily clinical practice. Herein, we present an outline of the newly developed “'Manual for the use of EORTC measures in daily clinical practice”, covering the following issues: * a rationale for using EORTC measures in routine care *selection of EORTC measures, timing of assessments, scoring and presentation of results * aspects of a strategic implementation * electronic data assessment and telemonitoring, and * further use of EORTC measures and ethical considerations. Next to an extensive overview of currently available literature, the manual specifically focuses on knowledge about EORTC measures to give evidence-based recommendations whenever possible and to encourage readers and end-users of EORTC measures to contribute to further needed high-quality research. The manual will be accessible on the EORTC Quality of Life Group website's homepage and will be periodically updated to take into account any new knowledge due to medical, technical, regulatory and scientific advances.","author":[{"dropping-particle":"","family":"Wintner","given":"Lisa M.","non-dropping-particle":"","parse-names":false,"suffix":""},{"dropping-particle":"","family":"Sztankay","given":"Monika","non-dropping-particle":"","parse-names":false,"suffix":""},{"dropping-particle":"","family":"Aaronson","given":"Neil","non-dropping-particle":"","parse-names":false,"suffix":""},{"dropping-particle":"","family":"Bottomley","given":"Andrew","non-dropping-particle":"","parse-names":false,"suffix":""},{"dropping-particle":"","family":"Giesinger","given":"Johannes M.","non-dropping-particle":"","parse-names":false,"suffix":""},{"dropping-particle":"","family":"Groenvold","given":"Mogens","non-dropping-particle":"","parse-names":false,"suffix":""},{"dropping-particle":"","family":"Petersen","given":"Morten Aa","non-dropping-particle":"","parse-names":false,"suffix":""},{"dropping-particle":"","family":"Poll-Franse","given":"Lonneke","non-dropping-particle":"van de","parse-names":false,"suffix":""},{"dropping-particle":"","family":"Velikova","given":"Galina","non-dropping-particle":"","parse-names":false,"suffix":""},{"dropping-particle":"","family":"Verdonck-de Leeuw","given":"Irma","non-dropping-particle":"","parse-names":false,"suffix":""},{"dropping-particle":"","family":"Holzner","given":"Bernhard","non-dropping-particle":"","parse-names":false,"suffix":""}],"container-title":"European Journal of Cancer","id":"ITEM-1","issued":{"date-parts":[["2016"]]},"title":"The use of EORTC measures in daily clinical practice—A synopsis of a newly developed manual","type":"article"},"uris":["http://www.mendeley.com/documents/?uuid=d2ebebbd-5aff-4dcc-b9a5-04fcdd758002"]}],"mendeley":{"formattedCitation":"[8]","plainTextFormattedCitation":"[8]","previouslyFormattedCitation":"[8]"},"properties":{"noteIndex":0},"schema":"https://github.com/citation-style-language/schema/raw/master/csl-citation.json"}</w:instrText>
      </w:r>
      <w:r w:rsidR="00FD7830">
        <w:rPr>
          <w:rFonts w:ascii="Times New Roman" w:hAnsi="Times New Roman" w:cs="Times New Roman"/>
        </w:rPr>
        <w:fldChar w:fldCharType="separate"/>
      </w:r>
      <w:r w:rsidR="002E0324" w:rsidRPr="002E0324">
        <w:rPr>
          <w:rFonts w:ascii="Times New Roman" w:hAnsi="Times New Roman" w:cs="Times New Roman"/>
          <w:noProof/>
        </w:rPr>
        <w:t>[8]</w:t>
      </w:r>
      <w:r w:rsidR="00FD7830">
        <w:rPr>
          <w:rFonts w:ascii="Times New Roman" w:hAnsi="Times New Roman" w:cs="Times New Roman"/>
        </w:rPr>
        <w:fldChar w:fldCharType="end"/>
      </w:r>
      <w:r w:rsidR="0076558C">
        <w:rPr>
          <w:rFonts w:ascii="Times New Roman" w:hAnsi="Times New Roman" w:cs="Times New Roman"/>
        </w:rPr>
        <w:t>.</w:t>
      </w:r>
      <w:r w:rsidR="003D2C5A">
        <w:rPr>
          <w:rFonts w:ascii="Times New Roman" w:hAnsi="Times New Roman" w:cs="Times New Roman"/>
        </w:rPr>
        <w:t xml:space="preserve"> </w:t>
      </w:r>
      <w:r w:rsidR="008B3ECD">
        <w:rPr>
          <w:rFonts w:ascii="Times New Roman" w:hAnsi="Times New Roman" w:cs="Times New Roman"/>
        </w:rPr>
        <w:t>By p</w:t>
      </w:r>
      <w:r w:rsidR="00F96D3C">
        <w:rPr>
          <w:rFonts w:ascii="Times New Roman" w:hAnsi="Times New Roman" w:cs="Times New Roman"/>
        </w:rPr>
        <w:t xml:space="preserve">roviding a direct means of measuring core symptoms and issues from the patient’s perspective, </w:t>
      </w:r>
      <w:r w:rsidR="008B3ECD">
        <w:rPr>
          <w:rFonts w:ascii="Times New Roman" w:hAnsi="Times New Roman" w:cs="Times New Roman"/>
        </w:rPr>
        <w:t>the QLQ-C30</w:t>
      </w:r>
      <w:r w:rsidR="00F96D3C">
        <w:rPr>
          <w:rFonts w:ascii="Times New Roman" w:hAnsi="Times New Roman" w:cs="Times New Roman"/>
        </w:rPr>
        <w:t xml:space="preserve"> </w:t>
      </w:r>
      <w:r w:rsidR="005E6E31">
        <w:rPr>
          <w:rFonts w:ascii="Times New Roman" w:hAnsi="Times New Roman" w:cs="Times New Roman"/>
        </w:rPr>
        <w:t xml:space="preserve">provides clinically meaningful information, distinct from that offered by clinical markers and </w:t>
      </w:r>
      <w:r w:rsidR="00953C90">
        <w:rPr>
          <w:rFonts w:ascii="Times New Roman" w:hAnsi="Times New Roman" w:cs="Times New Roman"/>
        </w:rPr>
        <w:t>clinicians’</w:t>
      </w:r>
      <w:r w:rsidR="002964F2">
        <w:rPr>
          <w:rFonts w:ascii="Times New Roman" w:hAnsi="Times New Roman" w:cs="Times New Roman"/>
        </w:rPr>
        <w:t xml:space="preserve"> </w:t>
      </w:r>
      <w:r w:rsidR="005E6E31">
        <w:rPr>
          <w:rFonts w:ascii="Times New Roman" w:hAnsi="Times New Roman" w:cs="Times New Roman"/>
        </w:rPr>
        <w:t>ratings</w:t>
      </w:r>
      <w:r w:rsidR="00144EE9">
        <w:rPr>
          <w:rFonts w:ascii="Times New Roman" w:hAnsi="Times New Roman" w:cs="Times New Roman"/>
        </w:rPr>
        <w:t xml:space="preserve">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{"citationItems":[{"id":"ITEM-1","itemData":{"DOI":"10.1016/S1470-2045(19)30656-4","ISSN":"14745488","abstract":"A previous review published in 2008 highlighted the prognostic significance of baseline patient-reported outcomes (PROs) as independent predictors of the overall survival of patients with cancer in clinical studies. In response to the methodological limitations of studies included in the previous review, recommendations were subsequently published in the same year to promote a higher level of methodological rigour in studies of prognostic factors. Our systematic review aimed to provide an update on progress with the implementation of these recommendations and to assess whether the methodological quality of prognostic factor analyses has changed over time. Of the 44 studies published between 2006 and 2018 that were included in our review, more standardisation and rigour of the methods used for prognostic factor analysis was found compared with the previous review. 41 (93%) of the trials reported at least one PRO domain as independently prognostic. The most common significant prognostic factors reported were physical functioning (17 [39%] studies) and global health or quality of life (15 [34%] studies). These findings highlight the value of PROs as prognostic or stratification factors in research across most types of cancer.","author":[{"dropping-particle":"","family":"Mierzynska","given":"Justyna","non-dropping-particle":"","parse-names":false,"suffix":""},{"dropping-particle":"","family":"Piccinin","given":"Claire","non-dropping-particle":"","parse-names":false,"suffix":""},{"dropping-particle":"","family":"Pe","given":"Madeline","non-dropping-particle":"","parse-names":false,"suffix":""},{"dropping-particle":"","family":"Martinelli","given":"Francesca","non-dropping-particle":"","parse-names":false,"suffix":""},{"dropping-particle":"","family":"Gotay","given":"Carolyn","non-dropping-particle":"","parse-names":false,"suffix":""},{"dropping-particle":"","family":"Coens","given":"Corneel","non-dropping-particle":"","parse-names":false,"suffix":""},{"dropping-particle":"","family":"Mauer","given":"Murielle","non-dropping-particle":"","parse-names":false,"suffix":""},{"dropping-particle":"","family":"Eggermont","given":"Alexander","non-dropping-particle":"","parse-names":false,"suffix":""},{"dropping-particle":"","family":"Groenvold","given":"Mogens","non-dropping-particle":"","parse-names":false,"suffix":""},{"dropping-particle":"","family":"Bjordal","given":"Kristin","non-dropping-particle":"","parse-names":false,"suffix":""},{"dropping-particle":"","family":"Reijneveld","given":"Jaap","non-dropping-particle":"","parse-names":false,"suffix":""},{"dropping-particle":"","family":"Velikova","given":"Galina","non-dropping-particle":"","parse-names":false,"suffix":""},{"dropping-particle":"","family":"Bottomley","given":"Andrew","non-dropping-particle":"","parse-names":false,"suffix":""}],"container-title":"The Lancet Oncology","id":"ITEM-1","issue":"12","issued":{"date-parts":[["2019"]]},"page":"e685-e698","publisher":"Elsevier Ltd","title":"Prognostic value of patient-reported outcomes from international randomised clinical trials on cancer: a systematic review","type":"article-journal","volume":"20"},"uris":["http://www.mendeley.com/documents/?uuid=49a647df-15b9-4689-8c2f-7bb25e231173"]},{"id":"ITEM-2","itemData":{"DOI":"10.1200/JCO.2007.13.3439","ISSN":"0732183X","PMID":"18227528","abstract":"Purpose: Patient-reported outcomes (PROs), routinely collected as a part of cancer clinical trials, have been linked with survival in numerous clinical studies, but a comprehensive critical review has not been reported. This study systematically assessed the impact of PROs on patient survival after a cancer diagnosis within the context of clinical trials. Design: Cancer clinical trials that assessed baseline PROs and mortality were identified through MEDLINE (through December 2006) supplemented by the Cochrane database, American Society of Clinical Oncology/European Society for Medical Oncology abstracts and hand searches. Inclusion criteria were publication in English language and use of multivariate analyses of PROs that controlled for one or more clinical factors. Two raters reviewed each study, abstracted data, and assessed study quality; two additional raters verified abstractions. Results: In 36 of 39 studies (N = 13,874), at least one PRO was significantly associated with survival (P &lt; .05) in multivariate analysis, with varying effect sizes. Studies of lung (n = 12) and breast cancer (n = 8) were most prevalent. The most commonly assessed PRO was quality of life, measured by the European Organization for Research and Treatment of Cancer Quality of Life Questionnaire C30 in 56% of studies. Clinical variables adjusted for included performance status (PS), treatment arm, stage, weight loss, and serum markers. Results indicated that PROs provide distinct prognostic information beyond standard clinical measures in cancer clinical trials. Conclusion: PROs might be considered for stratification purposes in future trials, as they were often better predictors of survival than PS. Studies are needed to determine whether interventions that improve PROs also increase survival and to identify explanatory mechanisms through which PROs relate to survival. © 2008 by American Society of Clinical Oncology.","author":[{"dropping-particle":"","family":"Gotay","given":"Carolyn C.","non-dropping-particle":"","parse-names":false,"suffix":""},{"dropping-particle":"","family":"Kawamoto","given":"Crissy T.","non-dropping-particle":"","parse-names":false,"suffix":""},{"dropping-particle":"","family":"Bottomley","given":"Andrew","non-dropping-particle":"","parse-names":false,"suffix":""},{"dropping-particle":"","family":"Efficace","given":"Fabio","non-dropping-particle":"","parse-names":false,"suffix":""}],"container-title":"Journal of Clinical Oncology","id":"ITEM-2","issued":{"date-parts":[["2008"]]},"title":"The prognostic significance of patient-reported outcomes in cancer clinical trials","type":"article"},"uris":["http://www.mendeley.com/documents/?uuid=02f8c6df-60b1-44e5-af8f-3539baf2a959"]},{"id":"ITEM-3","itemData":{"DOI":"10.1016/S1470-2045(09)70200-1","ISSN":"14702045","abstract":"Background: Although individual studies show that baseline health-related quality of life (HRQOL) is a prognostic factor for survival, contradictory results have been published and very few meta-analyses have confirmed the finding. We examined whether HRQOL scores are associated with survival when pooled across a large sample of patients with different disease sites. Methods: We selected 30 randomised controlled trials from the European Organisation for Research and Treatment of Cancer (EORTC) started between 1986 and 2004, which included survival data for 10 108 patients with 11 different cancer sites. Patients were eligible for inclusion if they had completed a baseline HRQOL assessment with the EORTC core quality of life questionnaire (QLQ-C30; n=7417). Sociodemographic variables were age (≤60 vs &gt;60 years) and sex (men vs women), and clinical variables were WHO performance status (0-1 vs 2-3), distant metastases (no vs yes), and cancer site. We assessed prognostic significance of sociodemographic and clinical variables and the 15 QLQ-C30 scales with Cox proportional hazard models. Findings: In the stratified multivariate model including sociodemographic, clinical, and HRQOL data, the HRQOL parameters of physical functioning (hazard ratio 0·94, 95% CI 0·92-0·96; p&lt;0·0001), pain (1·04, 1·02-1·06; p&lt;0·0001), and appetite loss (1·05, 1·03-1·06; p&lt;0·0001) provided significant prognostic information in addition to the parameters age (1·17, 1·06-1·28; p=0·0001), sex (0·74, 0·67-0·82; p&lt;0·0001), and distant metastases (1·70, 1·49-1·93; p&lt;0·0001), but not for WHO performance status (1·07, 0·97-1·19; p=0·11). Consideration of the three HRQOL parameters and sociodemographic and clinical data increased the predictive accuracy of prognosis of overall survival by 6% relative to sociodemographic and clinical characteristics alone (C statistic for concordance between predicted and observed overall survival 0·68 for sociodemographic and clinical variables, and 0·72 for sociodemographic, clinical, and HRQOL variables). Interpretation: The results suggest that HRQOL scales provide prognostic information in addition to that of sociodemographic and clinical measures. This study shows that HRQOL data can help to predict survival in patients with cancer. Funding: Merck KGaA, EORTC Charitable Trust, and National Cancer Institute. © 2009 Elsevier Ltd. All rights reserved.","author":[{"dropping-particle":"","family":"Quinten","given":"Chantal","non-dropping-particle":"","parse-names":false,"suffix":""},{"dropping-particle":"","family":"Coens","given":"Corneel","non-dropping-particle":"","parse-names":false,"suffix":""},{"dropping-particle":"","family":"Mauer","given":"Murielle","non-dropping-particle":"","parse-names":false,"suffix":""},{"dropping-particle":"","family":"Comte","given":"Sylvie","non-dropping-particle":"","parse-names":false,"suffix":""},{"dropping-particle":"","family":"Sprangers","given":"Mirjam AG","non-dropping-particle":"","parse-names":false,"suffix":""},{"dropping-particle":"","family":"Cleeland","given":"Charles","non-dropping-particle":"","parse-names":false,"suffix":""},{"dropping-particle":"","family":"Osoba","given":"David","non-dropping-particle":"","parse-names":false,"suffix":""},{"dropping-particle":"","family":"Bjordal","given":"Kristin","non-dropping-particle":"","parse-names":false,"suffix":""},{"dropping-particle":"","family":"Bottomley","given":"Andrew","non-dropping-particle":"","parse-names":false,"suffix":""}],"container-title":"The Lancet Oncology","id":"ITEM-3","issued":{"date-parts":[["2009"]]},"title":"Baseline quality of life as a prognostic indicator of survival: a meta-analysis of individual patient data from EORTC clinical trials","type":"article-journal"},"uris":["http://www.mendeley.com/documents/?uuid=408633d3-ea4c-4354-a0d1-14209a02025c"]}],"mendeley":{"formattedCitation":"[2, 7, 9]","plainTextFormattedCitation":"[2, 7, 9]","previouslyFormattedCitation":"[2, 7, 9]"},"properties":{"noteIndex":0},"schema":"https://github.com/citation-style-language/schema/raw/master/csl-citation.json"}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[2, 7, 9]</w:t>
      </w:r>
      <w:r w:rsidR="00CB70C7">
        <w:rPr>
          <w:rFonts w:ascii="Times New Roman" w:hAnsi="Times New Roman" w:cs="Times New Roman"/>
        </w:rPr>
        <w:fldChar w:fldCharType="end"/>
      </w:r>
      <w:r w:rsidR="005E6E31">
        <w:rPr>
          <w:rFonts w:ascii="Times New Roman" w:hAnsi="Times New Roman" w:cs="Times New Roman"/>
        </w:rPr>
        <w:t xml:space="preserve">.  </w:t>
      </w:r>
      <w:r>
        <w:rPr>
          <w:rFonts w:ascii="Times New Roman" w:hAnsi="Times New Roman" w:cs="Times New Roman"/>
        </w:rPr>
        <w:t>In</w:t>
      </w:r>
      <w:r w:rsidR="006C7BFC">
        <w:rPr>
          <w:rFonts w:ascii="Times New Roman" w:hAnsi="Times New Roman" w:cs="Times New Roman"/>
        </w:rPr>
        <w:t xml:space="preserve"> 2018,</w:t>
      </w:r>
      <w:r w:rsidR="00DC0705">
        <w:rPr>
          <w:rFonts w:ascii="Times New Roman" w:hAnsi="Times New Roman" w:cs="Times New Roman"/>
        </w:rPr>
        <w:t xml:space="preserve"> the EORTC QLG published </w:t>
      </w:r>
      <w:r w:rsidR="00192AA6">
        <w:rPr>
          <w:rFonts w:ascii="Times New Roman" w:hAnsi="Times New Roman" w:cs="Times New Roman"/>
        </w:rPr>
        <w:t>guidelines</w:t>
      </w:r>
      <w:r w:rsidR="00DC0705">
        <w:rPr>
          <w:rFonts w:ascii="Times New Roman" w:hAnsi="Times New Roman" w:cs="Times New Roman"/>
        </w:rPr>
        <w:t xml:space="preserve"> </w:t>
      </w:r>
      <w:r w:rsidR="006058AF">
        <w:rPr>
          <w:rFonts w:ascii="Times New Roman" w:hAnsi="Times New Roman" w:cs="Times New Roman"/>
        </w:rPr>
        <w:t>to help facilitate the use and</w:t>
      </w:r>
      <w:r w:rsidR="00DC0705">
        <w:rPr>
          <w:rFonts w:ascii="Times New Roman" w:hAnsi="Times New Roman" w:cs="Times New Roman"/>
        </w:rPr>
        <w:t xml:space="preserve"> migration of EORTC questionnaires into electronic PRO (ePRO) formats (e.g., computer, tablet)</w:t>
      </w:r>
      <w:r w:rsidR="006C3D74">
        <w:rPr>
          <w:rFonts w:ascii="Times New Roman" w:hAnsi="Times New Roman" w:cs="Times New Roman"/>
        </w:rPr>
        <w:t xml:space="preserve"> </w:t>
      </w:r>
      <w:r w:rsidR="006C3D74">
        <w:rPr>
          <w:rFonts w:ascii="Times New Roman" w:hAnsi="Times New Roman" w:cs="Times New Roman"/>
        </w:rPr>
        <w:fldChar w:fldCharType="begin" w:fldLock="1"/>
      </w:r>
      <w:r w:rsidR="00CB70C7">
        <w:rPr>
          <w:rFonts w:ascii="Times New Roman" w:hAnsi="Times New Roman" w:cs="Times New Roman"/>
        </w:rPr>
        <w:instrText>ADDIN CSL_CITATION {"citationItems":[{"id":"ITEM-1","itemData":{"author":[{"dropping-particle":"","family":"Kuliś","given":"D","non-dropping-particle":"","parse-names":false,"suffix":""},{"dropping-particle":"","family":"Holzner","given":"B","non-dropping-particle":"","parse-names":false,"suffix":""},{"dropping-particle":"","family":"Koller","given":"M","non-dropping-particle":"","parse-names":false,"suffix":""},{"dropping-particle":"","family":"Ruyskart","given":"P","non-dropping-particle":"","parse-names":false,"suffix":""},{"dropping-particle":"","family":"Itani","given":"A","non-dropping-particle":"","parse-names":false,"suffix":""},{"dropping-particle":"","family":"Williams","given":"P","non-dropping-particle":"","parse-names":false,"suffix":""},{"dropping-particle":"","family":"Bottomley","given":"A","non-dropping-particle":"","parse-names":false,"suffix":""}],"id":"ITEM-1","issue":"January","issued":{"date-parts":[["2018"]]},"publisher":"EORTC","publisher-place":"Brussels, Belgium","title":"Guidance on the implementation and management of EORTC quality of life instruments in electronic applications","type":"book"},"uris":["http://www.mendeley.com/documents/?uuid=fa0cba56-607c-4f49-9fe4-21f825004bf8"]}],"mendeley":{"formattedCitation":"[10]","plainTextFormattedCitation":"[10]","previouslyFormattedCitation":"[10]"},"properties":{"noteIndex":0},"schema":"https://github.com/citation-style-language/schema/raw/master/csl-citation.json"}</w:instrText>
      </w:r>
      <w:r w:rsidR="006C3D74">
        <w:rPr>
          <w:rFonts w:ascii="Times New Roman" w:hAnsi="Times New Roman" w:cs="Times New Roman"/>
        </w:rPr>
        <w:fldChar w:fldCharType="separate"/>
      </w:r>
      <w:r w:rsidR="002E0324" w:rsidRPr="002E0324">
        <w:rPr>
          <w:rFonts w:ascii="Times New Roman" w:hAnsi="Times New Roman" w:cs="Times New Roman"/>
          <w:noProof/>
        </w:rPr>
        <w:t>[10]</w:t>
      </w:r>
      <w:r w:rsidR="006C3D74">
        <w:rPr>
          <w:rFonts w:ascii="Times New Roman" w:hAnsi="Times New Roman" w:cs="Times New Roman"/>
        </w:rPr>
        <w:fldChar w:fldCharType="end"/>
      </w:r>
      <w:r w:rsidR="00DC0705">
        <w:rPr>
          <w:rFonts w:ascii="Times New Roman" w:hAnsi="Times New Roman" w:cs="Times New Roman"/>
        </w:rPr>
        <w:t>.</w:t>
      </w:r>
      <w:r w:rsidR="00192AA6">
        <w:rPr>
          <w:rFonts w:ascii="Times New Roman" w:hAnsi="Times New Roman" w:cs="Times New Roman"/>
        </w:rPr>
        <w:t xml:space="preserve"> </w:t>
      </w:r>
      <w:r w:rsidR="0027665A">
        <w:rPr>
          <w:rFonts w:ascii="Times New Roman" w:hAnsi="Times New Roman" w:cs="Times New Roman"/>
        </w:rPr>
        <w:t>A computerised adaptive testing (CAT) version of the QLQ-C30, the EORTC CAT Core</w:t>
      </w:r>
      <w:r w:rsidR="00AD4E56">
        <w:rPr>
          <w:rFonts w:ascii="Times New Roman" w:hAnsi="Times New Roman" w:cs="Times New Roman"/>
        </w:rPr>
        <w:t xml:space="preserve"> </w:t>
      </w:r>
      <w:r w:rsidR="00AD4E56">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{"citationItems":[{"id":"ITEM-1","itemData":{"DOI":"10.1016/j.ejca.2018.04.016","ISSN":"18790852","abstract":"Background: To optimise measurement precision, relevance to patients and flexibility, patient-reported outcome measures (PROMs) should ideally be adapted to the individual patient/study while retaining direct comparability of scores across patients/studies. This is achievable using item banks and computerised adaptive tests (CATs). The European Organisation for Research and Treatment of Cancer (EORTC) Quality of Life Questionnaire Core 30 (QLQ-C30) is one of the most widely used PROMs in cancer research and clinical practice. Here we provide an overview of the research program to develop CAT versions of the QLQ-C30's 14 functional and symptom domains. Methods: The EORTC Quality of Life Group's strategy for developing CAT item banks consists of: literature search to identify potential candidate items; formulation of new items compatible with the QLQ-C30 item style; expert evaluations and patient interviews; field-testing and psychometric analyses, including factor analysis, item response theory calibration and simulation of measurement properties. In addition, software for setting up, running and scoring CAT has been developed. Results: Across eight rounds of data collections, 9782 patients were recruited from 12 countries for the field-testing. The four phases of development resulted in a total of 260 unique items across the 14 domains. Each item bank consists of 7–34 items. Psychometric evaluations indicated higher measurement precision and increased statistical power of the CAT measures compared to the QLQ-C30 scales. Using CAT, sample size requirements may be reduced by approximately 20–35% on average without loss of power. Conclusions: The EORTC CAT Core represents a more precise, powerful and flexible measurement system than the QLQ-C30. It is currently being validated in a large independent, international sample of cancer patients.","author":[{"dropping-particle":"","family":"Petersen","given":"Morten Aa","non-dropping-particle":"","parse-names":false,"suffix":""},{"dropping-particle":"","family":"Aaronson","given":"Neil K.","non-dropping-particle":"","parse-names":false,"suffix":""},{"dropping-particle":"","family":"Arraras","given":"Juan I.","non-dropping-particle":"","parse-names":false,"suffix":""},{"dropping-particle":"","family":"Chie","given":"Wei Chu","non-dropping-particle":"","parse-names":false,"suffix":""},{"dropping-particle":"","family":"Conroy","given":"Thierry","non-dropping-particle":"","parse-names":false,"suffix":""},{"dropping-particle":"","family":"Costantini","given":"Anna","non-dropping-particle":"","parse-names":false,"suffix":""},{"dropping-particle":"","family":"Dirven","given":"Linda","non-dropping-particle":"","parse-names":false,"suffix":""},{"dropping-particle":"","family":"Fayers","given":"Peter","non-dropping-particle":"","parse-names":false,"suffix":""},{"dropping-particle":"","family":"Gamper","given":"Eva Maria","non-dropping-particle":"","parse-names":false,"suffix":""},{"dropping-particle":"","family":"Giesinger","given":"Johannes M.","non-dropping-particle":"","parse-names":false,"suffix":""},{"dropping-particle":"","family":"Habets","given":"Esther J.J.","non-dropping-particle":"","parse-names":false,"suffix":""},{"dropping-particle":"","family":"Hammerlid","given":"Eva","non-dropping-particle":"","parse-names":false,"suffix":""},{"dropping-particle":"","family":"Helbostad","given":"Jorunn","non-dropping-particle":"","parse-names":false,"suffix":""},{"dropping-particle":"","family":"Hjermstad","given":"Marianne J.","non-dropping-particle":"","parse-names":false,"suffix":""},{"dropping-particle":"","family":"Holzner","given":"Bernhard","non-dropping-particle":"","parse-names":false,"suffix":""},{"dropping-particle":"","family":"Johnson","given":"Colin","non-dropping-particle":"","parse-names":false,"suffix":""},{"dropping-particle":"","family":"Kemmler","given":"Georg","non-dropping-particle":"","parse-names":false,"suffix":""},{"dropping-particle":"","family":"King","given":"Madeleine T.","non-dropping-particle":"","parse-names":false,"suffix":""},{"dropping-particle":"","family":"Kaasa","given":"Stein","non-dropping-particle":"","parse-names":false,"suffix":""},{"dropping-particle":"","family":"Loge","given":"Jon H.","non-dropping-particle":"","parse-names":false,"suffix":""},{"dropping-particle":"","family":"Reijneveld","given":"Jaap C.","non-dropping-particle":"","parse-names":false,"suffix":""},{"dropping-particle":"","family":"Singer","given":"Susanne","non-dropping-particle":"","parse-names":false,"suffix":""},{"dropping-particle":"","family":"Taphoorn","given":"Martin J.B.","non-dropping-particle":"","parse-names":false,"suffix":""},{"dropping-particle":"","family":"Thamsborg","given":"Lise H.","non-dropping-particle":"","parse-names":false,"suffix":""},{"dropping-particle":"","family":"Tomaszewski","given":"Krzysztof A.","non-dropping-particle":"","parse-names":false,"suffix":""},{"dropping-particle":"","family":"Velikova","given":"Galina","non-dropping-particle":"","parse-names":false,"suffix":""},{"dropping-particle":"","family":"Verdonck-de Leeuw","given":"Irma M.","non-dropping-particle":"","parse-names":false,"suffix":""},{"dropping-particle":"","family":"Young","given":"Teresa","non-dropping-particle":"","parse-names":false,"suffix":""},{"dropping-particle":"","family":"Groenvold","given":"Mogens","non-dropping-particle":"","parse-names":false,"suffix":""}],"container-title":"European Journal of Cancer","id":"ITEM-1","issued":{"date-parts":[["2018"]]},"page":"8-16","publisher":"Elsevier Ltd","title":"The EORTC CAT Core—The computer adaptive version of the EORTC QLQ-C30 questionnaire","type":"article-journal","volume":"100"},"uris":["http://www.mendeley.com/documents/?uuid=dba49406-d240-4fae-bd48-19ad0fe6a790"]}],"mendeley":{"formattedCitation":"[11]","plainTextFormattedCitation":"[11]","previouslyFormattedCitation":"[11]"},"properties":{"noteIndex":0},"schema":"https://github.com/citation-style-language/schema/raw/master/csl-citation.json"}</w:instrText>
      </w:r>
      <w:r w:rsidR="00AD4E56">
        <w:rPr>
          <w:rFonts w:ascii="Times New Roman" w:hAnsi="Times New Roman" w:cs="Times New Roman"/>
        </w:rPr>
        <w:fldChar w:fldCharType="separate"/>
      </w:r>
      <w:r w:rsidR="002E0324" w:rsidRPr="002E0324">
        <w:rPr>
          <w:rFonts w:ascii="Times New Roman" w:hAnsi="Times New Roman" w:cs="Times New Roman"/>
          <w:noProof/>
        </w:rPr>
        <w:t>[11]</w:t>
      </w:r>
      <w:r w:rsidR="00AD4E56">
        <w:rPr>
          <w:rFonts w:ascii="Times New Roman" w:hAnsi="Times New Roman" w:cs="Times New Roman"/>
        </w:rPr>
        <w:fldChar w:fldCharType="end"/>
      </w:r>
      <w:r w:rsidR="0027665A">
        <w:rPr>
          <w:rFonts w:ascii="Times New Roman" w:hAnsi="Times New Roman" w:cs="Times New Roman"/>
        </w:rPr>
        <w:t xml:space="preserve">, is also available, and consists of </w:t>
      </w:r>
      <w:r w:rsidR="00711A57">
        <w:rPr>
          <w:rFonts w:ascii="Times New Roman" w:hAnsi="Times New Roman" w:cs="Times New Roman"/>
        </w:rPr>
        <w:t xml:space="preserve">dynamic </w:t>
      </w:r>
      <w:r w:rsidR="0027665A">
        <w:rPr>
          <w:rFonts w:ascii="Times New Roman" w:hAnsi="Times New Roman" w:cs="Times New Roman"/>
        </w:rPr>
        <w:t>item banks which correspond with the</w:t>
      </w:r>
      <w:r w:rsidR="00711A57">
        <w:rPr>
          <w:rFonts w:ascii="Times New Roman" w:hAnsi="Times New Roman" w:cs="Times New Roman"/>
        </w:rPr>
        <w:t xml:space="preserve"> QLQ-C30’s</w:t>
      </w:r>
      <w:r w:rsidR="0027665A">
        <w:rPr>
          <w:rFonts w:ascii="Times New Roman" w:hAnsi="Times New Roman" w:cs="Times New Roman"/>
        </w:rPr>
        <w:t xml:space="preserve"> 14 functional and symptom domains</w:t>
      </w:r>
      <w:r w:rsidR="00711A57">
        <w:rPr>
          <w:rFonts w:ascii="Times New Roman" w:hAnsi="Times New Roman" w:cs="Times New Roman"/>
        </w:rPr>
        <w:t>.</w:t>
      </w:r>
      <w:r w:rsidR="00C12BE6">
        <w:rPr>
          <w:rFonts w:ascii="Times New Roman" w:hAnsi="Times New Roman" w:cs="Times New Roman"/>
        </w:rPr>
        <w:t xml:space="preserve"> </w:t>
      </w:r>
    </w:p>
    <w:p w14:paraId="6C32DA37" w14:textId="140F65CC" w:rsidR="00755BA1" w:rsidRDefault="004A121A" w:rsidP="00DB5172">
      <w:pPr>
        <w:spacing w:line="480" w:lineRule="auto"/>
        <w:rPr>
          <w:rFonts w:ascii="Times New Roman" w:hAnsi="Times New Roman" w:cs="Times New Roman"/>
        </w:rPr>
      </w:pPr>
      <w:r>
        <w:rPr>
          <w:rFonts w:ascii="Times New Roman" w:hAnsi="Times New Roman" w:cs="Times New Roman"/>
        </w:rPr>
        <w:t xml:space="preserve">The purpose of this study was to pilot test the provisional QLQ-C30 phone script through cognitive debriefing interviews to ensure its acceptability and relevance, amending it if needed, and to subsequently validate the QLQ-C30 phone-administered version by </w:t>
      </w:r>
      <w:r w:rsidRPr="001A1E15">
        <w:rPr>
          <w:rFonts w:ascii="Times New Roman" w:hAnsi="Times New Roman" w:cs="Times New Roman"/>
        </w:rPr>
        <w:t>carrying</w:t>
      </w:r>
      <w:r>
        <w:rPr>
          <w:rFonts w:ascii="Times New Roman" w:hAnsi="Times New Roman" w:cs="Times New Roman"/>
        </w:rPr>
        <w:t xml:space="preserve"> out equivalence testing between the paper and phone administration modes in a population of patients actively undergoing cancer treatment. </w:t>
      </w:r>
      <w:r w:rsidR="00755BA1">
        <w:rPr>
          <w:rFonts w:ascii="Times New Roman" w:hAnsi="Times New Roman" w:cs="Times New Roman"/>
        </w:rPr>
        <w:t>An intraclass correlation coefficient (</w:t>
      </w:r>
      <w:r w:rsidR="00286D05">
        <w:rPr>
          <w:rFonts w:ascii="Times New Roman" w:hAnsi="Times New Roman" w:cs="Times New Roman"/>
        </w:rPr>
        <w:t>ICC</w:t>
      </w:r>
      <w:r w:rsidR="00755BA1">
        <w:rPr>
          <w:rFonts w:ascii="Times New Roman" w:hAnsi="Times New Roman" w:cs="Times New Roman"/>
        </w:rPr>
        <w:t>)</w:t>
      </w:r>
      <w:r w:rsidR="00286D05">
        <w:rPr>
          <w:rFonts w:ascii="Times New Roman" w:hAnsi="Times New Roman" w:cs="Times New Roman"/>
        </w:rPr>
        <w:t xml:space="preserve"> </w:t>
      </w:r>
      <w:r w:rsidR="00755BA1">
        <w:rPr>
          <w:rFonts w:ascii="Times New Roman" w:hAnsi="Times New Roman" w:cs="Times New Roman"/>
        </w:rPr>
        <w:t xml:space="preserve">of  </w:t>
      </w:r>
      <w:r w:rsidR="00755BA1" w:rsidRPr="00755BA1">
        <w:rPr>
          <w:rFonts w:ascii="Times New Roman" w:hAnsi="Times New Roman" w:cs="Times New Roman"/>
          <w:u w:val="single"/>
        </w:rPr>
        <w:t>&gt;</w:t>
      </w:r>
      <w:r w:rsidR="00755BA1" w:rsidRPr="00755BA1">
        <w:rPr>
          <w:rFonts w:ascii="Times New Roman" w:hAnsi="Times New Roman" w:cs="Times New Roman"/>
        </w:rPr>
        <w:t>0.70</w:t>
      </w:r>
      <w:r w:rsidR="004052A2">
        <w:rPr>
          <w:rFonts w:ascii="Times New Roman" w:hAnsi="Times New Roman" w:cs="Times New Roman"/>
        </w:rPr>
        <w:t>,</w:t>
      </w:r>
      <w:r w:rsidR="00755BA1">
        <w:rPr>
          <w:rFonts w:ascii="Times New Roman" w:hAnsi="Times New Roman" w:cs="Times New Roman"/>
        </w:rPr>
        <w:t xml:space="preserve"> the recommended </w:t>
      </w:r>
      <w:r w:rsidR="00286D05">
        <w:rPr>
          <w:rFonts w:ascii="Times New Roman" w:hAnsi="Times New Roman" w:cs="Times New Roman"/>
        </w:rPr>
        <w:t>threshold to demonstrate equivalence between various modes of administration</w:t>
      </w:r>
      <w:r w:rsidR="004052A2">
        <w:rPr>
          <w:rFonts w:ascii="Times New Roman" w:hAnsi="Times New Roman" w:cs="Times New Roman"/>
        </w:rPr>
        <w:t>,</w:t>
      </w:r>
      <w:r w:rsidR="00755BA1">
        <w:rPr>
          <w:rFonts w:ascii="Times New Roman" w:hAnsi="Times New Roman" w:cs="Times New Roman"/>
        </w:rPr>
        <w:t xml:space="preserve"> was employed in this study for the purpose of equivalence testing</w:t>
      </w:r>
      <w:r w:rsidR="009C26B9">
        <w:rPr>
          <w:rFonts w:ascii="Times New Roman" w:hAnsi="Times New Roman" w:cs="Times New Roman"/>
        </w:rPr>
        <w:t xml:space="preserve"> </w:t>
      </w:r>
      <w:r w:rsidR="009C26B9">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{"citationItems":[{"id":"ITEM-1","itemData":{"DOI":"10.1111/j.1524-4733.2008.00470.x","ISSN":"15244733","abstract":"Background: Patient-reported outcomes (PROs) are the consequences of disease and/or its treatment as reported by the patient. The importance of PRO measures in clinical trials for new drugs, biological agents, and devices was underscored by the release of the US Food and Drug Administration's draft guidance for industry titled \"Patient-Reported Outcome Measures: Use in Medical Product Development to Support Labeling Claims.\" The intent of the guidance was to describe how the FDA will evaluate the appropriateness and adequacy of PRO measures used as effectiveness end points in clinical trials. In response to the expressed need of ISPOR members for further clarification of several aspects of the draft guidance, ISPOR's Health Science Policy Council created three task forces, one of which was charged with addressing the implications of the draft guidance for the collection of PRO data using electronic data capture modes of administration (ePRO). The objective of this report is to present recommendations from ISPOR's ePRO Good Research Practices Task Force regarding the evidence necessary to support the comparability, or measurement equivalence, of ePROs to the paper-based PRO measures from which they were adapted. Methods: The task force was composed of the leadership team of ISPOR's ePRO Working Group and members of another group (i.e., ePRO Consensus Development Working Group) that had already begun to develop recommendations regarding ePRO good research practices. The resulting task force membership reflected a broad array of backgrounds, perspectives, and expertise that enriched the development of this report. The prior work became the starting point for the Task Force report. A subset of the task force members became the writing team that prepared subsequent iterations of the report that were distributed to the full task force for review and feedback. In addition, review beyond the task force was sought and obtained. Along with a presentation and discussion period at an ISPOR meeting, a draft version of the full report was distributed to roughly 220 members of a reviewer group. The reviewer group comprised individuals who had responded to an emailed invitation to the full membership of ISPOR. This Task Force report reflects the extensive internal and external input received during the 16-month good research practices development process. Results/Recommendations: An ePRO questionnaire that has been adapted from a paper-based questionnaire ought to prod…","author":[{"dropping-particle":"","family":"Coons","given":"Stephen Joel","non-dropping-particle":"","parse-names":false,"suffix":""},{"dropping-particle":"","family":"Gwaltney","given":"Chad J.","non-dropping-particle":"","parse-names":false,"suffix":""},{"dropping-particle":"","family":"Hays","given":"Ron D.","non-dropping-particle":"","parse-names":false,"suffix":""},{"dropping-particle":"","family":"Lundy","given":"J. Jason","non-dropping-particle":"","parse-names":false,"suffix":""},{"dropping-particle":"","family":"Sloan","given":"Jeff A.","non-dropping-particle":"","parse-names":false,"suffix":""},{"dropping-particle":"","family":"Revicki","given":"Dennis A.","non-dropping-particle":"","parse-names":false,"suffix":""},{"dropping-particle":"","family":"Lenderking","given":"William R.","non-dropping-particle":"","parse-names":false,"suffix":""},{"dropping-particle":"","family":"Cella","given":"David","non-dropping-particle":"","parse-names":false,"suffix":""},{"dropping-particle":"","family":"Basch","given":"Ethan","non-dropping-particle":"","parse-names":false,"suffix":""}],"container-title":"Value in Health","id":"ITEM-1","issue":"4","issued":{"date-parts":[["2009"]]},"page":"419-429","title":"Recommendations on evidence needed to support measurement equivalence between electronic and paper-based patient-reported outcome (PRO) measures: ISPOR ePRO good research practices task force report","type":"article-journal","volume":"12"},"uris":["http://www.mendeley.com/documents/?uuid=587da6c1-5edc-4aa6-9311-6061e3d46fc0"]}],"mendeley":{"formattedCitation":"[12]","plainTextFormattedCitation":"[12]","previouslyFormattedCitation":"[12]"},"properties":{"noteIndex":0},"schema":"https://github.com/citation-style-language/schema/raw/master/csl-citation.json"}</w:instrText>
      </w:r>
      <w:r w:rsidR="009C26B9">
        <w:rPr>
          <w:rFonts w:ascii="Times New Roman" w:hAnsi="Times New Roman" w:cs="Times New Roman"/>
        </w:rPr>
        <w:fldChar w:fldCharType="separate"/>
      </w:r>
      <w:r w:rsidR="002E0324" w:rsidRPr="002E0324">
        <w:rPr>
          <w:rFonts w:ascii="Times New Roman" w:hAnsi="Times New Roman" w:cs="Times New Roman"/>
          <w:noProof/>
        </w:rPr>
        <w:t>[12]</w:t>
      </w:r>
      <w:r w:rsidR="009C26B9">
        <w:rPr>
          <w:rFonts w:ascii="Times New Roman" w:hAnsi="Times New Roman" w:cs="Times New Roman"/>
        </w:rPr>
        <w:fldChar w:fldCharType="end"/>
      </w:r>
      <w:r w:rsidR="00286D05">
        <w:rPr>
          <w:rFonts w:ascii="Times New Roman" w:hAnsi="Times New Roman" w:cs="Times New Roman"/>
        </w:rPr>
        <w:t>.</w:t>
      </w:r>
      <w:r w:rsidR="009C26B9">
        <w:rPr>
          <w:rFonts w:ascii="Times New Roman" w:hAnsi="Times New Roman" w:cs="Times New Roman"/>
        </w:rPr>
        <w:t xml:space="preserve"> </w:t>
      </w:r>
      <w:r w:rsidR="009C26B9" w:rsidRPr="009C26B9">
        <w:rPr>
          <w:rFonts w:ascii="Times New Roman" w:hAnsi="Times New Roman" w:cs="Times New Roman"/>
        </w:rPr>
        <w:t xml:space="preserve">Previous research supports the use of  ICC </w:t>
      </w:r>
      <w:r w:rsidR="009C26B9" w:rsidRPr="009C26B9">
        <w:rPr>
          <w:rFonts w:ascii="Times New Roman" w:hAnsi="Times New Roman" w:cs="Times New Roman"/>
          <w:u w:val="single"/>
        </w:rPr>
        <w:t>&gt;</w:t>
      </w:r>
      <w:r w:rsidR="009C26B9" w:rsidRPr="009C26B9">
        <w:rPr>
          <w:rFonts w:ascii="Times New Roman" w:hAnsi="Times New Roman" w:cs="Times New Roman"/>
        </w:rPr>
        <w:t>0.70</w:t>
      </w:r>
      <w:r w:rsidR="004052A2">
        <w:rPr>
          <w:rFonts w:ascii="Times New Roman" w:hAnsi="Times New Roman" w:cs="Times New Roman"/>
        </w:rPr>
        <w:t>, as demonstrated in</w:t>
      </w:r>
      <w:r w:rsidR="009C26B9" w:rsidRPr="009C26B9">
        <w:rPr>
          <w:rFonts w:ascii="Times New Roman" w:hAnsi="Times New Roman" w:cs="Times New Roman"/>
        </w:rPr>
        <w:t xml:space="preserve"> studies by Lundy and colleagues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{"citationItems":[{"id":"ITEM-1","itemData":{"DOI":"10.1007/s11136-013-0454-1","ISSN":"09629343","abstract":"Purpose: The objective of this study was to evaluate the measurement equivalence of an interactive voice response system (IVRS) version and the original paper-based version of the EORTC QLQ-C30. Methods: The QLQ-C30 is a cancer-specific, health-related quality of life questionnaire consisting of nine multi-item scales (physical, role, emotional, cognitive and social functioning, fatigue, nausea/vomiting, pain, and quality of life) and six single item measures (dyspnea, insomnia, appetite loss, constipation, diarrhea, and financial problems). This study utilized a crossover design with subjects randomly assigned to one of two assessment orders: (1) paper then IVRS or (2) IVRS then paper. Equivalence between the two administration modes was established by comparing the 95 % lower confidence interval (CI) of the intraclass correlation coefficients (ICCs) for each scale, with a critical value of 0.70. Results: The ICCs for the nine multi-item scales were all above 0.79, ranging from 0.791 to 0.899 (ICC 95 % lower CI range 0.726-0.865) and significantly different from our threshold reliability of 0.70. The ICCs for the six single items ranged from 0.689 to 0.896 (ICC 95 % lower CI range 0.611-0.888). Two of the items, insomnia and appetite loss, were not statistically different from 0.70. When considered together, the per-protocol analysis results support the equivalence of the paper and IVRS versions of the QLQ-C30 for 13 of the 15 scores. Conclusion: This analysis provides evidence that the scores obtained from the IVRS version of the QLQ-C30 are equivalent to those obtained with the original paper version except for the insomnia and appetite loss items. © 2013 Springer Science+Business Media Dordrecht.","author":[{"dropping-particle":"","family":"Lundy","given":"J. Jason","non-dropping-particle":"","parse-names":false,"suffix":""},{"dropping-particle":"","family":"Coons","given":"Stephen Joel","non-dropping-particle":"","parse-names":false,"suffix":""},{"dropping-particle":"","family":"Aaronson","given":"Neil K.","non-dropping-particle":"","parse-names":false,"suffix":""}],"container-title":"Quality of Life Research","id":"ITEM-1","issued":{"date-parts":[["2014"]]},"title":"Testing the measurement equivalence of paper and interactive voice response system versions of the EORTC QLQ-C30","type":"article-journal"},"uris":["http://www.mendeley.com/documents/?uuid=5a3a9a27-e1c1-40b8-9295-0a0b05d1235c"]},{"id":"ITEM-2","itemData":{"DOI":"10.1007/s40271-014-0071-2","ISSN":"11781661","abstract":"Objective: The objective of this study was to assess the test–retest reliability of an interactive voice response (IVR) version of the European Organisation for Research and Treatment of Cancer (EORTC) QLQ-C30. Methods: A convenience sample of outpatient cancer clinic patients (n = 127) was asked to complete the IVR version of the QLQ-C30 twice, 2 days apart. The QLQ-C30 is a 30-item, cancer-specific questionnaire composed of single-item and multi-item scales. The instrument has five functional scales (physical, role, cognitive, emotional, and social), three symptom scales (fatigue, pain, and nausea/vomiting), and a global quality-of-life scale. The remaining single items assess dyspnea, appetite loss, insomnia, constipation, diarrhea, and financial problems. The analyses focused on intraclass correlation coefficients (ICCs), comparing the ICC 95 % lower confidence interval (CI) value with a critical value of 0.70. Results: The ICCs for the nine multi-item scales were all above 0.69, ranging from 0.698 to 0.926 (ICC 95 % lower CI value range 0.588–0.895). All of the scales were significantly different from our threshold reliability of 0.70, with the exception of the cognitive functioning scale. The ICCs for the six single items ranged from 0.741 to 0.883 (ICC 95 % lower CI value range 0.646–0.835), and three of the six were statistically different from 0.70. The evidence supports the stability of 11 of the 15 scores obtained on the IVR version of the QLQ-C30 upon repeated measurement. Conclusion: The measurement equivalence of the IVR and paper versions of the QLQ-C30 has been reported elsewhere. This analysis provides evidence demonstrating adequate test–retest reliability of the IVR version for 11 of the QLQ-C30’s 15 scores.","author":[{"dropping-particle":"","family":"Lundy","given":"J. Jason","non-dropping-particle":"","parse-names":false,"suffix":""},{"dropping-particle":"","family":"Coons","given":"Stephen Joel","non-dropping-particle":"","parse-names":false,"suffix":""},{"dropping-particle":"","family":"Aaronson","given":"Neil K.","non-dropping-particle":"","parse-names":false,"suffix":""}],"container-title":"Patient","id":"ITEM-2","issue":"2","issued":{"date-parts":[["2015"]]},"page":"165-170","title":"Test–Retest Reliability of an Interactive Voice Response (IVR) Version of the EORTC QLQ-C30","type":"article-journal","volume":"8"},"uris":["http://www.mendeley.com/documents/?uuid=b2cf40db-2dbf-4031-b485-aadfb6f46cdc"]}],"mendeley":{"formattedCitation":"[13, 14]","plainTextFormattedCitation":"[13, 14]","previouslyFormattedCitation":"[13, 14]"},"properties":{"noteIndex":0},"schema":"https://github.com/citation-style-language/schema/raw/master/csl-citation.json"}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[13, 14]</w:t>
      </w:r>
      <w:r w:rsidR="00CB70C7">
        <w:rPr>
          <w:rFonts w:ascii="Times New Roman" w:hAnsi="Times New Roman" w:cs="Times New Roman"/>
        </w:rPr>
        <w:fldChar w:fldCharType="end"/>
      </w:r>
      <w:r w:rsidR="009C26B9" w:rsidRPr="009C26B9">
        <w:rPr>
          <w:rFonts w:ascii="Times New Roman" w:hAnsi="Times New Roman" w:cs="Times New Roman"/>
        </w:rPr>
        <w:t xml:space="preserve">, in which an </w:t>
      </w:r>
      <w:r w:rsidR="004052A2">
        <w:rPr>
          <w:rFonts w:ascii="Times New Roman" w:hAnsi="Times New Roman" w:cs="Times New Roman"/>
        </w:rPr>
        <w:t>interactive voice response (</w:t>
      </w:r>
      <w:r w:rsidR="009C26B9" w:rsidRPr="009C26B9">
        <w:rPr>
          <w:rFonts w:ascii="Times New Roman" w:hAnsi="Times New Roman" w:cs="Times New Roman"/>
        </w:rPr>
        <w:t>IVR</w:t>
      </w:r>
      <w:r w:rsidR="004052A2">
        <w:rPr>
          <w:rFonts w:ascii="Times New Roman" w:hAnsi="Times New Roman" w:cs="Times New Roman"/>
        </w:rPr>
        <w:t>)</w:t>
      </w:r>
      <w:r w:rsidR="009C26B9" w:rsidRPr="009C26B9">
        <w:rPr>
          <w:rFonts w:ascii="Times New Roman" w:hAnsi="Times New Roman" w:cs="Times New Roman"/>
        </w:rPr>
        <w:t xml:space="preserve"> versi</w:t>
      </w:r>
      <w:r w:rsidR="004052A2">
        <w:rPr>
          <w:rFonts w:ascii="Times New Roman" w:hAnsi="Times New Roman" w:cs="Times New Roman"/>
        </w:rPr>
        <w:t xml:space="preserve">on of the QLQ-C30 was developed. </w:t>
      </w:r>
      <w:r w:rsidR="009C26B9" w:rsidRPr="009C26B9">
        <w:rPr>
          <w:rFonts w:ascii="Times New Roman" w:hAnsi="Times New Roman" w:cs="Times New Roman"/>
        </w:rPr>
        <w:t xml:space="preserve">Similarly, in an equivalence study aimed at comparing tablet computer, IVR, and paper-based administration of the PRO-CTCAE </w:t>
      </w:r>
      <w:r w:rsidR="009C26B9" w:rsidRPr="009C26B9">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{"citationItems":[{"id":"ITEM-1","itemData":{"DOI":"10.1186/s12955-016-0426-6","ISSN":"14777525","abstract":"Background: PRO-CTCAE is a library of items that measure cancer treatment-related symptomatic adverse events (NCI Contracts: HHSN261201000043C and HHSN 261201000063C). The objective of this study is to examine the equivalence and acceptability of the three data collection modes (Web-enabled touchscreen tablet computer, Interactive voice response system [IVRS], and paper) available within the US National Cancer Institute (NCI) Patient-Reported Outcomes version of the Common Terminology Criteria for Adverse Events (PRO-CTCAE) measurement system. Methods: Participants (n = 112; median age 56.5; 24% high school or less) receiving treatment for cancer at seven US sites completed 28 PRO-CTCAE items (scoring range 0-4) by three modes (order randomized) at a single study visit. Subjects completed one page (approx. 15 items) of the EORTC QLQ-C30 between each mode as a distractor. Item scores by mode were compared using intraclass correlation coefficients (ICC); differences in scores within the 3-mode crossover design were evaluated with mixed-effects models. Difficulties with each mode experienced by participants were also assessed. Results: 103 (92%) completed questionnaires by all three modes. The median ICC comparing tablet vs IVRS was 0.78 (range 0.55-0.90); tablet vs paper: 0.81 (0.62-0.96); IVRS vs paper: 0.78 (0.60-0.91); 89% of ICCs were ≥0.70. Item-level mean differences by mode were small (medians [ranges] for tablet vs. IVRS = -0.04 [-0.16-0.22]; tablet vs paper = -0.02 [-0.11-0.14]; IVRS vs paper = 0.02 [-0.07-0.19]), and 57/81 (70%) items had bootstrapped 95% CI around the effect sizes within +/-0.20. The median time to complete the questionnaire by tablet was 3.4min; IVRS: 5.8; paper: 4.0. The proportion of participants by mode who reported \"no problems\" responding to the questionnaire was 86% tablet, 72% IVRS, and 98% paper. Conclusions: Mode equivalence of items was moderate to high, and comparable to test-retest reliability (median ICC = 0.80). Each mode was acceptable to a majority of respondents. Although the study was powered to detect moderate or larger discrepancies between modes, the observed ICCs and very small mean differences between modes provide evidence to support study designs that are responsive to patient or investigator preference for mode of administration, and justify comparison of results and pooled analyses across studies that employ different PRO-CTCAE modes of administration. Trial registration: NCT Clinicaltrials.gov ident…","author":[{"dropping-particle":"V.","family":"Bennett","given":"Antonia","non-dropping-particle":"","parse-names":false,"suffix":""},{"dropping-particle":"","family":"Dueck","given":"Amylou C.","non-dropping-particle":"","parse-names":false,"suffix":""},{"dropping-particle":"","family":"Mitchell","given":"Sandra A.","non-dropping-particle":"","parse-names":false,"suffix":""},{"dropping-particle":"","family":"Mendoza","given":"Tito R.","non-dropping-particle":"","parse-names":false,"suffix":""},{"dropping-particle":"","family":"Reeve","given":"Bryce B.","non-dropping-particle":"","parse-names":false,"suffix":""},{"dropping-particle":"","family":"Atkinson","given":"Thomas M.","non-dropping-particle":"","parse-names":false,"suffix":""},{"dropping-particle":"","family":"Castro","given":"Kathleen M.","non-dropping-particle":"","parse-names":false,"suffix":""},{"dropping-particle":"","family":"Denicoff","given":"Andrea","non-dropping-particle":"","parse-names":false,"suffix":""},{"dropping-particle":"","family":"Rogak","given":"Lauren J.","non-dropping-particle":"","parse-names":false,"suffix":""},{"dropping-particle":"","family":"Harness","given":"Jay K.","non-dropping-particle":"","parse-names":false,"suffix":""},{"dropping-particle":"","family":"Bearden","given":"James D.","non-dropping-particle":"","parse-names":false,"suffix":""},{"dropping-particle":"","family":"Bryant","given":"Donna","non-dropping-particle":"","parse-names":false,"suffix":""},{"dropping-particle":"","family":"Siegel","given":"Robert D.","non-dropping-particle":"","parse-names":false,"suffix":""},{"dropping-particle":"","family":"Schrag","given":"Deborah","non-dropping-particle":"","parse-names":false,"suffix":""},{"dropping-particle":"","family":"Basch","given":"Ethan","non-dropping-particle":"","parse-names":false,"suffix":""},{"dropping-particle":"","family":"Heon","given":"Narre","non-dropping-particle":"","parse-names":false,"suffix":""},{"dropping-particle":"","family":"Shaw","given":"Mary","non-dropping-particle":"","parse-names":false,"suffix":""},{"dropping-particle":"","family":"Ryan","given":"Sean","non-dropping-particle":"","parse-names":false,"suffix":""},{"dropping-particle":"","family":"Stark","given":"Liora P.","non-dropping-particle":"","parse-names":false,"suffix":""},{"dropping-particle":"","family":"Malveaux","given":"Donna","non-dropping-particle":"","parse-names":false,"suffix":""},{"dropping-particle":"","family":"Pettus","given":"Wendy","non-dropping-particle":"","parse-names":false,"suffix":""},{"dropping-particle":"","family":"Gansauer","given":"Lucy","non-dropping-particle":"","parse-names":false,"suffix":""},{"dropping-particle":"","family":"Wind","given":"Jennifer","non-dropping-particle":"","parse-names":false,"suffix":""},{"dropping-particle":"","family":"Thomassie","given":"Amy","non-dropping-particle":"","parse-names":false,"suffix":""},{"dropping-particle":"","family":"Davila","given":"Gitana","non-dropping-particle":"","parse-names":false,"suffix":""},{"dropping-particle":"","family":"Alexander","given":"Kathy","non-dropping-particle":"","parse-names":false,"suffix":""}],"container-title":"Health and Quality of Life Outcomes","id":"ITEM-1","issue":"1","issued":{"date-parts":[["2016"]]},"page":"1-12","publisher":"Health and Quality of Life Outcomes","title":"Mode equivalence and acceptability of tablet computer-, interactive voice response system-, and paper-based administration of the U.S. National Cancer Institute's Patient-Reported Outcomes version of the Common Terminology Criteria for Adverse Events (PRO","type":"article-journal","volume":"14"},"uris":["http://www.mendeley.com/documents/?uuid=c0dca496-c969-4892-834d-205b3c4f3956"]}],"mendeley":{"formattedCitation":"[15]","plainTextFormattedCitation":"[15]","previouslyFormattedCitation":"[15]"},"properties":{"noteIndex":0},"schema":"https://github.com/citation-style-language/schema/raw/master/csl-citation.json"}</w:instrText>
      </w:r>
      <w:r w:rsidR="009C26B9" w:rsidRPr="009C26B9">
        <w:rPr>
          <w:rFonts w:ascii="Times New Roman" w:hAnsi="Times New Roman" w:cs="Times New Roman"/>
        </w:rPr>
        <w:fldChar w:fldCharType="separate"/>
      </w:r>
      <w:r w:rsidR="002E0324" w:rsidRPr="002E0324">
        <w:rPr>
          <w:rFonts w:ascii="Times New Roman" w:hAnsi="Times New Roman" w:cs="Times New Roman"/>
          <w:noProof/>
        </w:rPr>
        <w:t>[15]</w:t>
      </w:r>
      <w:r w:rsidR="009C26B9" w:rsidRPr="009C26B9">
        <w:rPr>
          <w:rFonts w:ascii="Times New Roman" w:hAnsi="Times New Roman" w:cs="Times New Roman"/>
        </w:rPr>
        <w:fldChar w:fldCharType="end"/>
      </w:r>
      <w:r w:rsidR="009C26B9" w:rsidRPr="009C26B9">
        <w:rPr>
          <w:rFonts w:ascii="Times New Roman" w:hAnsi="Times New Roman" w:cs="Times New Roman"/>
        </w:rPr>
        <w:t xml:space="preserve">, the degree of mode equivalence was </w:t>
      </w:r>
      <w:r w:rsidR="004052A2">
        <w:rPr>
          <w:rFonts w:ascii="Times New Roman" w:hAnsi="Times New Roman" w:cs="Times New Roman"/>
        </w:rPr>
        <w:t>assessed using</w:t>
      </w:r>
      <w:r w:rsidR="009C26B9" w:rsidRPr="009C26B9">
        <w:rPr>
          <w:rFonts w:ascii="Times New Roman" w:hAnsi="Times New Roman" w:cs="Times New Roman"/>
        </w:rPr>
        <w:t xml:space="preserve"> ICC </w:t>
      </w:r>
      <w:r w:rsidR="009C26B9" w:rsidRPr="009C26B9">
        <w:rPr>
          <w:rFonts w:ascii="Times New Roman" w:hAnsi="Times New Roman" w:cs="Times New Roman"/>
          <w:u w:val="single"/>
        </w:rPr>
        <w:t>&gt;</w:t>
      </w:r>
      <w:r w:rsidR="009C26B9" w:rsidRPr="009C26B9">
        <w:rPr>
          <w:rFonts w:ascii="Times New Roman" w:hAnsi="Times New Roman" w:cs="Times New Roman"/>
        </w:rPr>
        <w:t>0.70</w:t>
      </w:r>
    </w:p>
    <w:p w14:paraId="4219ED16" w14:textId="45F3372E" w:rsidR="00D41784" w:rsidRPr="00347DE6" w:rsidRDefault="004052A2" w:rsidP="00DB5172">
      <w:pPr>
        <w:spacing w:line="480" w:lineRule="auto"/>
        <w:rPr>
          <w:rFonts w:ascii="Times New Roman" w:hAnsi="Times New Roman" w:cs="Times New Roman"/>
        </w:rPr>
      </w:pPr>
      <w:r>
        <w:rPr>
          <w:rFonts w:ascii="Times New Roman" w:hAnsi="Times New Roman" w:cs="Times New Roman"/>
        </w:rPr>
        <w:t>Although p</w:t>
      </w:r>
      <w:r w:rsidR="006058AF">
        <w:rPr>
          <w:rFonts w:ascii="Times New Roman" w:hAnsi="Times New Roman" w:cs="Times New Roman"/>
        </w:rPr>
        <w:t>revious</w:t>
      </w:r>
      <w:r w:rsidR="0055436F">
        <w:rPr>
          <w:rFonts w:ascii="Times New Roman" w:hAnsi="Times New Roman" w:cs="Times New Roman"/>
        </w:rPr>
        <w:t xml:space="preserve"> work conducted by Lundy and colleagues </w:t>
      </w:r>
      <w:r w:rsidR="00B4636C">
        <w:rPr>
          <w:rFonts w:ascii="Times New Roman" w:hAnsi="Times New Roman" w:cs="Times New Roman"/>
        </w:rPr>
        <w:t>demonstrated</w:t>
      </w:r>
      <w:r w:rsidR="0055436F">
        <w:rPr>
          <w:rFonts w:ascii="Times New Roman" w:hAnsi="Times New Roman" w:cs="Times New Roman"/>
        </w:rPr>
        <w:t xml:space="preserve"> the </w:t>
      </w:r>
      <w:r w:rsidR="00B4636C">
        <w:rPr>
          <w:rFonts w:ascii="Times New Roman" w:hAnsi="Times New Roman" w:cs="Times New Roman"/>
        </w:rPr>
        <w:t>equivalence</w:t>
      </w:r>
      <w:r w:rsidR="0055436F">
        <w:rPr>
          <w:rFonts w:ascii="Times New Roman" w:hAnsi="Times New Roman" w:cs="Times New Roman"/>
        </w:rPr>
        <w:t xml:space="preserve"> of an </w:t>
      </w:r>
      <w:r>
        <w:rPr>
          <w:rFonts w:ascii="Times New Roman" w:hAnsi="Times New Roman" w:cs="Times New Roman"/>
        </w:rPr>
        <w:t>IVR</w:t>
      </w:r>
      <w:r w:rsidR="0055436F">
        <w:rPr>
          <w:rFonts w:ascii="Times New Roman" w:hAnsi="Times New Roman" w:cs="Times New Roman"/>
        </w:rPr>
        <w:t xml:space="preserve"> version of the QLQ-C30</w:t>
      </w:r>
      <w:r w:rsidR="00690494">
        <w:rPr>
          <w:rFonts w:ascii="Times New Roman" w:hAnsi="Times New Roman" w:cs="Times New Roman"/>
        </w:rPr>
        <w:t xml:space="preserve"> </w:t>
      </w:r>
      <w:r w:rsidR="00B4636C">
        <w:rPr>
          <w:rFonts w:ascii="Times New Roman" w:hAnsi="Times New Roman" w:cs="Times New Roman"/>
        </w:rPr>
        <w:t>to its</w:t>
      </w:r>
      <w:r w:rsidR="00690494">
        <w:rPr>
          <w:rFonts w:ascii="Times New Roman" w:hAnsi="Times New Roman" w:cs="Times New Roman"/>
        </w:rPr>
        <w:t xml:space="preserve"> paper administration</w:t>
      </w:r>
      <w:r w:rsidR="00B4636C">
        <w:rPr>
          <w:rFonts w:ascii="Times New Roman" w:hAnsi="Times New Roman" w:cs="Times New Roman"/>
        </w:rPr>
        <w:t xml:space="preserve">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{"citationItems":[{"id":"ITEM-1","itemData":{"DOI":"10.1007/s11136-013-0454-1","ISSN":"09629343","abstract":"Purpose: The objective of this study was to evaluate the measurement equivalence of an interactive voice response system (IVRS) version and the original paper-based version of the EORTC QLQ-C30. Methods: The QLQ-C30 is a cancer-specific, health-related quality of life questionnaire consisting of nine multi-item scales (physical, role, emotional, cognitive and social functioning, fatigue, nausea/vomiting, pain, and quality of life) and six single item measures (dyspnea, insomnia, appetite loss, constipation, diarrhea, and financial problems). This study utilized a crossover design with subjects randomly assigned to one of two assessment orders: (1) paper then IVRS or (2) IVRS then paper. Equivalence between the two administration modes was established by comparing the 95 % lower confidence interval (CI) of the intraclass correlation coefficients (ICCs) for each scale, with a critical value of 0.70. Results: The ICCs for the nine multi-item scales were all above 0.79, ranging from 0.791 to 0.899 (ICC 95 % lower CI range 0.726-0.865) and significantly different from our threshold reliability of 0.70. The ICCs for the six single items ranged from 0.689 to 0.896 (ICC 95 % lower CI range 0.611-0.888). Two of the items, insomnia and appetite loss, were not statistically different from 0.70. When considered together, the per-protocol analysis results support the equivalence of the paper and IVRS versions of the QLQ-C30 for 13 of the 15 scores. Conclusion: This analysis provides evidence that the scores obtained from the IVRS version of the QLQ-C30 are equivalent to those obtained with the original paper version except for the insomnia and appetite loss items. © 2013 Springer Science+Business Media Dordrecht.","author":[{"dropping-particle":"","family":"Lundy","given":"J. Jason","non-dropping-particle":"","parse-names":false,"suffix":""},{"dropping-particle":"","family":"Coons","given":"Stephen Joel","non-dropping-particle":"","parse-names":false,"suffix":""},{"dropping-particle":"","family":"Aaronson","given":"Neil K.","non-dropping-particle":"","parse-names":false,"suffix":""}],"container-title":"Quality of Life Research","id":"ITEM-1","issued":{"date-parts":[["2014"]]},"title":"Testing the measurement equivalence of paper and interactive voice response system versions of the EORTC QLQ-C30","type":"article-journal"},"uris":["http://www.mendeley.com/documents/?uuid=5a3a9a27-e1c1-40b8-9295-0a0b05d1235c"]},{"id":"ITEM-2","itemData":{"DOI":"10.1007/s40271-014-0071-2","ISSN":"11781661","abstract":"Objective: The objective of this study was to assess the test–retest reliability of an interactive voice response (IVR) version of the European Organisation for Research and Treatment of Cancer (EORTC) QLQ-C30. Methods: A convenience sample of outpatient cancer clinic patients (n = 127) was asked to complete the IVR version of the QLQ-C30 twice, 2 days apart. The QLQ-C30 is a 30-item, cancer-specific questionnaire composed of single-item and multi-item scales. The instrument has five functional scales (physical, role, cognitive, emotional, and social), three symptom scales (fatigue, pain, and nausea/vomiting), and a global quality-of-life scale. The remaining single items assess dyspnea, appetite loss, insomnia, constipation, diarrhea, and financial problems. The analyses focused on intraclass correlation coefficients (ICCs), comparing the ICC 95 % lower confidence interval (CI) value with a critical value of 0.70. Results: The ICCs for the nine multi-item scales were all above 0.69, ranging from 0.698 to 0.926 (ICC 95 % lower CI value range 0.588–0.895). All of the scales were significantly different from our threshold reliability of 0.70, with the exception of the cognitive functioning scale. The ICCs for the six single items ranged from 0.741 to 0.883 (ICC 95 % lower CI value range 0.646–0.835), and three of the six were statistically different from 0.70. The evidence supports the stability of 11 of the 15 scores obtained on the IVR version of the QLQ-C30 upon repeated measurement. Conclusion: The measurement equivalence of the IVR and paper versions of the QLQ-C30 has been reported elsewhere. This analysis provides evidence demonstrating adequate test–retest reliability of the IVR version for 11 of the QLQ-C30’s 15 scores.","author":[{"dropping-particle":"","family":"Lundy","given":"J. Jason","non-dropping-particle":"","parse-names":false,"suffix":""},{"dropping-particle":"","family":"Coons","given":"Stephen Joel","non-dropping-particle":"","parse-names":false,"suffix":""},{"dropping-particle":"","family":"Aaronson","given":"Neil K.","non-dropping-particle":"","parse-names":false,"suffix":""}],"container-title":"Patient","id":"ITEM-2","issue":"2","issued":{"date-parts":[["2015"]]},"page":"165-170","title":"Test–Retest Reliability of an Interactive Voice Response (IVR) Version of the EORTC QLQ-C30","type":"article-journal","volume":"8"},"uris":["http://www.mendeley.com/documents/?uuid=b2cf40db-2dbf-4031-b485-aadfb6f46cdc"]}],"mendeley":{"formattedCitation":"[13, 14]","plainTextFormattedCitation":"[13, 14]","previouslyFormattedCitation":"[13, 14]"},"properties":{"noteIndex":0},"schema":"https://github.com/citation-style-language/schema/raw/master/csl-citation.json"}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[13, 14]</w:t>
      </w:r>
      <w:r w:rsidR="00CB70C7">
        <w:rPr>
          <w:rFonts w:ascii="Times New Roman" w:hAnsi="Times New Roman" w:cs="Times New Roman"/>
        </w:rPr>
        <w:fldChar w:fldCharType="end"/>
      </w:r>
      <w:r w:rsidR="0055436F">
        <w:rPr>
          <w:rFonts w:ascii="Times New Roman" w:hAnsi="Times New Roman" w:cs="Times New Roman"/>
        </w:rPr>
        <w:t>, t</w:t>
      </w:r>
      <w:r w:rsidR="00700746">
        <w:rPr>
          <w:rFonts w:ascii="Times New Roman" w:hAnsi="Times New Roman" w:cs="Times New Roman"/>
        </w:rPr>
        <w:t>his is the first project aimed at validating a voice script for phone administration</w:t>
      </w:r>
      <w:r w:rsidR="00B4636C">
        <w:rPr>
          <w:rFonts w:ascii="Times New Roman" w:hAnsi="Times New Roman" w:cs="Times New Roman"/>
        </w:rPr>
        <w:t xml:space="preserve"> </w:t>
      </w:r>
      <w:r w:rsidR="00953C90">
        <w:rPr>
          <w:rFonts w:ascii="Times New Roman" w:hAnsi="Times New Roman" w:cs="Times New Roman"/>
        </w:rPr>
        <w:t xml:space="preserve">of the QLQ-C30 </w:t>
      </w:r>
      <w:r w:rsidR="00B4636C">
        <w:rPr>
          <w:rFonts w:ascii="Times New Roman" w:hAnsi="Times New Roman" w:cs="Times New Roman"/>
        </w:rPr>
        <w:t>by an interviewer</w:t>
      </w:r>
      <w:r w:rsidR="00700746">
        <w:rPr>
          <w:rFonts w:ascii="Times New Roman" w:hAnsi="Times New Roman" w:cs="Times New Roman"/>
        </w:rPr>
        <w:t>.</w:t>
      </w:r>
      <w:r w:rsidR="0055436F">
        <w:rPr>
          <w:rFonts w:ascii="Times New Roman" w:hAnsi="Times New Roman" w:cs="Times New Roman"/>
        </w:rPr>
        <w:t xml:space="preserve"> </w:t>
      </w:r>
      <w:r w:rsidR="00B4636C">
        <w:rPr>
          <w:rFonts w:ascii="Times New Roman" w:hAnsi="Times New Roman" w:cs="Times New Roman"/>
        </w:rPr>
        <w:t>A</w:t>
      </w:r>
      <w:r w:rsidR="00700746">
        <w:rPr>
          <w:rFonts w:ascii="Times New Roman" w:hAnsi="Times New Roman" w:cs="Times New Roman"/>
        </w:rPr>
        <w:t xml:space="preserve"> considerable </w:t>
      </w:r>
      <w:r w:rsidR="00700746">
        <w:rPr>
          <w:rFonts w:ascii="Times New Roman" w:hAnsi="Times New Roman" w:cs="Times New Roman"/>
        </w:rPr>
        <w:lastRenderedPageBreak/>
        <w:t>body of research comparing paper to screen-based</w:t>
      </w:r>
      <w:r w:rsidR="007F64E4">
        <w:rPr>
          <w:rFonts w:ascii="Times New Roman" w:hAnsi="Times New Roman" w:cs="Times New Roman"/>
        </w:rPr>
        <w:t xml:space="preserve"> (e.g., table</w:t>
      </w:r>
      <w:r w:rsidR="000178A3">
        <w:rPr>
          <w:rFonts w:ascii="Times New Roman" w:hAnsi="Times New Roman" w:cs="Times New Roman"/>
        </w:rPr>
        <w:t>t</w:t>
      </w:r>
      <w:r w:rsidR="007F64E4">
        <w:rPr>
          <w:rFonts w:ascii="Times New Roman" w:hAnsi="Times New Roman" w:cs="Times New Roman"/>
        </w:rPr>
        <w:t>, computer)</w:t>
      </w:r>
      <w:r w:rsidR="00700746">
        <w:rPr>
          <w:rFonts w:ascii="Times New Roman" w:hAnsi="Times New Roman" w:cs="Times New Roman"/>
        </w:rPr>
        <w:t xml:space="preserve"> administration of PROs has demonstrated high levels of reliability between both modes</w:t>
      </w:r>
      <w:r w:rsidR="007F64E4">
        <w:rPr>
          <w:rFonts w:ascii="Times New Roman" w:hAnsi="Times New Roman" w:cs="Times New Roman"/>
        </w:rPr>
        <w:t xml:space="preserve">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{"citationItems":[{"id":"ITEM-1","itemData":{"DOI":"10.1111/j.1524-4733.2007.00231.x","ISSN":"15244733","abstract":"Objectives: Patient-reported outcomes (PROs; self-report assessments) are increasingly important in evaluating medical care and treatment efficacy. Electronic administration of PROs via computer is becoming widespread. This article reviews the literature addressing whether computer-administered tests are equivalent to their paper-and-pencil forms. Methods: Meta-analysis was used to synthesize 65 studies that directly assessed the equivalence of computer versus paper versions of PROs used in clinical trials. A total of 46 unique studies, evaluating 278 scales, provided sufficient detail to allow quantitative analysis. Results: Among 233 direct comparisons, the average mean difference between modes averaged 0.2% of the scale range (e.g., 0.02 points on a 10-point scale), and 93% were within ±5% of the scale range. Among 207 correlation coefficients between paper and computer instruments (typically intraclass correlation coefficients), the average weighted correlation was 0.90; 94% of correlations were at least 0.75. Because the cross-mode correlation (paper vs. computer) is also a test-retest correlation, with potential variation because of retest, we compared it to the within-mode (paper vs. paper) test-retest correlation. In four comparisons that evaluated both, the average cross-mode paper-to-computer correlation was almost identical to the within-mode correlation for readministration of a paper measure (0.88 vs. 0.91). Conclusions: Extensive evidence indicates that paper- and computer-administered PROs are equivalent. © 2008, International Society for Pharmacoeconomics and Outcomes Research (ISPOR).","author":[{"dropping-particle":"","family":"Gwaltney","given":"Chad J.","non-dropping-particle":"","parse-names":false,"suffix":""},{"dropping-particle":"","family":"Shields","given":"Alan L.","non-dropping-particle":"","parse-names":false,"suffix":""},{"dropping-particle":"","family":"Shiffman","given":"Saul","non-dropping-particle":"","parse-names":false,"suffix":""}],"container-title":"Value in Health","id":"ITEM-1","issued":{"date-parts":[["2008"]]},"title":"Equivalence of electronic and paper-and-pencil administration of patient-reported outcome measures: A meta-analytic review","type":"article-journal"},"uris":["http://www.mendeley.com/documents/?uuid=3764d4ca-13e7-4fa3-b3df-5d5e08139bf2"]},{"id":"ITEM-2","itemData":{"DOI":"10.1186/s12955-015-0362-x","ISSN":"14777525","abstract":"Objective: To conduct a systematic review and meta-analysis of the equivalence between electronic and paper administration of patient reported outcome measures (PROMs) in studies conducted subsequent to those included in Gwaltney et al's 2008 review. Methods: A systematic literature review of PROM equivalence studies conducted between 2007 and 2013 identified 1,997 records from which 72 studies met pre-defined inclusion/exclusion criteria. PRO data from each study were extracted, in terms of both correlation coefficients (ICCs, Spearman and Pearson correlations, Kappa statistics) and mean differences (standardized by the standard deviation, SD, and the response scale range). Pooled estimates of correlation and mean difference were estimated. The modifying effects of mode of administration, year of publication, study design, time interval between administrations, mean age of participants and publication type were examined. Results: Four hundred thirty-five individual correlations were extracted, these correlations being highly variable (I2 = 93.8) but showing generally good equivalence, with ICCs ranging from 0.65 to 0.99 and the pooled correlation coefficient being 0.88 (95 % CI 0.87 to 0.88). Standardised mean differences for 307 studies were small and less variable (I2 = 33.5) with a pooled standardised mean difference of 0.037 (95 % CI 0.031 to 0.042). Average administration mode/platform-specific correlations from 56 studies (61 estimates) had a pooled estimate of 0.88 (95 % CI 0.86 to 0.90) and were still highly variable (I2 = 92.1). Similarly, average platform-specific ICCs from 39 studies (42 estimates) had a pooled estimate of 0.90 (95 % CI 0.88 to 0.92) with an I2 of 91.5. After excluding 20 studies with outlying correlation coefficients (≥3SD from the mean), the I2 was 54.4, with the equivalence still high, the overall pooled correlation coefficient being 0.88 (95 % CI 0.87 to 0.88). Agreement was found to be greater in more recent studies (p &lt; 0.001), in randomized studies compared with non-randomised studies (p &lt; 0.001), in studies with a shorter interval (&lt;1 day) (p &lt; 0.001), and in respondents of mean age 28 to 55 compared with those either younger or older (p &lt; 0.001). In terms of mode/platform, paper vs Interactive Voice Response System (IVRS) comparisons had the lowest pooled agreement and paper vs tablet/touch screen the highest (p &lt; 0.001). Conclusion: The present study supports the conclusion of Gwaltney's previous meta-analysis show…","author":[{"dropping-particle":"","family":"Muehlhausen","given":"Willie","non-dropping-particle":"","parse-names":false,"suffix":""},{"dropping-particle":"","family":"Doll","given":"Helen","non-dropping-particle":"","parse-names":false,"suffix":""},{"dropping-particle":"","family":"Quadri","given":"Nuz","non-dropping-particle":"","parse-names":false,"suffix":""},{"dropping-particle":"","family":"Fordham","given":"Bethany","non-dropping-particle":"","parse-names":false,"suffix":""},{"dropping-particle":"","family":"O'Donohoe","given":"Paul","non-dropping-particle":"","parse-names":false,"suffix":""},{"dropping-particle":"","family":"Dogar","given":"Nijda","non-dropping-particle":"","parse-names":false,"suffix":""},{"dropping-particle":"","family":"Wild","given":"Diane J.","non-dropping-particle":"","parse-names":false,"suffix":""}],"container-title":"Health and Quality of Life Outcomes","id":"ITEM-2","issued":{"date-parts":[["2015"]]},"title":"Equivalence of electronic and paper administration of patient-reported outcome measures: A systematic review and meta-analysis of studies conducted between 2007 and 2013","type":"article-journal"},"uris":["http://www.mendeley.com/documents/?uuid=a6775812-2115-4152-88f3-6d56700bd539"]},{"id":"ITEM-3","itemData":{"DOI":"10.1007/s11136-008-9384-8","ISSN":"09629343","abstract":"Objectives: This study examined the measurement equivalence of the original paper-based vertical format of the EQ-5D visual analog scale (EQ VAS) with a touch-screen computer-based horizontal format. Methods: A total of 314 subjects were administered two modes of the EQ VAS in a randomized crossover design. One mode was the original paper-based 20 cm vertical EQ VAS; the other mode was touch-screen-based. Measurement equivalence was assessed by testing the 95% confidence interval of the mean differences from an equivalence threshold of -3 to +3 points on the VAS and evaluating the intraclass correlation coefficient (ICC). Results: The adjusted mean (SE) EQ VAS score was 80.96 (0.87) on the paper and 79.59 (0.85) on the touch-screen. The mean (CI) difference between scores on the two formats was 1.37 with a confidence interval of 0.175-2.559, wholly contained within the equivalence interval. The ICC was 0.75, indicating acceptable agreement between the two modes. Almost a third (30.1%) of the respondents reported identical scores on both formats. Conclusion: These results provide evidence for the measurement equivalence of this EQ VAS touch-screen administration mode with the original paper mode. © 2008 Springer Science+Business Media B.V.","author":[{"dropping-particle":"","family":"Ramachandran","given":"Sulabha","non-dropping-particle":"","parse-names":false,"suffix":""},{"dropping-particle":"","family":"Lundy","given":"J. Jason","non-dropping-particle":"","parse-names":false,"suffix":""},{"dropping-particle":"","family":"Coons","given":"Stephen Joel","non-dropping-particle":"","parse-names":false,"suffix":""}],"container-title":"Quality of Life Research","id":"ITEM-3","issued":{"date-parts":[["2008"]]},"title":"Testing the measurement equivalence of paper and touch-screen versions of the EQ-5D visual analog scale (EQ VAS)","type":"article-journal"},"uris":["http://www.mendeley.com/documents/?uuid=055718c4-ecb8-4400-97e4-1696e0cbf026"]}],"mendeley":{"formattedCitation":"[16–18]","plainTextFormattedCitation":"[16–18]","previouslyFormattedCitation":"[16–18]"},"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[16–18]</w:t>
      </w:r>
      <w:r w:rsidR="00CB70C7">
        <w:rPr>
          <w:rFonts w:ascii="Times New Roman" w:hAnsi="Times New Roman" w:cs="Times New Roman"/>
        </w:rPr>
        <w:fldChar w:fldCharType="end"/>
      </w:r>
      <w:r w:rsidR="00B4636C">
        <w:rPr>
          <w:rFonts w:ascii="Times New Roman" w:hAnsi="Times New Roman" w:cs="Times New Roman"/>
        </w:rPr>
        <w:t xml:space="preserve"> but</w:t>
      </w:r>
      <w:r w:rsidR="000178A3">
        <w:rPr>
          <w:rFonts w:ascii="Times New Roman" w:hAnsi="Times New Roman" w:cs="Times New Roman"/>
        </w:rPr>
        <w:t xml:space="preserve"> less work has compared paper administration to auditory</w:t>
      </w:r>
      <w:r w:rsidR="00690494">
        <w:rPr>
          <w:rFonts w:ascii="Times New Roman" w:hAnsi="Times New Roman" w:cs="Times New Roman"/>
        </w:rPr>
        <w:t xml:space="preserve"> modes (e.g., IVR, </w:t>
      </w:r>
      <w:r w:rsidR="00B4636C">
        <w:rPr>
          <w:rFonts w:ascii="Times New Roman" w:hAnsi="Times New Roman" w:cs="Times New Roman"/>
        </w:rPr>
        <w:t>phone interview</w:t>
      </w:r>
      <w:r w:rsidR="00690494">
        <w:rPr>
          <w:rFonts w:ascii="Times New Roman" w:hAnsi="Times New Roman" w:cs="Times New Roman"/>
        </w:rPr>
        <w:t>).</w:t>
      </w:r>
      <w:r w:rsidR="00700746">
        <w:rPr>
          <w:rFonts w:ascii="Times New Roman" w:hAnsi="Times New Roman" w:cs="Times New Roman"/>
        </w:rPr>
        <w:t xml:space="preserve"> </w:t>
      </w:r>
      <w:r w:rsidR="0007156D">
        <w:rPr>
          <w:rFonts w:ascii="Times New Roman" w:hAnsi="Times New Roman" w:cs="Times New Roman"/>
        </w:rPr>
        <w:t xml:space="preserve">Still, the </w:t>
      </w:r>
      <w:r w:rsidR="00496EA0">
        <w:rPr>
          <w:rFonts w:ascii="Times New Roman" w:hAnsi="Times New Roman" w:cs="Times New Roman"/>
        </w:rPr>
        <w:t xml:space="preserve">existing research suggests that equivalence can be established between paper and phone PRO administration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{"citationItems":[{"id":"ITEM-1","itemData":{"DOI":"10.1007/s11136-013-0454-1","ISSN":"09629343","abstract":"Purpose: The objective of this study was to evaluate the measurement equivalence of an interactive voice response system (IVRS) version and the original paper-based version of the EORTC QLQ-C30. Methods: The QLQ-C30 is a cancer-specific, health-related quality of life questionnaire consisting of nine multi-item scales (physical, role, emotional, cognitive and social functioning, fatigue, nausea/vomiting, pain, and quality of life) and six single item measures (dyspnea, insomnia, appetite loss, constipation, diarrhea, and financial problems). This study utilized a crossover design with subjects randomly assigned to one of two assessment orders: (1) paper then IVRS or (2) IVRS then paper. Equivalence between the two administration modes was established by comparing the 95 % lower confidence interval (CI) of the intraclass correlation coefficients (ICCs) for each scale, with a critical value of 0.70. Results: The ICCs for the nine multi-item scales were all above 0.79, ranging from 0.791 to 0.899 (ICC 95 % lower CI range 0.726-0.865) and significantly different from our threshold reliability of 0.70. The ICCs for the six single items ranged from 0.689 to 0.896 (ICC 95 % lower CI range 0.611-0.888). Two of the items, insomnia and appetite loss, were not statistically different from 0.70. When considered together, the per-protocol analysis results support the equivalence of the paper and IVRS versions of the QLQ-C30 for 13 of the 15 scores. Conclusion: This analysis provides evidence that the scores obtained from the IVRS version of the QLQ-C30 are equivalent to those obtained with the original paper version except for the insomnia and appetite loss items. © 2013 Springer Science+Business Media Dordrecht.","author":[{"dropping-particle":"","family":"Lundy","given":"J. Jason","non-dropping-particle":"","parse-names":false,"suffix":""},{"dropping-particle":"","family":"Coons","given":"Stephen Joel","non-dropping-particle":"","parse-names":false,"suffix":""},{"dropping-particle":"","family":"Aaronson","given":"Neil K.","non-dropping-particle":"","parse-names":false,"suffix":""}],"container-title":"Quality of Life Research","id":"ITEM-1","issued":{"date-parts":[["2014"]]},"title":"Testing the measurement equivalence of paper and interactive voice response system versions of the EORTC QLQ-C30","type":"article-journal"},"uris":["http://www.mendeley.com/documents/?uuid=5a3a9a27-e1c1-40b8-9295-0a0b05d1235c"]},{"id":"ITEM-2","itemData":{"DOI":"10.1186/s12955-016-0426-6","ISSN":"14777525","abstract":"Background: PRO-CTCAE is a library of items that measure cancer treatment-related symptomatic adverse events (NCI Contracts: HHSN261201000043C and HHSN 261201000063C). The objective of this study is to examine the equivalence and acceptability of the three data collection modes (Web-enabled touchscreen tablet computer, Interactive voice response system [IVRS], and paper) available within the US National Cancer Institute (NCI) Patient-Reported Outcomes version of the Common Terminology Criteria for Adverse Events (PRO-CTCAE) measurement system. Methods: Participants (n = 112; median age 56.5; 24% high school or less) receiving treatment for cancer at seven US sites completed 28 PRO-CTCAE items (scoring range 0-4) by three modes (order randomized) at a single study visit. Subjects completed one page (approx. 15 items) of the EORTC QLQ-C30 between each mode as a distractor. Item scores by mode were compared using intraclass correlation coefficients (ICC); differences in scores within the 3-mode crossover design were evaluated with mixed-effects models. Difficulties with each mode experienced by participants were also assessed. Results: 103 (92%) completed questionnaires by all three modes. The median ICC comparing tablet vs IVRS was 0.78 (range 0.55-0.90); tablet vs paper: 0.81 (0.62-0.96); IVRS vs paper: 0.78 (0.60-0.91); 89% of ICCs were ≥0.70. Item-level mean differences by mode were small (medians [ranges] for tablet vs. IVRS = -0.04 [-0.16-0.22]; tablet vs paper = -0.02 [-0.11-0.14]; IVRS vs paper = 0.02 [-0.07-0.19]), and 57/81 (70%) items had bootstrapped 95% CI around the effect sizes within +/-0.20. The median time to complete the questionnaire by tablet was 3.4min; IVRS: 5.8; paper: 4.0. The proportion of participants by mode who reported \"no problems\" responding to the questionnaire was 86% tablet, 72% IVRS, and 98% paper. Conclusions: Mode equivalence of items was moderate to high, and comparable to test-retest reliability (median ICC = 0.80). Each mode was acceptable to a majority of respondents. Although the study was powered to detect moderate or larger discrepancies between modes, the observed ICCs and very small mean differences between modes provide evidence to support study designs that are responsive to patient or investigator preference for mode of administration, and justify comparison of results and pooled analyses across studies that employ different PRO-CTCAE modes of administration. Trial registration: NCT Clinicaltrials.gov ident…","author":[{"dropping-particle":"V.","family":"Bennett","given":"Antonia","non-dropping-particle":"","parse-names":false,"suffix":""},{"dropping-particle":"","family":"Dueck","given":"Amylou C.","non-dropping-particle":"","parse-names":false,"suffix":""},{"dropping-particle":"","family":"Mitchell","given":"Sandra A.","non-dropping-particle":"","parse-names":false,"suffix":""},{"dropping-particle":"","family":"Mendoza","given":"Tito R.","non-dropping-particle":"","parse-names":false,"suffix":""},{"dropping-particle":"","family":"Reeve","given":"Bryce B.","non-dropping-particle":"","parse-names":false,"suffix":""},{"dropping-particle":"","family":"Atkinson","given":"Thomas M.","non-dropping-particle":"","parse-names":false,"suffix":""},{"dropping-particle":"","family":"Castro","given":"Kathleen M.","non-dropping-particle":"","parse-names":false,"suffix":""},{"dropping-particle":"","family":"Denicoff","given":"Andrea","non-dropping-particle":"","parse-names":false,"suffix":""},{"dropping-particle":"","family":"Rogak","given":"Lauren J.","non-dropping-particle":"","parse-names":false,"suffix":""},{"dropping-particle":"","family":"Harness","given":"Jay K.","non-dropping-particle":"","parse-names":false,"suffix":""},{"dropping-particle":"","family":"Bearden","given":"James D.","non-dropping-particle":"","parse-names":false,"suffix":""},{"dropping-particle":"","family":"Bryant","given":"Donna","non-dropping-particle":"","parse-names":false,"suffix":""},{"dropping-particle":"","family":"Siegel","given":"Robert D.","non-dropping-particle":"","parse-names":false,"suffix":""},{"dropping-particle":"","family":"Schrag","given":"Deborah","non-dropping-particle":"","parse-names":false,"suffix":""},{"dropping-particle":"","family":"Basch","given":"Ethan","non-dropping-particle":"","parse-names":false,"suffix":""},{"dropping-particle":"","family":"Heon","given":"Narre","non-dropping-particle":"","parse-names":false,"suffix":""},{"dropping-particle":"","family":"Shaw","given":"Mary","non-dropping-particle":"","parse-names":false,"suffix":""},{"dropping-particle":"","family":"Ryan","given":"Sean","non-dropping-particle":"","parse-names":false,"suffix":""},{"dropping-particle":"","family":"Stark","given":"Liora P.","non-dropping-particle":"","parse-names":false,"suffix":""},{"dropping-particle":"","family":"Malveaux","given":"Donna","non-dropping-particle":"","parse-names":false,"suffix":""},{"dropping-particle":"","family":"Pettus","given":"Wendy","non-dropping-particle":"","parse-names":false,"suffix":""},{"dropping-particle":"","family":"Gansauer","given":"Lucy","non-dropping-particle":"","parse-names":false,"suffix":""},{"dropping-particle":"","family":"Wind","given":"Jennifer","non-dropping-particle":"","parse-names":false,"suffix":""},{"dropping-particle":"","family":"Thomassie","given":"Amy","non-dropping-particle":"","parse-names":false,"suffix":""},{"dropping-particle":"","family":"Davila","given":"Gitana","non-dropping-particle":"","parse-names":false,"suffix":""},{"dropping-particle":"","family":"Alexander","given":"Kathy","non-dropping-particle":"","parse-names":false,"suffix":""}],"container-title":"Health and Quality of Life Outcomes","id":"ITEM-2","issue":"1","issued":{"date-parts":[["2016"]]},"page":"1-12","publisher":"Health and Quality of Life Outcomes","title":"Mode equivalence and acceptability of tablet computer-, interactive voice response system-, and paper-based administration of the U.S. National Cancer Institute's Patient-Reported Outcomes version of the Common Terminology Criteria for Adverse Events (PRO","type":"article-journal","volume":"14"},"uris":["http://www.mendeley.com/documents/?uuid=c0dca496-c969-4892-834d-205b3c4f3956"]}],"mendeley":{"formattedCitation":"[13, 15]","plainTextFormattedCitation":"[13, 15]","previouslyFormattedCitation":"[13, 15]"},"properties":{"noteIndex":0},"schema":"https://github.com/citation-style-language/schema/raw/master/csl-citation.json"}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[13, 15]</w:t>
      </w:r>
      <w:r w:rsidR="00CB70C7">
        <w:rPr>
          <w:rFonts w:ascii="Times New Roman" w:hAnsi="Times New Roman" w:cs="Times New Roman"/>
        </w:rPr>
        <w:fldChar w:fldCharType="end"/>
      </w:r>
      <w:r w:rsidR="00496EA0">
        <w:rPr>
          <w:rFonts w:ascii="Times New Roman" w:hAnsi="Times New Roman" w:cs="Times New Roman"/>
        </w:rPr>
        <w:t>.</w:t>
      </w:r>
      <w:r w:rsidR="00286D05">
        <w:rPr>
          <w:rFonts w:ascii="Times New Roman" w:hAnsi="Times New Roman" w:cs="Times New Roman"/>
        </w:rPr>
        <w:t xml:space="preserve"> </w:t>
      </w:r>
    </w:p>
    <w:p w14:paraId="3E64C214" w14:textId="44D1C54C" w:rsidR="00DB5172" w:rsidRDefault="00DB5172" w:rsidP="00F02208">
      <w:pPr>
        <w:spacing w:line="480" w:lineRule="auto"/>
        <w:rPr>
          <w:rFonts w:ascii="Times New Roman" w:hAnsi="Times New Roman" w:cs="Times New Roman"/>
          <w:b/>
        </w:rPr>
      </w:pPr>
      <w:r>
        <w:rPr>
          <w:rFonts w:ascii="Times New Roman" w:hAnsi="Times New Roman" w:cs="Times New Roman"/>
          <w:b/>
        </w:rPr>
        <w:t>METHODS</w:t>
      </w:r>
    </w:p>
    <w:p w14:paraId="3E8AC216" w14:textId="0B00B762" w:rsidR="00940793" w:rsidRPr="00940793" w:rsidRDefault="00940793" w:rsidP="00F02208">
      <w:pPr>
        <w:spacing w:line="480" w:lineRule="auto"/>
        <w:rPr>
          <w:rFonts w:ascii="Times New Roman" w:hAnsi="Times New Roman" w:cs="Times New Roman"/>
        </w:rPr>
      </w:pPr>
      <w:bookmarkStart w:id="0" w:name="_Hlk76982993"/>
      <w:r w:rsidRPr="00957E90">
        <w:rPr>
          <w:rFonts w:ascii="Times New Roman" w:hAnsi="Times New Roman" w:cs="Times New Roman"/>
        </w:rPr>
        <w:t xml:space="preserve">Patient recruitment and data collection, management, and analysis </w:t>
      </w:r>
      <w:bookmarkEnd w:id="0"/>
      <w:r w:rsidRPr="00957E90">
        <w:rPr>
          <w:rFonts w:ascii="Times New Roman" w:hAnsi="Times New Roman" w:cs="Times New Roman"/>
        </w:rPr>
        <w:t>were subcontracted to</w:t>
      </w:r>
      <w:r w:rsidR="000E53D8">
        <w:rPr>
          <w:rFonts w:ascii="Times New Roman" w:hAnsi="Times New Roman" w:cs="Times New Roman"/>
        </w:rPr>
        <w:t xml:space="preserve"> contract research or</w:t>
      </w:r>
      <w:r w:rsidR="00393719">
        <w:rPr>
          <w:rFonts w:ascii="Times New Roman" w:hAnsi="Times New Roman" w:cs="Times New Roman"/>
        </w:rPr>
        <w:t>ganization (CRO)</w:t>
      </w:r>
      <w:r w:rsidRPr="00957E90">
        <w:rPr>
          <w:rFonts w:ascii="Times New Roman" w:hAnsi="Times New Roman" w:cs="Times New Roman"/>
        </w:rPr>
        <w:t xml:space="preserve"> Mapi/ICON</w:t>
      </w:r>
      <w:r w:rsidR="00957E90" w:rsidRPr="00957E90">
        <w:rPr>
          <w:rFonts w:ascii="Times New Roman" w:hAnsi="Times New Roman" w:cs="Times New Roman"/>
        </w:rPr>
        <w:t xml:space="preserve"> plc</w:t>
      </w:r>
      <w:r w:rsidRPr="00957E90">
        <w:rPr>
          <w:rFonts w:ascii="Times New Roman" w:hAnsi="Times New Roman" w:cs="Times New Roman"/>
        </w:rPr>
        <w:t xml:space="preserve"> who provided a final report</w:t>
      </w:r>
      <w:r w:rsidR="00A92747" w:rsidRPr="00957E90">
        <w:rPr>
          <w:rFonts w:ascii="Times New Roman" w:hAnsi="Times New Roman" w:cs="Times New Roman"/>
        </w:rPr>
        <w:t xml:space="preserve"> to the EORTC detailing the </w:t>
      </w:r>
      <w:r w:rsidR="00185041" w:rsidRPr="00957E90">
        <w:rPr>
          <w:rFonts w:ascii="Times New Roman" w:hAnsi="Times New Roman" w:cs="Times New Roman"/>
        </w:rPr>
        <w:t xml:space="preserve">methodology and </w:t>
      </w:r>
      <w:r w:rsidR="00A92747" w:rsidRPr="00957E90">
        <w:rPr>
          <w:rFonts w:ascii="Times New Roman" w:hAnsi="Times New Roman" w:cs="Times New Roman"/>
        </w:rPr>
        <w:t>findings</w:t>
      </w:r>
      <w:r w:rsidRPr="00957E90">
        <w:rPr>
          <w:rFonts w:ascii="Times New Roman" w:hAnsi="Times New Roman" w:cs="Times New Roman"/>
        </w:rPr>
        <w:t>.</w:t>
      </w:r>
      <w:r w:rsidR="0001369D">
        <w:rPr>
          <w:rFonts w:ascii="Times New Roman" w:hAnsi="Times New Roman" w:cs="Times New Roman"/>
        </w:rPr>
        <w:t xml:space="preserve"> </w:t>
      </w:r>
      <w:r w:rsidR="0001369D" w:rsidRPr="0001369D">
        <w:rPr>
          <w:rFonts w:ascii="Times New Roman" w:hAnsi="Times New Roman" w:cs="Times New Roman"/>
        </w:rPr>
        <w:t>Study approval was obtained in the United Kingdom (UK) by the Quorum Review independent review board.</w:t>
      </w:r>
    </w:p>
    <w:p w14:paraId="20AE41BF" w14:textId="456391C8" w:rsidR="00444732" w:rsidRDefault="0040064F" w:rsidP="00F02208">
      <w:pPr>
        <w:spacing w:line="480" w:lineRule="auto"/>
        <w:rPr>
          <w:rFonts w:ascii="Times New Roman" w:hAnsi="Times New Roman" w:cs="Times New Roman"/>
          <w:b/>
        </w:rPr>
      </w:pPr>
      <w:r w:rsidRPr="0040064F">
        <w:rPr>
          <w:rFonts w:ascii="Times New Roman" w:hAnsi="Times New Roman" w:cs="Times New Roman"/>
          <w:b/>
        </w:rPr>
        <w:t>Sample</w:t>
      </w:r>
    </w:p>
    <w:p w14:paraId="17DC8485" w14:textId="5F409550" w:rsidR="0073728F" w:rsidRPr="0073728F" w:rsidRDefault="0073728F" w:rsidP="00F02208">
      <w:pPr>
        <w:spacing w:line="480" w:lineRule="auto"/>
        <w:rPr>
          <w:rFonts w:ascii="Times New Roman" w:hAnsi="Times New Roman" w:cs="Times New Roman"/>
        </w:rPr>
      </w:pPr>
      <w:r w:rsidRPr="0073728F">
        <w:rPr>
          <w:rFonts w:ascii="Times New Roman" w:hAnsi="Times New Roman" w:cs="Times New Roman"/>
        </w:rPr>
        <w:t>Recruitment was carried out through a UK-based recruitment agency</w:t>
      </w:r>
      <w:r w:rsidR="0001369D">
        <w:rPr>
          <w:rFonts w:ascii="Times New Roman" w:hAnsi="Times New Roman" w:cs="Times New Roman"/>
        </w:rPr>
        <w:t xml:space="preserve"> (Global Perspectives Limited)</w:t>
      </w:r>
      <w:r w:rsidRPr="0073728F">
        <w:rPr>
          <w:rFonts w:ascii="Times New Roman" w:hAnsi="Times New Roman" w:cs="Times New Roman"/>
        </w:rPr>
        <w:t xml:space="preserve"> and patients were eligible to participate if they were 18 years or older, currently receiving cancer treatment as confirmed by a clinician, able to read and understand English,</w:t>
      </w:r>
      <w:r w:rsidR="00120204" w:rsidRPr="00120204">
        <w:rPr>
          <w:rFonts w:ascii="Times New Roman" w:hAnsi="Times New Roman" w:cs="Times New Roman"/>
        </w:rPr>
        <w:t xml:space="preserve"> voluntarily agreed to participate in the study</w:t>
      </w:r>
      <w:r w:rsidR="00120204">
        <w:rPr>
          <w:rFonts w:ascii="Times New Roman" w:hAnsi="Times New Roman" w:cs="Times New Roman"/>
        </w:rPr>
        <w:t>,</w:t>
      </w:r>
      <w:r w:rsidRPr="0073728F">
        <w:rPr>
          <w:rFonts w:ascii="Times New Roman" w:hAnsi="Times New Roman" w:cs="Times New Roman"/>
        </w:rPr>
        <w:t xml:space="preserve"> and provided written informed consent.</w:t>
      </w:r>
    </w:p>
    <w:p w14:paraId="581D0D75" w14:textId="77777777" w:rsidR="0040064F" w:rsidRDefault="0040064F" w:rsidP="00F02208">
      <w:pPr>
        <w:spacing w:line="480" w:lineRule="auto"/>
        <w:rPr>
          <w:rFonts w:ascii="Times New Roman" w:hAnsi="Times New Roman" w:cs="Times New Roman"/>
          <w:b/>
          <w:i/>
        </w:rPr>
      </w:pPr>
      <w:r w:rsidRPr="0040064F">
        <w:rPr>
          <w:rFonts w:ascii="Times New Roman" w:hAnsi="Times New Roman" w:cs="Times New Roman"/>
          <w:b/>
          <w:i/>
        </w:rPr>
        <w:t>Pilot testing</w:t>
      </w:r>
    </w:p>
    <w:p w14:paraId="6D9A2FDF" w14:textId="1E98B38F" w:rsidR="0040064F" w:rsidRPr="0040064F" w:rsidRDefault="0040064F" w:rsidP="00F02208">
      <w:pPr>
        <w:spacing w:line="480" w:lineRule="auto"/>
        <w:rPr>
          <w:rFonts w:ascii="Times New Roman" w:hAnsi="Times New Roman" w:cs="Times New Roman"/>
        </w:rPr>
      </w:pPr>
      <w:r w:rsidRPr="0040064F">
        <w:rPr>
          <w:rFonts w:ascii="Times New Roman" w:hAnsi="Times New Roman" w:cs="Times New Roman"/>
        </w:rPr>
        <w:t xml:space="preserve">Five </w:t>
      </w:r>
      <w:r w:rsidR="00C62E3F">
        <w:rPr>
          <w:rFonts w:ascii="Times New Roman" w:hAnsi="Times New Roman" w:cs="Times New Roman"/>
        </w:rPr>
        <w:t>patients</w:t>
      </w:r>
      <w:r w:rsidRPr="0040064F">
        <w:rPr>
          <w:rFonts w:ascii="Times New Roman" w:hAnsi="Times New Roman" w:cs="Times New Roman"/>
        </w:rPr>
        <w:t xml:space="preserve"> </w:t>
      </w:r>
      <w:r w:rsidR="00F02208">
        <w:rPr>
          <w:rFonts w:ascii="Times New Roman" w:hAnsi="Times New Roman" w:cs="Times New Roman"/>
        </w:rPr>
        <w:t>were interviewed to test</w:t>
      </w:r>
      <w:r w:rsidR="00FD0875">
        <w:rPr>
          <w:rFonts w:ascii="Times New Roman" w:hAnsi="Times New Roman" w:cs="Times New Roman"/>
        </w:rPr>
        <w:t xml:space="preserve"> the</w:t>
      </w:r>
      <w:r w:rsidR="00F02208">
        <w:rPr>
          <w:rFonts w:ascii="Times New Roman" w:hAnsi="Times New Roman" w:cs="Times New Roman"/>
        </w:rPr>
        <w:t xml:space="preserve"> acceptability, understanding</w:t>
      </w:r>
      <w:r w:rsidR="00C62E3F">
        <w:rPr>
          <w:rFonts w:ascii="Times New Roman" w:hAnsi="Times New Roman" w:cs="Times New Roman"/>
        </w:rPr>
        <w:t>, and relevance of the instructions for the QLQ-C30</w:t>
      </w:r>
      <w:r w:rsidR="00F02208">
        <w:rPr>
          <w:rFonts w:ascii="Times New Roman" w:hAnsi="Times New Roman" w:cs="Times New Roman"/>
        </w:rPr>
        <w:t xml:space="preserve"> </w:t>
      </w:r>
      <w:r w:rsidR="00C62E3F">
        <w:rPr>
          <w:rFonts w:ascii="Times New Roman" w:hAnsi="Times New Roman" w:cs="Times New Roman"/>
        </w:rPr>
        <w:t>voice script.</w:t>
      </w:r>
      <w:r w:rsidR="002E0A08">
        <w:rPr>
          <w:rFonts w:ascii="Times New Roman" w:hAnsi="Times New Roman" w:cs="Times New Roman"/>
        </w:rPr>
        <w:t xml:space="preserve"> Given that the QLQ-C30 has already been extensively tested</w:t>
      </w:r>
      <w:r w:rsidR="00F36AB2">
        <w:rPr>
          <w:rFonts w:ascii="Times New Roman" w:hAnsi="Times New Roman" w:cs="Times New Roman"/>
        </w:rPr>
        <w:t xml:space="preserve"> and validated</w:t>
      </w:r>
      <w:r w:rsidR="002E0A08">
        <w:rPr>
          <w:rFonts w:ascii="Times New Roman" w:hAnsi="Times New Roman" w:cs="Times New Roman"/>
        </w:rPr>
        <w:t xml:space="preserve">, and pilot-testing of the script had the aim of ensuring that the </w:t>
      </w:r>
      <w:r w:rsidR="00F36AB2">
        <w:rPr>
          <w:rFonts w:ascii="Times New Roman" w:hAnsi="Times New Roman" w:cs="Times New Roman"/>
        </w:rPr>
        <w:t xml:space="preserve">inclusion of </w:t>
      </w:r>
      <w:r w:rsidR="002E0A08">
        <w:rPr>
          <w:rFonts w:ascii="Times New Roman" w:hAnsi="Times New Roman" w:cs="Times New Roman"/>
        </w:rPr>
        <w:t>additional text (e.g., instructions)</w:t>
      </w:r>
      <w:r w:rsidR="006A5CE4">
        <w:rPr>
          <w:rFonts w:ascii="Times New Roman" w:hAnsi="Times New Roman" w:cs="Times New Roman"/>
        </w:rPr>
        <w:t xml:space="preserve"> was understandable, 5 </w:t>
      </w:r>
      <w:r w:rsidR="00F36AB2">
        <w:rPr>
          <w:rFonts w:ascii="Times New Roman" w:hAnsi="Times New Roman" w:cs="Times New Roman"/>
        </w:rPr>
        <w:t xml:space="preserve">patients </w:t>
      </w:r>
      <w:r w:rsidR="006A5CE4">
        <w:rPr>
          <w:rFonts w:ascii="Times New Roman" w:hAnsi="Times New Roman" w:cs="Times New Roman"/>
        </w:rPr>
        <w:t>was determined to be an acceptable number</w:t>
      </w:r>
      <w:r w:rsidR="00F36AB2">
        <w:rPr>
          <w:rFonts w:ascii="Times New Roman" w:hAnsi="Times New Roman" w:cs="Times New Roman"/>
        </w:rPr>
        <w:t>.</w:t>
      </w:r>
    </w:p>
    <w:p w14:paraId="4F2B6D34" w14:textId="77777777" w:rsidR="0040064F" w:rsidRDefault="0040064F" w:rsidP="00F02208">
      <w:pPr>
        <w:spacing w:line="480" w:lineRule="auto"/>
        <w:rPr>
          <w:rFonts w:ascii="Times New Roman" w:hAnsi="Times New Roman" w:cs="Times New Roman"/>
          <w:b/>
          <w:i/>
        </w:rPr>
      </w:pPr>
      <w:r w:rsidRPr="00BF324D">
        <w:rPr>
          <w:rFonts w:ascii="Times New Roman" w:hAnsi="Times New Roman" w:cs="Times New Roman"/>
          <w:b/>
          <w:i/>
        </w:rPr>
        <w:t>Equivalence testing</w:t>
      </w:r>
    </w:p>
    <w:p w14:paraId="71A5FB39" w14:textId="57ED3E54" w:rsidR="004052A2" w:rsidRDefault="00120204" w:rsidP="00F02208">
      <w:pPr>
        <w:spacing w:line="480" w:lineRule="auto"/>
        <w:rPr>
          <w:rFonts w:ascii="Times New Roman" w:hAnsi="Times New Roman" w:cs="Times New Roman"/>
          <w:b/>
        </w:rPr>
      </w:pPr>
      <w:r w:rsidRPr="00120204">
        <w:rPr>
          <w:rFonts w:ascii="Times New Roman" w:hAnsi="Times New Roman" w:cs="Times New Roman"/>
        </w:rPr>
        <w:t xml:space="preserve">In addition to the previously described eligibility criteria, patients in the equivalency testing were required to have </w:t>
      </w:r>
      <w:r w:rsidR="005D40B6">
        <w:rPr>
          <w:rFonts w:ascii="Times New Roman" w:hAnsi="Times New Roman" w:cs="Times New Roman"/>
        </w:rPr>
        <w:t>no change</w:t>
      </w:r>
      <w:r w:rsidR="001D7BAD">
        <w:rPr>
          <w:rFonts w:ascii="Times New Roman" w:hAnsi="Times New Roman" w:cs="Times New Roman"/>
        </w:rPr>
        <w:t>s</w:t>
      </w:r>
      <w:r w:rsidR="005D40B6">
        <w:rPr>
          <w:rFonts w:ascii="Times New Roman" w:hAnsi="Times New Roman" w:cs="Times New Roman"/>
        </w:rPr>
        <w:t xml:space="preserve"> </w:t>
      </w:r>
      <w:r w:rsidR="001D7BAD">
        <w:rPr>
          <w:rFonts w:ascii="Times New Roman" w:hAnsi="Times New Roman" w:cs="Times New Roman"/>
        </w:rPr>
        <w:t>in treatment planned between the paper and p</w:t>
      </w:r>
      <w:r>
        <w:rPr>
          <w:rFonts w:ascii="Times New Roman" w:hAnsi="Times New Roman" w:cs="Times New Roman"/>
        </w:rPr>
        <w:t xml:space="preserve">hone version completion. </w:t>
      </w:r>
      <w:bookmarkStart w:id="1" w:name="_Hlk71895924"/>
      <w:r w:rsidR="004A121A">
        <w:rPr>
          <w:rFonts w:ascii="Times New Roman" w:hAnsi="Times New Roman" w:cs="Times New Roman"/>
        </w:rPr>
        <w:t>To support equivalence between paper-and-pen and phone administration</w:t>
      </w:r>
      <w:r w:rsidR="002147DA">
        <w:rPr>
          <w:rFonts w:ascii="Times New Roman" w:hAnsi="Times New Roman" w:cs="Times New Roman"/>
        </w:rPr>
        <w:t xml:space="preserve"> modes</w:t>
      </w:r>
      <w:r w:rsidR="004A121A">
        <w:rPr>
          <w:rFonts w:ascii="Times New Roman" w:hAnsi="Times New Roman" w:cs="Times New Roman"/>
        </w:rPr>
        <w:t xml:space="preserve"> </w:t>
      </w:r>
      <w:r w:rsidR="00F20F06">
        <w:rPr>
          <w:rFonts w:ascii="Times New Roman" w:hAnsi="Times New Roman" w:cs="Times New Roman"/>
        </w:rPr>
        <w:t xml:space="preserve">using </w:t>
      </w:r>
      <w:r w:rsidR="004A121A">
        <w:rPr>
          <w:rFonts w:ascii="Times New Roman" w:hAnsi="Times New Roman" w:cs="Times New Roman"/>
        </w:rPr>
        <w:t xml:space="preserve">an </w:t>
      </w:r>
      <w:bookmarkStart w:id="2" w:name="_Hlk71831302"/>
      <w:r w:rsidR="004A121A">
        <w:rPr>
          <w:rFonts w:ascii="Times New Roman" w:hAnsi="Times New Roman" w:cs="Times New Roman"/>
        </w:rPr>
        <w:t xml:space="preserve">ICC </w:t>
      </w:r>
      <w:bookmarkStart w:id="3" w:name="_Hlk70687072"/>
      <w:r w:rsidR="00755BA1" w:rsidRPr="00755BA1">
        <w:rPr>
          <w:rFonts w:ascii="Times New Roman" w:hAnsi="Times New Roman" w:cs="Times New Roman"/>
          <w:u w:val="single"/>
        </w:rPr>
        <w:t>&gt;</w:t>
      </w:r>
      <w:r w:rsidR="004A121A">
        <w:rPr>
          <w:rFonts w:ascii="Times New Roman" w:hAnsi="Times New Roman" w:cs="Times New Roman"/>
        </w:rPr>
        <w:t xml:space="preserve">0.70 </w:t>
      </w:r>
      <w:bookmarkEnd w:id="2"/>
      <w:bookmarkEnd w:id="3"/>
      <w:r w:rsidR="004A121A">
        <w:rPr>
          <w:rFonts w:ascii="Times New Roman" w:hAnsi="Times New Roman" w:cs="Times New Roman"/>
        </w:rPr>
        <w:t>and a minimally acceptable level of 0.50, a sample size of 63 patients</w:t>
      </w:r>
      <w:r w:rsidR="003D3E42">
        <w:rPr>
          <w:rFonts w:ascii="Times New Roman" w:hAnsi="Times New Roman" w:cs="Times New Roman"/>
        </w:rPr>
        <w:t xml:space="preserve"> was required</w:t>
      </w:r>
      <w:r w:rsidR="002147DA">
        <w:rPr>
          <w:rFonts w:ascii="Times New Roman" w:hAnsi="Times New Roman" w:cs="Times New Roman"/>
        </w:rPr>
        <w:t xml:space="preserve"> </w:t>
      </w:r>
      <w:bookmarkEnd w:id="1"/>
      <w:r w:rsidR="002147DA">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{"citationItems":[{"id":"ITEM-1","itemData":{"DOI":"10.1111/j.1524-4733.2008.00470.x","ISSN":"15244733","abstract":"Background: Patient-reported outcomes (PROs) are the consequences of disease and/or its treatment as reported by the patient. The importance of PRO measures in clinical trials for new drugs, biological agents, and devices was underscored by the release of the US Food and Drug Administration's draft guidance for industry titled \"Patient-Reported Outcome Measures: Use in Medical Product Development to Support Labeling Claims.\" The intent of the guidance was to describe how the FDA will evaluate the appropriateness and adequacy of PRO measures used as effectiveness end points in clinical trials. In response to the expressed need of ISPOR members for further clarification of several aspects of the draft guidance, ISPOR's Health Science Policy Council created three task forces, one of which was charged with addressing the implications of the draft guidance for the collection of PRO data using electronic data capture modes of administration (ePRO). The objective of this report is to present recommendations from ISPOR's ePRO Good Research Practices Task Force regarding the evidence necessary to support the comparability, or measurement equivalence, of ePROs to the paper-based PRO measures from which they were adapted. Methods: The task force was composed of the leadership team of ISPOR's ePRO Working Group and members of another group (i.e., ePRO Consensus Development Working Group) that had already begun to develop recommendations regarding ePRO good research practices. The resulting task force membership reflected a broad array of backgrounds, perspectives, and expertise that enriched the development of this report. The prior work became the starting point for the Task Force report. A subset of the task force members became the writing team that prepared subsequent iterations of the report that were distributed to the full task force for review and feedback. In addition, review beyond the task force was sought and obtained. Along with a presentation and discussion period at an ISPOR meeting, a draft version of the full report was distributed to roughly 220 members of a reviewer group. The reviewer group comprised individuals who had responded to an emailed invitation to the full membership of ISPOR. This Task Force report reflects the extensive internal and external input received during the 16-month good research practices development process. Results/Recommendations: An ePRO questionnaire that has been adapted from a paper-based questionnaire ought to prod…","author":[{"dropping-particle":"","family":"Coons","given":"Stephen Joel","non-dropping-particle":"","parse-names":false,"suffix":""},{"dropping-particle":"","family":"Gwaltney","given":"Chad J.","non-dropping-particle":"","parse-names":false,"suffix":""},{"dropping-particle":"","family":"Hays","given":"Ron D.","non-dropping-particle":"","parse-names":false,"suffix":""},{"dropping-particle":"","family":"Lundy","given":"J. Jason","non-dropping-particle":"","parse-names":false,"suffix":""},{"dropping-particle":"","family":"Sloan","given":"Jeff A.","non-dropping-particle":"","parse-names":false,"suffix":""},{"dropping-particle":"","family":"Revicki","given":"Dennis A.","non-dropping-particle":"","parse-names":false,"suffix":""},{"dropping-particle":"","family":"Lenderking","given":"William R.","non-dropping-particle":"","parse-names":false,"suffix":""},{"dropping-particle":"","family":"Cella","given":"David","non-dropping-particle":"","parse-names":false,"suffix":""},{"dropping-particle":"","family":"Basch","given":"Ethan","non-dropping-particle":"","parse-names":false,"suffix":""}],"container-title":"Value in Health","id":"ITEM-1","issue":"4","issued":{"date-parts":[["2009"]]},"page":"419-429","title":"Recommendations on evidence needed to support measurement equivalence between electronic and paper-based patient-reported outcome (PRO) measures: ISPOR ePRO good research practices task force report","type":"article-journal","volume":"12"},"uris":["http://www.mendeley.com/documents/?uuid=587da6c1-5edc-4aa6-9311-6061e3d46fc0"]}],"mendeley":{"formattedCitation":"[12]","plainTextFormattedCitation":"[12]","previouslyFormattedCitation":"[12]"},"properties":{"noteIndex":0},"schema":"https://github.com/citation-style-language/schema/raw/master/csl-citation.json"}</w:instrText>
      </w:r>
      <w:r w:rsidR="002147DA">
        <w:rPr>
          <w:rFonts w:ascii="Times New Roman" w:hAnsi="Times New Roman" w:cs="Times New Roman"/>
        </w:rPr>
        <w:fldChar w:fldCharType="separate"/>
      </w:r>
      <w:r w:rsidR="002E0324" w:rsidRPr="002E0324">
        <w:rPr>
          <w:rFonts w:ascii="Times New Roman" w:hAnsi="Times New Roman" w:cs="Times New Roman"/>
          <w:noProof/>
        </w:rPr>
        <w:t>[12]</w:t>
      </w:r>
      <w:r w:rsidR="002147DA">
        <w:rPr>
          <w:rFonts w:ascii="Times New Roman" w:hAnsi="Times New Roman" w:cs="Times New Roman"/>
        </w:rPr>
        <w:fldChar w:fldCharType="end"/>
      </w:r>
      <w:r w:rsidR="002147DA">
        <w:rPr>
          <w:rFonts w:ascii="Times New Roman" w:hAnsi="Times New Roman" w:cs="Times New Roman"/>
        </w:rPr>
        <w:t>.</w:t>
      </w:r>
      <w:r w:rsidR="004A121A">
        <w:rPr>
          <w:rFonts w:ascii="Times New Roman" w:hAnsi="Times New Roman" w:cs="Times New Roman"/>
        </w:rPr>
        <w:t xml:space="preserve"> </w:t>
      </w:r>
      <w:r w:rsidR="004A121A" w:rsidRPr="0087020D">
        <w:rPr>
          <w:rFonts w:ascii="Times New Roman" w:hAnsi="Times New Roman" w:cs="Times New Roman"/>
        </w:rPr>
        <w:t xml:space="preserve">Two waves </w:t>
      </w:r>
      <w:r w:rsidR="004A121A" w:rsidRPr="0087020D">
        <w:rPr>
          <w:rFonts w:ascii="Times New Roman" w:hAnsi="Times New Roman" w:cs="Times New Roman"/>
        </w:rPr>
        <w:lastRenderedPageBreak/>
        <w:t xml:space="preserve">of recruitment were conducted. In the first wave, </w:t>
      </w:r>
      <w:r>
        <w:rPr>
          <w:rFonts w:ascii="Times New Roman" w:hAnsi="Times New Roman" w:cs="Times New Roman"/>
        </w:rPr>
        <w:t>50</w:t>
      </w:r>
      <w:r w:rsidR="004A121A" w:rsidRPr="0087020D">
        <w:rPr>
          <w:rFonts w:ascii="Times New Roman" w:hAnsi="Times New Roman" w:cs="Times New Roman"/>
        </w:rPr>
        <w:t xml:space="preserve"> patients were recruited</w:t>
      </w:r>
      <w:r>
        <w:rPr>
          <w:rFonts w:ascii="Times New Roman" w:hAnsi="Times New Roman" w:cs="Times New Roman"/>
        </w:rPr>
        <w:t>,</w:t>
      </w:r>
      <w:r w:rsidR="004A121A" w:rsidRPr="0087020D">
        <w:rPr>
          <w:rFonts w:ascii="Times New Roman" w:hAnsi="Times New Roman" w:cs="Times New Roman"/>
        </w:rPr>
        <w:t xml:space="preserve"> </w:t>
      </w:r>
      <w:r w:rsidR="00755BA1" w:rsidRPr="0087020D">
        <w:rPr>
          <w:rFonts w:ascii="Times New Roman" w:hAnsi="Times New Roman" w:cs="Times New Roman"/>
        </w:rPr>
        <w:t xml:space="preserve">the </w:t>
      </w:r>
      <w:r w:rsidR="00C417FE" w:rsidRPr="0087020D">
        <w:rPr>
          <w:rFonts w:ascii="Times New Roman" w:hAnsi="Times New Roman" w:cs="Times New Roman"/>
        </w:rPr>
        <w:t xml:space="preserve">appropriate </w:t>
      </w:r>
      <w:r w:rsidR="00755BA1" w:rsidRPr="0087020D">
        <w:rPr>
          <w:rFonts w:ascii="Times New Roman" w:hAnsi="Times New Roman" w:cs="Times New Roman"/>
        </w:rPr>
        <w:t xml:space="preserve">number </w:t>
      </w:r>
      <w:r w:rsidR="00C417FE" w:rsidRPr="0087020D">
        <w:rPr>
          <w:rFonts w:ascii="Times New Roman" w:hAnsi="Times New Roman" w:cs="Times New Roman"/>
        </w:rPr>
        <w:t xml:space="preserve">for an equivalence threshold of </w:t>
      </w:r>
      <w:bookmarkStart w:id="4" w:name="_Hlk71830882"/>
      <w:r w:rsidR="00C417FE" w:rsidRPr="0087020D">
        <w:rPr>
          <w:rFonts w:ascii="Times New Roman" w:hAnsi="Times New Roman" w:cs="Times New Roman"/>
        </w:rPr>
        <w:t xml:space="preserve">ICC </w:t>
      </w:r>
      <w:bookmarkStart w:id="5" w:name="_Hlk70686988"/>
      <w:r w:rsidR="00C417FE" w:rsidRPr="0087020D">
        <w:rPr>
          <w:rFonts w:ascii="Times New Roman" w:hAnsi="Times New Roman" w:cs="Times New Roman"/>
          <w:u w:val="single"/>
        </w:rPr>
        <w:t>&gt;</w:t>
      </w:r>
      <w:r w:rsidR="00C417FE" w:rsidRPr="0087020D">
        <w:rPr>
          <w:rFonts w:ascii="Times New Roman" w:hAnsi="Times New Roman" w:cs="Times New Roman"/>
        </w:rPr>
        <w:t>0.90</w:t>
      </w:r>
      <w:bookmarkEnd w:id="4"/>
      <w:bookmarkEnd w:id="5"/>
      <w:r w:rsidR="00C417FE" w:rsidRPr="0087020D">
        <w:rPr>
          <w:rFonts w:ascii="Times New Roman" w:hAnsi="Times New Roman" w:cs="Times New Roman"/>
        </w:rPr>
        <w:t xml:space="preserve">. </w:t>
      </w:r>
      <w:r w:rsidR="002321E8" w:rsidRPr="0087020D">
        <w:rPr>
          <w:rFonts w:ascii="Times New Roman" w:hAnsi="Times New Roman" w:cs="Times New Roman"/>
        </w:rPr>
        <w:t xml:space="preserve">Since </w:t>
      </w:r>
      <w:r w:rsidR="00C417FE" w:rsidRPr="0087020D">
        <w:rPr>
          <w:rFonts w:ascii="Times New Roman" w:hAnsi="Times New Roman" w:cs="Times New Roman"/>
        </w:rPr>
        <w:t>protocol deviations were observed in which only 26 patients completed the paper and phone versions of the QLQ-C30 within the</w:t>
      </w:r>
      <w:r w:rsidR="002321E8" w:rsidRPr="0087020D">
        <w:rPr>
          <w:rFonts w:ascii="Times New Roman" w:hAnsi="Times New Roman" w:cs="Times New Roman"/>
        </w:rPr>
        <w:t xml:space="preserve"> pre-specified 2-day timeframe, a </w:t>
      </w:r>
      <w:r w:rsidR="00C417FE" w:rsidRPr="0087020D">
        <w:rPr>
          <w:rFonts w:ascii="Times New Roman" w:hAnsi="Times New Roman" w:cs="Times New Roman"/>
        </w:rPr>
        <w:t>second wave of recruitment was</w:t>
      </w:r>
      <w:r w:rsidR="002147DA" w:rsidRPr="0087020D">
        <w:rPr>
          <w:rFonts w:ascii="Times New Roman" w:hAnsi="Times New Roman" w:cs="Times New Roman"/>
        </w:rPr>
        <w:t xml:space="preserve"> therefore</w:t>
      </w:r>
      <w:r w:rsidR="00C417FE" w:rsidRPr="0087020D">
        <w:rPr>
          <w:rFonts w:ascii="Times New Roman" w:hAnsi="Times New Roman" w:cs="Times New Roman"/>
        </w:rPr>
        <w:t xml:space="preserve"> conducted to address these limitations. </w:t>
      </w:r>
      <w:r w:rsidR="000E53D8">
        <w:rPr>
          <w:rFonts w:ascii="Times New Roman" w:hAnsi="Times New Roman" w:cs="Times New Roman"/>
        </w:rPr>
        <w:t xml:space="preserve">The deviation relative to the 2-day time frame was due to issues with mailing of the questionnaires, and missing time stamps. The initial decision to use an equivalence threshold of </w:t>
      </w:r>
      <w:r w:rsidR="000E53D8" w:rsidRPr="000E53D8">
        <w:rPr>
          <w:rFonts w:ascii="Times New Roman" w:hAnsi="Times New Roman" w:cs="Times New Roman"/>
        </w:rPr>
        <w:t xml:space="preserve">ICC </w:t>
      </w:r>
      <w:r w:rsidR="000E53D8" w:rsidRPr="000E53D8">
        <w:rPr>
          <w:rFonts w:ascii="Times New Roman" w:hAnsi="Times New Roman" w:cs="Times New Roman"/>
          <w:u w:val="single"/>
        </w:rPr>
        <w:t>&gt;</w:t>
      </w:r>
      <w:r w:rsidR="000E53D8" w:rsidRPr="000E53D8">
        <w:rPr>
          <w:rFonts w:ascii="Times New Roman" w:hAnsi="Times New Roman" w:cs="Times New Roman"/>
        </w:rPr>
        <w:t>0.90</w:t>
      </w:r>
      <w:r w:rsidR="000E53D8">
        <w:rPr>
          <w:rFonts w:ascii="Times New Roman" w:hAnsi="Times New Roman" w:cs="Times New Roman"/>
        </w:rPr>
        <w:t xml:space="preserve"> garnered significant discussion among the research team members and</w:t>
      </w:r>
      <w:r w:rsidR="00393719">
        <w:rPr>
          <w:rFonts w:ascii="Times New Roman" w:hAnsi="Times New Roman" w:cs="Times New Roman"/>
        </w:rPr>
        <w:t xml:space="preserve"> CRO. Following the protocol deviation, it was deemed an appropriate moment to adapt the criteria to the widely used </w:t>
      </w:r>
      <w:r w:rsidR="00393719" w:rsidRPr="00393719">
        <w:rPr>
          <w:rFonts w:ascii="Times New Roman" w:hAnsi="Times New Roman" w:cs="Times New Roman"/>
        </w:rPr>
        <w:t xml:space="preserve">ICC </w:t>
      </w:r>
      <w:r w:rsidR="00393719" w:rsidRPr="00393719">
        <w:rPr>
          <w:rFonts w:ascii="Times New Roman" w:hAnsi="Times New Roman" w:cs="Times New Roman"/>
          <w:u w:val="single"/>
        </w:rPr>
        <w:t>&gt;</w:t>
      </w:r>
      <w:r w:rsidR="00393719" w:rsidRPr="00393719">
        <w:rPr>
          <w:rFonts w:ascii="Times New Roman" w:hAnsi="Times New Roman" w:cs="Times New Roman"/>
        </w:rPr>
        <w:t>0.70</w:t>
      </w:r>
      <w:r w:rsidR="00393719">
        <w:rPr>
          <w:rFonts w:ascii="Times New Roman" w:hAnsi="Times New Roman" w:cs="Times New Roman"/>
        </w:rPr>
        <w:t>. As such, t</w:t>
      </w:r>
      <w:r w:rsidR="002147DA" w:rsidRPr="0087020D">
        <w:rPr>
          <w:rFonts w:ascii="Times New Roman" w:hAnsi="Times New Roman" w:cs="Times New Roman"/>
        </w:rPr>
        <w:t>hirty-seven</w:t>
      </w:r>
      <w:r w:rsidR="00FC0A53" w:rsidRPr="0087020D">
        <w:rPr>
          <w:rFonts w:ascii="Times New Roman" w:hAnsi="Times New Roman" w:cs="Times New Roman"/>
        </w:rPr>
        <w:t xml:space="preserve"> additional patients were recruited based on the same </w:t>
      </w:r>
      <w:r w:rsidR="00C417FE" w:rsidRPr="0087020D">
        <w:rPr>
          <w:rFonts w:ascii="Times New Roman" w:hAnsi="Times New Roman" w:cs="Times New Roman"/>
        </w:rPr>
        <w:t xml:space="preserve">eligibility </w:t>
      </w:r>
      <w:r w:rsidR="00FC0A53" w:rsidRPr="0087020D">
        <w:rPr>
          <w:rFonts w:ascii="Times New Roman" w:hAnsi="Times New Roman" w:cs="Times New Roman"/>
        </w:rPr>
        <w:t>criteria, bringing the total</w:t>
      </w:r>
      <w:r w:rsidR="004A121A" w:rsidRPr="0087020D">
        <w:rPr>
          <w:rFonts w:ascii="Times New Roman" w:hAnsi="Times New Roman" w:cs="Times New Roman"/>
        </w:rPr>
        <w:t xml:space="preserve"> sample size</w:t>
      </w:r>
      <w:r w:rsidR="00FC0A53" w:rsidRPr="0087020D">
        <w:rPr>
          <w:rFonts w:ascii="Times New Roman" w:hAnsi="Times New Roman" w:cs="Times New Roman"/>
        </w:rPr>
        <w:t xml:space="preserve"> to 63</w:t>
      </w:r>
      <w:r w:rsidR="001E03AD" w:rsidRPr="0087020D">
        <w:rPr>
          <w:rFonts w:ascii="Times New Roman" w:hAnsi="Times New Roman" w:cs="Times New Roman"/>
        </w:rPr>
        <w:t>.</w:t>
      </w:r>
    </w:p>
    <w:p w14:paraId="10C25BE1" w14:textId="50F211E9" w:rsidR="00C62E3F" w:rsidRDefault="00C62E3F" w:rsidP="00F02208">
      <w:pPr>
        <w:spacing w:line="480" w:lineRule="auto"/>
        <w:rPr>
          <w:rFonts w:ascii="Times New Roman" w:hAnsi="Times New Roman" w:cs="Times New Roman"/>
          <w:b/>
        </w:rPr>
      </w:pPr>
      <w:r>
        <w:rPr>
          <w:rFonts w:ascii="Times New Roman" w:hAnsi="Times New Roman" w:cs="Times New Roman"/>
          <w:b/>
        </w:rPr>
        <w:t>Study Design</w:t>
      </w:r>
    </w:p>
    <w:p w14:paraId="0B4B8CA6" w14:textId="77777777" w:rsidR="00C62E3F" w:rsidRDefault="00C62E3F" w:rsidP="00F02208">
      <w:pPr>
        <w:spacing w:line="480" w:lineRule="auto"/>
        <w:rPr>
          <w:rFonts w:ascii="Times New Roman" w:hAnsi="Times New Roman" w:cs="Times New Roman"/>
          <w:b/>
          <w:i/>
        </w:rPr>
      </w:pPr>
      <w:r>
        <w:rPr>
          <w:rFonts w:ascii="Times New Roman" w:hAnsi="Times New Roman" w:cs="Times New Roman"/>
          <w:b/>
          <w:i/>
        </w:rPr>
        <w:t>Pilot testing</w:t>
      </w:r>
    </w:p>
    <w:p w14:paraId="6C5F81D6" w14:textId="0B44AAA9" w:rsidR="00FD0875" w:rsidRPr="00FD0875" w:rsidRDefault="00FD0875" w:rsidP="00F02208">
      <w:pPr>
        <w:spacing w:line="480" w:lineRule="auto"/>
        <w:rPr>
          <w:rFonts w:ascii="Times New Roman" w:hAnsi="Times New Roman" w:cs="Times New Roman"/>
        </w:rPr>
      </w:pPr>
      <w:r>
        <w:rPr>
          <w:rFonts w:ascii="Times New Roman" w:hAnsi="Times New Roman" w:cs="Times New Roman"/>
        </w:rPr>
        <w:t xml:space="preserve">Patients’ interviews were conducted by trained qualitative researchers and audio-recorded for </w:t>
      </w:r>
      <w:r w:rsidR="006B57DE">
        <w:rPr>
          <w:rFonts w:ascii="Times New Roman" w:hAnsi="Times New Roman" w:cs="Times New Roman"/>
        </w:rPr>
        <w:t xml:space="preserve">the purpose of analysis. Interviews lasted approximately 60 minutes and were based on a </w:t>
      </w:r>
      <w:r w:rsidR="00FC0A53">
        <w:rPr>
          <w:rFonts w:ascii="Times New Roman" w:hAnsi="Times New Roman" w:cs="Times New Roman"/>
        </w:rPr>
        <w:t xml:space="preserve">study-specific interview guide, </w:t>
      </w:r>
      <w:r w:rsidR="006B57DE">
        <w:rPr>
          <w:rFonts w:ascii="Times New Roman" w:hAnsi="Times New Roman" w:cs="Times New Roman"/>
        </w:rPr>
        <w:t xml:space="preserve">which </w:t>
      </w:r>
      <w:r w:rsidR="00F42F52">
        <w:rPr>
          <w:rFonts w:ascii="Times New Roman" w:hAnsi="Times New Roman" w:cs="Times New Roman"/>
        </w:rPr>
        <w:t>contained</w:t>
      </w:r>
      <w:r w:rsidR="006B57DE">
        <w:rPr>
          <w:rFonts w:ascii="Times New Roman" w:hAnsi="Times New Roman" w:cs="Times New Roman"/>
        </w:rPr>
        <w:t xml:space="preserve"> a summary of the methods </w:t>
      </w:r>
      <w:r w:rsidR="00CB0433">
        <w:rPr>
          <w:rFonts w:ascii="Times New Roman" w:hAnsi="Times New Roman" w:cs="Times New Roman"/>
        </w:rPr>
        <w:t>to</w:t>
      </w:r>
      <w:r w:rsidR="006B57DE">
        <w:rPr>
          <w:rFonts w:ascii="Times New Roman" w:hAnsi="Times New Roman" w:cs="Times New Roman"/>
        </w:rPr>
        <w:t xml:space="preserve"> conduct the interview, along with semi-structured questions.</w:t>
      </w:r>
      <w:r w:rsidR="00F42F52">
        <w:rPr>
          <w:rFonts w:ascii="Times New Roman" w:hAnsi="Times New Roman" w:cs="Times New Roman"/>
        </w:rPr>
        <w:t xml:space="preserve"> The guide also contained questions </w:t>
      </w:r>
      <w:r w:rsidR="00E83072">
        <w:rPr>
          <w:rFonts w:ascii="Times New Roman" w:hAnsi="Times New Roman" w:cs="Times New Roman"/>
        </w:rPr>
        <w:t xml:space="preserve">regarding </w:t>
      </w:r>
      <w:r w:rsidR="00F42F52">
        <w:rPr>
          <w:rFonts w:ascii="Times New Roman" w:hAnsi="Times New Roman" w:cs="Times New Roman"/>
        </w:rPr>
        <w:t>demographic and clinical variables</w:t>
      </w:r>
      <w:r w:rsidR="00CB0433">
        <w:rPr>
          <w:rFonts w:ascii="Times New Roman" w:hAnsi="Times New Roman" w:cs="Times New Roman"/>
        </w:rPr>
        <w:t xml:space="preserve"> to capture during the interview. Patients’ responses were recorded anonymously on a grid. The QLQ-C30 </w:t>
      </w:r>
      <w:r w:rsidR="00F45A6A">
        <w:rPr>
          <w:rFonts w:ascii="Times New Roman" w:hAnsi="Times New Roman" w:cs="Times New Roman"/>
        </w:rPr>
        <w:t>phone</w:t>
      </w:r>
      <w:r w:rsidR="00CB0433">
        <w:rPr>
          <w:rFonts w:ascii="Times New Roman" w:hAnsi="Times New Roman" w:cs="Times New Roman"/>
        </w:rPr>
        <w:t xml:space="preserve"> script was subsequently revised accordingly</w:t>
      </w:r>
      <w:r w:rsidR="00FE5320">
        <w:rPr>
          <w:rFonts w:ascii="Times New Roman" w:hAnsi="Times New Roman" w:cs="Times New Roman"/>
        </w:rPr>
        <w:t>, and the updated version was used for equivalence testing</w:t>
      </w:r>
      <w:r w:rsidR="00CB0433">
        <w:rPr>
          <w:rFonts w:ascii="Times New Roman" w:hAnsi="Times New Roman" w:cs="Times New Roman"/>
        </w:rPr>
        <w:t xml:space="preserve">. </w:t>
      </w:r>
      <w:r w:rsidR="00E83072">
        <w:rPr>
          <w:rFonts w:ascii="Times New Roman" w:hAnsi="Times New Roman" w:cs="Times New Roman"/>
        </w:rPr>
        <w:t xml:space="preserve">The interview recordings were destroyed after completion of the analysis, with an anonymised copy </w:t>
      </w:r>
      <w:r w:rsidR="00FE5320">
        <w:rPr>
          <w:rFonts w:ascii="Times New Roman" w:hAnsi="Times New Roman" w:cs="Times New Roman"/>
        </w:rPr>
        <w:t xml:space="preserve">of the recordings </w:t>
      </w:r>
      <w:r w:rsidR="00E83072">
        <w:rPr>
          <w:rFonts w:ascii="Times New Roman" w:hAnsi="Times New Roman" w:cs="Times New Roman"/>
        </w:rPr>
        <w:t>retained for the study files</w:t>
      </w:r>
      <w:r w:rsidR="005D40B6">
        <w:rPr>
          <w:rFonts w:ascii="Times New Roman" w:hAnsi="Times New Roman" w:cs="Times New Roman"/>
        </w:rPr>
        <w:t>.</w:t>
      </w:r>
    </w:p>
    <w:p w14:paraId="2704DE2A" w14:textId="77777777" w:rsidR="00C62E3F" w:rsidRDefault="00C62E3F" w:rsidP="00F02208">
      <w:pPr>
        <w:spacing w:line="480" w:lineRule="auto"/>
        <w:rPr>
          <w:rFonts w:ascii="Times New Roman" w:hAnsi="Times New Roman" w:cs="Times New Roman"/>
          <w:b/>
          <w:i/>
        </w:rPr>
      </w:pPr>
      <w:r>
        <w:rPr>
          <w:rFonts w:ascii="Times New Roman" w:hAnsi="Times New Roman" w:cs="Times New Roman"/>
          <w:b/>
          <w:i/>
        </w:rPr>
        <w:t>Equivalence testing</w:t>
      </w:r>
    </w:p>
    <w:p w14:paraId="00CBA8A2" w14:textId="00A39E47" w:rsidR="00CD5F19" w:rsidRDefault="00CD5F19" w:rsidP="00F02208">
      <w:pPr>
        <w:spacing w:line="480" w:lineRule="auto"/>
        <w:rPr>
          <w:rFonts w:ascii="Times New Roman" w:hAnsi="Times New Roman" w:cs="Times New Roman"/>
        </w:rPr>
      </w:pPr>
      <w:r>
        <w:rPr>
          <w:rFonts w:ascii="Times New Roman" w:hAnsi="Times New Roman" w:cs="Times New Roman"/>
        </w:rPr>
        <w:t xml:space="preserve">A randomised, cross-over </w:t>
      </w:r>
      <w:r w:rsidR="005F04CB">
        <w:rPr>
          <w:rFonts w:ascii="Times New Roman" w:hAnsi="Times New Roman" w:cs="Times New Roman"/>
        </w:rPr>
        <w:t>design was used to compare</w:t>
      </w:r>
      <w:r>
        <w:rPr>
          <w:rFonts w:ascii="Times New Roman" w:hAnsi="Times New Roman" w:cs="Times New Roman"/>
        </w:rPr>
        <w:t xml:space="preserve"> the self-administered </w:t>
      </w:r>
      <w:r w:rsidR="00120204">
        <w:rPr>
          <w:rFonts w:ascii="Times New Roman" w:hAnsi="Times New Roman" w:cs="Times New Roman"/>
        </w:rPr>
        <w:t xml:space="preserve">paper </w:t>
      </w:r>
      <w:r>
        <w:rPr>
          <w:rFonts w:ascii="Times New Roman" w:hAnsi="Times New Roman" w:cs="Times New Roman"/>
        </w:rPr>
        <w:t xml:space="preserve">version and the </w:t>
      </w:r>
      <w:r w:rsidR="00F45A6A">
        <w:rPr>
          <w:rFonts w:ascii="Times New Roman" w:hAnsi="Times New Roman" w:cs="Times New Roman"/>
        </w:rPr>
        <w:t>phone</w:t>
      </w:r>
      <w:r w:rsidR="00FC4BF1">
        <w:rPr>
          <w:rFonts w:ascii="Times New Roman" w:hAnsi="Times New Roman" w:cs="Times New Roman"/>
        </w:rPr>
        <w:t xml:space="preserve">-administered version of the QLQ-C30 </w:t>
      </w:r>
      <w:r w:rsidR="005F04CB">
        <w:rPr>
          <w:rFonts w:ascii="Times New Roman" w:hAnsi="Times New Roman" w:cs="Times New Roman"/>
        </w:rPr>
        <w:t>in</w:t>
      </w:r>
      <w:r w:rsidR="00FC4BF1">
        <w:rPr>
          <w:rFonts w:ascii="Times New Roman" w:hAnsi="Times New Roman" w:cs="Times New Roman"/>
        </w:rPr>
        <w:t xml:space="preserve"> patients currently receiving treatment for cancer</w:t>
      </w:r>
      <w:r w:rsidR="00F12A51">
        <w:rPr>
          <w:rFonts w:ascii="Times New Roman" w:hAnsi="Times New Roman" w:cs="Times New Roman"/>
        </w:rPr>
        <w:t xml:space="preserve">, following recommendations as set out in the International Society for Pharmacoeconomics and Outcomes Research (ISPOR) PRO Mixed Methods Task Force </w:t>
      </w:r>
      <w:r w:rsidR="00F12A51">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{"citationItems":[{"id":"ITEM-1","itemData":{"DOI":"10.1016/j.jval.2014.06.005","ISSN":"15244733","abstract":"The objective of this report was to address the use and mixing of data collection modes within and between trials in which patient-reported outcome (PRO) end points are intended to be used to support medical product labeling. The report first addresses the factors that should be considered when selecting a mode or modes of PRO data collection in a clinical trial, which is often when mixing is first considered. Next, a summary of how to \"faithfully\" migrate instruments is presented followed by a section on qualitative and quantitative study designs used to evaluate measurement equivalence of the new and original modes of data collection. Finally, the report discusses a number of issues that must be taken into account when mixing modes is deemed necessary or unavoidable within or between trials, including considerations of the risk of mixing at different levels within a clinical trial program and mixing between different types of platforms. In the absence of documented evidence of measurement equivalence, it is strongly recommended that a quantitative equivalence study be conducted before mixing modes in a trial to ensure that sufficient equivalence can be demonstrated to have confidence in pooling PRO data collected by the different modes. However, we also strongly discourage the mixing of paper and electronic field-based instruments and suggest that mixing of electronic modes be considered for clinical trials and only after equivalence has been established. If proceeding with mixing modes, it is important to implement data collection carefully in the trial itself in a planned manner at the country level or higher and minimize ad hoc mixing by sites or individual subjects. Finally, when mixing occurs, it must be addressed in the statistical analysis plan for the trial and the ability to pool the data must be evaluated to then evaluate treatment effects with mixed modes data. A successful mixed modes trial requires a \"faithful migration,\" measurement equivalence established between modes, and carefully planned implementation to minimize the risk of increased measurement error impacting the power of the trial to detect a treatment effect. © 2014 International Society for Pharmacoeconomics and Outcomes Research (ISPOR).","author":[{"dropping-particle":"","family":"Eremenco","given":"Sonya","non-dropping-particle":"","parse-names":false,"suffix":""},{"dropping-particle":"","family":"Coons","given":"Stephen Joel","non-dropping-particle":"","parse-names":false,"suffix":""},{"dropping-particle":"","family":"Paty","given":"Jean","non-dropping-particle":"","parse-names":false,"suffix":""},{"dropping-particle":"","family":"Coyne","given":"Karin","non-dropping-particle":"","parse-names":false,"suffix":""},{"dropping-particle":"V.","family":"Bennett","given":"Antonia","non-dropping-particle":"","parse-names":false,"suffix":""},{"dropping-particle":"","family":"McEntegart","given":"Damian","non-dropping-particle":"","parse-names":false,"suffix":""}],"container-title":"Value in Health","id":"ITEM-1","issue":"5","issued":{"date-parts":[["2014"]]},"page":"501-516","title":"PRO data collection in clinical trials using mixed modes: Report of the ISPOR PRO mixed modes good research practices task force","type":"article-journal","volume":"17"},"uris":["http://www.mendeley.com/documents/?uuid=a441822c-a6c4-3533-96e1-04215dd16a9f"]}],"mendeley":{"formattedCitation":"[19]","plainTextFormattedCitation":"[19]","previouslyFormattedCitation":"[19]"},"properties":{"noteIndex":0},"schema":"https://github.com/citation-style-language/schema/raw/master/csl-citation.json"}</w:instrText>
      </w:r>
      <w:r w:rsidR="00F12A51">
        <w:rPr>
          <w:rFonts w:ascii="Times New Roman" w:hAnsi="Times New Roman" w:cs="Times New Roman"/>
        </w:rPr>
        <w:fldChar w:fldCharType="separate"/>
      </w:r>
      <w:r w:rsidR="002E0324" w:rsidRPr="002E0324">
        <w:rPr>
          <w:rFonts w:ascii="Times New Roman" w:hAnsi="Times New Roman" w:cs="Times New Roman"/>
          <w:noProof/>
        </w:rPr>
        <w:t>[19]</w:t>
      </w:r>
      <w:r w:rsidR="00F12A51">
        <w:rPr>
          <w:rFonts w:ascii="Times New Roman" w:hAnsi="Times New Roman" w:cs="Times New Roman"/>
        </w:rPr>
        <w:fldChar w:fldCharType="end"/>
      </w:r>
      <w:r w:rsidR="005F04CB">
        <w:rPr>
          <w:rFonts w:ascii="Times New Roman" w:hAnsi="Times New Roman" w:cs="Times New Roman"/>
        </w:rPr>
        <w:t xml:space="preserve">. </w:t>
      </w:r>
      <w:r w:rsidR="000E3F9C">
        <w:rPr>
          <w:rFonts w:ascii="Times New Roman" w:hAnsi="Times New Roman" w:cs="Times New Roman"/>
        </w:rPr>
        <w:t>P</w:t>
      </w:r>
      <w:r w:rsidR="005F04CB">
        <w:rPr>
          <w:rFonts w:ascii="Times New Roman" w:hAnsi="Times New Roman" w:cs="Times New Roman"/>
        </w:rPr>
        <w:t>atients were randomised</w:t>
      </w:r>
      <w:r w:rsidR="00F45A6A">
        <w:rPr>
          <w:rFonts w:ascii="Times New Roman" w:hAnsi="Times New Roman" w:cs="Times New Roman"/>
        </w:rPr>
        <w:t xml:space="preserve"> (1:1)</w:t>
      </w:r>
      <w:r w:rsidR="005F04CB">
        <w:rPr>
          <w:rFonts w:ascii="Times New Roman" w:hAnsi="Times New Roman" w:cs="Times New Roman"/>
        </w:rPr>
        <w:t xml:space="preserve"> to complete either the paper or the </w:t>
      </w:r>
      <w:r w:rsidR="00F45A6A">
        <w:rPr>
          <w:rFonts w:ascii="Times New Roman" w:hAnsi="Times New Roman" w:cs="Times New Roman"/>
        </w:rPr>
        <w:t>phone</w:t>
      </w:r>
      <w:r w:rsidR="005F04CB">
        <w:rPr>
          <w:rFonts w:ascii="Times New Roman" w:hAnsi="Times New Roman" w:cs="Times New Roman"/>
        </w:rPr>
        <w:t xml:space="preserve">-administered version first. </w:t>
      </w:r>
      <w:r w:rsidR="00D640F5">
        <w:rPr>
          <w:rFonts w:ascii="Times New Roman" w:hAnsi="Times New Roman" w:cs="Times New Roman"/>
        </w:rPr>
        <w:t xml:space="preserve">Randomisation was conducted </w:t>
      </w:r>
      <w:r w:rsidR="00D640F5">
        <w:rPr>
          <w:rFonts w:ascii="Times New Roman" w:hAnsi="Times New Roman" w:cs="Times New Roman"/>
        </w:rPr>
        <w:lastRenderedPageBreak/>
        <w:t xml:space="preserve">using a random number generator. </w:t>
      </w:r>
      <w:r w:rsidR="00F45A6A">
        <w:rPr>
          <w:rFonts w:ascii="Times New Roman" w:hAnsi="Times New Roman" w:cs="Times New Roman"/>
        </w:rPr>
        <w:t>After providing informed consent, each patient completed a brief sociodemographic and clinical form</w:t>
      </w:r>
      <w:r w:rsidR="009546D2">
        <w:rPr>
          <w:rFonts w:ascii="Times New Roman" w:hAnsi="Times New Roman" w:cs="Times New Roman"/>
        </w:rPr>
        <w:t xml:space="preserve">. Depending on </w:t>
      </w:r>
      <w:r w:rsidR="00F45A6A">
        <w:rPr>
          <w:rFonts w:ascii="Times New Roman" w:hAnsi="Times New Roman" w:cs="Times New Roman"/>
        </w:rPr>
        <w:t xml:space="preserve">randomisation, </w:t>
      </w:r>
      <w:r w:rsidR="00843F87">
        <w:rPr>
          <w:rFonts w:ascii="Times New Roman" w:hAnsi="Times New Roman" w:cs="Times New Roman"/>
        </w:rPr>
        <w:t xml:space="preserve">patients </w:t>
      </w:r>
      <w:r w:rsidR="00F45A6A">
        <w:rPr>
          <w:rFonts w:ascii="Times New Roman" w:hAnsi="Times New Roman" w:cs="Times New Roman"/>
        </w:rPr>
        <w:t>were then asked to either complete the paper version of the QLQ-C30 and return it to the recruitment agency in a prepaid envelope or respond by phone to the questionnaire following the phone script as presented by the interviewer</w:t>
      </w:r>
      <w:r w:rsidR="00C7775D">
        <w:rPr>
          <w:rFonts w:ascii="Times New Roman" w:hAnsi="Times New Roman" w:cs="Times New Roman"/>
        </w:rPr>
        <w:t>, a trained qualitative researcher</w:t>
      </w:r>
      <w:r w:rsidR="00F45A6A">
        <w:rPr>
          <w:rFonts w:ascii="Times New Roman" w:hAnsi="Times New Roman" w:cs="Times New Roman"/>
        </w:rPr>
        <w:t>. The interviewer</w:t>
      </w:r>
      <w:r w:rsidR="00C7775D">
        <w:rPr>
          <w:rFonts w:ascii="Times New Roman" w:hAnsi="Times New Roman" w:cs="Times New Roman"/>
        </w:rPr>
        <w:t>s recorded patients’ responses on a paper version of the QLQ-C30.</w:t>
      </w:r>
      <w:r w:rsidR="00F45A6A">
        <w:rPr>
          <w:rFonts w:ascii="Times New Roman" w:hAnsi="Times New Roman" w:cs="Times New Roman"/>
        </w:rPr>
        <w:t xml:space="preserve"> </w:t>
      </w:r>
      <w:r w:rsidR="00C7775D">
        <w:rPr>
          <w:rFonts w:ascii="Times New Roman" w:hAnsi="Times New Roman" w:cs="Times New Roman"/>
        </w:rPr>
        <w:t xml:space="preserve">The paper version of the QLQ-C30 was estimated to take approximately 30 minutes to complete and administration time for the phone version was recorded for each patient. Any comments or observations made by the patient during the phone administration </w:t>
      </w:r>
      <w:r w:rsidR="005D40B6">
        <w:rPr>
          <w:rFonts w:ascii="Times New Roman" w:hAnsi="Times New Roman" w:cs="Times New Roman"/>
        </w:rPr>
        <w:t xml:space="preserve">were recorded </w:t>
      </w:r>
      <w:r w:rsidR="00C7775D">
        <w:rPr>
          <w:rFonts w:ascii="Times New Roman" w:hAnsi="Times New Roman" w:cs="Times New Roman"/>
        </w:rPr>
        <w:t>on a feedback form.</w:t>
      </w:r>
    </w:p>
    <w:p w14:paraId="4BE865AE" w14:textId="56261048" w:rsidR="00A92747" w:rsidRPr="00A92747" w:rsidRDefault="00C7775D" w:rsidP="00F02208">
      <w:pPr>
        <w:spacing w:line="480" w:lineRule="auto"/>
        <w:rPr>
          <w:rFonts w:ascii="Times New Roman" w:hAnsi="Times New Roman" w:cs="Times New Roman"/>
        </w:rPr>
      </w:pPr>
      <w:r>
        <w:rPr>
          <w:rFonts w:ascii="Times New Roman" w:hAnsi="Times New Roman" w:cs="Times New Roman"/>
        </w:rPr>
        <w:t>Two days after the first completion of the QLQ-C30, patients were asked to complete it again using the other mode of administrat</w:t>
      </w:r>
      <w:r w:rsidR="00014687">
        <w:rPr>
          <w:rFonts w:ascii="Times New Roman" w:hAnsi="Times New Roman" w:cs="Times New Roman"/>
        </w:rPr>
        <w:t xml:space="preserve">ion. The date of completion of the paper version </w:t>
      </w:r>
      <w:r w:rsidR="0001752C">
        <w:rPr>
          <w:rFonts w:ascii="Times New Roman" w:hAnsi="Times New Roman" w:cs="Times New Roman"/>
        </w:rPr>
        <w:t xml:space="preserve">was noted </w:t>
      </w:r>
      <w:r w:rsidR="00014687">
        <w:rPr>
          <w:rFonts w:ascii="Times New Roman" w:hAnsi="Times New Roman" w:cs="Times New Roman"/>
        </w:rPr>
        <w:t xml:space="preserve">for each patient, to assess </w:t>
      </w:r>
      <w:r w:rsidR="001D084E">
        <w:rPr>
          <w:rFonts w:ascii="Times New Roman" w:hAnsi="Times New Roman" w:cs="Times New Roman"/>
        </w:rPr>
        <w:t>compliance with</w:t>
      </w:r>
      <w:r w:rsidR="00014687">
        <w:rPr>
          <w:rFonts w:ascii="Times New Roman" w:hAnsi="Times New Roman" w:cs="Times New Roman"/>
        </w:rPr>
        <w:t xml:space="preserve"> the </w:t>
      </w:r>
      <w:r w:rsidR="00354613">
        <w:rPr>
          <w:rFonts w:ascii="Times New Roman" w:hAnsi="Times New Roman" w:cs="Times New Roman"/>
        </w:rPr>
        <w:t xml:space="preserve">pre-specified </w:t>
      </w:r>
      <w:r w:rsidR="00014687">
        <w:rPr>
          <w:rFonts w:ascii="Times New Roman" w:hAnsi="Times New Roman" w:cs="Times New Roman"/>
        </w:rPr>
        <w:t>two-day time frame</w:t>
      </w:r>
      <w:r w:rsidR="00354613">
        <w:rPr>
          <w:rFonts w:ascii="Times New Roman" w:hAnsi="Times New Roman" w:cs="Times New Roman"/>
        </w:rPr>
        <w:t xml:space="preserve">. For patients who completed the phone interview first, the recruitment agency waited for confirmation of interview completion from the study team before sending the paper version by post. </w:t>
      </w:r>
    </w:p>
    <w:p w14:paraId="48E932CC" w14:textId="17715B76" w:rsidR="00597FD4" w:rsidRDefault="00597FD4" w:rsidP="00F02208">
      <w:pPr>
        <w:spacing w:line="480" w:lineRule="auto"/>
        <w:rPr>
          <w:rFonts w:ascii="Times New Roman" w:hAnsi="Times New Roman" w:cs="Times New Roman"/>
          <w:b/>
        </w:rPr>
      </w:pPr>
      <w:r w:rsidRPr="00597FD4">
        <w:rPr>
          <w:rFonts w:ascii="Times New Roman" w:hAnsi="Times New Roman" w:cs="Times New Roman"/>
          <w:b/>
        </w:rPr>
        <w:t>Data Analysis</w:t>
      </w:r>
    </w:p>
    <w:p w14:paraId="59366D90" w14:textId="1FFBC07E" w:rsidR="00B77396" w:rsidRDefault="00FF0B66" w:rsidP="00F02208">
      <w:pPr>
        <w:spacing w:line="480" w:lineRule="auto"/>
        <w:rPr>
          <w:rFonts w:ascii="Times New Roman" w:hAnsi="Times New Roman" w:cs="Times New Roman"/>
          <w:b/>
          <w:i/>
        </w:rPr>
      </w:pPr>
      <w:r>
        <w:rPr>
          <w:rFonts w:ascii="Times New Roman" w:hAnsi="Times New Roman" w:cs="Times New Roman"/>
        </w:rPr>
        <w:t>Patients</w:t>
      </w:r>
      <w:r w:rsidR="00F43A6E">
        <w:rPr>
          <w:rFonts w:ascii="Times New Roman" w:hAnsi="Times New Roman" w:cs="Times New Roman"/>
        </w:rPr>
        <w:t xml:space="preserve"> were described in terms of clinical and socio-demographic variables, as reported during the phone interview (pilot testing) or on the socio-demographic/clinical form (equivalence testing). Age, gender, educational status, and disease history were reported.</w:t>
      </w:r>
      <w:r w:rsidR="002659F4">
        <w:rPr>
          <w:rFonts w:ascii="Times New Roman" w:hAnsi="Times New Roman" w:cs="Times New Roman"/>
        </w:rPr>
        <w:t xml:space="preserve"> </w:t>
      </w:r>
      <w:r w:rsidR="002659F4" w:rsidRPr="002659F4">
        <w:rPr>
          <w:rFonts w:ascii="Times New Roman" w:hAnsi="Times New Roman" w:cs="Times New Roman"/>
        </w:rPr>
        <w:t xml:space="preserve">All </w:t>
      </w:r>
      <w:bookmarkStart w:id="6" w:name="_Hlk71896594"/>
      <w:r w:rsidR="002659F4" w:rsidRPr="002659F4">
        <w:rPr>
          <w:rFonts w:ascii="Times New Roman" w:hAnsi="Times New Roman" w:cs="Times New Roman"/>
        </w:rPr>
        <w:t xml:space="preserve">data processing and analyses were performed with SAS® software for Windows, Version 9.2 or later </w:t>
      </w:r>
      <w:bookmarkEnd w:id="6"/>
      <w:r w:rsidR="002659F4" w:rsidRPr="002659F4">
        <w:rPr>
          <w:rFonts w:ascii="Times New Roman" w:hAnsi="Times New Roman" w:cs="Times New Roman"/>
        </w:rPr>
        <w:t>(SAS Institute, Inc., Cary, NC, USA).</w:t>
      </w:r>
    </w:p>
    <w:p w14:paraId="25C26B7C" w14:textId="3F1D1188" w:rsidR="0040064F" w:rsidRDefault="0040064F" w:rsidP="00F02208">
      <w:pPr>
        <w:spacing w:line="480" w:lineRule="auto"/>
        <w:rPr>
          <w:rFonts w:ascii="Times New Roman" w:hAnsi="Times New Roman" w:cs="Times New Roman"/>
          <w:b/>
          <w:i/>
        </w:rPr>
      </w:pPr>
      <w:r w:rsidRPr="0040064F">
        <w:rPr>
          <w:rFonts w:ascii="Times New Roman" w:hAnsi="Times New Roman" w:cs="Times New Roman"/>
          <w:b/>
          <w:i/>
        </w:rPr>
        <w:t>Pilot testing</w:t>
      </w:r>
    </w:p>
    <w:p w14:paraId="2EA22C78" w14:textId="2DF40614" w:rsidR="00E92F3A" w:rsidRPr="00E92F3A" w:rsidRDefault="006E5A8D" w:rsidP="00F02208">
      <w:pPr>
        <w:spacing w:line="480" w:lineRule="auto"/>
        <w:rPr>
          <w:rFonts w:ascii="Times New Roman" w:hAnsi="Times New Roman" w:cs="Times New Roman"/>
        </w:rPr>
      </w:pPr>
      <w:r>
        <w:rPr>
          <w:rFonts w:ascii="Times New Roman" w:hAnsi="Times New Roman" w:cs="Times New Roman"/>
        </w:rPr>
        <w:t>Feedback from patients was compiled in</w:t>
      </w:r>
      <w:r w:rsidR="0026543A">
        <w:rPr>
          <w:rFonts w:ascii="Times New Roman" w:hAnsi="Times New Roman" w:cs="Times New Roman"/>
        </w:rPr>
        <w:t xml:space="preserve"> an</w:t>
      </w:r>
      <w:r>
        <w:rPr>
          <w:rFonts w:ascii="Times New Roman" w:hAnsi="Times New Roman" w:cs="Times New Roman"/>
        </w:rPr>
        <w:t xml:space="preserve"> analysis</w:t>
      </w:r>
      <w:r w:rsidR="0026543A">
        <w:rPr>
          <w:rFonts w:ascii="Times New Roman" w:hAnsi="Times New Roman" w:cs="Times New Roman"/>
        </w:rPr>
        <w:t xml:space="preserve"> grid, and reported </w:t>
      </w:r>
      <w:r w:rsidR="0049241A">
        <w:rPr>
          <w:rFonts w:ascii="Times New Roman" w:hAnsi="Times New Roman" w:cs="Times New Roman"/>
        </w:rPr>
        <w:t>per patient based on a qualitative assessment of the questionnaire</w:t>
      </w:r>
      <w:r w:rsidR="0026543A">
        <w:rPr>
          <w:rFonts w:ascii="Times New Roman" w:hAnsi="Times New Roman" w:cs="Times New Roman"/>
        </w:rPr>
        <w:t xml:space="preserve">, its instructions and individual items, with any additional comments also recorded. </w:t>
      </w:r>
    </w:p>
    <w:p w14:paraId="01CFFE62" w14:textId="77777777" w:rsidR="00B77396" w:rsidRDefault="00B77396" w:rsidP="00F02208">
      <w:pPr>
        <w:spacing w:line="480" w:lineRule="auto"/>
        <w:rPr>
          <w:rFonts w:ascii="Times New Roman" w:hAnsi="Times New Roman" w:cs="Times New Roman"/>
          <w:b/>
          <w:i/>
        </w:rPr>
      </w:pPr>
    </w:p>
    <w:p w14:paraId="1E90C8D2" w14:textId="018C6374" w:rsidR="0040064F" w:rsidRDefault="0040064F" w:rsidP="00F02208">
      <w:pPr>
        <w:spacing w:line="480" w:lineRule="auto"/>
        <w:rPr>
          <w:rFonts w:ascii="Times New Roman" w:hAnsi="Times New Roman" w:cs="Times New Roman"/>
          <w:b/>
          <w:i/>
        </w:rPr>
      </w:pPr>
      <w:r w:rsidRPr="0040064F">
        <w:rPr>
          <w:rFonts w:ascii="Times New Roman" w:hAnsi="Times New Roman" w:cs="Times New Roman"/>
          <w:b/>
          <w:i/>
        </w:rPr>
        <w:lastRenderedPageBreak/>
        <w:t>Equivalence testing</w:t>
      </w:r>
    </w:p>
    <w:p w14:paraId="3374CFDF" w14:textId="445CD1C7" w:rsidR="007E59C6" w:rsidRDefault="00C1555A" w:rsidP="00F02208">
      <w:pPr>
        <w:spacing w:line="480" w:lineRule="auto"/>
        <w:rPr>
          <w:rFonts w:ascii="Times New Roman" w:hAnsi="Times New Roman" w:cs="Times New Roman"/>
        </w:rPr>
      </w:pPr>
      <w:r>
        <w:rPr>
          <w:rFonts w:ascii="Times New Roman" w:hAnsi="Times New Roman" w:cs="Times New Roman"/>
        </w:rPr>
        <w:t xml:space="preserve">All patients who met the inclusion criteria and completed enough items in the QLQ-C30 questionnaire </w:t>
      </w:r>
      <w:r w:rsidR="0078034F">
        <w:rPr>
          <w:rFonts w:ascii="Times New Roman" w:hAnsi="Times New Roman" w:cs="Times New Roman"/>
        </w:rPr>
        <w:t xml:space="preserve">during each administration for each domain to be scored </w:t>
      </w:r>
      <w:r>
        <w:rPr>
          <w:rFonts w:ascii="Times New Roman" w:hAnsi="Times New Roman" w:cs="Times New Roman"/>
        </w:rPr>
        <w:t>were included in t</w:t>
      </w:r>
      <w:r w:rsidR="00E92F3A">
        <w:rPr>
          <w:rFonts w:ascii="Times New Roman" w:hAnsi="Times New Roman" w:cs="Times New Roman"/>
        </w:rPr>
        <w:t>he equivalence testing analysis.</w:t>
      </w:r>
      <w:r w:rsidR="007E59C6">
        <w:rPr>
          <w:rFonts w:ascii="Times New Roman" w:hAnsi="Times New Roman" w:cs="Times New Roman"/>
        </w:rPr>
        <w:t xml:space="preserve"> Responses to items from the QLQ-C30 were described based on completion and distribution of responses per administration mode. Missing data were described in terms of number and percent of missing responses per item along with number and percent of missing items per patient, including the number of patients with at least one missing item. Continuous variables were described based on their frequency, mean, standard </w:t>
      </w:r>
      <w:r w:rsidR="00D817F4">
        <w:rPr>
          <w:rFonts w:ascii="Times New Roman" w:hAnsi="Times New Roman" w:cs="Times New Roman"/>
        </w:rPr>
        <w:t>d</w:t>
      </w:r>
      <w:r w:rsidR="007E59C6">
        <w:rPr>
          <w:rFonts w:ascii="Times New Roman" w:hAnsi="Times New Roman" w:cs="Times New Roman"/>
        </w:rPr>
        <w:t xml:space="preserve">eviation, median, </w:t>
      </w:r>
      <w:r w:rsidR="0049241A">
        <w:rPr>
          <w:rFonts w:ascii="Times New Roman" w:hAnsi="Times New Roman" w:cs="Times New Roman"/>
        </w:rPr>
        <w:t xml:space="preserve">first and third </w:t>
      </w:r>
      <w:r w:rsidR="007E59C6">
        <w:rPr>
          <w:rFonts w:ascii="Times New Roman" w:hAnsi="Times New Roman" w:cs="Times New Roman"/>
        </w:rPr>
        <w:t>quartiles, and minimum and maximum values.</w:t>
      </w:r>
      <w:r w:rsidR="00D817F4">
        <w:rPr>
          <w:rFonts w:ascii="Times New Roman" w:hAnsi="Times New Roman" w:cs="Times New Roman"/>
        </w:rPr>
        <w:t xml:space="preserve"> Categorical variables were described based on the frequency and percentage of each response choice, with missing data included in the calculation of percentage.</w:t>
      </w:r>
    </w:p>
    <w:p w14:paraId="23575E9A" w14:textId="2ED603AA" w:rsidR="001F21FC" w:rsidRDefault="00D41CE5" w:rsidP="00F02208">
      <w:pPr>
        <w:spacing w:line="480" w:lineRule="auto"/>
        <w:rPr>
          <w:rFonts w:ascii="Times New Roman" w:hAnsi="Times New Roman" w:cs="Times New Roman"/>
        </w:rPr>
      </w:pPr>
      <w:r>
        <w:rPr>
          <w:rFonts w:ascii="Times New Roman" w:hAnsi="Times New Roman" w:cs="Times New Roman"/>
        </w:rPr>
        <w:t xml:space="preserve">Equivalence testing was performed at both the item and </w:t>
      </w:r>
      <w:r w:rsidR="005D40B6">
        <w:rPr>
          <w:rFonts w:ascii="Times New Roman" w:hAnsi="Times New Roman" w:cs="Times New Roman"/>
        </w:rPr>
        <w:t xml:space="preserve">domain </w:t>
      </w:r>
      <w:r>
        <w:rPr>
          <w:rFonts w:ascii="Times New Roman" w:hAnsi="Times New Roman" w:cs="Times New Roman"/>
        </w:rPr>
        <w:t>score</w:t>
      </w:r>
      <w:r w:rsidR="005D40B6">
        <w:rPr>
          <w:rFonts w:ascii="Times New Roman" w:hAnsi="Times New Roman" w:cs="Times New Roman"/>
        </w:rPr>
        <w:t xml:space="preserve"> </w:t>
      </w:r>
      <w:r>
        <w:rPr>
          <w:rFonts w:ascii="Times New Roman" w:hAnsi="Times New Roman" w:cs="Times New Roman"/>
        </w:rPr>
        <w:t>levels, with the primary o</w:t>
      </w:r>
      <w:r w:rsidR="008C2A4E">
        <w:rPr>
          <w:rFonts w:ascii="Times New Roman" w:hAnsi="Times New Roman" w:cs="Times New Roman"/>
        </w:rPr>
        <w:t>bjective to evaluate equivalence</w:t>
      </w:r>
      <w:r>
        <w:rPr>
          <w:rFonts w:ascii="Times New Roman" w:hAnsi="Times New Roman" w:cs="Times New Roman"/>
        </w:rPr>
        <w:t xml:space="preserve"> at the score level</w:t>
      </w:r>
      <w:r w:rsidR="008C2A4E">
        <w:rPr>
          <w:rFonts w:ascii="Times New Roman" w:hAnsi="Times New Roman" w:cs="Times New Roman"/>
        </w:rPr>
        <w:t xml:space="preserve"> between both modes of administration</w:t>
      </w:r>
      <w:r w:rsidR="004D0D4C">
        <w:rPr>
          <w:rFonts w:ascii="Times New Roman" w:hAnsi="Times New Roman" w:cs="Times New Roman"/>
        </w:rPr>
        <w:t xml:space="preserve"> using ICC</w:t>
      </w:r>
      <w:r w:rsidR="008C2A4E">
        <w:rPr>
          <w:rFonts w:ascii="Times New Roman" w:hAnsi="Times New Roman" w:cs="Times New Roman"/>
        </w:rPr>
        <w:t xml:space="preserve"> </w:t>
      </w:r>
      <w:r w:rsidR="008C2A4E">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{"citationItems":[{"id":"ITEM-1","itemData":{"DOI":"10.1037/0033-2909.86.2.420","ISSN":"00332909","PMID":"18839484","abstract":"Reliability coefficients often take the form of intraclass correlation coefficients. In this article, guidelines are given for choosing among 6 different forms of the intraclass correlation for reliability studies in which n targets are rated by k judges. Relevant to the choice of the coefficient are the appropriate statistical model for the reliability study and the applications to be made of the reliability results. Confidence intervals for each of the forms are reviewed. (23 ref) (PsycINFO Database Record (c) 2006 APA, all rights reserved). © 1979 American Psychological Association.","author":[{"dropping-particle":"","family":"Shrout","given":"Patrick E.","non-dropping-particle":"","parse-names":false,"suffix":""},{"dropping-particle":"","family":"Fleiss","given":"Joseph L.","non-dropping-particle":"","parse-names":false,"suffix":""}],"container-title":"Psychological Bulletin","id":"ITEM-1","issue":"2","issued":{"date-parts":[["1979"]]},"page":"420-428","title":"Intraclass correlations: Uses in assessing rater reliability","type":"article-journal","volume":"86"},"uris":["http://www.mendeley.com/documents/?uuid=b641a18f-f3ea-4718-b622-6d4c6878e145"]}],"mendeley":{"formattedCitation":"[20]","plainTextFormattedCitation":"[20]","previouslyFormattedCitation":"[20]"},"properties":{"noteIndex":0},"schema":"https://github.com/citation-style-language/schema/raw/master/csl-citation.json"}</w:instrText>
      </w:r>
      <w:r w:rsidR="008C2A4E">
        <w:rPr>
          <w:rFonts w:ascii="Times New Roman" w:hAnsi="Times New Roman" w:cs="Times New Roman"/>
        </w:rPr>
        <w:fldChar w:fldCharType="separate"/>
      </w:r>
      <w:r w:rsidR="002E0324" w:rsidRPr="002E0324">
        <w:rPr>
          <w:rFonts w:ascii="Times New Roman" w:hAnsi="Times New Roman" w:cs="Times New Roman"/>
          <w:noProof/>
        </w:rPr>
        <w:t>[20]</w:t>
      </w:r>
      <w:r w:rsidR="008C2A4E">
        <w:rPr>
          <w:rFonts w:ascii="Times New Roman" w:hAnsi="Times New Roman" w:cs="Times New Roman"/>
        </w:rPr>
        <w:fldChar w:fldCharType="end"/>
      </w:r>
      <w:r w:rsidR="008C2A4E">
        <w:rPr>
          <w:rFonts w:ascii="Times New Roman" w:hAnsi="Times New Roman" w:cs="Times New Roman"/>
        </w:rPr>
        <w:t>.</w:t>
      </w:r>
      <w:r w:rsidR="00C417FE">
        <w:rPr>
          <w:rFonts w:ascii="Times New Roman" w:hAnsi="Times New Roman" w:cs="Times New Roman"/>
        </w:rPr>
        <w:t xml:space="preserve"> </w:t>
      </w:r>
      <w:r w:rsidR="00883703">
        <w:rPr>
          <w:rFonts w:ascii="Times New Roman" w:hAnsi="Times New Roman" w:cs="Times New Roman"/>
        </w:rPr>
        <w:t>A two-way mixed effects</w:t>
      </w:r>
      <w:r w:rsidR="00A050EA">
        <w:rPr>
          <w:rFonts w:ascii="Times New Roman" w:hAnsi="Times New Roman" w:cs="Times New Roman"/>
        </w:rPr>
        <w:t xml:space="preserve">, consistency, single rater/measurement approach, described by Fleiss and colleagues </w:t>
      </w:r>
      <w:r w:rsidR="00A050EA">
        <w:rPr>
          <w:rFonts w:ascii="Times New Roman" w:hAnsi="Times New Roman" w:cs="Times New Roman"/>
        </w:rPr>
        <w:fldChar w:fldCharType="begin" w:fldLock="1"/>
      </w:r>
      <w:r w:rsidR="00A050EA">
        <w:rPr>
          <w:rFonts w:ascii="Times New Roman" w:hAnsi="Times New Roman" w:cs="Times New Roman"/>
        </w:rPr>
        <w:instrText>ADDIN CSL_CITATION {"citationItems":[{"id":"ITEM-1","itemData":{"DOI":"10.1037/0033-2909.86.2.420","ISSN":"00332909","PMID":"18839484","abstract":"Reliability coefficients often take the form of intraclass correlation coefficients. In this article, guidelines are given for choosing among 6 different forms of the intraclass correlation for reliability studies in which n targets are rated by k judges. Relevant to the choice of the coefficient are the appropriate statistical model for the reliability study and the applications to be made of the reliability results. Confidence intervals for each of the forms are reviewed. (23 ref) (PsycINFO Database Record (c) 2006 APA, all rights reserved). © 1979 American Psychological Association.","author":[{"dropping-particle":"","family":"Shrout","given":"Patrick E.","non-dropping-particle":"","parse-names":false,"suffix":""},{"dropping-particle":"","family":"Fleiss","given":"Joseph L.","non-dropping-particle":"","parse-names":false,"suffix":""}],"container-title":"Psychological Bulletin","id":"ITEM-1","issue":"2","issued":{"date-parts":[["1979"]]},"page":"420-428","title":"Intraclass correlations: Uses in assessing rater reliability","type":"article-journal","volume":"86"},"uris":["http://www.mendeley.com/documents/?uuid=b641a18f-f3ea-4718-b622-6d4c6878e145"]}],"mendeley":{"formattedCitation":"[20]","plainTextFormattedCitation":"[20]"},"properties":{"noteIndex":0},"schema":"https://github.com/citation-style-language/schema/raw/master/csl-citation.json"}</w:instrText>
      </w:r>
      <w:r w:rsidR="00A050EA">
        <w:rPr>
          <w:rFonts w:ascii="Times New Roman" w:hAnsi="Times New Roman" w:cs="Times New Roman"/>
        </w:rPr>
        <w:fldChar w:fldCharType="separate"/>
      </w:r>
      <w:r w:rsidR="00A050EA" w:rsidRPr="00A050EA">
        <w:rPr>
          <w:rFonts w:ascii="Times New Roman" w:hAnsi="Times New Roman" w:cs="Times New Roman"/>
          <w:noProof/>
        </w:rPr>
        <w:t>[20]</w:t>
      </w:r>
      <w:r w:rsidR="00A050EA">
        <w:rPr>
          <w:rFonts w:ascii="Times New Roman" w:hAnsi="Times New Roman" w:cs="Times New Roman"/>
        </w:rPr>
        <w:fldChar w:fldCharType="end"/>
      </w:r>
      <w:r w:rsidR="00A050EA">
        <w:rPr>
          <w:rFonts w:ascii="Times New Roman" w:hAnsi="Times New Roman" w:cs="Times New Roman"/>
        </w:rPr>
        <w:t>, was used to calculate ICCs and their confidence intervals.</w:t>
      </w:r>
      <w:r w:rsidR="00883703">
        <w:rPr>
          <w:rFonts w:ascii="Times New Roman" w:hAnsi="Times New Roman" w:cs="Times New Roman"/>
        </w:rPr>
        <w:t xml:space="preserve"> </w:t>
      </w:r>
      <w:r w:rsidR="00333CF8">
        <w:rPr>
          <w:rFonts w:ascii="Times New Roman" w:hAnsi="Times New Roman" w:cs="Times New Roman"/>
        </w:rPr>
        <w:t xml:space="preserve">The widely used benchmark </w:t>
      </w:r>
      <w:r w:rsidR="009C26B9">
        <w:rPr>
          <w:rFonts w:ascii="Times New Roman" w:hAnsi="Times New Roman" w:cs="Times New Roman"/>
        </w:rPr>
        <w:t xml:space="preserve">of </w:t>
      </w:r>
      <w:r w:rsidR="00C417FE">
        <w:rPr>
          <w:rFonts w:ascii="Times New Roman" w:hAnsi="Times New Roman" w:cs="Times New Roman"/>
        </w:rPr>
        <w:t xml:space="preserve">ICC of </w:t>
      </w:r>
      <w:r w:rsidR="009C26B9" w:rsidRPr="009C26B9">
        <w:rPr>
          <w:rFonts w:ascii="Times New Roman" w:hAnsi="Times New Roman" w:cs="Times New Roman"/>
          <w:u w:val="single"/>
        </w:rPr>
        <w:t>&gt;</w:t>
      </w:r>
      <w:r w:rsidR="009C26B9" w:rsidRPr="00A92747">
        <w:rPr>
          <w:rFonts w:ascii="Times New Roman" w:hAnsi="Times New Roman" w:cs="Times New Roman"/>
        </w:rPr>
        <w:t>0</w:t>
      </w:r>
      <w:r w:rsidR="00C417FE">
        <w:rPr>
          <w:rFonts w:ascii="Times New Roman" w:hAnsi="Times New Roman" w:cs="Times New Roman"/>
        </w:rPr>
        <w:t xml:space="preserve">.70 </w:t>
      </w:r>
      <w:r w:rsidR="009C26B9">
        <w:rPr>
          <w:rFonts w:ascii="Times New Roman" w:hAnsi="Times New Roman" w:cs="Times New Roman"/>
        </w:rPr>
        <w:t>was used</w:t>
      </w:r>
      <w:r w:rsidR="00C417FE">
        <w:rPr>
          <w:rFonts w:ascii="Times New Roman" w:hAnsi="Times New Roman" w:cs="Times New Roman"/>
        </w:rPr>
        <w:t xml:space="preserve"> </w:t>
      </w:r>
      <w:r w:rsidR="00C417FE">
        <w:rPr>
          <w:rFonts w:ascii="Times New Roman" w:hAnsi="Times New Roman" w:cs="Times New Roman"/>
        </w:rPr>
        <w:fldChar w:fldCharType="begin" w:fldLock="1"/>
      </w:r>
      <w:r w:rsidR="00CB70C7">
        <w:rPr>
          <w:rFonts w:ascii="Times New Roman" w:hAnsi="Times New Roman" w:cs="Times New Roman"/>
        </w:rPr>
        <w:instrText>ADDIN CSL_CITATION {"citationItems":[{"id":"ITEM-1","itemData":{"author":[{"dropping-particle":"","family":"Nunnally","given":"JC","non-dropping-particle":"","parse-names":false,"suffix":""},{"dropping-particle":"","family":"Bernstein","given":"I","non-dropping-particle":"","parse-names":false,"suffix":""}],"edition":"3rd","id":"ITEM-1","issued":{"date-parts":[["1994"]]},"publisher":"McGraw-Hill","publisher-place":"New York","title":"Psychometric Methods","type":"book"},"uris":["http://www.mendeley.com/documents/?uuid=6e2fa870-1315-49d7-885e-dfe90cea403a"]}],"mendeley":{"formattedCitation":"[21]","plainTextFormattedCitation":"[21]","previouslyFormattedCitation":"[21]"},"properties":{"noteIndex":0},"schema":"https://github.com/citation-style-language/schema/raw/master/csl-citation.json"}</w:instrText>
      </w:r>
      <w:r w:rsidR="00C417FE">
        <w:rPr>
          <w:rFonts w:ascii="Times New Roman" w:hAnsi="Times New Roman" w:cs="Times New Roman"/>
        </w:rPr>
        <w:fldChar w:fldCharType="separate"/>
      </w:r>
      <w:r w:rsidR="002E0324" w:rsidRPr="002E0324">
        <w:rPr>
          <w:rFonts w:ascii="Times New Roman" w:hAnsi="Times New Roman" w:cs="Times New Roman"/>
          <w:noProof/>
        </w:rPr>
        <w:t>[21]</w:t>
      </w:r>
      <w:r w:rsidR="00C417FE">
        <w:rPr>
          <w:rFonts w:ascii="Times New Roman" w:hAnsi="Times New Roman" w:cs="Times New Roman"/>
        </w:rPr>
        <w:fldChar w:fldCharType="end"/>
      </w:r>
      <w:r w:rsidR="00C417FE">
        <w:rPr>
          <w:rFonts w:ascii="Times New Roman" w:hAnsi="Times New Roman" w:cs="Times New Roman"/>
        </w:rPr>
        <w:t xml:space="preserve">, with ICC values between 0.75 and 0.90 indicating good agreement and values greater than 0.90 indicating excellent agreement </w:t>
      </w:r>
      <w:r w:rsidR="00C417FE">
        <w:rPr>
          <w:rFonts w:ascii="Times New Roman" w:hAnsi="Times New Roman" w:cs="Times New Roman"/>
        </w:rPr>
        <w:fldChar w:fldCharType="begin" w:fldLock="1"/>
      </w:r>
      <w:r w:rsidR="00CB70C7">
        <w:rPr>
          <w:rFonts w:ascii="Times New Roman" w:hAnsi="Times New Roman" w:cs="Times New Roman"/>
        </w:rPr>
        <w:instrText>ADDIN CSL_CITATION {"citationItems":[{"id":"ITEM-1","itemData":{"author":[{"dropping-particle":"","family":"Portney","given":"LG","non-dropping-particle":"","parse-names":false,"suffix":""},{"dropping-particle":"","family":"Watkins","given":"MP","non-dropping-particle":"","parse-names":false,"suffix":""}],"id":"ITEM-1","issued":{"date-parts":[["2000"]]},"publisher":"Pearson Prentice Hall","publisher-place":"Upper Saddle River, New Jersey","title":"Foundations of Clinical Research: Applications to Practice","type":"book"},"uris":["http://www.mendeley.com/documents/?uuid=6d9b8d2d-c1e8-439b-940b-e6e0a7f6111f"]}],"mendeley":{"formattedCitation":"[22]","plainTextFormattedCitation":"[22]","previouslyFormattedCitation":"[22]"},"properties":{"noteIndex":0},"schema":"https://github.com/citation-style-language/schema/raw/master/csl-citation.json"}</w:instrText>
      </w:r>
      <w:r w:rsidR="00C417FE">
        <w:rPr>
          <w:rFonts w:ascii="Times New Roman" w:hAnsi="Times New Roman" w:cs="Times New Roman"/>
        </w:rPr>
        <w:fldChar w:fldCharType="separate"/>
      </w:r>
      <w:r w:rsidR="002E0324" w:rsidRPr="002E0324">
        <w:rPr>
          <w:rFonts w:ascii="Times New Roman" w:hAnsi="Times New Roman" w:cs="Times New Roman"/>
          <w:noProof/>
        </w:rPr>
        <w:t>[22]</w:t>
      </w:r>
      <w:r w:rsidR="00C417FE">
        <w:rPr>
          <w:rFonts w:ascii="Times New Roman" w:hAnsi="Times New Roman" w:cs="Times New Roman"/>
        </w:rPr>
        <w:fldChar w:fldCharType="end"/>
      </w:r>
      <w:r w:rsidR="00C417FE">
        <w:rPr>
          <w:rFonts w:ascii="Times New Roman" w:hAnsi="Times New Roman" w:cs="Times New Roman"/>
        </w:rPr>
        <w:t xml:space="preserve">. </w:t>
      </w:r>
      <w:r w:rsidR="004D2688" w:rsidRPr="004D2688">
        <w:rPr>
          <w:rFonts w:ascii="Times New Roman" w:hAnsi="Times New Roman" w:cs="Times New Roman"/>
        </w:rPr>
        <w:t xml:space="preserve">Weighted kappa coefficients </w:t>
      </w:r>
      <w:r w:rsidR="004D2688" w:rsidRPr="004D2688">
        <w:rPr>
          <w:rFonts w:ascii="Times New Roman" w:hAnsi="Times New Roman" w:cs="Times New Roman"/>
        </w:rPr>
        <w:fldChar w:fldCharType="begin" w:fldLock="1"/>
      </w:r>
      <w:r w:rsidR="00CB70C7">
        <w:rPr>
          <w:rFonts w:ascii="Times New Roman" w:hAnsi="Times New Roman" w:cs="Times New Roman"/>
        </w:rPr>
        <w:instrText>ADDIN CSL_CITATION {"citationItems":[{"id":"ITEM-1","itemData":{"abstract":"A previously described coefficient of agreement for nominal scales, kappa, treats all disagreements equally. A generalization to weighted kappa (KW) is presented. The KW provides for the incorporation of ratio-scaled degrees of disagreement (or agreement) to each of the cells of the k X k table of joint nominal scale assignments such that disagreements of varying gravity (or agreements of varying degree) are weighted accordingly. Although providing for partial credit, KW is fully chance corrected. Its sampling characteristics and procedures for hypothesis testing and setting confidence limits are given. Under certain conditions, KW equals productmoment r. Although developed originally as a measure of reliability, the use of unequal weights for symmetrical cells makes KW suitable as a measure of validity.","author":[{"dropping-particle":"","family":"Cohen","given":"Jacob","non-dropping-particle":"","parse-names":false,"suffix":""}],"container-title":"Psychological Bulletin","id":"ITEM-1","issued":{"date-parts":[["1968"]]},"title":"Weighted kappa: Nominal scale agreement with provision for scaled disagreement or partial credit. Psychological Bulletin, 70, 213–220.","type":"article-journal"},"uris":["http://www.mendeley.com/documents/?uuid=a3d6e667-31db-460e-9de2-4c870186eb24"]}],"mendeley":{"formattedCitation":"[23]","plainTextFormattedCitation":"[23]","previouslyFormattedCitation":"[23]"},"properties":{"noteIndex":0},"schema":"https://github.com/citation-style-language/schema/raw/master/csl-citation.json"}</w:instrText>
      </w:r>
      <w:r w:rsidR="004D2688" w:rsidRPr="004D2688">
        <w:rPr>
          <w:rFonts w:ascii="Times New Roman" w:hAnsi="Times New Roman" w:cs="Times New Roman"/>
        </w:rPr>
        <w:fldChar w:fldCharType="separate"/>
      </w:r>
      <w:r w:rsidR="002E0324" w:rsidRPr="002E0324">
        <w:rPr>
          <w:rFonts w:ascii="Times New Roman" w:hAnsi="Times New Roman" w:cs="Times New Roman"/>
          <w:noProof/>
        </w:rPr>
        <w:t>[23]</w:t>
      </w:r>
      <w:r w:rsidR="004D2688" w:rsidRPr="004D2688">
        <w:rPr>
          <w:rFonts w:ascii="Times New Roman" w:hAnsi="Times New Roman" w:cs="Times New Roman"/>
        </w:rPr>
        <w:fldChar w:fldCharType="end"/>
      </w:r>
      <w:r w:rsidR="004D2688" w:rsidRPr="004D2688">
        <w:rPr>
          <w:rFonts w:ascii="Times New Roman" w:hAnsi="Times New Roman" w:cs="Times New Roman"/>
        </w:rPr>
        <w:t xml:space="preserve"> were used to assess the extent to which both administration modes produced the same responses by patients to the QLQ-C30 items</w:t>
      </w:r>
      <w:r w:rsidR="004321F2">
        <w:rPr>
          <w:rFonts w:ascii="Times New Roman" w:hAnsi="Times New Roman" w:cs="Times New Roman"/>
        </w:rPr>
        <w:t xml:space="preserve"> (results are reported in Appendix A)</w:t>
      </w:r>
      <w:r w:rsidR="004D2688" w:rsidRPr="004D2688">
        <w:rPr>
          <w:rFonts w:ascii="Times New Roman" w:hAnsi="Times New Roman" w:cs="Times New Roman"/>
        </w:rPr>
        <w:t xml:space="preserve">. Following Fleiss’ guidelines </w:t>
      </w:r>
      <w:r w:rsidR="004D2688" w:rsidRPr="004D2688">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{"citationItems":[{"id":"ITEM-1","itemData":{"DOI":"10.1177/001316447303300309","ISBN":"0013164473","ISSN":"15523888","author":[{"dropping-particle":"","family":"Fleiss","given":"Joseph L.","non-dropping-particle":"","parse-names":false,"suffix":""},{"dropping-particle":"","family":"Cohen","given":"Jacob","non-dropping-particle":"","parse-names":false,"suffix":""}],"container-title":"Educational and Psychological Measurement","id":"ITEM-1","issue":"3","issued":{"date-parts":[["1973"]]},"page":"613-619","title":"The equivalence of weighted kappa and the intraclass correlation coefficient as measures of reliability","type":"article-journal","volume":"33"},"uris":["http://www.mendeley.com/documents/?uuid=fc7b750f-95ce-4ad9-9bb9-e931fa7814bd"]}],"mendeley":{"formattedCitation":"[24]","plainTextFormattedCitation":"[24]","previouslyFormattedCitation":"[24]"},"properties":{"noteIndex":0},"schema":"https://github.com/citation-style-language/schema/raw/master/csl-citation.json"}</w:instrText>
      </w:r>
      <w:r w:rsidR="004D2688" w:rsidRPr="004D2688">
        <w:rPr>
          <w:rFonts w:ascii="Times New Roman" w:hAnsi="Times New Roman" w:cs="Times New Roman"/>
        </w:rPr>
        <w:fldChar w:fldCharType="separate"/>
      </w:r>
      <w:r w:rsidR="002E0324" w:rsidRPr="002E0324">
        <w:rPr>
          <w:rFonts w:ascii="Times New Roman" w:hAnsi="Times New Roman" w:cs="Times New Roman"/>
          <w:noProof/>
        </w:rPr>
        <w:t>[24]</w:t>
      </w:r>
      <w:r w:rsidR="004D2688" w:rsidRPr="004D2688">
        <w:rPr>
          <w:rFonts w:ascii="Times New Roman" w:hAnsi="Times New Roman" w:cs="Times New Roman"/>
        </w:rPr>
        <w:fldChar w:fldCharType="end"/>
      </w:r>
      <w:r w:rsidR="004D2688" w:rsidRPr="004D2688">
        <w:rPr>
          <w:rFonts w:ascii="Times New Roman" w:hAnsi="Times New Roman" w:cs="Times New Roman"/>
        </w:rPr>
        <w:t>, a kappa value greater than 0.75 was characterized as excellent, 0.40-0.75 as fair to good, and less than 0.40 as poor.</w:t>
      </w:r>
      <w:r w:rsidR="00654E2E">
        <w:rPr>
          <w:rFonts w:ascii="Times New Roman" w:hAnsi="Times New Roman" w:cs="Times New Roman"/>
        </w:rPr>
        <w:t xml:space="preserve"> </w:t>
      </w:r>
      <w:r w:rsidR="00286293">
        <w:rPr>
          <w:rFonts w:ascii="Times New Roman" w:hAnsi="Times New Roman" w:cs="Times New Roman"/>
        </w:rPr>
        <w:t>Mean differences in item-level scores were also calculated and are displayed in Appendix B.</w:t>
      </w:r>
      <w:r w:rsidR="00335CA9">
        <w:rPr>
          <w:rFonts w:ascii="Times New Roman" w:hAnsi="Times New Roman" w:cs="Times New Roman"/>
        </w:rPr>
        <w:t xml:space="preserve"> </w:t>
      </w:r>
    </w:p>
    <w:p w14:paraId="022F7AD7" w14:textId="74B3A33C" w:rsidR="00481737" w:rsidRPr="00313667" w:rsidRDefault="00286D05" w:rsidP="00F02208">
      <w:pPr>
        <w:spacing w:line="480" w:lineRule="auto"/>
        <w:rPr>
          <w:rFonts w:ascii="Times New Roman" w:hAnsi="Times New Roman" w:cs="Times New Roman"/>
        </w:rPr>
      </w:pPr>
      <w:r>
        <w:rPr>
          <w:rFonts w:ascii="Times New Roman" w:hAnsi="Times New Roman" w:cs="Times New Roman"/>
        </w:rPr>
        <w:t xml:space="preserve">To ensure robustness of results between the two waves of recruitment, a </w:t>
      </w:r>
      <w:r w:rsidR="00E43DB6">
        <w:rPr>
          <w:rFonts w:ascii="Times New Roman" w:hAnsi="Times New Roman" w:cs="Times New Roman"/>
        </w:rPr>
        <w:t>sensitivity analysis was conducted to compare the ICC values between patients included prior to the study amendment (</w:t>
      </w:r>
      <w:r>
        <w:rPr>
          <w:rFonts w:ascii="Times New Roman" w:hAnsi="Times New Roman" w:cs="Times New Roman"/>
        </w:rPr>
        <w:t xml:space="preserve">first wave of recruitment: </w:t>
      </w:r>
      <w:r w:rsidR="00E43DB6">
        <w:rPr>
          <w:rFonts w:ascii="Times New Roman" w:hAnsi="Times New Roman" w:cs="Times New Roman"/>
        </w:rPr>
        <w:t>n=26) and those included after (</w:t>
      </w:r>
      <w:r>
        <w:rPr>
          <w:rFonts w:ascii="Times New Roman" w:hAnsi="Times New Roman" w:cs="Times New Roman"/>
        </w:rPr>
        <w:t xml:space="preserve">second wave of recruitment: </w:t>
      </w:r>
      <w:r w:rsidR="00E43DB6">
        <w:rPr>
          <w:rFonts w:ascii="Times New Roman" w:hAnsi="Times New Roman" w:cs="Times New Roman"/>
        </w:rPr>
        <w:t>n=37)</w:t>
      </w:r>
      <w:r w:rsidR="00B957A4">
        <w:rPr>
          <w:rFonts w:ascii="Times New Roman" w:hAnsi="Times New Roman" w:cs="Times New Roman"/>
        </w:rPr>
        <w:t xml:space="preserve"> using scores from the paper and phone administration modes of the QLQ-C30.</w:t>
      </w:r>
      <w:r w:rsidR="00EA5084">
        <w:rPr>
          <w:rFonts w:ascii="Times New Roman" w:hAnsi="Times New Roman" w:cs="Times New Roman"/>
        </w:rPr>
        <w:t xml:space="preserve"> Additional sensitivity analyses were conducted on the full group of patients included in the equivalence testing (n=63) to compare ICC scores by </w:t>
      </w:r>
      <w:r w:rsidR="00541A88">
        <w:rPr>
          <w:rFonts w:ascii="Times New Roman" w:hAnsi="Times New Roman" w:cs="Times New Roman"/>
        </w:rPr>
        <w:t xml:space="preserve">age (&lt;60 vs. </w:t>
      </w:r>
      <w:r w:rsidR="00541A88" w:rsidRPr="00541A88">
        <w:rPr>
          <w:rFonts w:ascii="Times New Roman" w:hAnsi="Times New Roman" w:cs="Times New Roman"/>
          <w:u w:val="single"/>
        </w:rPr>
        <w:t>&gt;</w:t>
      </w:r>
      <w:r w:rsidR="00541A88">
        <w:rPr>
          <w:rFonts w:ascii="Times New Roman" w:hAnsi="Times New Roman" w:cs="Times New Roman"/>
        </w:rPr>
        <w:t>60) and gender.</w:t>
      </w:r>
    </w:p>
    <w:p w14:paraId="6A4CD3A6" w14:textId="77777777" w:rsidR="00B77396" w:rsidRDefault="00B77396" w:rsidP="00F02208">
      <w:pPr>
        <w:spacing w:line="480" w:lineRule="auto"/>
        <w:rPr>
          <w:rFonts w:ascii="Times New Roman" w:hAnsi="Times New Roman" w:cs="Times New Roman"/>
          <w:b/>
        </w:rPr>
      </w:pPr>
    </w:p>
    <w:p w14:paraId="52E7EE5B" w14:textId="102B5AF3" w:rsidR="00DB5172" w:rsidRDefault="00DB5172" w:rsidP="00F02208">
      <w:pPr>
        <w:spacing w:line="480" w:lineRule="auto"/>
        <w:rPr>
          <w:rFonts w:ascii="Times New Roman" w:hAnsi="Times New Roman" w:cs="Times New Roman"/>
          <w:b/>
        </w:rPr>
      </w:pPr>
      <w:r>
        <w:rPr>
          <w:rFonts w:ascii="Times New Roman" w:hAnsi="Times New Roman" w:cs="Times New Roman"/>
          <w:b/>
        </w:rPr>
        <w:t>RESULTS</w:t>
      </w:r>
    </w:p>
    <w:p w14:paraId="26AFE87C" w14:textId="2081EAFF" w:rsidR="0040064F" w:rsidRPr="00892D24" w:rsidRDefault="0040064F" w:rsidP="00F02208">
      <w:pPr>
        <w:spacing w:line="480" w:lineRule="auto"/>
        <w:rPr>
          <w:rFonts w:ascii="Times New Roman" w:hAnsi="Times New Roman" w:cs="Times New Roman"/>
          <w:b/>
        </w:rPr>
      </w:pPr>
      <w:r w:rsidRPr="00892D24">
        <w:rPr>
          <w:rFonts w:ascii="Times New Roman" w:hAnsi="Times New Roman" w:cs="Times New Roman"/>
          <w:b/>
        </w:rPr>
        <w:t xml:space="preserve">Sample </w:t>
      </w:r>
    </w:p>
    <w:p w14:paraId="3320FF5F" w14:textId="77DA8442" w:rsidR="00892D24" w:rsidRPr="00892D24" w:rsidRDefault="00892D24" w:rsidP="00F02208">
      <w:pPr>
        <w:spacing w:line="480" w:lineRule="auto"/>
        <w:rPr>
          <w:rFonts w:ascii="Times New Roman" w:hAnsi="Times New Roman" w:cs="Times New Roman"/>
          <w:b/>
          <w:i/>
        </w:rPr>
      </w:pPr>
      <w:r>
        <w:rPr>
          <w:rFonts w:ascii="Times New Roman" w:hAnsi="Times New Roman" w:cs="Times New Roman"/>
          <w:b/>
          <w:i/>
        </w:rPr>
        <w:t>Pilot Testing</w:t>
      </w:r>
    </w:p>
    <w:p w14:paraId="27D85CDD" w14:textId="35378B70" w:rsidR="00185041" w:rsidRDefault="00E867B2" w:rsidP="00185041">
      <w:pPr>
        <w:spacing w:line="480" w:lineRule="auto"/>
        <w:rPr>
          <w:rFonts w:ascii="Times New Roman" w:hAnsi="Times New Roman" w:cs="Times New Roman"/>
        </w:rPr>
      </w:pPr>
      <w:r>
        <w:rPr>
          <w:rFonts w:ascii="Times New Roman" w:hAnsi="Times New Roman" w:cs="Times New Roman"/>
        </w:rPr>
        <w:t>Five patients (three males and two females) with a mean age of 51 years completed the pilot testing interviews. Patients had either liver, testicular, bowel</w:t>
      </w:r>
      <w:r w:rsidR="007A59DD">
        <w:rPr>
          <w:rFonts w:ascii="Times New Roman" w:hAnsi="Times New Roman" w:cs="Times New Roman"/>
        </w:rPr>
        <w:t xml:space="preserve"> cancer</w:t>
      </w:r>
      <w:r>
        <w:rPr>
          <w:rFonts w:ascii="Times New Roman" w:hAnsi="Times New Roman" w:cs="Times New Roman"/>
        </w:rPr>
        <w:t xml:space="preserve">, </w:t>
      </w:r>
      <w:r w:rsidR="007A59DD">
        <w:rPr>
          <w:rFonts w:ascii="Times New Roman" w:hAnsi="Times New Roman" w:cs="Times New Roman"/>
        </w:rPr>
        <w:t>o</w:t>
      </w:r>
      <w:r>
        <w:rPr>
          <w:rFonts w:ascii="Times New Roman" w:hAnsi="Times New Roman" w:cs="Times New Roman"/>
        </w:rPr>
        <w:t>r lymphoma, and one</w:t>
      </w:r>
      <w:r w:rsidR="007A59DD">
        <w:rPr>
          <w:rFonts w:ascii="Times New Roman" w:hAnsi="Times New Roman" w:cs="Times New Roman"/>
        </w:rPr>
        <w:t xml:space="preserve"> patient</w:t>
      </w:r>
      <w:r>
        <w:rPr>
          <w:rFonts w:ascii="Times New Roman" w:hAnsi="Times New Roman" w:cs="Times New Roman"/>
        </w:rPr>
        <w:t xml:space="preserve"> had </w:t>
      </w:r>
      <w:r w:rsidR="007A59DD" w:rsidRPr="00892D24">
        <w:rPr>
          <w:rFonts w:ascii="Times New Roman" w:hAnsi="Times New Roman" w:cs="Times New Roman"/>
        </w:rPr>
        <w:t>breast, lung, and bowel cancer, as well as secondary liver cancer.</w:t>
      </w:r>
      <w:r w:rsidR="00313667">
        <w:rPr>
          <w:rFonts w:ascii="Times New Roman" w:hAnsi="Times New Roman" w:cs="Times New Roman"/>
        </w:rPr>
        <w:t xml:space="preserve"> More details</w:t>
      </w:r>
      <w:r w:rsidR="0075134C">
        <w:rPr>
          <w:rFonts w:ascii="Times New Roman" w:hAnsi="Times New Roman" w:cs="Times New Roman"/>
        </w:rPr>
        <w:t xml:space="preserve"> regarding demographic and clinical </w:t>
      </w:r>
      <w:r w:rsidR="00A369B5">
        <w:rPr>
          <w:rFonts w:ascii="Times New Roman" w:hAnsi="Times New Roman" w:cs="Times New Roman"/>
        </w:rPr>
        <w:t>characteristics</w:t>
      </w:r>
      <w:r w:rsidR="00313667">
        <w:rPr>
          <w:rFonts w:ascii="Times New Roman" w:hAnsi="Times New Roman" w:cs="Times New Roman"/>
        </w:rPr>
        <w:t xml:space="preserve"> are provided in Table 1. </w:t>
      </w:r>
    </w:p>
    <w:p w14:paraId="7ECC5E6F" w14:textId="77777777" w:rsidR="00313667" w:rsidRPr="00313667" w:rsidRDefault="00313667" w:rsidP="00313667">
      <w:pPr>
        <w:rPr>
          <w:rFonts w:ascii="Times New Roman" w:hAnsi="Times New Roman" w:cs="Times New Roman"/>
        </w:rPr>
      </w:pPr>
      <w:r w:rsidRPr="00313667">
        <w:rPr>
          <w:rFonts w:ascii="Times New Roman" w:hAnsi="Times New Roman" w:cs="Times New Roman"/>
        </w:rPr>
        <w:t>Table 1. Demographic and clinical characteristics of the pilot testing population (n=5)</w:t>
      </w:r>
    </w:p>
    <w:tbl>
      <w:tblPr>
        <w:tblStyle w:val="ListTable3-Accent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tblGrid>
      <w:tr w:rsidR="00313667" w:rsidRPr="00313667" w14:paraId="711D5498" w14:textId="77777777" w:rsidTr="003E7481">
        <w:trPr>
          <w:cnfStyle w:val="100000000000" w:firstRow="1" w:lastRow="0" w:firstColumn="0" w:lastColumn="0" w:oddVBand="0" w:evenVBand="0" w:oddHBand="0" w:evenHBand="0" w:firstRowFirstColumn="0" w:firstRowLastColumn="0" w:lastRowFirstColumn="0" w:lastRowLastColumn="0"/>
          <w:trHeight w:val="408"/>
        </w:trPr>
        <w:tc>
          <w:tcPr>
            <w:cnfStyle w:val="001000000100" w:firstRow="0" w:lastRow="0" w:firstColumn="1" w:lastColumn="0" w:oddVBand="0" w:evenVBand="0" w:oddHBand="0" w:evenHBand="0" w:firstRowFirstColumn="1" w:firstRowLastColumn="0" w:lastRowFirstColumn="0" w:lastRowLastColumn="0"/>
            <w:tcW w:w="4106" w:type="dxa"/>
            <w:tcBorders>
              <w:bottom w:val="none" w:sz="0" w:space="0" w:color="auto"/>
              <w:right w:val="none" w:sz="0" w:space="0" w:color="auto"/>
            </w:tcBorders>
            <w:shd w:val="clear" w:color="auto" w:fill="auto"/>
          </w:tcPr>
          <w:p w14:paraId="014FBAD2" w14:textId="77777777" w:rsidR="00313667" w:rsidRPr="00313667" w:rsidRDefault="00313667" w:rsidP="00313667">
            <w:pPr>
              <w:rPr>
                <w:rFonts w:ascii="Times New Roman" w:hAnsi="Times New Roman" w:cs="Times New Roman"/>
                <w:color w:val="auto"/>
                <w:sz w:val="18"/>
                <w:szCs w:val="18"/>
              </w:rPr>
            </w:pPr>
            <w:r w:rsidRPr="00313667">
              <w:rPr>
                <w:rFonts w:ascii="Times New Roman" w:hAnsi="Times New Roman" w:cs="Times New Roman"/>
                <w:color w:val="auto"/>
                <w:sz w:val="18"/>
                <w:szCs w:val="18"/>
              </w:rPr>
              <w:t>Variable</w:t>
            </w:r>
          </w:p>
        </w:tc>
        <w:tc>
          <w:tcPr>
            <w:tcW w:w="2693" w:type="dxa"/>
            <w:shd w:val="clear" w:color="auto" w:fill="auto"/>
          </w:tcPr>
          <w:p w14:paraId="6ABEAC61"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313667">
              <w:rPr>
                <w:rFonts w:ascii="Times New Roman" w:hAnsi="Times New Roman" w:cs="Times New Roman"/>
                <w:color w:val="auto"/>
                <w:sz w:val="18"/>
                <w:szCs w:val="18"/>
              </w:rPr>
              <w:t xml:space="preserve">Pilot testing sample </w:t>
            </w:r>
          </w:p>
          <w:p w14:paraId="2FE7F7E2"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313667">
              <w:rPr>
                <w:rFonts w:ascii="Times New Roman" w:hAnsi="Times New Roman" w:cs="Times New Roman"/>
                <w:color w:val="auto"/>
                <w:sz w:val="18"/>
                <w:szCs w:val="18"/>
              </w:rPr>
              <w:t>(n=5)</w:t>
            </w:r>
          </w:p>
        </w:tc>
      </w:tr>
      <w:tr w:rsidR="00313667" w:rsidRPr="00313667" w14:paraId="51ECAB3A" w14:textId="77777777" w:rsidTr="003E7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0D432D9A"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Age, years</w:t>
            </w:r>
          </w:p>
          <w:p w14:paraId="65393373"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Median</w:t>
            </w:r>
          </w:p>
          <w:p w14:paraId="5E77C00E"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Min-Max</w:t>
            </w:r>
          </w:p>
        </w:tc>
        <w:tc>
          <w:tcPr>
            <w:tcW w:w="2693" w:type="dxa"/>
            <w:tcBorders>
              <w:top w:val="none" w:sz="0" w:space="0" w:color="auto"/>
              <w:bottom w:val="none" w:sz="0" w:space="0" w:color="auto"/>
            </w:tcBorders>
          </w:tcPr>
          <w:p w14:paraId="330FCDE6"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05AD137"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51</w:t>
            </w:r>
          </w:p>
          <w:p w14:paraId="3718EA98"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(29-64)</w:t>
            </w:r>
          </w:p>
        </w:tc>
      </w:tr>
      <w:tr w:rsidR="00313667" w:rsidRPr="00313667" w14:paraId="4918C552" w14:textId="77777777" w:rsidTr="003E7481">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7F71A868"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Gender, n</w:t>
            </w:r>
          </w:p>
          <w:p w14:paraId="4656A3E7"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Male/Female</w:t>
            </w:r>
          </w:p>
        </w:tc>
        <w:tc>
          <w:tcPr>
            <w:tcW w:w="2693" w:type="dxa"/>
          </w:tcPr>
          <w:p w14:paraId="04DAB428"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53E10D6"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 2</w:t>
            </w:r>
          </w:p>
        </w:tc>
      </w:tr>
      <w:tr w:rsidR="00313667" w:rsidRPr="00313667" w14:paraId="40505BA2" w14:textId="77777777" w:rsidTr="003E7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5656C3FD"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Living status, n</w:t>
            </w:r>
          </w:p>
          <w:p w14:paraId="59A99BA6"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Living as a couple</w:t>
            </w:r>
          </w:p>
          <w:p w14:paraId="5AC507DE"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Living alone</w:t>
            </w:r>
          </w:p>
        </w:tc>
        <w:tc>
          <w:tcPr>
            <w:tcW w:w="2693" w:type="dxa"/>
            <w:tcBorders>
              <w:top w:val="none" w:sz="0" w:space="0" w:color="auto"/>
              <w:bottom w:val="none" w:sz="0" w:space="0" w:color="auto"/>
            </w:tcBorders>
          </w:tcPr>
          <w:p w14:paraId="53CBC450"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B3703C8"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w:t>
            </w:r>
          </w:p>
          <w:p w14:paraId="1898FDE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w:t>
            </w:r>
          </w:p>
        </w:tc>
      </w:tr>
      <w:tr w:rsidR="00313667" w:rsidRPr="00313667" w14:paraId="5C13EE4E" w14:textId="77777777" w:rsidTr="003E7481">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65D826D9"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Occupation, n</w:t>
            </w:r>
          </w:p>
          <w:p w14:paraId="30573A3C"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Full- or part-time employment</w:t>
            </w:r>
          </w:p>
          <w:p w14:paraId="1D61DCC0"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Retired</w:t>
            </w:r>
          </w:p>
        </w:tc>
        <w:tc>
          <w:tcPr>
            <w:tcW w:w="2693" w:type="dxa"/>
          </w:tcPr>
          <w:p w14:paraId="4E5E7A21"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9802FA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w:t>
            </w:r>
          </w:p>
          <w:p w14:paraId="65B140E8"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w:t>
            </w:r>
          </w:p>
        </w:tc>
      </w:tr>
      <w:tr w:rsidR="00313667" w:rsidRPr="00313667" w14:paraId="415E8FDF" w14:textId="77777777" w:rsidTr="003E7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03AA0101"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Education, n</w:t>
            </w:r>
          </w:p>
          <w:p w14:paraId="2BF52E99"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Left high school with no qualifications</w:t>
            </w:r>
          </w:p>
          <w:p w14:paraId="78097600"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Completed high school with qualifications</w:t>
            </w:r>
          </w:p>
          <w:p w14:paraId="1E00D6B6"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Other</w:t>
            </w:r>
          </w:p>
        </w:tc>
        <w:tc>
          <w:tcPr>
            <w:tcW w:w="2693" w:type="dxa"/>
            <w:tcBorders>
              <w:top w:val="none" w:sz="0" w:space="0" w:color="auto"/>
              <w:bottom w:val="none" w:sz="0" w:space="0" w:color="auto"/>
            </w:tcBorders>
          </w:tcPr>
          <w:p w14:paraId="2139CF9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1DCEA8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w:t>
            </w:r>
          </w:p>
          <w:p w14:paraId="531D483B"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w:t>
            </w:r>
          </w:p>
          <w:p w14:paraId="2568D275"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w:t>
            </w:r>
          </w:p>
        </w:tc>
      </w:tr>
      <w:tr w:rsidR="00313667" w:rsidRPr="00313667" w14:paraId="24683715" w14:textId="77777777" w:rsidTr="003E7481">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63C22EC8"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Type of cancer, n</w:t>
            </w:r>
          </w:p>
          <w:p w14:paraId="2B89A784"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 xml:space="preserve">Breast* </w:t>
            </w:r>
          </w:p>
          <w:p w14:paraId="5AEC4C44"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Lung*</w:t>
            </w:r>
          </w:p>
          <w:p w14:paraId="3636BA53"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Bowel*</w:t>
            </w:r>
          </w:p>
          <w:p w14:paraId="6C96D206"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Other*</w:t>
            </w:r>
          </w:p>
        </w:tc>
        <w:tc>
          <w:tcPr>
            <w:tcW w:w="2693" w:type="dxa"/>
          </w:tcPr>
          <w:p w14:paraId="71042225"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69EC9E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w:t>
            </w:r>
          </w:p>
          <w:p w14:paraId="54B52C8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w:t>
            </w:r>
          </w:p>
          <w:p w14:paraId="457A80C0"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w:t>
            </w:r>
          </w:p>
          <w:p w14:paraId="07AA1EB2"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w:t>
            </w:r>
          </w:p>
        </w:tc>
      </w:tr>
      <w:tr w:rsidR="00313667" w:rsidRPr="00313667" w14:paraId="66EAF74E" w14:textId="77777777" w:rsidTr="003E7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4D15DEBE"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Therapy</w:t>
            </w:r>
          </w:p>
          <w:p w14:paraId="5B0F0F1D"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Surgery**</w:t>
            </w:r>
          </w:p>
          <w:p w14:paraId="6BC3C18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Chemotherapy**</w:t>
            </w:r>
          </w:p>
          <w:p w14:paraId="4FE4F4E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Other</w:t>
            </w:r>
          </w:p>
        </w:tc>
        <w:tc>
          <w:tcPr>
            <w:tcW w:w="2693" w:type="dxa"/>
            <w:tcBorders>
              <w:top w:val="none" w:sz="0" w:space="0" w:color="auto"/>
              <w:bottom w:val="none" w:sz="0" w:space="0" w:color="auto"/>
            </w:tcBorders>
          </w:tcPr>
          <w:p w14:paraId="1D94CC4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06E0274"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w:t>
            </w:r>
          </w:p>
          <w:p w14:paraId="4761189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w:t>
            </w:r>
          </w:p>
          <w:p w14:paraId="72F9742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w:t>
            </w:r>
          </w:p>
        </w:tc>
      </w:tr>
    </w:tbl>
    <w:p w14:paraId="5F1E4912" w14:textId="77777777" w:rsidR="00313667" w:rsidRPr="00313667" w:rsidRDefault="00313667" w:rsidP="00313667">
      <w:pPr>
        <w:spacing w:after="0" w:line="240" w:lineRule="auto"/>
        <w:rPr>
          <w:rFonts w:ascii="Times New Roman" w:hAnsi="Times New Roman" w:cs="Times New Roman"/>
          <w:sz w:val="16"/>
          <w:szCs w:val="16"/>
        </w:rPr>
      </w:pPr>
      <w:r w:rsidRPr="00313667">
        <w:rPr>
          <w:rFonts w:ascii="Times New Roman" w:hAnsi="Times New Roman" w:cs="Times New Roman"/>
          <w:sz w:val="16"/>
          <w:szCs w:val="16"/>
        </w:rPr>
        <w:t xml:space="preserve">*One patient had breast, lung and bowel cancer, and secondary liver cancer </w:t>
      </w:r>
    </w:p>
    <w:p w14:paraId="37A60FF5" w14:textId="27E61A4C" w:rsidR="00313667" w:rsidRDefault="00313667" w:rsidP="00313667">
      <w:pPr>
        <w:spacing w:line="480" w:lineRule="auto"/>
        <w:rPr>
          <w:rFonts w:ascii="Times New Roman" w:hAnsi="Times New Roman" w:cs="Times New Roman"/>
        </w:rPr>
      </w:pPr>
      <w:r w:rsidRPr="00313667">
        <w:rPr>
          <w:rFonts w:ascii="Times New Roman" w:hAnsi="Times New Roman" w:cs="Times New Roman"/>
          <w:sz w:val="16"/>
          <w:szCs w:val="16"/>
        </w:rPr>
        <w:t>**One patient had both surgery and chemotherapy</w:t>
      </w:r>
    </w:p>
    <w:p w14:paraId="13E4F138" w14:textId="38374047" w:rsidR="00481737" w:rsidRPr="00892D24" w:rsidRDefault="00892D24" w:rsidP="00892D24">
      <w:pPr>
        <w:spacing w:line="480" w:lineRule="auto"/>
        <w:rPr>
          <w:rFonts w:ascii="Times New Roman" w:hAnsi="Times New Roman" w:cs="Times New Roman"/>
          <w:b/>
          <w:i/>
        </w:rPr>
      </w:pPr>
      <w:r>
        <w:rPr>
          <w:rFonts w:ascii="Times New Roman" w:hAnsi="Times New Roman" w:cs="Times New Roman"/>
          <w:b/>
          <w:i/>
        </w:rPr>
        <w:t>Equivalence Testing</w:t>
      </w:r>
    </w:p>
    <w:p w14:paraId="467AC8B9" w14:textId="109C5177" w:rsidR="00DA52F2" w:rsidRPr="00185041" w:rsidRDefault="00E867B2" w:rsidP="00185041">
      <w:pPr>
        <w:spacing w:after="0" w:line="480" w:lineRule="auto"/>
        <w:rPr>
          <w:rFonts w:ascii="Times New Roman" w:eastAsia="Arial" w:hAnsi="Times New Roman" w:cs="Times New Roman"/>
        </w:rPr>
      </w:pPr>
      <w:r>
        <w:rPr>
          <w:rFonts w:ascii="Times New Roman" w:eastAsia="Arial" w:hAnsi="Times New Roman" w:cs="Times New Roman"/>
        </w:rPr>
        <w:t>Sixty-three patients</w:t>
      </w:r>
      <w:r w:rsidR="007A59DD">
        <w:rPr>
          <w:rFonts w:ascii="Times New Roman" w:eastAsia="Arial" w:hAnsi="Times New Roman" w:cs="Times New Roman"/>
        </w:rPr>
        <w:t xml:space="preserve"> </w:t>
      </w:r>
      <w:r w:rsidR="00E47AA4">
        <w:rPr>
          <w:rFonts w:ascii="Times New Roman" w:eastAsia="Arial" w:hAnsi="Times New Roman" w:cs="Times New Roman"/>
        </w:rPr>
        <w:t>(26 f</w:t>
      </w:r>
      <w:r w:rsidR="00E47AA4" w:rsidRPr="00E47AA4">
        <w:rPr>
          <w:rFonts w:ascii="Times New Roman" w:eastAsia="Arial" w:hAnsi="Times New Roman" w:cs="Times New Roman"/>
        </w:rPr>
        <w:t>rom the first wave and 37 from the second wave</w:t>
      </w:r>
      <w:r w:rsidR="00E47AA4">
        <w:rPr>
          <w:rFonts w:ascii="Times New Roman" w:eastAsia="Arial" w:hAnsi="Times New Roman" w:cs="Times New Roman"/>
        </w:rPr>
        <w:t>)</w:t>
      </w:r>
      <w:r w:rsidR="00E47AA4" w:rsidRPr="00E47AA4">
        <w:rPr>
          <w:rFonts w:ascii="Times New Roman" w:eastAsia="Arial" w:hAnsi="Times New Roman" w:cs="Times New Roman"/>
        </w:rPr>
        <w:t xml:space="preserve"> </w:t>
      </w:r>
      <w:r>
        <w:rPr>
          <w:rFonts w:ascii="Times New Roman" w:eastAsia="Arial" w:hAnsi="Times New Roman" w:cs="Times New Roman"/>
        </w:rPr>
        <w:t>made up the total sample included in the equivalence testing.</w:t>
      </w:r>
      <w:r w:rsidR="005D0B93">
        <w:rPr>
          <w:rFonts w:ascii="Times New Roman" w:eastAsia="Arial" w:hAnsi="Times New Roman" w:cs="Times New Roman"/>
        </w:rPr>
        <w:t xml:space="preserve"> </w:t>
      </w:r>
      <w:r w:rsidR="007A59DD">
        <w:rPr>
          <w:rFonts w:ascii="Times New Roman" w:eastAsia="Arial" w:hAnsi="Times New Roman" w:cs="Times New Roman"/>
        </w:rPr>
        <w:t xml:space="preserve">Patients had a mean age of 55 years and 65% were female. Almost half of the sample (48%) was employed full- or part-time and 76% of patients were living as a couple. </w:t>
      </w:r>
      <w:r w:rsidR="00826942">
        <w:rPr>
          <w:rFonts w:ascii="Times New Roman" w:eastAsia="Arial" w:hAnsi="Times New Roman" w:cs="Times New Roman"/>
        </w:rPr>
        <w:t xml:space="preserve">Education levels varied with 41% of patients having obtained a bachelor’s or postgraduate </w:t>
      </w:r>
      <w:r w:rsidR="00826942">
        <w:rPr>
          <w:rFonts w:ascii="Times New Roman" w:eastAsia="Arial" w:hAnsi="Times New Roman" w:cs="Times New Roman"/>
        </w:rPr>
        <w:lastRenderedPageBreak/>
        <w:t xml:space="preserve">degree. </w:t>
      </w:r>
      <w:r w:rsidR="00BF7B1B">
        <w:rPr>
          <w:rFonts w:ascii="Times New Roman" w:eastAsia="Arial" w:hAnsi="Times New Roman" w:cs="Times New Roman"/>
        </w:rPr>
        <w:t xml:space="preserve">Breast cancer was the most common disease type, reported in 29% of patients, followed by prostate (11%), lung (10%), and bowel (6%) cancers. A large proportion of patients (41%) reported “other” disease types. The majority of patients were undergoing chemotherapy (25%) or hormone therapy (16%) and other types of treatment included surgery (11%), radiotherapy (10%), biological therapy (13%), mixed therapy (8%) and “other” types of treatment (18%). </w:t>
      </w:r>
      <w:r w:rsidR="007A59DD">
        <w:rPr>
          <w:rFonts w:ascii="Times New Roman" w:eastAsia="Arial" w:hAnsi="Times New Roman" w:cs="Times New Roman"/>
        </w:rPr>
        <w:t>Detailed demographic and clinical charact</w:t>
      </w:r>
      <w:r w:rsidR="00313667">
        <w:rPr>
          <w:rFonts w:ascii="Times New Roman" w:eastAsia="Arial" w:hAnsi="Times New Roman" w:cs="Times New Roman"/>
        </w:rPr>
        <w:t>eristics are provided in Table</w:t>
      </w:r>
      <w:r w:rsidR="00A369B5">
        <w:rPr>
          <w:rFonts w:ascii="Times New Roman" w:eastAsia="Arial" w:hAnsi="Times New Roman" w:cs="Times New Roman"/>
        </w:rPr>
        <w:t xml:space="preserve"> 2</w:t>
      </w:r>
      <w:r w:rsidR="007A59DD">
        <w:rPr>
          <w:rFonts w:ascii="Times New Roman" w:eastAsia="Arial" w:hAnsi="Times New Roman" w:cs="Times New Roman"/>
        </w:rPr>
        <w:t>, presented to indicate patients who completed the paper (n=31) or phone (n=32) versions of the QLQ-C30 first.</w:t>
      </w:r>
      <w:r w:rsidR="005D0B93">
        <w:rPr>
          <w:rFonts w:ascii="Times New Roman" w:eastAsia="Arial" w:hAnsi="Times New Roman" w:cs="Times New Roman"/>
        </w:rPr>
        <w:t xml:space="preserve"> </w:t>
      </w:r>
    </w:p>
    <w:p w14:paraId="3BC3A10D" w14:textId="44D0BD1F" w:rsidR="00313667" w:rsidRDefault="00313667" w:rsidP="00BF7B1B">
      <w:pPr>
        <w:rPr>
          <w:rFonts w:ascii="Times New Roman" w:hAnsi="Times New Roman" w:cs="Times New Roman"/>
        </w:rPr>
      </w:pPr>
    </w:p>
    <w:p w14:paraId="77CAA937" w14:textId="08979F36" w:rsidR="00BF7B1B" w:rsidRPr="00B37C52" w:rsidRDefault="00313667" w:rsidP="00BF7B1B">
      <w:pPr>
        <w:rPr>
          <w:rFonts w:ascii="Times New Roman" w:hAnsi="Times New Roman" w:cs="Times New Roman"/>
        </w:rPr>
      </w:pPr>
      <w:r>
        <w:rPr>
          <w:rFonts w:ascii="Times New Roman" w:hAnsi="Times New Roman" w:cs="Times New Roman"/>
        </w:rPr>
        <w:t>Table 2</w:t>
      </w:r>
      <w:r w:rsidR="00BF7B1B" w:rsidRPr="00B37C52">
        <w:rPr>
          <w:rFonts w:ascii="Times New Roman" w:hAnsi="Times New Roman" w:cs="Times New Roman"/>
        </w:rPr>
        <w:t>. Demographic and clinical characteristics of the equivalence testing population (n=63)</w:t>
      </w:r>
    </w:p>
    <w:tbl>
      <w:tblPr>
        <w:tblStyle w:val="ListTable3-Accent1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984"/>
        <w:gridCol w:w="1985"/>
      </w:tblGrid>
      <w:tr w:rsidR="00313667" w:rsidRPr="00313667" w14:paraId="49E194F8" w14:textId="77777777" w:rsidTr="003E7481">
        <w:trPr>
          <w:cnfStyle w:val="100000000000" w:firstRow="1" w:lastRow="0" w:firstColumn="0" w:lastColumn="0" w:oddVBand="0" w:evenVBand="0" w:oddHBand="0" w:evenHBand="0" w:firstRowFirstColumn="0" w:firstRowLastColumn="0" w:lastRowFirstColumn="0" w:lastRowLastColumn="0"/>
          <w:trHeight w:val="516"/>
          <w:tblHeader/>
        </w:trPr>
        <w:tc>
          <w:tcPr>
            <w:cnfStyle w:val="001000000100" w:firstRow="0" w:lastRow="0" w:firstColumn="1" w:lastColumn="0" w:oddVBand="0" w:evenVBand="0" w:oddHBand="0" w:evenHBand="0" w:firstRowFirstColumn="1" w:firstRowLastColumn="0" w:lastRowFirstColumn="0" w:lastRowLastColumn="0"/>
            <w:tcW w:w="3539" w:type="dxa"/>
            <w:vMerge w:val="restart"/>
            <w:tcBorders>
              <w:right w:val="none" w:sz="0" w:space="0" w:color="auto"/>
            </w:tcBorders>
            <w:shd w:val="clear" w:color="auto" w:fill="auto"/>
          </w:tcPr>
          <w:p w14:paraId="5ECEA73E" w14:textId="77777777" w:rsidR="00313667" w:rsidRPr="00313667" w:rsidRDefault="00313667" w:rsidP="00313667">
            <w:pPr>
              <w:jc w:val="center"/>
              <w:rPr>
                <w:rFonts w:ascii="Times New Roman" w:hAnsi="Times New Roman" w:cs="Times New Roman"/>
                <w:color w:val="auto"/>
                <w:sz w:val="18"/>
                <w:szCs w:val="18"/>
              </w:rPr>
            </w:pPr>
            <w:r w:rsidRPr="00313667">
              <w:rPr>
                <w:rFonts w:ascii="Times New Roman" w:hAnsi="Times New Roman" w:cs="Times New Roman"/>
                <w:color w:val="auto"/>
                <w:sz w:val="18"/>
                <w:szCs w:val="18"/>
              </w:rPr>
              <w:t>Variable</w:t>
            </w:r>
          </w:p>
        </w:tc>
        <w:tc>
          <w:tcPr>
            <w:tcW w:w="3827" w:type="dxa"/>
            <w:gridSpan w:val="2"/>
            <w:tcBorders>
              <w:bottom w:val="nil"/>
            </w:tcBorders>
            <w:shd w:val="clear" w:color="auto" w:fill="auto"/>
          </w:tcPr>
          <w:p w14:paraId="38F2EE9C"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313667">
              <w:rPr>
                <w:rFonts w:ascii="Times New Roman" w:hAnsi="Times New Roman" w:cs="Times New Roman"/>
                <w:color w:val="auto"/>
                <w:sz w:val="18"/>
                <w:szCs w:val="18"/>
              </w:rPr>
              <w:t>Randomisation group</w:t>
            </w:r>
          </w:p>
        </w:tc>
        <w:tc>
          <w:tcPr>
            <w:tcW w:w="1985" w:type="dxa"/>
            <w:tcBorders>
              <w:bottom w:val="nil"/>
            </w:tcBorders>
            <w:shd w:val="clear" w:color="auto" w:fill="auto"/>
          </w:tcPr>
          <w:p w14:paraId="5AB89E87" w14:textId="77777777" w:rsidR="00313667" w:rsidRPr="00313667" w:rsidRDefault="00313667" w:rsidP="00313667">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313667">
              <w:rPr>
                <w:rFonts w:ascii="Times New Roman" w:hAnsi="Times New Roman" w:cs="Times New Roman"/>
                <w:color w:val="auto"/>
                <w:sz w:val="18"/>
                <w:szCs w:val="18"/>
              </w:rPr>
              <w:t>Total</w:t>
            </w:r>
          </w:p>
          <w:p w14:paraId="77A6824C"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313667">
              <w:rPr>
                <w:rFonts w:ascii="Times New Roman" w:hAnsi="Times New Roman" w:cs="Times New Roman"/>
                <w:color w:val="auto"/>
                <w:sz w:val="18"/>
                <w:szCs w:val="18"/>
              </w:rPr>
              <w:t>(n=63)</w:t>
            </w:r>
          </w:p>
        </w:tc>
      </w:tr>
      <w:tr w:rsidR="00313667" w:rsidRPr="00313667" w14:paraId="2DFDCEFA" w14:textId="77777777" w:rsidTr="00743652">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100" w:firstRow="0" w:lastRow="0" w:firstColumn="1" w:lastColumn="0" w:oddVBand="0" w:evenVBand="0" w:oddHBand="0" w:evenHBand="0" w:firstRowFirstColumn="1" w:firstRowLastColumn="0" w:lastRowFirstColumn="0" w:lastRowLastColumn="0"/>
            <w:tcW w:w="3539" w:type="dxa"/>
            <w:vMerge/>
            <w:tcBorders>
              <w:bottom w:val="single" w:sz="4" w:space="0" w:color="auto"/>
              <w:right w:val="none" w:sz="0" w:space="0" w:color="auto"/>
            </w:tcBorders>
            <w:shd w:val="clear" w:color="auto" w:fill="auto"/>
          </w:tcPr>
          <w:p w14:paraId="6E1CD591" w14:textId="77777777" w:rsidR="00313667" w:rsidRPr="00313667" w:rsidRDefault="00313667" w:rsidP="00313667">
            <w:pPr>
              <w:rPr>
                <w:rFonts w:ascii="Times New Roman" w:hAnsi="Times New Roman" w:cs="Times New Roman"/>
                <w:color w:val="auto"/>
                <w:sz w:val="18"/>
                <w:szCs w:val="18"/>
              </w:rPr>
            </w:pPr>
          </w:p>
        </w:tc>
        <w:tc>
          <w:tcPr>
            <w:tcW w:w="1843" w:type="dxa"/>
            <w:tcBorders>
              <w:top w:val="nil"/>
              <w:bottom w:val="single" w:sz="4" w:space="0" w:color="auto"/>
              <w:right w:val="nil"/>
            </w:tcBorders>
            <w:shd w:val="clear" w:color="auto" w:fill="auto"/>
          </w:tcPr>
          <w:p w14:paraId="633A15F5"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313667">
              <w:rPr>
                <w:rFonts w:ascii="Times New Roman" w:hAnsi="Times New Roman" w:cs="Times New Roman"/>
                <w:color w:val="auto"/>
                <w:sz w:val="18"/>
                <w:szCs w:val="18"/>
              </w:rPr>
              <w:t>Paper version first (n=31)</w:t>
            </w:r>
          </w:p>
        </w:tc>
        <w:tc>
          <w:tcPr>
            <w:tcW w:w="1984" w:type="dxa"/>
            <w:tcBorders>
              <w:top w:val="nil"/>
              <w:left w:val="nil"/>
              <w:bottom w:val="single" w:sz="4" w:space="0" w:color="auto"/>
            </w:tcBorders>
            <w:shd w:val="clear" w:color="auto" w:fill="auto"/>
          </w:tcPr>
          <w:p w14:paraId="466942A0"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313667">
              <w:rPr>
                <w:rFonts w:ascii="Times New Roman" w:hAnsi="Times New Roman" w:cs="Times New Roman"/>
                <w:color w:val="auto"/>
                <w:sz w:val="18"/>
                <w:szCs w:val="18"/>
              </w:rPr>
              <w:t>Phone version first (n=32)</w:t>
            </w:r>
          </w:p>
        </w:tc>
        <w:tc>
          <w:tcPr>
            <w:tcW w:w="1985" w:type="dxa"/>
            <w:tcBorders>
              <w:top w:val="nil"/>
              <w:bottom w:val="single" w:sz="4" w:space="0" w:color="auto"/>
            </w:tcBorders>
            <w:shd w:val="clear" w:color="auto" w:fill="auto"/>
          </w:tcPr>
          <w:p w14:paraId="4F2DE02C" w14:textId="77777777" w:rsidR="00313667" w:rsidRPr="00313667" w:rsidRDefault="00313667" w:rsidP="003136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313667" w:rsidRPr="00313667" w14:paraId="4E266004" w14:textId="77777777" w:rsidTr="007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bottom w:val="single" w:sz="4" w:space="0" w:color="auto"/>
              <w:right w:val="none" w:sz="0" w:space="0" w:color="auto"/>
            </w:tcBorders>
          </w:tcPr>
          <w:p w14:paraId="7CFA223C"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Age, years</w:t>
            </w:r>
          </w:p>
          <w:p w14:paraId="23005AB3"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bCs w:val="0"/>
                <w:sz w:val="18"/>
                <w:szCs w:val="18"/>
              </w:rPr>
              <w:t xml:space="preserve">n (Missing) </w:t>
            </w:r>
          </w:p>
          <w:p w14:paraId="5FA44517"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Mean (SD)</w:t>
            </w:r>
          </w:p>
          <w:p w14:paraId="3BFB68CF"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Median</w:t>
            </w:r>
          </w:p>
          <w:p w14:paraId="36F0A4CB"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Min-Max</w:t>
            </w:r>
          </w:p>
        </w:tc>
        <w:tc>
          <w:tcPr>
            <w:tcW w:w="1843" w:type="dxa"/>
            <w:tcBorders>
              <w:top w:val="single" w:sz="4" w:space="0" w:color="auto"/>
              <w:bottom w:val="single" w:sz="4" w:space="0" w:color="auto"/>
            </w:tcBorders>
          </w:tcPr>
          <w:p w14:paraId="48EEC02F"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A4FAD0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31 (0)</w:t>
            </w:r>
          </w:p>
          <w:p w14:paraId="2DACE8B7"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56.84 (13.83)</w:t>
            </w:r>
          </w:p>
          <w:p w14:paraId="5D6876C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59.00</w:t>
            </w:r>
          </w:p>
          <w:p w14:paraId="0BA21A13"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24.00 - 78.00</w:t>
            </w:r>
          </w:p>
        </w:tc>
        <w:tc>
          <w:tcPr>
            <w:tcW w:w="1984" w:type="dxa"/>
            <w:tcBorders>
              <w:top w:val="single" w:sz="4" w:space="0" w:color="auto"/>
              <w:bottom w:val="single" w:sz="4" w:space="0" w:color="auto"/>
            </w:tcBorders>
          </w:tcPr>
          <w:p w14:paraId="64CEF396"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263B388"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32 (0)</w:t>
            </w:r>
          </w:p>
          <w:p w14:paraId="75EB53C7"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54.16 (11.36)</w:t>
            </w:r>
          </w:p>
          <w:p w14:paraId="5FF9DE5F"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54.50</w:t>
            </w:r>
          </w:p>
          <w:p w14:paraId="0FD4BDB4"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31.00 - 79.00</w:t>
            </w:r>
          </w:p>
        </w:tc>
        <w:tc>
          <w:tcPr>
            <w:tcW w:w="1985" w:type="dxa"/>
            <w:tcBorders>
              <w:top w:val="single" w:sz="4" w:space="0" w:color="auto"/>
              <w:bottom w:val="single" w:sz="4" w:space="0" w:color="auto"/>
            </w:tcBorders>
          </w:tcPr>
          <w:p w14:paraId="6F7E580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p>
          <w:p w14:paraId="5D04539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63 (0)</w:t>
            </w:r>
          </w:p>
          <w:p w14:paraId="0A06DD16"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55.48 (12.61)</w:t>
            </w:r>
          </w:p>
          <w:p w14:paraId="445C4EB0"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58.00</w:t>
            </w:r>
          </w:p>
          <w:p w14:paraId="24438A8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24.00 - 79.00</w:t>
            </w:r>
          </w:p>
        </w:tc>
      </w:tr>
      <w:tr w:rsidR="00313667" w:rsidRPr="00313667" w14:paraId="5633E676" w14:textId="77777777" w:rsidTr="0074365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right w:val="none" w:sz="0" w:space="0" w:color="auto"/>
            </w:tcBorders>
          </w:tcPr>
          <w:p w14:paraId="313E66C6"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Gender, n (%)</w:t>
            </w:r>
          </w:p>
          <w:p w14:paraId="41F9944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 xml:space="preserve"> </w:t>
            </w:r>
            <w:r w:rsidRPr="00313667">
              <w:rPr>
                <w:rFonts w:ascii="Times New Roman" w:hAnsi="Times New Roman" w:cs="Times New Roman"/>
                <w:b w:val="0"/>
                <w:sz w:val="18"/>
                <w:szCs w:val="18"/>
              </w:rPr>
              <w:t>Male</w:t>
            </w:r>
          </w:p>
          <w:p w14:paraId="1EBADD56"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sz w:val="18"/>
                <w:szCs w:val="18"/>
              </w:rPr>
              <w:t xml:space="preserve"> Female</w:t>
            </w:r>
          </w:p>
        </w:tc>
        <w:tc>
          <w:tcPr>
            <w:tcW w:w="1843" w:type="dxa"/>
            <w:tcBorders>
              <w:top w:val="single" w:sz="4" w:space="0" w:color="auto"/>
            </w:tcBorders>
          </w:tcPr>
          <w:p w14:paraId="01C9E8C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9F437DE"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12 (38.7%)</w:t>
            </w:r>
          </w:p>
          <w:p w14:paraId="6910191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19 (61.3%)</w:t>
            </w:r>
          </w:p>
        </w:tc>
        <w:tc>
          <w:tcPr>
            <w:tcW w:w="1984" w:type="dxa"/>
            <w:tcBorders>
              <w:top w:val="single" w:sz="4" w:space="0" w:color="auto"/>
            </w:tcBorders>
          </w:tcPr>
          <w:p w14:paraId="29A059B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79F3FDE"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10 (31.3%)</w:t>
            </w:r>
          </w:p>
          <w:p w14:paraId="0361CE77"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22 (68.8%)</w:t>
            </w:r>
          </w:p>
        </w:tc>
        <w:tc>
          <w:tcPr>
            <w:tcW w:w="1985" w:type="dxa"/>
            <w:tcBorders>
              <w:top w:val="single" w:sz="4" w:space="0" w:color="auto"/>
            </w:tcBorders>
          </w:tcPr>
          <w:p w14:paraId="5A3A6227"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CD4517B"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22 (34.9%)</w:t>
            </w:r>
          </w:p>
          <w:p w14:paraId="484690F5"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41 (65.1%)</w:t>
            </w:r>
          </w:p>
        </w:tc>
      </w:tr>
      <w:tr w:rsidR="00313667" w:rsidRPr="00313667" w14:paraId="1BDCC717" w14:textId="77777777" w:rsidTr="003E7481">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201D2672"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Living status, n (%)</w:t>
            </w:r>
          </w:p>
          <w:p w14:paraId="19589445"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Living alone</w:t>
            </w:r>
          </w:p>
          <w:p w14:paraId="763CDF06"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Living as a couple</w:t>
            </w:r>
          </w:p>
          <w:p w14:paraId="1844DFB8"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Other</w:t>
            </w:r>
          </w:p>
        </w:tc>
        <w:tc>
          <w:tcPr>
            <w:tcW w:w="1843" w:type="dxa"/>
          </w:tcPr>
          <w:p w14:paraId="2547571C"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CE588A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(19.4%)</w:t>
            </w:r>
          </w:p>
          <w:p w14:paraId="4CB8C423"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23 (74.2%)</w:t>
            </w:r>
          </w:p>
          <w:p w14:paraId="67495F8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(6.5%)</w:t>
            </w:r>
          </w:p>
        </w:tc>
        <w:tc>
          <w:tcPr>
            <w:tcW w:w="1984" w:type="dxa"/>
          </w:tcPr>
          <w:p w14:paraId="04E1F48B"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B6F24B4"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(9.4%)</w:t>
            </w:r>
          </w:p>
          <w:p w14:paraId="21DFEDAD"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25 (78.1%)</w:t>
            </w:r>
          </w:p>
          <w:p w14:paraId="26ADC90F"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tc>
        <w:tc>
          <w:tcPr>
            <w:tcW w:w="1985" w:type="dxa"/>
          </w:tcPr>
          <w:p w14:paraId="74071BA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p>
          <w:p w14:paraId="4FBD3315"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9 (14.3%)</w:t>
            </w:r>
          </w:p>
          <w:p w14:paraId="285D7CE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48 (76.2%)</w:t>
            </w:r>
          </w:p>
          <w:p w14:paraId="258C8BD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(9.5%)</w:t>
            </w:r>
          </w:p>
        </w:tc>
      </w:tr>
      <w:tr w:rsidR="00313667" w:rsidRPr="00313667" w14:paraId="07C22E28" w14:textId="77777777" w:rsidTr="003E7481">
        <w:trPr>
          <w:trHeight w:val="1649"/>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7FCE81FC"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Occupation, n (%)</w:t>
            </w:r>
          </w:p>
          <w:p w14:paraId="305DAF70"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Full/part time employment Homemaker/housewife</w:t>
            </w:r>
          </w:p>
          <w:p w14:paraId="15201E27"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Student</w:t>
            </w:r>
          </w:p>
          <w:p w14:paraId="0C317611"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Unemployed</w:t>
            </w:r>
          </w:p>
          <w:p w14:paraId="608B30F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Retired</w:t>
            </w:r>
          </w:p>
          <w:p w14:paraId="56E2FFF9"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Other</w:t>
            </w:r>
          </w:p>
          <w:p w14:paraId="5D82D7C9"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Full/part time employment and Homemaker</w:t>
            </w:r>
          </w:p>
        </w:tc>
        <w:tc>
          <w:tcPr>
            <w:tcW w:w="1843" w:type="dxa"/>
          </w:tcPr>
          <w:p w14:paraId="7F9D1C2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94EC23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11 (35.5%)</w:t>
            </w:r>
          </w:p>
          <w:p w14:paraId="6D7E7A8B"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(3.2%)</w:t>
            </w:r>
          </w:p>
          <w:p w14:paraId="28302547"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(3.2%)</w:t>
            </w:r>
          </w:p>
          <w:p w14:paraId="5A12D528"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(6.5%)</w:t>
            </w:r>
          </w:p>
          <w:p w14:paraId="1F883A7F"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9 (29.0%)</w:t>
            </w:r>
          </w:p>
          <w:p w14:paraId="4838E13E"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(12.9%)</w:t>
            </w:r>
          </w:p>
          <w:p w14:paraId="4925EFD3"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(9.7%)</w:t>
            </w:r>
          </w:p>
        </w:tc>
        <w:tc>
          <w:tcPr>
            <w:tcW w:w="1984" w:type="dxa"/>
          </w:tcPr>
          <w:p w14:paraId="4F6E457F"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46CFCC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19 (59.4%)</w:t>
            </w:r>
          </w:p>
          <w:p w14:paraId="742AC18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(6.3%)</w:t>
            </w:r>
          </w:p>
          <w:p w14:paraId="275014D7"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0 (0.0%)</w:t>
            </w:r>
          </w:p>
          <w:p w14:paraId="463C550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(3.1%)</w:t>
            </w:r>
          </w:p>
          <w:p w14:paraId="13977824"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(18.8%)</w:t>
            </w:r>
          </w:p>
          <w:p w14:paraId="34E8BB32"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p w14:paraId="5F6236E4"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0 (0.0%)</w:t>
            </w:r>
          </w:p>
        </w:tc>
        <w:tc>
          <w:tcPr>
            <w:tcW w:w="1985" w:type="dxa"/>
          </w:tcPr>
          <w:p w14:paraId="55E0BED7"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p>
          <w:p w14:paraId="2A061B2B"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30 (47.6%)</w:t>
            </w:r>
          </w:p>
          <w:p w14:paraId="474D0B06"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(4.8%)</w:t>
            </w:r>
          </w:p>
          <w:p w14:paraId="71ACCD2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(1.6%)</w:t>
            </w:r>
          </w:p>
          <w:p w14:paraId="0D483C0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(4.8%)</w:t>
            </w:r>
          </w:p>
          <w:p w14:paraId="27346636"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15 (23.8%)</w:t>
            </w:r>
          </w:p>
          <w:p w14:paraId="2041F4E5"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8 (12.7%)</w:t>
            </w:r>
          </w:p>
          <w:p w14:paraId="1D5CAF6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(4.8%)</w:t>
            </w:r>
          </w:p>
        </w:tc>
      </w:tr>
      <w:tr w:rsidR="00313667" w:rsidRPr="00313667" w14:paraId="603BBF68" w14:textId="77777777" w:rsidTr="003E7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3F71744C"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sz w:val="18"/>
                <w:szCs w:val="18"/>
              </w:rPr>
              <w:t>Education level, n (%)</w:t>
            </w:r>
          </w:p>
          <w:p w14:paraId="7E87512F"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Left high school with no qualifications</w:t>
            </w:r>
          </w:p>
          <w:p w14:paraId="28428684"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Completed high school with qualifications</w:t>
            </w:r>
          </w:p>
          <w:p w14:paraId="1B2F34F8"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Bachelor's degree</w:t>
            </w:r>
          </w:p>
          <w:p w14:paraId="7D0FDEB7"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Post-graduate degree</w:t>
            </w:r>
          </w:p>
          <w:p w14:paraId="64DFFD67"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Other</w:t>
            </w:r>
          </w:p>
        </w:tc>
        <w:tc>
          <w:tcPr>
            <w:tcW w:w="1843" w:type="dxa"/>
          </w:tcPr>
          <w:p w14:paraId="00093A0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D04D23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(6.5%)</w:t>
            </w:r>
          </w:p>
          <w:p w14:paraId="3D00C153"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10 (32.3%)</w:t>
            </w:r>
          </w:p>
          <w:p w14:paraId="610569B0"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(19.4%)</w:t>
            </w:r>
          </w:p>
          <w:p w14:paraId="27B46B4B"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8 (25.8%)</w:t>
            </w:r>
          </w:p>
          <w:p w14:paraId="4F84D45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 (16.1%)</w:t>
            </w:r>
          </w:p>
        </w:tc>
        <w:tc>
          <w:tcPr>
            <w:tcW w:w="1984" w:type="dxa"/>
          </w:tcPr>
          <w:p w14:paraId="35D3F5DD"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F8BDF5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p w14:paraId="54043EC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12 (37.5%)</w:t>
            </w:r>
          </w:p>
          <w:p w14:paraId="41E97C9C"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p w14:paraId="355E537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8 (25.0%)</w:t>
            </w:r>
          </w:p>
          <w:p w14:paraId="7EB52AE3"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tc>
        <w:tc>
          <w:tcPr>
            <w:tcW w:w="1985" w:type="dxa"/>
          </w:tcPr>
          <w:p w14:paraId="073B2FD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p>
          <w:p w14:paraId="04A62764"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(9.5%)</w:t>
            </w:r>
          </w:p>
          <w:p w14:paraId="7541DF3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22 (34.9%)</w:t>
            </w:r>
          </w:p>
          <w:p w14:paraId="7B1D7AE0"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10 (15.9%)</w:t>
            </w:r>
          </w:p>
          <w:p w14:paraId="34FFD63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16 (25.4%)</w:t>
            </w:r>
          </w:p>
          <w:p w14:paraId="55CACD88"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9 (14.3%)</w:t>
            </w:r>
          </w:p>
        </w:tc>
      </w:tr>
      <w:tr w:rsidR="00313667" w:rsidRPr="00313667" w14:paraId="081DBCD3" w14:textId="77777777" w:rsidTr="003E7481">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right w:val="none" w:sz="0" w:space="0" w:color="auto"/>
            </w:tcBorders>
          </w:tcPr>
          <w:p w14:paraId="6F2AF349"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Type of cancer, n (%)</w:t>
            </w:r>
          </w:p>
          <w:p w14:paraId="5DC4370C"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sz w:val="18"/>
                <w:szCs w:val="18"/>
              </w:rPr>
              <w:t xml:space="preserve"> </w:t>
            </w:r>
            <w:r w:rsidRPr="00313667">
              <w:rPr>
                <w:rFonts w:ascii="Times New Roman" w:hAnsi="Times New Roman" w:cs="Times New Roman"/>
                <w:b w:val="0"/>
                <w:sz w:val="18"/>
                <w:szCs w:val="18"/>
              </w:rPr>
              <w:t>Breast</w:t>
            </w:r>
          </w:p>
          <w:p w14:paraId="4B80A731"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 xml:space="preserve"> Prostate</w:t>
            </w:r>
          </w:p>
          <w:p w14:paraId="219AE8D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 xml:space="preserve"> Lung</w:t>
            </w:r>
          </w:p>
          <w:p w14:paraId="4EE3DC2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 xml:space="preserve"> Bowel</w:t>
            </w:r>
          </w:p>
          <w:p w14:paraId="168249D2"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 xml:space="preserve"> Other</w:t>
            </w:r>
          </w:p>
          <w:p w14:paraId="1F56BBDB" w14:textId="77777777" w:rsidR="00313667" w:rsidRPr="00313667" w:rsidRDefault="00313667" w:rsidP="00313667">
            <w:pPr>
              <w:rPr>
                <w:rFonts w:ascii="Times New Roman" w:hAnsi="Times New Roman" w:cs="Times New Roman"/>
                <w:b w:val="0"/>
                <w:sz w:val="18"/>
                <w:szCs w:val="18"/>
              </w:rPr>
            </w:pPr>
            <w:r w:rsidRPr="00313667">
              <w:rPr>
                <w:rFonts w:ascii="Times New Roman" w:hAnsi="Times New Roman" w:cs="Times New Roman"/>
                <w:b w:val="0"/>
                <w:sz w:val="18"/>
                <w:szCs w:val="18"/>
              </w:rPr>
              <w:t xml:space="preserve"> Kidney (metastatic)</w:t>
            </w:r>
          </w:p>
          <w:p w14:paraId="5D718DBC" w14:textId="77777777" w:rsidR="00313667" w:rsidRPr="00313667" w:rsidRDefault="00313667" w:rsidP="00313667">
            <w:pPr>
              <w:rPr>
                <w:rFonts w:ascii="Times New Roman" w:hAnsi="Times New Roman" w:cs="Times New Roman"/>
                <w:sz w:val="18"/>
                <w:szCs w:val="18"/>
              </w:rPr>
            </w:pPr>
            <w:r w:rsidRPr="00313667">
              <w:rPr>
                <w:rFonts w:ascii="Times New Roman" w:hAnsi="Times New Roman" w:cs="Times New Roman"/>
                <w:b w:val="0"/>
                <w:sz w:val="18"/>
                <w:szCs w:val="18"/>
              </w:rPr>
              <w:t xml:space="preserve"> Lung (Non-small cell)</w:t>
            </w:r>
          </w:p>
        </w:tc>
        <w:tc>
          <w:tcPr>
            <w:tcW w:w="1843" w:type="dxa"/>
            <w:tcBorders>
              <w:bottom w:val="single" w:sz="4" w:space="0" w:color="auto"/>
            </w:tcBorders>
          </w:tcPr>
          <w:p w14:paraId="68574295"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6A22D6F"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10 (32.3%)</w:t>
            </w:r>
          </w:p>
          <w:p w14:paraId="46B5FD53"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 (16.1%)</w:t>
            </w:r>
          </w:p>
          <w:p w14:paraId="4EC438AF"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 (16.1%)</w:t>
            </w:r>
          </w:p>
          <w:p w14:paraId="58BF821E"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(3.2%)</w:t>
            </w:r>
          </w:p>
          <w:p w14:paraId="45EF8BFE"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9 (29.0%)</w:t>
            </w:r>
          </w:p>
          <w:p w14:paraId="11DA79F9"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0 (0.0%)</w:t>
            </w:r>
          </w:p>
          <w:p w14:paraId="0586121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(3.2%)</w:t>
            </w:r>
          </w:p>
        </w:tc>
        <w:tc>
          <w:tcPr>
            <w:tcW w:w="1984" w:type="dxa"/>
            <w:tcBorders>
              <w:bottom w:val="single" w:sz="4" w:space="0" w:color="auto"/>
            </w:tcBorders>
          </w:tcPr>
          <w:p w14:paraId="03718F0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6896EC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8 (25.0%)</w:t>
            </w:r>
          </w:p>
          <w:p w14:paraId="516C1466"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(6.3%)</w:t>
            </w:r>
          </w:p>
          <w:p w14:paraId="3A575EC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(3.1%)</w:t>
            </w:r>
          </w:p>
          <w:p w14:paraId="44DCBED5"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(9.4%)</w:t>
            </w:r>
          </w:p>
          <w:p w14:paraId="6391BB7B"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17 (53.1%)</w:t>
            </w:r>
          </w:p>
          <w:p w14:paraId="68D2502C"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(3.1%)</w:t>
            </w:r>
          </w:p>
          <w:p w14:paraId="675A96C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0 (0.0%)</w:t>
            </w:r>
          </w:p>
        </w:tc>
        <w:tc>
          <w:tcPr>
            <w:tcW w:w="1985" w:type="dxa"/>
            <w:tcBorders>
              <w:bottom w:val="single" w:sz="4" w:space="0" w:color="auto"/>
            </w:tcBorders>
          </w:tcPr>
          <w:p w14:paraId="1958291E"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p>
          <w:p w14:paraId="662E13ED"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18 (28.6%)</w:t>
            </w:r>
          </w:p>
          <w:p w14:paraId="10BF5580"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7 (11.1%)</w:t>
            </w:r>
          </w:p>
          <w:p w14:paraId="173FC048"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(9.5%)</w:t>
            </w:r>
          </w:p>
          <w:p w14:paraId="03C04727"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(6.3%)</w:t>
            </w:r>
          </w:p>
          <w:p w14:paraId="0276511A"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26 (41.3%)</w:t>
            </w:r>
          </w:p>
          <w:p w14:paraId="10121330"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(1.6%)</w:t>
            </w:r>
          </w:p>
          <w:p w14:paraId="2076C985" w14:textId="77777777" w:rsidR="00313667" w:rsidRPr="00313667" w:rsidRDefault="00313667" w:rsidP="0031366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 (1.6%)</w:t>
            </w:r>
          </w:p>
        </w:tc>
      </w:tr>
      <w:tr w:rsidR="00313667" w:rsidRPr="00313667" w14:paraId="30E93BCA" w14:textId="77777777" w:rsidTr="003E7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bottom w:val="single" w:sz="4" w:space="0" w:color="auto"/>
              <w:right w:val="none" w:sz="0" w:space="0" w:color="auto"/>
            </w:tcBorders>
          </w:tcPr>
          <w:p w14:paraId="77E1A565" w14:textId="77777777" w:rsidR="00313667" w:rsidRPr="00313667" w:rsidRDefault="00313667" w:rsidP="00313667">
            <w:pPr>
              <w:rPr>
                <w:rFonts w:ascii="Times New Roman" w:hAnsi="Times New Roman" w:cs="Times New Roman"/>
                <w:bCs w:val="0"/>
                <w:sz w:val="18"/>
                <w:szCs w:val="18"/>
              </w:rPr>
            </w:pPr>
            <w:r w:rsidRPr="00313667">
              <w:rPr>
                <w:rFonts w:ascii="Times New Roman" w:hAnsi="Times New Roman" w:cs="Times New Roman"/>
                <w:bCs w:val="0"/>
                <w:sz w:val="18"/>
                <w:szCs w:val="18"/>
              </w:rPr>
              <w:t>Treatment*, n (%)</w:t>
            </w:r>
          </w:p>
          <w:p w14:paraId="2692FD1E"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Cs w:val="0"/>
                <w:sz w:val="18"/>
                <w:szCs w:val="18"/>
              </w:rPr>
              <w:t xml:space="preserve"> </w:t>
            </w:r>
            <w:r w:rsidRPr="00313667">
              <w:rPr>
                <w:rFonts w:ascii="Times New Roman" w:hAnsi="Times New Roman" w:cs="Times New Roman"/>
                <w:b w:val="0"/>
                <w:bCs w:val="0"/>
                <w:sz w:val="18"/>
                <w:szCs w:val="18"/>
              </w:rPr>
              <w:t>Surgery</w:t>
            </w:r>
          </w:p>
          <w:p w14:paraId="70053140"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bCs w:val="0"/>
                <w:sz w:val="18"/>
                <w:szCs w:val="18"/>
              </w:rPr>
              <w:t xml:space="preserve"> Chemotherapy</w:t>
            </w:r>
          </w:p>
          <w:p w14:paraId="123F5DC9"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bCs w:val="0"/>
                <w:sz w:val="18"/>
                <w:szCs w:val="18"/>
              </w:rPr>
              <w:t xml:space="preserve"> Radiotherapy</w:t>
            </w:r>
          </w:p>
          <w:p w14:paraId="23FDB379"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bCs w:val="0"/>
                <w:sz w:val="18"/>
                <w:szCs w:val="18"/>
              </w:rPr>
              <w:t xml:space="preserve"> Hormone therapy</w:t>
            </w:r>
          </w:p>
          <w:p w14:paraId="56DAFF6C"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bCs w:val="0"/>
                <w:sz w:val="18"/>
                <w:szCs w:val="18"/>
              </w:rPr>
              <w:t xml:space="preserve"> Biological therapy</w:t>
            </w:r>
          </w:p>
          <w:p w14:paraId="2A85C39A" w14:textId="77777777" w:rsidR="00313667" w:rsidRPr="00313667" w:rsidRDefault="00313667" w:rsidP="00313667">
            <w:pPr>
              <w:rPr>
                <w:rFonts w:ascii="Times New Roman" w:hAnsi="Times New Roman" w:cs="Times New Roman"/>
                <w:b w:val="0"/>
                <w:bCs w:val="0"/>
                <w:sz w:val="18"/>
                <w:szCs w:val="18"/>
              </w:rPr>
            </w:pPr>
            <w:r w:rsidRPr="00313667">
              <w:rPr>
                <w:rFonts w:ascii="Times New Roman" w:hAnsi="Times New Roman" w:cs="Times New Roman"/>
                <w:b w:val="0"/>
                <w:bCs w:val="0"/>
                <w:sz w:val="18"/>
                <w:szCs w:val="18"/>
              </w:rPr>
              <w:lastRenderedPageBreak/>
              <w:t xml:space="preserve"> Other</w:t>
            </w:r>
          </w:p>
          <w:p w14:paraId="68ADBDF7" w14:textId="77777777" w:rsidR="00313667" w:rsidRPr="00313667" w:rsidRDefault="00313667" w:rsidP="00313667">
            <w:pPr>
              <w:rPr>
                <w:rFonts w:ascii="Times New Roman" w:hAnsi="Times New Roman" w:cs="Times New Roman"/>
                <w:bCs w:val="0"/>
                <w:sz w:val="18"/>
                <w:szCs w:val="18"/>
              </w:rPr>
            </w:pPr>
            <w:r w:rsidRPr="00313667">
              <w:rPr>
                <w:rFonts w:ascii="Times New Roman" w:hAnsi="Times New Roman" w:cs="Times New Roman"/>
                <w:b w:val="0"/>
                <w:bCs w:val="0"/>
                <w:sz w:val="18"/>
                <w:szCs w:val="18"/>
              </w:rPr>
              <w:t xml:space="preserve"> Mixed</w:t>
            </w:r>
          </w:p>
        </w:tc>
        <w:tc>
          <w:tcPr>
            <w:tcW w:w="1843" w:type="dxa"/>
            <w:tcBorders>
              <w:top w:val="single" w:sz="4" w:space="0" w:color="auto"/>
              <w:bottom w:val="single" w:sz="4" w:space="0" w:color="auto"/>
            </w:tcBorders>
          </w:tcPr>
          <w:p w14:paraId="6C5D9075"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C7BCFA3"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(12.9%)</w:t>
            </w:r>
          </w:p>
          <w:p w14:paraId="14D9993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9 (29.0%)</w:t>
            </w:r>
          </w:p>
          <w:p w14:paraId="7AD806F4"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(6.5%)</w:t>
            </w:r>
          </w:p>
          <w:p w14:paraId="4C8FCA62"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(19.4%)</w:t>
            </w:r>
          </w:p>
          <w:p w14:paraId="4353E24D"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(6.5%)</w:t>
            </w:r>
          </w:p>
          <w:p w14:paraId="041D6F8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lastRenderedPageBreak/>
              <w:t>6 (19.4%)</w:t>
            </w:r>
          </w:p>
          <w:p w14:paraId="784B5EEF"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2 (6.5%)</w:t>
            </w:r>
          </w:p>
        </w:tc>
        <w:tc>
          <w:tcPr>
            <w:tcW w:w="1984" w:type="dxa"/>
            <w:tcBorders>
              <w:top w:val="single" w:sz="4" w:space="0" w:color="auto"/>
              <w:bottom w:val="single" w:sz="4" w:space="0" w:color="auto"/>
            </w:tcBorders>
          </w:tcPr>
          <w:p w14:paraId="7E85E41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18B5A15"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(9.4%)</w:t>
            </w:r>
          </w:p>
          <w:p w14:paraId="0A0BC5D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7 (21.9%)</w:t>
            </w:r>
          </w:p>
          <w:p w14:paraId="00B1F72B"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p w14:paraId="4663DE39"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4 (12.5%)</w:t>
            </w:r>
          </w:p>
          <w:p w14:paraId="005113F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(18.8%)</w:t>
            </w:r>
          </w:p>
          <w:p w14:paraId="4178A9B3"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lastRenderedPageBreak/>
              <w:t>5 (15.6%)</w:t>
            </w:r>
          </w:p>
          <w:p w14:paraId="4D131B3C"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3 (9.4%)</w:t>
            </w:r>
          </w:p>
        </w:tc>
        <w:tc>
          <w:tcPr>
            <w:tcW w:w="1985" w:type="dxa"/>
            <w:tcBorders>
              <w:top w:val="single" w:sz="4" w:space="0" w:color="auto"/>
              <w:bottom w:val="single" w:sz="4" w:space="0" w:color="auto"/>
            </w:tcBorders>
          </w:tcPr>
          <w:p w14:paraId="7108A18A"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highlight w:val="yellow"/>
              </w:rPr>
            </w:pPr>
          </w:p>
          <w:p w14:paraId="732A15A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7 (11.1%)</w:t>
            </w:r>
          </w:p>
          <w:p w14:paraId="308E997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16 (25.4%)</w:t>
            </w:r>
          </w:p>
          <w:p w14:paraId="69A146CF"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6 (9.5%)</w:t>
            </w:r>
          </w:p>
          <w:p w14:paraId="6B266D54"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10 (15.9%)</w:t>
            </w:r>
          </w:p>
          <w:p w14:paraId="3C3D3291"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8 (12.7%)</w:t>
            </w:r>
          </w:p>
          <w:p w14:paraId="12C9B2AE"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lastRenderedPageBreak/>
              <w:t>11 (17.5%)</w:t>
            </w:r>
          </w:p>
          <w:p w14:paraId="5ED8740F" w14:textId="77777777" w:rsidR="00313667" w:rsidRPr="00313667" w:rsidRDefault="00313667" w:rsidP="003136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13667">
              <w:rPr>
                <w:rFonts w:ascii="Times New Roman" w:hAnsi="Times New Roman" w:cs="Times New Roman"/>
                <w:sz w:val="18"/>
                <w:szCs w:val="18"/>
              </w:rPr>
              <w:t>5 (7.9%)</w:t>
            </w:r>
          </w:p>
        </w:tc>
      </w:tr>
    </w:tbl>
    <w:p w14:paraId="43E080C7" w14:textId="517133EC" w:rsidR="009546D2" w:rsidRDefault="00313667" w:rsidP="00E47AA4">
      <w:pPr>
        <w:spacing w:line="240" w:lineRule="auto"/>
        <w:rPr>
          <w:rFonts w:ascii="Times New Roman" w:hAnsi="Times New Roman" w:cs="Times New Roman"/>
          <w:sz w:val="18"/>
          <w:szCs w:val="18"/>
        </w:rPr>
      </w:pPr>
      <w:r w:rsidRPr="00313667">
        <w:rPr>
          <w:rFonts w:ascii="Times New Roman" w:hAnsi="Times New Roman" w:cs="Times New Roman"/>
          <w:sz w:val="18"/>
          <w:szCs w:val="18"/>
        </w:rPr>
        <w:lastRenderedPageBreak/>
        <w:t>*Patients could</w:t>
      </w:r>
      <w:r w:rsidR="00E47AA4">
        <w:rPr>
          <w:rFonts w:ascii="Times New Roman" w:hAnsi="Times New Roman" w:cs="Times New Roman"/>
          <w:sz w:val="18"/>
          <w:szCs w:val="18"/>
        </w:rPr>
        <w:t xml:space="preserve"> select more than one treatment</w:t>
      </w:r>
    </w:p>
    <w:p w14:paraId="7EE1B55B" w14:textId="64F06BE3" w:rsidR="00E47AA4" w:rsidRDefault="00B33549" w:rsidP="00B33549">
      <w:pPr>
        <w:spacing w:line="480" w:lineRule="auto"/>
        <w:rPr>
          <w:rFonts w:ascii="Times New Roman" w:hAnsi="Times New Roman" w:cs="Times New Roman"/>
        </w:rPr>
      </w:pPr>
      <w:r>
        <w:rPr>
          <w:rFonts w:ascii="Times New Roman" w:hAnsi="Times New Roman" w:cs="Times New Roman"/>
        </w:rPr>
        <w:t xml:space="preserve">Participants in both waves of testing were largely similar, with more considerable differences observed based on treatment type. Whereas 16.2% of patients reported undergoing surgery in the second wave of testing, only 3.8% reported it in the first wave. Moreover, no patients reported use of biological therapy in the second wave of testing, while 30.8% of patients reported it in the first wave. The full comparison of sociodemographic </w:t>
      </w:r>
      <w:r w:rsidR="00876CFD">
        <w:rPr>
          <w:rFonts w:ascii="Times New Roman" w:hAnsi="Times New Roman" w:cs="Times New Roman"/>
        </w:rPr>
        <w:t>differences is presented in Table 3.</w:t>
      </w:r>
    </w:p>
    <w:p w14:paraId="332B4039" w14:textId="1B2BE2B6" w:rsidR="00876CFD" w:rsidRPr="001076F0" w:rsidRDefault="00876CFD" w:rsidP="00876CFD">
      <w:pPr>
        <w:keepNext/>
        <w:tabs>
          <w:tab w:val="left" w:pos="1134"/>
        </w:tabs>
        <w:spacing w:after="60" w:line="276" w:lineRule="auto"/>
        <w:ind w:left="1134" w:hanging="1134"/>
        <w:jc w:val="both"/>
        <w:rPr>
          <w:rFonts w:ascii="Times New Roman" w:eastAsia="Calibri" w:hAnsi="Times New Roman" w:cs="Times New Roman"/>
          <w:iCs/>
        </w:rPr>
      </w:pPr>
      <w:bookmarkStart w:id="7" w:name="_Ref9346918"/>
      <w:r w:rsidRPr="001076F0">
        <w:rPr>
          <w:rFonts w:ascii="Times New Roman" w:eastAsia="Calibri" w:hAnsi="Times New Roman" w:cs="Times New Roman"/>
          <w:iCs/>
        </w:rPr>
        <w:t xml:space="preserve">Table </w:t>
      </w:r>
      <w:bookmarkEnd w:id="7"/>
      <w:r>
        <w:rPr>
          <w:rFonts w:ascii="Times New Roman" w:eastAsia="Calibri" w:hAnsi="Times New Roman" w:cs="Times New Roman"/>
          <w:iCs/>
          <w:noProof/>
        </w:rPr>
        <w:t>3</w:t>
      </w:r>
      <w:r w:rsidRPr="001076F0">
        <w:rPr>
          <w:rFonts w:ascii="Times New Roman" w:eastAsia="Calibri" w:hAnsi="Times New Roman" w:cs="Times New Roman"/>
          <w:iCs/>
        </w:rPr>
        <w:t>. Sociodemographic differences between patients from the two study waves</w:t>
      </w:r>
    </w:p>
    <w:tbl>
      <w:tblPr>
        <w:tblStyle w:val="ListTable3-Accent11"/>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1502"/>
        <w:gridCol w:w="1390"/>
        <w:gridCol w:w="1254"/>
      </w:tblGrid>
      <w:tr w:rsidR="00AF5B17" w:rsidRPr="001076F0" w14:paraId="0C52335C" w14:textId="77777777" w:rsidTr="00AF5B17">
        <w:trPr>
          <w:cnfStyle w:val="100000000000" w:firstRow="1" w:lastRow="0" w:firstColumn="0" w:lastColumn="0" w:oddVBand="0" w:evenVBand="0" w:oddHBand="0" w:evenHBand="0" w:firstRowFirstColumn="0" w:firstRowLastColumn="0" w:lastRowFirstColumn="0" w:lastRowLastColumn="0"/>
          <w:trHeight w:val="516"/>
          <w:tblHeader/>
        </w:trPr>
        <w:tc>
          <w:tcPr>
            <w:cnfStyle w:val="001000000100" w:firstRow="0" w:lastRow="0" w:firstColumn="1" w:lastColumn="0" w:oddVBand="0" w:evenVBand="0" w:oddHBand="0" w:evenHBand="0" w:firstRowFirstColumn="1" w:firstRowLastColumn="0" w:lastRowFirstColumn="0" w:lastRowLastColumn="0"/>
            <w:tcW w:w="3764" w:type="dxa"/>
            <w:vMerge w:val="restart"/>
            <w:shd w:val="clear" w:color="auto" w:fill="auto"/>
          </w:tcPr>
          <w:p w14:paraId="1D4B9BDB" w14:textId="77777777" w:rsidR="00AF5B17" w:rsidRPr="001076F0" w:rsidRDefault="00AF5B17" w:rsidP="009A6157">
            <w:pPr>
              <w:spacing w:before="0"/>
              <w:jc w:val="center"/>
              <w:rPr>
                <w:rFonts w:ascii="Times New Roman" w:hAnsi="Times New Roman" w:cs="Times New Roman"/>
                <w:color w:val="auto"/>
                <w:sz w:val="18"/>
                <w:szCs w:val="18"/>
              </w:rPr>
            </w:pPr>
            <w:r w:rsidRPr="001076F0">
              <w:rPr>
                <w:rFonts w:ascii="Times New Roman" w:hAnsi="Times New Roman" w:cs="Times New Roman"/>
                <w:color w:val="auto"/>
                <w:sz w:val="18"/>
                <w:szCs w:val="18"/>
              </w:rPr>
              <w:t>Variable</w:t>
            </w:r>
          </w:p>
        </w:tc>
        <w:tc>
          <w:tcPr>
            <w:tcW w:w="2892" w:type="dxa"/>
            <w:gridSpan w:val="2"/>
            <w:tcBorders>
              <w:bottom w:val="nil"/>
            </w:tcBorders>
            <w:shd w:val="clear" w:color="auto" w:fill="auto"/>
          </w:tcPr>
          <w:p w14:paraId="78A6EF88" w14:textId="77777777" w:rsidR="00AF5B17" w:rsidRPr="001076F0" w:rsidRDefault="00AF5B17" w:rsidP="009A615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Patients</w:t>
            </w:r>
          </w:p>
        </w:tc>
        <w:tc>
          <w:tcPr>
            <w:tcW w:w="1254" w:type="dxa"/>
            <w:tcBorders>
              <w:bottom w:val="nil"/>
            </w:tcBorders>
            <w:shd w:val="clear" w:color="auto" w:fill="auto"/>
          </w:tcPr>
          <w:p w14:paraId="37401F7B" w14:textId="77777777" w:rsidR="00AF5B17" w:rsidRPr="001076F0" w:rsidRDefault="00AF5B17" w:rsidP="009A615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Total</w:t>
            </w:r>
          </w:p>
          <w:p w14:paraId="32047AE4" w14:textId="77777777" w:rsidR="00AF5B17" w:rsidRPr="001076F0" w:rsidRDefault="00AF5B17" w:rsidP="009A615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(n=63)</w:t>
            </w:r>
          </w:p>
        </w:tc>
      </w:tr>
      <w:tr w:rsidR="00AF5B17" w:rsidRPr="001076F0" w14:paraId="1C0CA67E" w14:textId="77777777" w:rsidTr="00AF5B17">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100" w:firstRow="0" w:lastRow="0" w:firstColumn="1" w:lastColumn="0" w:oddVBand="0" w:evenVBand="0" w:oddHBand="0" w:evenHBand="0" w:firstRowFirstColumn="1" w:firstRowLastColumn="0" w:lastRowFirstColumn="0" w:lastRowLastColumn="0"/>
            <w:tcW w:w="3764" w:type="dxa"/>
            <w:vMerge/>
            <w:tcBorders>
              <w:bottom w:val="single" w:sz="4" w:space="0" w:color="auto"/>
            </w:tcBorders>
            <w:shd w:val="clear" w:color="auto" w:fill="auto"/>
          </w:tcPr>
          <w:p w14:paraId="48891847" w14:textId="77777777" w:rsidR="00AF5B17" w:rsidRPr="001076F0" w:rsidRDefault="00AF5B17" w:rsidP="009A6157">
            <w:pPr>
              <w:spacing w:before="0"/>
              <w:jc w:val="center"/>
              <w:rPr>
                <w:rFonts w:ascii="Times New Roman" w:hAnsi="Times New Roman" w:cs="Times New Roman"/>
                <w:color w:val="auto"/>
                <w:sz w:val="18"/>
                <w:szCs w:val="18"/>
              </w:rPr>
            </w:pPr>
          </w:p>
        </w:tc>
        <w:tc>
          <w:tcPr>
            <w:tcW w:w="1502" w:type="dxa"/>
            <w:tcBorders>
              <w:top w:val="nil"/>
              <w:bottom w:val="single" w:sz="4" w:space="0" w:color="auto"/>
              <w:right w:val="nil"/>
            </w:tcBorders>
            <w:shd w:val="clear" w:color="auto" w:fill="auto"/>
          </w:tcPr>
          <w:p w14:paraId="4E753D0D" w14:textId="77777777" w:rsidR="00AF5B17" w:rsidRPr="001076F0" w:rsidRDefault="00AF5B17" w:rsidP="009A615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Second wave of patients (n=37)</w:t>
            </w:r>
          </w:p>
        </w:tc>
        <w:tc>
          <w:tcPr>
            <w:tcW w:w="1390" w:type="dxa"/>
            <w:tcBorders>
              <w:top w:val="nil"/>
              <w:left w:val="nil"/>
              <w:bottom w:val="single" w:sz="4" w:space="0" w:color="auto"/>
            </w:tcBorders>
            <w:shd w:val="clear" w:color="auto" w:fill="auto"/>
          </w:tcPr>
          <w:p w14:paraId="02B3ECB9" w14:textId="77777777" w:rsidR="00AF5B17" w:rsidRPr="001076F0" w:rsidRDefault="00AF5B17" w:rsidP="009A615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First wave of patients (n=26)</w:t>
            </w:r>
          </w:p>
        </w:tc>
        <w:tc>
          <w:tcPr>
            <w:tcW w:w="1254" w:type="dxa"/>
            <w:tcBorders>
              <w:top w:val="nil"/>
              <w:bottom w:val="single" w:sz="4" w:space="0" w:color="auto"/>
            </w:tcBorders>
            <w:shd w:val="clear" w:color="auto" w:fill="auto"/>
          </w:tcPr>
          <w:p w14:paraId="4B8D363F" w14:textId="77777777" w:rsidR="00AF5B17" w:rsidRPr="001076F0" w:rsidRDefault="00AF5B17" w:rsidP="009A6157">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AF5B17" w:rsidRPr="001076F0" w14:paraId="7827ECD2" w14:textId="77777777" w:rsidTr="00AF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4" w:type="dxa"/>
            <w:tcBorders>
              <w:top w:val="single" w:sz="4" w:space="0" w:color="auto"/>
              <w:bottom w:val="single" w:sz="4" w:space="0" w:color="auto"/>
            </w:tcBorders>
          </w:tcPr>
          <w:p w14:paraId="2C5BEC04"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Age, years</w:t>
            </w:r>
          </w:p>
          <w:p w14:paraId="5D7A30CA"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n (Missing) </w:t>
            </w:r>
          </w:p>
          <w:p w14:paraId="33AE9F55"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Mean (SD)</w:t>
            </w:r>
          </w:p>
          <w:p w14:paraId="4D235393"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Median</w:t>
            </w:r>
          </w:p>
          <w:p w14:paraId="5F4A041E"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Min-Max</w:t>
            </w:r>
          </w:p>
        </w:tc>
        <w:tc>
          <w:tcPr>
            <w:tcW w:w="1502" w:type="dxa"/>
            <w:tcBorders>
              <w:top w:val="single" w:sz="4" w:space="0" w:color="auto"/>
              <w:bottom w:val="single" w:sz="4" w:space="0" w:color="auto"/>
            </w:tcBorders>
          </w:tcPr>
          <w:p w14:paraId="358CEB4F"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7A2C0B90"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37 (0)</w:t>
            </w:r>
          </w:p>
          <w:p w14:paraId="06C499A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52.51 (12.79)</w:t>
            </w:r>
          </w:p>
          <w:p w14:paraId="3F47B618"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56.00</w:t>
            </w:r>
          </w:p>
          <w:p w14:paraId="3D219E6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24.00 - 76.00</w:t>
            </w:r>
          </w:p>
        </w:tc>
        <w:tc>
          <w:tcPr>
            <w:tcW w:w="1390" w:type="dxa"/>
            <w:tcBorders>
              <w:top w:val="single" w:sz="4" w:space="0" w:color="auto"/>
              <w:bottom w:val="single" w:sz="4" w:space="0" w:color="auto"/>
            </w:tcBorders>
          </w:tcPr>
          <w:p w14:paraId="4DC757B2"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737C25E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26 (0)</w:t>
            </w:r>
          </w:p>
          <w:p w14:paraId="7CC7BBE7"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59.69 (11.27)</w:t>
            </w:r>
          </w:p>
          <w:p w14:paraId="15807FC9"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59.50</w:t>
            </w:r>
          </w:p>
          <w:p w14:paraId="7DB30706"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36.00 - 79.00</w:t>
            </w:r>
          </w:p>
        </w:tc>
        <w:tc>
          <w:tcPr>
            <w:tcW w:w="1254" w:type="dxa"/>
            <w:tcBorders>
              <w:top w:val="single" w:sz="4" w:space="0" w:color="auto"/>
              <w:bottom w:val="single" w:sz="4" w:space="0" w:color="auto"/>
            </w:tcBorders>
          </w:tcPr>
          <w:p w14:paraId="58217C8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17B3DB02"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63 (0)</w:t>
            </w:r>
          </w:p>
          <w:p w14:paraId="69E58E87"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55.48 (12.61)</w:t>
            </w:r>
          </w:p>
          <w:p w14:paraId="2699B0B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58.00</w:t>
            </w:r>
          </w:p>
          <w:p w14:paraId="711DA7AF"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24.00 - 79.00</w:t>
            </w:r>
          </w:p>
        </w:tc>
      </w:tr>
      <w:tr w:rsidR="00AF5B17" w:rsidRPr="001076F0" w14:paraId="122E303B" w14:textId="77777777" w:rsidTr="00AF5B17">
        <w:tc>
          <w:tcPr>
            <w:cnfStyle w:val="001000000000" w:firstRow="0" w:lastRow="0" w:firstColumn="1" w:lastColumn="0" w:oddVBand="0" w:evenVBand="0" w:oddHBand="0" w:evenHBand="0" w:firstRowFirstColumn="0" w:firstRowLastColumn="0" w:lastRowFirstColumn="0" w:lastRowLastColumn="0"/>
            <w:tcW w:w="3764" w:type="dxa"/>
            <w:tcBorders>
              <w:top w:val="single" w:sz="4" w:space="0" w:color="auto"/>
            </w:tcBorders>
          </w:tcPr>
          <w:p w14:paraId="2EB534A5" w14:textId="1F87479D"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Gender, n (%)</w:t>
            </w:r>
          </w:p>
          <w:p w14:paraId="78B15742"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Male</w:t>
            </w:r>
          </w:p>
          <w:p w14:paraId="466D7D75"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Female</w:t>
            </w:r>
          </w:p>
        </w:tc>
        <w:tc>
          <w:tcPr>
            <w:tcW w:w="1502" w:type="dxa"/>
            <w:tcBorders>
              <w:top w:val="single" w:sz="4" w:space="0" w:color="auto"/>
            </w:tcBorders>
          </w:tcPr>
          <w:p w14:paraId="7172BC5B"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59B0DA81"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8 (21.6%)</w:t>
            </w:r>
          </w:p>
          <w:p w14:paraId="70BB72FB"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29 (78.4%)</w:t>
            </w:r>
          </w:p>
        </w:tc>
        <w:tc>
          <w:tcPr>
            <w:tcW w:w="1390" w:type="dxa"/>
            <w:tcBorders>
              <w:top w:val="single" w:sz="4" w:space="0" w:color="auto"/>
            </w:tcBorders>
          </w:tcPr>
          <w:p w14:paraId="62370B81"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74C14BAC"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14 (53.8%)</w:t>
            </w:r>
          </w:p>
          <w:p w14:paraId="3680F055"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12 (46.2%)</w:t>
            </w:r>
          </w:p>
        </w:tc>
        <w:tc>
          <w:tcPr>
            <w:tcW w:w="1254" w:type="dxa"/>
            <w:tcBorders>
              <w:top w:val="single" w:sz="4" w:space="0" w:color="auto"/>
            </w:tcBorders>
          </w:tcPr>
          <w:p w14:paraId="0B90C79F"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4C46D0F7"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22 (34.9%)</w:t>
            </w:r>
          </w:p>
          <w:p w14:paraId="53CB6208"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41 (65.1%)</w:t>
            </w:r>
          </w:p>
        </w:tc>
      </w:tr>
      <w:tr w:rsidR="00AF5B17" w:rsidRPr="001076F0" w14:paraId="4FA1B78D" w14:textId="77777777" w:rsidTr="00AF5B17">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3764" w:type="dxa"/>
          </w:tcPr>
          <w:p w14:paraId="10FCF212" w14:textId="23D315C6"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Living status, n (%)</w:t>
            </w:r>
          </w:p>
          <w:p w14:paraId="52DF5D93"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Living alone</w:t>
            </w:r>
          </w:p>
          <w:p w14:paraId="5E15C3B7"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Living as a couple</w:t>
            </w:r>
          </w:p>
          <w:p w14:paraId="0402323A" w14:textId="77777777" w:rsidR="00AF5B17" w:rsidRPr="001076F0" w:rsidRDefault="00AF5B17" w:rsidP="009A6157">
            <w:pPr>
              <w:spacing w:before="0"/>
              <w:jc w:val="both"/>
              <w:rPr>
                <w:rFonts w:ascii="Times New Roman" w:hAnsi="Times New Roman" w:cs="Times New Roman"/>
                <w:b w:val="0"/>
                <w:bCs w:val="0"/>
                <w:color w:val="auto"/>
                <w:sz w:val="18"/>
                <w:szCs w:val="18"/>
              </w:rPr>
            </w:pPr>
            <w:r w:rsidRPr="001076F0">
              <w:rPr>
                <w:rFonts w:ascii="Times New Roman" w:hAnsi="Times New Roman" w:cs="Times New Roman"/>
                <w:color w:val="auto"/>
                <w:sz w:val="18"/>
                <w:szCs w:val="18"/>
              </w:rPr>
              <w:t>Other</w:t>
            </w:r>
          </w:p>
        </w:tc>
        <w:tc>
          <w:tcPr>
            <w:tcW w:w="1502" w:type="dxa"/>
          </w:tcPr>
          <w:p w14:paraId="634DA06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340E83C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(18.9%)</w:t>
            </w:r>
          </w:p>
          <w:p w14:paraId="2BE146C6"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25 (67.6%)</w:t>
            </w:r>
          </w:p>
          <w:p w14:paraId="7C64F497"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 (13.5%)</w:t>
            </w:r>
          </w:p>
        </w:tc>
        <w:tc>
          <w:tcPr>
            <w:tcW w:w="1390" w:type="dxa"/>
          </w:tcPr>
          <w:p w14:paraId="48083CD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7F11F06B"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 (7.7%)</w:t>
            </w:r>
          </w:p>
          <w:p w14:paraId="6E41388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23 (88.5%)</w:t>
            </w:r>
          </w:p>
          <w:p w14:paraId="5723407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(3.8%)</w:t>
            </w:r>
          </w:p>
        </w:tc>
        <w:tc>
          <w:tcPr>
            <w:tcW w:w="1254" w:type="dxa"/>
          </w:tcPr>
          <w:p w14:paraId="7E6D7EA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499FDF6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9 (14.3%)</w:t>
            </w:r>
          </w:p>
          <w:p w14:paraId="154B12A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48 (76.2%)</w:t>
            </w:r>
          </w:p>
          <w:p w14:paraId="7C17FB3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(9.5%)</w:t>
            </w:r>
          </w:p>
        </w:tc>
      </w:tr>
      <w:tr w:rsidR="00AF5B17" w:rsidRPr="001076F0" w14:paraId="5F3D3D81" w14:textId="77777777" w:rsidTr="00E6739F">
        <w:trPr>
          <w:trHeight w:val="1814"/>
        </w:trPr>
        <w:tc>
          <w:tcPr>
            <w:cnfStyle w:val="001000000000" w:firstRow="0" w:lastRow="0" w:firstColumn="1" w:lastColumn="0" w:oddVBand="0" w:evenVBand="0" w:oddHBand="0" w:evenHBand="0" w:firstRowFirstColumn="0" w:firstRowLastColumn="0" w:lastRowFirstColumn="0" w:lastRowLastColumn="0"/>
            <w:tcW w:w="0" w:type="dxa"/>
          </w:tcPr>
          <w:p w14:paraId="0A0B8041" w14:textId="73F70832"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Occupation, n (%)</w:t>
            </w:r>
          </w:p>
          <w:p w14:paraId="764403E5"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Full/part time employment</w:t>
            </w:r>
          </w:p>
          <w:p w14:paraId="2A565091"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Homemaker/housewife</w:t>
            </w:r>
          </w:p>
          <w:p w14:paraId="4C5DA590"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Student</w:t>
            </w:r>
          </w:p>
          <w:p w14:paraId="3FA56BD1"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Unemployed</w:t>
            </w:r>
          </w:p>
          <w:p w14:paraId="4825F6FC"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Retired</w:t>
            </w:r>
          </w:p>
          <w:p w14:paraId="7380F504"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Other</w:t>
            </w:r>
          </w:p>
          <w:p w14:paraId="354481A1" w14:textId="77777777" w:rsidR="00AF5B17" w:rsidRPr="001076F0" w:rsidRDefault="00AF5B17" w:rsidP="009A6157">
            <w:pPr>
              <w:spacing w:before="0"/>
              <w:jc w:val="both"/>
              <w:rPr>
                <w:rFonts w:ascii="Times New Roman" w:hAnsi="Times New Roman" w:cs="Times New Roman"/>
                <w:b w:val="0"/>
                <w:bCs w:val="0"/>
                <w:color w:val="auto"/>
                <w:sz w:val="18"/>
                <w:szCs w:val="18"/>
              </w:rPr>
            </w:pPr>
            <w:r w:rsidRPr="001076F0">
              <w:rPr>
                <w:rFonts w:ascii="Times New Roman" w:hAnsi="Times New Roman" w:cs="Times New Roman"/>
                <w:color w:val="auto"/>
                <w:sz w:val="18"/>
                <w:szCs w:val="18"/>
              </w:rPr>
              <w:t xml:space="preserve">  Full/part time employment and Homemaker</w:t>
            </w:r>
          </w:p>
        </w:tc>
        <w:tc>
          <w:tcPr>
            <w:tcW w:w="0" w:type="dxa"/>
          </w:tcPr>
          <w:p w14:paraId="202DDBF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1A5CBB2C"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17 (45.9%)</w:t>
            </w:r>
          </w:p>
          <w:p w14:paraId="7285470C"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p w14:paraId="7E037CCF"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(2.7%)</w:t>
            </w:r>
          </w:p>
          <w:p w14:paraId="66D80F4D"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p w14:paraId="09CFF1C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(18.9%)</w:t>
            </w:r>
          </w:p>
          <w:p w14:paraId="097B8CAE"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p w14:paraId="63D0AED3"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p w14:paraId="57CFB6A8"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569F3B59"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dxa"/>
          </w:tcPr>
          <w:p w14:paraId="35B4A9E3"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6EE63A29"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13 (50.0%)</w:t>
            </w:r>
          </w:p>
          <w:p w14:paraId="115228C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17F38475"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742D436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077F005D"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8 (30.8%)</w:t>
            </w:r>
          </w:p>
          <w:p w14:paraId="2E3DA9B5"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 (19.2%)</w:t>
            </w:r>
          </w:p>
          <w:p w14:paraId="0EA447E5"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4F66C613"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34C9B559"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dxa"/>
          </w:tcPr>
          <w:p w14:paraId="393EE72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3D35C7FD"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30 (47.6%)</w:t>
            </w:r>
          </w:p>
          <w:p w14:paraId="5345F71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(4.8%)</w:t>
            </w:r>
          </w:p>
          <w:p w14:paraId="3E24564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(1.6%)</w:t>
            </w:r>
          </w:p>
          <w:p w14:paraId="130F2C2D"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(4.8%)</w:t>
            </w:r>
          </w:p>
          <w:p w14:paraId="481E8547"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15 (23.8%)</w:t>
            </w:r>
          </w:p>
          <w:p w14:paraId="55EBC0D8"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8 (12.7%)</w:t>
            </w:r>
          </w:p>
          <w:p w14:paraId="5052065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(4.8%)</w:t>
            </w:r>
          </w:p>
          <w:p w14:paraId="75C9482F"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45E32F75"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AF5B17" w:rsidRPr="001076F0" w14:paraId="0897C54A" w14:textId="77777777" w:rsidTr="00AF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4" w:type="dxa"/>
          </w:tcPr>
          <w:p w14:paraId="4B6D7260" w14:textId="67025A00"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Education level, n (%)</w:t>
            </w:r>
          </w:p>
          <w:p w14:paraId="40C9B806"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Left high school with no qualifications</w:t>
            </w:r>
          </w:p>
          <w:p w14:paraId="15A58E48" w14:textId="77777777" w:rsidR="00AF5B17" w:rsidRPr="001076F0" w:rsidRDefault="00AF5B17" w:rsidP="009A6157">
            <w:pPr>
              <w:spacing w:before="0"/>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Pr="001076F0">
              <w:rPr>
                <w:rFonts w:ascii="Times New Roman" w:hAnsi="Times New Roman" w:cs="Times New Roman"/>
                <w:color w:val="auto"/>
                <w:sz w:val="18"/>
                <w:szCs w:val="18"/>
              </w:rPr>
              <w:t>Completed high school with qualifications</w:t>
            </w:r>
          </w:p>
          <w:p w14:paraId="0B501A4E"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Bachelor's degree</w:t>
            </w:r>
          </w:p>
          <w:p w14:paraId="1B0DD404"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Post-graduate degree</w:t>
            </w:r>
          </w:p>
          <w:p w14:paraId="7C8B6156"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Other</w:t>
            </w:r>
          </w:p>
        </w:tc>
        <w:tc>
          <w:tcPr>
            <w:tcW w:w="1502" w:type="dxa"/>
          </w:tcPr>
          <w:p w14:paraId="0A220FD0"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57C563DF"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p w14:paraId="4A953C86"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12 (32.4%)</w:t>
            </w:r>
          </w:p>
          <w:p w14:paraId="5A3FCAB4"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(18.9%)</w:t>
            </w:r>
          </w:p>
          <w:p w14:paraId="5C50360D"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9 (24.3%)</w:t>
            </w:r>
          </w:p>
          <w:p w14:paraId="0C3688B0"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(16.2%)</w:t>
            </w:r>
          </w:p>
        </w:tc>
        <w:tc>
          <w:tcPr>
            <w:tcW w:w="1390" w:type="dxa"/>
          </w:tcPr>
          <w:p w14:paraId="232673FF"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153CCFF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(11.5%)</w:t>
            </w:r>
          </w:p>
          <w:p w14:paraId="5903C1E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10 (38.5%)</w:t>
            </w:r>
          </w:p>
          <w:p w14:paraId="0033709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(11.5%)</w:t>
            </w:r>
          </w:p>
          <w:p w14:paraId="50736CB5"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(26.9%)</w:t>
            </w:r>
          </w:p>
          <w:p w14:paraId="771E2E66"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(11.5%)</w:t>
            </w:r>
          </w:p>
        </w:tc>
        <w:tc>
          <w:tcPr>
            <w:tcW w:w="1254" w:type="dxa"/>
          </w:tcPr>
          <w:p w14:paraId="5BE6F4B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46460B08"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(9.5%)</w:t>
            </w:r>
          </w:p>
          <w:p w14:paraId="08221EDB"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22 (34.9%)</w:t>
            </w:r>
          </w:p>
          <w:p w14:paraId="20066F15"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10 (15.9%)</w:t>
            </w:r>
          </w:p>
          <w:p w14:paraId="31E042F5"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16 (25.4%)</w:t>
            </w:r>
          </w:p>
          <w:p w14:paraId="0375920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9 (14.3%)</w:t>
            </w:r>
          </w:p>
        </w:tc>
      </w:tr>
      <w:tr w:rsidR="00AF5B17" w:rsidRPr="001076F0" w14:paraId="1E1FE474" w14:textId="77777777" w:rsidTr="00AF5B17">
        <w:tc>
          <w:tcPr>
            <w:cnfStyle w:val="001000000000" w:firstRow="0" w:lastRow="0" w:firstColumn="1" w:lastColumn="0" w:oddVBand="0" w:evenVBand="0" w:oddHBand="0" w:evenHBand="0" w:firstRowFirstColumn="0" w:firstRowLastColumn="0" w:lastRowFirstColumn="0" w:lastRowLastColumn="0"/>
            <w:tcW w:w="3764" w:type="dxa"/>
            <w:tcBorders>
              <w:bottom w:val="single" w:sz="4" w:space="0" w:color="auto"/>
            </w:tcBorders>
          </w:tcPr>
          <w:p w14:paraId="41785477"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Type of cancer, n (%)</w:t>
            </w:r>
          </w:p>
          <w:p w14:paraId="404D35FE"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Breast</w:t>
            </w:r>
          </w:p>
          <w:p w14:paraId="6D1D262A"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Prostate</w:t>
            </w:r>
          </w:p>
          <w:p w14:paraId="124E11BF"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Lung</w:t>
            </w:r>
          </w:p>
          <w:p w14:paraId="580B82DC"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Bowel</w:t>
            </w:r>
          </w:p>
          <w:p w14:paraId="4CA80DC9"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Other</w:t>
            </w:r>
          </w:p>
          <w:p w14:paraId="6625A605"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Kidney (metastatic)</w:t>
            </w:r>
          </w:p>
          <w:p w14:paraId="4D5EEB07"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Lung (Non-small cell)</w:t>
            </w:r>
          </w:p>
        </w:tc>
        <w:tc>
          <w:tcPr>
            <w:tcW w:w="1502" w:type="dxa"/>
            <w:tcBorders>
              <w:bottom w:val="single" w:sz="4" w:space="0" w:color="auto"/>
            </w:tcBorders>
          </w:tcPr>
          <w:p w14:paraId="4D6B43E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271814DD"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11 (29.7%)</w:t>
            </w:r>
          </w:p>
          <w:p w14:paraId="61E51B01"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 (5.4%)</w:t>
            </w:r>
          </w:p>
          <w:p w14:paraId="2D49E276"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p w14:paraId="06818E54"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 (5.4%)</w:t>
            </w:r>
          </w:p>
          <w:p w14:paraId="333DEE9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17 (45.9%)</w:t>
            </w:r>
          </w:p>
          <w:p w14:paraId="69F76BB9"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(2.7%)</w:t>
            </w:r>
          </w:p>
          <w:p w14:paraId="53EC99FB"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(2.7%)</w:t>
            </w:r>
          </w:p>
        </w:tc>
        <w:tc>
          <w:tcPr>
            <w:tcW w:w="1390" w:type="dxa"/>
            <w:tcBorders>
              <w:bottom w:val="single" w:sz="4" w:space="0" w:color="auto"/>
            </w:tcBorders>
          </w:tcPr>
          <w:p w14:paraId="36DC231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363B6C05"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(26.9%)</w:t>
            </w:r>
          </w:p>
          <w:p w14:paraId="20ABD1E9"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 (19.2%)</w:t>
            </w:r>
          </w:p>
          <w:p w14:paraId="7AA0A62B"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(11.5%)</w:t>
            </w:r>
          </w:p>
          <w:p w14:paraId="0013A740"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 (7.7%)</w:t>
            </w:r>
          </w:p>
          <w:p w14:paraId="0D03FDD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9 (34.6%)</w:t>
            </w:r>
          </w:p>
          <w:p w14:paraId="6D2D2446"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77D587C2"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tc>
        <w:tc>
          <w:tcPr>
            <w:tcW w:w="1254" w:type="dxa"/>
            <w:tcBorders>
              <w:bottom w:val="single" w:sz="4" w:space="0" w:color="auto"/>
            </w:tcBorders>
          </w:tcPr>
          <w:p w14:paraId="55C60EB1"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2A2E87D3"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18 (28.6%)</w:t>
            </w:r>
          </w:p>
          <w:p w14:paraId="561D763A"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(11.1%)</w:t>
            </w:r>
          </w:p>
          <w:p w14:paraId="434D8156"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(9.5%)</w:t>
            </w:r>
          </w:p>
          <w:p w14:paraId="0F679A29"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4 (6.3%)</w:t>
            </w:r>
          </w:p>
          <w:p w14:paraId="1491C92D"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26 (41.3%)</w:t>
            </w:r>
          </w:p>
          <w:p w14:paraId="37DF7241"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(1.6%)</w:t>
            </w:r>
          </w:p>
          <w:p w14:paraId="122EF637" w14:textId="77777777" w:rsidR="00AF5B17" w:rsidRPr="001076F0" w:rsidRDefault="00AF5B17" w:rsidP="009A6157">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(1.6%)</w:t>
            </w:r>
          </w:p>
        </w:tc>
      </w:tr>
      <w:tr w:rsidR="00AF5B17" w:rsidRPr="001076F0" w14:paraId="25507EE4" w14:textId="77777777" w:rsidTr="00AF5B17">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3764" w:type="dxa"/>
            <w:tcBorders>
              <w:top w:val="single" w:sz="4" w:space="0" w:color="auto"/>
              <w:bottom w:val="single" w:sz="4" w:space="0" w:color="auto"/>
            </w:tcBorders>
          </w:tcPr>
          <w:p w14:paraId="488BF90D"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lastRenderedPageBreak/>
              <w:t>Treatment*</w:t>
            </w:r>
          </w:p>
          <w:p w14:paraId="3CDE496E"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Surgery</w:t>
            </w:r>
          </w:p>
          <w:p w14:paraId="36B3D568"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Chemotherapy</w:t>
            </w:r>
          </w:p>
          <w:p w14:paraId="2C0EC575"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Radiotherapy</w:t>
            </w:r>
          </w:p>
          <w:p w14:paraId="4DB9E8B4"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Hormone therapy</w:t>
            </w:r>
          </w:p>
          <w:p w14:paraId="70211B01"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Biological therapy</w:t>
            </w:r>
          </w:p>
          <w:p w14:paraId="4115D87E"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Other</w:t>
            </w:r>
          </w:p>
          <w:p w14:paraId="7E1F3F99" w14:textId="77777777" w:rsidR="00AF5B17" w:rsidRPr="001076F0" w:rsidRDefault="00AF5B17" w:rsidP="009A6157">
            <w:pPr>
              <w:spacing w:before="0"/>
              <w:jc w:val="both"/>
              <w:rPr>
                <w:rFonts w:ascii="Times New Roman" w:hAnsi="Times New Roman" w:cs="Times New Roman"/>
                <w:color w:val="auto"/>
                <w:sz w:val="18"/>
                <w:szCs w:val="18"/>
              </w:rPr>
            </w:pPr>
            <w:r w:rsidRPr="001076F0">
              <w:rPr>
                <w:rFonts w:ascii="Times New Roman" w:hAnsi="Times New Roman" w:cs="Times New Roman"/>
                <w:color w:val="auto"/>
                <w:sz w:val="18"/>
                <w:szCs w:val="18"/>
              </w:rPr>
              <w:t xml:space="preserve">    Mixed</w:t>
            </w:r>
          </w:p>
        </w:tc>
        <w:tc>
          <w:tcPr>
            <w:tcW w:w="1502" w:type="dxa"/>
            <w:tcBorders>
              <w:top w:val="single" w:sz="4" w:space="0" w:color="auto"/>
              <w:bottom w:val="single" w:sz="4" w:space="0" w:color="auto"/>
            </w:tcBorders>
          </w:tcPr>
          <w:p w14:paraId="0FD7CB05"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64942ACC"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(16.2%)</w:t>
            </w:r>
          </w:p>
          <w:p w14:paraId="233AC5D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11 (29.7%)</w:t>
            </w:r>
          </w:p>
          <w:p w14:paraId="20C50BB2"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 (5.4%)</w:t>
            </w:r>
          </w:p>
          <w:p w14:paraId="425E7AC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4 (10.8%)</w:t>
            </w:r>
          </w:p>
          <w:p w14:paraId="3D996A07"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418575CB"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11 (29.7%)</w:t>
            </w:r>
          </w:p>
          <w:p w14:paraId="3804D220"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3 (8.1%)</w:t>
            </w:r>
          </w:p>
        </w:tc>
        <w:tc>
          <w:tcPr>
            <w:tcW w:w="1390" w:type="dxa"/>
            <w:tcBorders>
              <w:top w:val="single" w:sz="4" w:space="0" w:color="auto"/>
              <w:bottom w:val="single" w:sz="4" w:space="0" w:color="auto"/>
            </w:tcBorders>
          </w:tcPr>
          <w:p w14:paraId="2BFDE640"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4676E9CF"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 (3.8%)</w:t>
            </w:r>
          </w:p>
          <w:p w14:paraId="5AF48BC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 (19.2%)</w:t>
            </w:r>
          </w:p>
          <w:p w14:paraId="72A257FB"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4 (15.4%)</w:t>
            </w:r>
          </w:p>
          <w:p w14:paraId="59163576"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(23.1%)</w:t>
            </w:r>
          </w:p>
          <w:p w14:paraId="440DE4AE"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8 (30.8%)</w:t>
            </w:r>
          </w:p>
          <w:p w14:paraId="640AC7DE"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0 (0.0%)</w:t>
            </w:r>
          </w:p>
          <w:p w14:paraId="0CA275A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2 (7.7%)</w:t>
            </w:r>
          </w:p>
        </w:tc>
        <w:tc>
          <w:tcPr>
            <w:tcW w:w="1254" w:type="dxa"/>
            <w:tcBorders>
              <w:top w:val="single" w:sz="4" w:space="0" w:color="auto"/>
              <w:bottom w:val="single" w:sz="4" w:space="0" w:color="auto"/>
            </w:tcBorders>
          </w:tcPr>
          <w:p w14:paraId="4F875D21"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p w14:paraId="170CAB4F"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7 (11.1%)</w:t>
            </w:r>
          </w:p>
          <w:p w14:paraId="5C14B3E3"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16 (25.4%)</w:t>
            </w:r>
          </w:p>
          <w:p w14:paraId="21460287"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6 (9.5%)</w:t>
            </w:r>
          </w:p>
          <w:p w14:paraId="15DBC093"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10 (15.9%)</w:t>
            </w:r>
          </w:p>
          <w:p w14:paraId="2A777E7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8 (12.7%)</w:t>
            </w:r>
          </w:p>
          <w:p w14:paraId="453BD534"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11 (17.5%)</w:t>
            </w:r>
          </w:p>
          <w:p w14:paraId="236EFF4A" w14:textId="77777777" w:rsidR="00AF5B17" w:rsidRPr="001076F0" w:rsidRDefault="00AF5B17" w:rsidP="009A6157">
            <w:pPr>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076F0">
              <w:rPr>
                <w:rFonts w:ascii="Times New Roman" w:hAnsi="Times New Roman" w:cs="Times New Roman"/>
                <w:color w:val="auto"/>
                <w:sz w:val="18"/>
                <w:szCs w:val="18"/>
              </w:rPr>
              <w:t>5 (7.9%)</w:t>
            </w:r>
          </w:p>
        </w:tc>
      </w:tr>
    </w:tbl>
    <w:p w14:paraId="2329ADDC" w14:textId="057F09A3" w:rsidR="001A1E8B" w:rsidRPr="001076F0" w:rsidRDefault="001A1E8B" w:rsidP="00876CF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*Patients could select more than one treatment</w:t>
      </w:r>
    </w:p>
    <w:p w14:paraId="26B40F44" w14:textId="77777777" w:rsidR="001A1E8B" w:rsidRPr="001009D0" w:rsidRDefault="001A1E8B" w:rsidP="00876CFD">
      <w:pPr>
        <w:spacing w:after="0" w:line="240" w:lineRule="auto"/>
        <w:jc w:val="both"/>
        <w:rPr>
          <w:rFonts w:ascii="Times New Roman" w:hAnsi="Times New Roman" w:cs="Times New Roman"/>
          <w:color w:val="FFFFFF" w:themeColor="background1"/>
          <w:sz w:val="18"/>
          <w:szCs w:val="18"/>
        </w:rPr>
      </w:pPr>
    </w:p>
    <w:p w14:paraId="2CB8470A" w14:textId="26C3E2CC" w:rsidR="00BF7B1B" w:rsidRDefault="00E867B2" w:rsidP="001E03AD">
      <w:pPr>
        <w:spacing w:line="480" w:lineRule="auto"/>
        <w:rPr>
          <w:rFonts w:ascii="Times New Roman" w:hAnsi="Times New Roman" w:cs="Times New Roman"/>
          <w:b/>
        </w:rPr>
      </w:pPr>
      <w:r>
        <w:rPr>
          <w:rFonts w:ascii="Times New Roman" w:hAnsi="Times New Roman" w:cs="Times New Roman"/>
          <w:b/>
        </w:rPr>
        <w:t>Pilot Testing</w:t>
      </w:r>
    </w:p>
    <w:p w14:paraId="56C856CF" w14:textId="02E84187" w:rsidR="00E47AA4" w:rsidRDefault="00A369B5" w:rsidP="001E03AD">
      <w:pPr>
        <w:spacing w:line="480" w:lineRule="auto"/>
        <w:rPr>
          <w:rFonts w:ascii="Times New Roman" w:hAnsi="Times New Roman" w:cs="Times New Roman"/>
          <w:b/>
        </w:rPr>
      </w:pPr>
      <w:r w:rsidRPr="00A369B5">
        <w:rPr>
          <w:rFonts w:ascii="Times New Roman" w:hAnsi="Times New Roman" w:cs="Times New Roman"/>
        </w:rPr>
        <w:t>All patients considered the instructions in the phone script to be clear and straightforward. Three comments were raised concerning the time and response scales of the questionnaire. Two patients made comments regarding the time scales,</w:t>
      </w:r>
      <w:r w:rsidR="00FE5320">
        <w:rPr>
          <w:rFonts w:ascii="Times New Roman" w:hAnsi="Times New Roman" w:cs="Times New Roman"/>
        </w:rPr>
        <w:t xml:space="preserve"> specifying that “during the past week” was too short of a time frame.</w:t>
      </w:r>
      <w:r w:rsidRPr="00A369B5">
        <w:rPr>
          <w:rFonts w:ascii="Times New Roman" w:hAnsi="Times New Roman" w:cs="Times New Roman"/>
        </w:rPr>
        <w:t xml:space="preserve"> </w:t>
      </w:r>
      <w:r w:rsidR="00FE5320">
        <w:rPr>
          <w:rFonts w:ascii="Times New Roman" w:hAnsi="Times New Roman" w:cs="Times New Roman"/>
        </w:rPr>
        <w:t>However,</w:t>
      </w:r>
      <w:r w:rsidR="00FE5320" w:rsidRPr="00A369B5">
        <w:rPr>
          <w:rFonts w:ascii="Times New Roman" w:hAnsi="Times New Roman" w:cs="Times New Roman"/>
        </w:rPr>
        <w:t xml:space="preserve"> </w:t>
      </w:r>
      <w:r w:rsidRPr="00A369B5">
        <w:rPr>
          <w:rFonts w:ascii="Times New Roman" w:hAnsi="Times New Roman" w:cs="Times New Roman"/>
        </w:rPr>
        <w:t xml:space="preserve">these </w:t>
      </w:r>
      <w:r w:rsidR="00FE5320">
        <w:rPr>
          <w:rFonts w:ascii="Times New Roman" w:hAnsi="Times New Roman" w:cs="Times New Roman"/>
        </w:rPr>
        <w:t xml:space="preserve">comments </w:t>
      </w:r>
      <w:r w:rsidRPr="00A369B5">
        <w:rPr>
          <w:rFonts w:ascii="Times New Roman" w:hAnsi="Times New Roman" w:cs="Times New Roman"/>
        </w:rPr>
        <w:t xml:space="preserve">deviated from the source questionnaire and were thus not integrated into the script. One patient suggested numbering the response options from 1 to 4, for clarity. After discussion with the study team, numbers 1 to 4 were added to the response options in the phone script, thereby creating the final version of the phone script in UK English. </w:t>
      </w:r>
    </w:p>
    <w:p w14:paraId="3302037E" w14:textId="1A269FAC" w:rsidR="001E03AD" w:rsidRDefault="001E03AD" w:rsidP="001E03AD">
      <w:pPr>
        <w:spacing w:line="480" w:lineRule="auto"/>
        <w:rPr>
          <w:rFonts w:ascii="Times New Roman" w:hAnsi="Times New Roman" w:cs="Times New Roman"/>
          <w:b/>
        </w:rPr>
      </w:pPr>
      <w:r>
        <w:rPr>
          <w:rFonts w:ascii="Times New Roman" w:hAnsi="Times New Roman" w:cs="Times New Roman"/>
          <w:b/>
        </w:rPr>
        <w:t>Equivalence Testing</w:t>
      </w:r>
    </w:p>
    <w:p w14:paraId="182B2F99" w14:textId="15D500BF" w:rsidR="00481737" w:rsidRPr="005404D7" w:rsidRDefault="001D24B5" w:rsidP="005404D7">
      <w:pPr>
        <w:spacing w:line="480" w:lineRule="auto"/>
        <w:rPr>
          <w:rFonts w:ascii="Times New Roman" w:hAnsi="Times New Roman" w:cs="Times New Roman"/>
        </w:rPr>
      </w:pPr>
      <w:r>
        <w:rPr>
          <w:rFonts w:ascii="Times New Roman" w:hAnsi="Times New Roman" w:cs="Times New Roman"/>
        </w:rPr>
        <w:t xml:space="preserve">All </w:t>
      </w:r>
      <w:r w:rsidR="003E7481">
        <w:rPr>
          <w:rFonts w:ascii="Times New Roman" w:hAnsi="Times New Roman" w:cs="Times New Roman"/>
        </w:rPr>
        <w:t xml:space="preserve">patients from both testing waves </w:t>
      </w:r>
      <w:r>
        <w:rPr>
          <w:rFonts w:ascii="Times New Roman" w:hAnsi="Times New Roman" w:cs="Times New Roman"/>
        </w:rPr>
        <w:t>(n=63</w:t>
      </w:r>
      <w:r w:rsidR="00621568">
        <w:rPr>
          <w:rFonts w:ascii="Times New Roman" w:hAnsi="Times New Roman" w:cs="Times New Roman"/>
        </w:rPr>
        <w:t xml:space="preserve">) </w:t>
      </w:r>
      <w:r>
        <w:rPr>
          <w:rFonts w:ascii="Times New Roman" w:hAnsi="Times New Roman" w:cs="Times New Roman"/>
        </w:rPr>
        <w:t xml:space="preserve">completed all items in both the paper and phone versions of the QLQ-C30 and there were no missing data. </w:t>
      </w:r>
      <w:r w:rsidR="00EE712F">
        <w:rPr>
          <w:rFonts w:ascii="Times New Roman" w:hAnsi="Times New Roman" w:cs="Times New Roman"/>
        </w:rPr>
        <w:t xml:space="preserve">Table </w:t>
      </w:r>
      <w:r w:rsidR="00876CFD">
        <w:rPr>
          <w:rFonts w:ascii="Times New Roman" w:hAnsi="Times New Roman" w:cs="Times New Roman"/>
        </w:rPr>
        <w:t xml:space="preserve">4 </w:t>
      </w:r>
      <w:r w:rsidR="00BC0368">
        <w:rPr>
          <w:rFonts w:ascii="Times New Roman" w:hAnsi="Times New Roman" w:cs="Times New Roman"/>
        </w:rPr>
        <w:t xml:space="preserve">displays the results of the equivalence testing for QLQ-C30 scores between the paper and phone administration modes. </w:t>
      </w:r>
      <w:r w:rsidR="004257F7">
        <w:rPr>
          <w:rFonts w:ascii="Times New Roman" w:hAnsi="Times New Roman" w:cs="Times New Roman"/>
        </w:rPr>
        <w:t>Total ICC values</w:t>
      </w:r>
      <w:r w:rsidR="00704C0B">
        <w:rPr>
          <w:rFonts w:ascii="Times New Roman" w:hAnsi="Times New Roman" w:cs="Times New Roman"/>
        </w:rPr>
        <w:t xml:space="preserve"> were</w:t>
      </w:r>
      <w:r w:rsidR="007A379C">
        <w:rPr>
          <w:rFonts w:ascii="Times New Roman" w:hAnsi="Times New Roman" w:cs="Times New Roman"/>
        </w:rPr>
        <w:t xml:space="preserve"> above the 0.70 threshold and</w:t>
      </w:r>
      <w:r w:rsidR="004257F7">
        <w:rPr>
          <w:rFonts w:ascii="Times New Roman" w:hAnsi="Times New Roman" w:cs="Times New Roman"/>
        </w:rPr>
        <w:t xml:space="preserve"> r</w:t>
      </w:r>
      <w:r w:rsidR="00EE712F">
        <w:rPr>
          <w:rFonts w:ascii="Times New Roman" w:hAnsi="Times New Roman" w:cs="Times New Roman"/>
        </w:rPr>
        <w:t>anged from 0.72</w:t>
      </w:r>
      <w:r w:rsidR="006A23D1">
        <w:rPr>
          <w:rFonts w:ascii="Times New Roman" w:hAnsi="Times New Roman" w:cs="Times New Roman"/>
        </w:rPr>
        <w:t xml:space="preserve"> for nausea and vomiting</w:t>
      </w:r>
      <w:r w:rsidR="007A379C">
        <w:rPr>
          <w:rFonts w:ascii="Times New Roman" w:hAnsi="Times New Roman" w:cs="Times New Roman"/>
        </w:rPr>
        <w:t xml:space="preserve"> </w:t>
      </w:r>
      <w:r w:rsidR="007A379C" w:rsidRPr="007A379C">
        <w:rPr>
          <w:rFonts w:ascii="Times New Roman" w:hAnsi="Times New Roman" w:cs="Times New Roman"/>
        </w:rPr>
        <w:t xml:space="preserve">(95% CI 0.48-0.86) </w:t>
      </w:r>
      <w:r w:rsidR="004257F7">
        <w:rPr>
          <w:rFonts w:ascii="Times New Roman" w:hAnsi="Times New Roman" w:cs="Times New Roman"/>
        </w:rPr>
        <w:t>to 0.90</w:t>
      </w:r>
      <w:r w:rsidR="006A23D1">
        <w:rPr>
          <w:rFonts w:ascii="Times New Roman" w:hAnsi="Times New Roman" w:cs="Times New Roman"/>
        </w:rPr>
        <w:t xml:space="preserve"> for global health status/QoL</w:t>
      </w:r>
      <w:r w:rsidR="004257F7">
        <w:rPr>
          <w:rFonts w:ascii="Times New Roman" w:hAnsi="Times New Roman" w:cs="Times New Roman"/>
        </w:rPr>
        <w:t xml:space="preserve"> (</w:t>
      </w:r>
      <w:r w:rsidR="006A23D1">
        <w:rPr>
          <w:rFonts w:ascii="Times New Roman" w:hAnsi="Times New Roman" w:cs="Times New Roman"/>
        </w:rPr>
        <w:t xml:space="preserve">95% CI 0.80-0.95), cognitive functioning (95% CI 0.80-0.95), and pain (95% CI 0.79-0.95). </w:t>
      </w:r>
      <w:r w:rsidR="00704C0B">
        <w:rPr>
          <w:rFonts w:ascii="Times New Roman" w:hAnsi="Times New Roman" w:cs="Times New Roman"/>
        </w:rPr>
        <w:t xml:space="preserve">ICCs were also calculated to compare paper first versus phone first administration. </w:t>
      </w:r>
      <w:r w:rsidR="007A379C">
        <w:rPr>
          <w:rFonts w:ascii="Times New Roman" w:hAnsi="Times New Roman" w:cs="Times New Roman"/>
        </w:rPr>
        <w:t xml:space="preserve">For paper first administration, the ICCs ranged from 0.55 for nausea and vomiting (95% CI 0.24-0.76) to 0.90 for appetite loss (95% CI </w:t>
      </w:r>
      <w:r w:rsidR="00CE249E">
        <w:rPr>
          <w:rFonts w:ascii="Times New Roman" w:hAnsi="Times New Roman" w:cs="Times New Roman"/>
        </w:rPr>
        <w:t xml:space="preserve">0.80-0.95) and constipation (95% CI 0.81-0.95), with only two scores, nausea and vomiting and financial difficulties (ICC 0.60; 95% CI 0.31-.079), falling below the 0.70 threshold. For phone first administration, all ICC values were above the 0.70 threshold and ranged from 0.79 for dyspnoea (95% CI 0.60-0.89) to 0.94 for physical functioning </w:t>
      </w:r>
      <w:r w:rsidR="00CE249E">
        <w:rPr>
          <w:rFonts w:ascii="Times New Roman" w:hAnsi="Times New Roman" w:cs="Times New Roman"/>
        </w:rPr>
        <w:lastRenderedPageBreak/>
        <w:t>(95% CI 0.87-0.97).</w:t>
      </w:r>
      <w:bookmarkStart w:id="8" w:name="_Ref9347726"/>
      <w:r w:rsidR="00481737">
        <w:rPr>
          <w:rFonts w:ascii="Times New Roman" w:hAnsi="Times New Roman" w:cs="Times New Roman"/>
        </w:rPr>
        <w:t xml:space="preserve"> </w:t>
      </w:r>
      <w:r w:rsidR="00481737">
        <w:rPr>
          <w:rFonts w:ascii="Times New Roman" w:eastAsia="Arial" w:hAnsi="Times New Roman" w:cs="Times New Roman"/>
        </w:rPr>
        <w:t>Results for equivalence testing at the single item level are displayed in Appendix A</w:t>
      </w:r>
      <w:r w:rsidR="005404D7">
        <w:rPr>
          <w:rFonts w:ascii="Times New Roman" w:hAnsi="Times New Roman" w:cs="Times New Roman"/>
        </w:rPr>
        <w:t>.</w:t>
      </w:r>
    </w:p>
    <w:p w14:paraId="1183B04B" w14:textId="278A6AD7" w:rsidR="00BC0368" w:rsidRPr="00BC0368" w:rsidRDefault="00BC0368" w:rsidP="00481737">
      <w:pPr>
        <w:spacing w:after="0" w:line="360" w:lineRule="auto"/>
        <w:jc w:val="both"/>
        <w:rPr>
          <w:rFonts w:ascii="Times New Roman" w:eastAsia="Arial" w:hAnsi="Times New Roman" w:cs="Times New Roman"/>
        </w:rPr>
      </w:pPr>
      <w:r w:rsidRPr="00BC0368">
        <w:rPr>
          <w:rFonts w:ascii="Times New Roman" w:eastAsia="Arial" w:hAnsi="Times New Roman" w:cs="Times New Roman"/>
        </w:rPr>
        <w:t>Table</w:t>
      </w:r>
      <w:bookmarkEnd w:id="8"/>
      <w:r w:rsidR="00F52303">
        <w:rPr>
          <w:rFonts w:ascii="Times New Roman" w:eastAsia="Arial" w:hAnsi="Times New Roman" w:cs="Times New Roman"/>
        </w:rPr>
        <w:t xml:space="preserve"> </w:t>
      </w:r>
      <w:r w:rsidR="00876CFD">
        <w:rPr>
          <w:rFonts w:ascii="Times New Roman" w:eastAsia="Arial" w:hAnsi="Times New Roman" w:cs="Times New Roman"/>
        </w:rPr>
        <w:t>4</w:t>
      </w:r>
      <w:r w:rsidRPr="00BC0368">
        <w:rPr>
          <w:rFonts w:ascii="Times New Roman" w:eastAsia="Arial" w:hAnsi="Times New Roman" w:cs="Times New Roman"/>
        </w:rPr>
        <w:t>.  Equivalence testing for QLQ-C30 scores</w:t>
      </w:r>
    </w:p>
    <w:tbl>
      <w:tblPr>
        <w:tblStyle w:val="ListTable3-Accent14"/>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397"/>
        <w:gridCol w:w="1918"/>
        <w:gridCol w:w="1850"/>
        <w:gridCol w:w="1851"/>
      </w:tblGrid>
      <w:tr w:rsidR="0075134C" w:rsidRPr="0075134C" w14:paraId="2E7AEBDB" w14:textId="77777777" w:rsidTr="007513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tcBorders>
              <w:bottom w:val="nil"/>
            </w:tcBorders>
            <w:shd w:val="clear" w:color="auto" w:fill="auto"/>
          </w:tcPr>
          <w:p w14:paraId="47C753DF" w14:textId="77777777" w:rsidR="0075134C" w:rsidRPr="0075134C" w:rsidRDefault="0075134C" w:rsidP="0075134C">
            <w:pPr>
              <w:jc w:val="both"/>
              <w:rPr>
                <w:rFonts w:ascii="Times New Roman" w:eastAsia="Arial" w:hAnsi="Times New Roman" w:cs="Times New Roman"/>
                <w:color w:val="auto"/>
                <w:sz w:val="18"/>
                <w:szCs w:val="18"/>
                <w:lang w:val="pt-PT"/>
              </w:rPr>
            </w:pPr>
            <w:r w:rsidRPr="0075134C">
              <w:rPr>
                <w:rFonts w:ascii="Times New Roman" w:eastAsia="Arial" w:hAnsi="Times New Roman" w:cs="Times New Roman"/>
                <w:color w:val="auto"/>
                <w:sz w:val="18"/>
                <w:szCs w:val="18"/>
                <w:lang w:val="pt-PT"/>
              </w:rPr>
              <w:t>QLQ-C30 scores</w:t>
            </w:r>
          </w:p>
        </w:tc>
        <w:tc>
          <w:tcPr>
            <w:tcW w:w="3768" w:type="dxa"/>
            <w:gridSpan w:val="2"/>
            <w:tcBorders>
              <w:left w:val="nil"/>
              <w:bottom w:val="nil"/>
              <w:right w:val="nil"/>
            </w:tcBorders>
            <w:shd w:val="clear" w:color="auto" w:fill="auto"/>
          </w:tcPr>
          <w:p w14:paraId="44E97225" w14:textId="77777777" w:rsidR="0075134C" w:rsidRPr="0075134C" w:rsidRDefault="0075134C" w:rsidP="0075134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All patients</w:t>
            </w:r>
          </w:p>
        </w:tc>
        <w:tc>
          <w:tcPr>
            <w:tcW w:w="1851" w:type="dxa"/>
            <w:tcBorders>
              <w:left w:val="nil"/>
              <w:bottom w:val="nil"/>
            </w:tcBorders>
            <w:shd w:val="clear" w:color="auto" w:fill="auto"/>
          </w:tcPr>
          <w:p w14:paraId="4ACCD101"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p>
        </w:tc>
      </w:tr>
      <w:tr w:rsidR="0075134C" w:rsidRPr="0075134C" w14:paraId="71560578" w14:textId="77777777" w:rsidTr="007513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97" w:type="dxa"/>
            <w:tcBorders>
              <w:top w:val="nil"/>
              <w:bottom w:val="none" w:sz="0" w:space="0" w:color="auto"/>
            </w:tcBorders>
            <w:shd w:val="clear" w:color="auto" w:fill="auto"/>
          </w:tcPr>
          <w:p w14:paraId="3CB6F7E4" w14:textId="77777777" w:rsidR="0075134C" w:rsidRPr="0075134C" w:rsidRDefault="0075134C" w:rsidP="0075134C">
            <w:pPr>
              <w:jc w:val="both"/>
              <w:rPr>
                <w:rFonts w:ascii="Times New Roman" w:eastAsia="Arial" w:hAnsi="Times New Roman" w:cs="Times New Roman"/>
                <w:color w:val="auto"/>
                <w:sz w:val="18"/>
                <w:szCs w:val="18"/>
              </w:rPr>
            </w:pPr>
          </w:p>
        </w:tc>
        <w:tc>
          <w:tcPr>
            <w:tcW w:w="1918" w:type="dxa"/>
            <w:tcBorders>
              <w:top w:val="nil"/>
              <w:left w:val="nil"/>
              <w:right w:val="nil"/>
            </w:tcBorders>
            <w:shd w:val="clear" w:color="auto" w:fill="auto"/>
          </w:tcPr>
          <w:p w14:paraId="5250BCAB"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Paper first</w:t>
            </w:r>
          </w:p>
          <w:p w14:paraId="7E62D9F6"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(n=31)</w:t>
            </w:r>
          </w:p>
        </w:tc>
        <w:tc>
          <w:tcPr>
            <w:tcW w:w="1850" w:type="dxa"/>
            <w:tcBorders>
              <w:top w:val="nil"/>
              <w:left w:val="nil"/>
              <w:right w:val="nil"/>
            </w:tcBorders>
            <w:shd w:val="clear" w:color="auto" w:fill="auto"/>
          </w:tcPr>
          <w:p w14:paraId="3150BD83"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Phone first</w:t>
            </w:r>
          </w:p>
          <w:p w14:paraId="018309E9"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(n=32)</w:t>
            </w:r>
          </w:p>
        </w:tc>
        <w:tc>
          <w:tcPr>
            <w:tcW w:w="1851" w:type="dxa"/>
            <w:tcBorders>
              <w:top w:val="nil"/>
              <w:left w:val="nil"/>
            </w:tcBorders>
            <w:shd w:val="clear" w:color="auto" w:fill="auto"/>
          </w:tcPr>
          <w:p w14:paraId="1B1FCF6B"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Total</w:t>
            </w:r>
          </w:p>
          <w:p w14:paraId="2E64EFF3" w14:textId="77777777" w:rsidR="0075134C" w:rsidRPr="0075134C" w:rsidRDefault="0075134C" w:rsidP="0075134C">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75134C">
              <w:rPr>
                <w:rFonts w:ascii="Times New Roman" w:eastAsia="Arial" w:hAnsi="Times New Roman" w:cs="Times New Roman"/>
                <w:color w:val="auto"/>
                <w:sz w:val="18"/>
                <w:szCs w:val="18"/>
              </w:rPr>
              <w:t>(n=63)</w:t>
            </w:r>
          </w:p>
        </w:tc>
      </w:tr>
      <w:tr w:rsidR="0075134C" w:rsidRPr="0075134C" w14:paraId="463C3353"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0C1CBA08"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Global health status score</w:t>
            </w:r>
          </w:p>
          <w:p w14:paraId="4519704A"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7BF5A73D"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1A1DBFA1"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24D4FB2"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0.89</w:t>
            </w:r>
          </w:p>
          <w:p w14:paraId="6AF708B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0.79-0.95</w:t>
            </w:r>
          </w:p>
        </w:tc>
        <w:tc>
          <w:tcPr>
            <w:tcW w:w="1850" w:type="dxa"/>
            <w:tcBorders>
              <w:top w:val="none" w:sz="0" w:space="0" w:color="auto"/>
              <w:left w:val="single" w:sz="4" w:space="0" w:color="auto"/>
              <w:bottom w:val="none" w:sz="0" w:space="0" w:color="auto"/>
              <w:right w:val="single" w:sz="4" w:space="0" w:color="auto"/>
            </w:tcBorders>
          </w:tcPr>
          <w:p w14:paraId="22168FB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694C05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0.91</w:t>
            </w:r>
          </w:p>
          <w:p w14:paraId="23A3A76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0.81-0.95</w:t>
            </w:r>
          </w:p>
        </w:tc>
        <w:tc>
          <w:tcPr>
            <w:tcW w:w="1851" w:type="dxa"/>
            <w:tcBorders>
              <w:top w:val="none" w:sz="0" w:space="0" w:color="auto"/>
              <w:left w:val="single" w:sz="4" w:space="0" w:color="auto"/>
              <w:bottom w:val="none" w:sz="0" w:space="0" w:color="auto"/>
            </w:tcBorders>
          </w:tcPr>
          <w:p w14:paraId="585A773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19CF79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1DD31793"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0.80-0.95</w:t>
            </w:r>
          </w:p>
        </w:tc>
      </w:tr>
      <w:tr w:rsidR="0075134C" w:rsidRPr="0075134C" w14:paraId="60B5C26C"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0E89D797"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Physical functioning score</w:t>
            </w:r>
          </w:p>
          <w:p w14:paraId="59206690"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4B0B90AE"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15BA5268"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7F8288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0.81</w:t>
            </w:r>
          </w:p>
          <w:p w14:paraId="7637F7EB"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0.64-0.90</w:t>
            </w:r>
          </w:p>
        </w:tc>
        <w:tc>
          <w:tcPr>
            <w:tcW w:w="1850" w:type="dxa"/>
            <w:tcBorders>
              <w:left w:val="single" w:sz="4" w:space="0" w:color="auto"/>
              <w:right w:val="single" w:sz="4" w:space="0" w:color="auto"/>
            </w:tcBorders>
          </w:tcPr>
          <w:p w14:paraId="5C2EDEA4"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D20258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0.94</w:t>
            </w:r>
          </w:p>
          <w:p w14:paraId="254D623F"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0.89-0.97</w:t>
            </w:r>
          </w:p>
        </w:tc>
        <w:tc>
          <w:tcPr>
            <w:tcW w:w="1851" w:type="dxa"/>
            <w:tcBorders>
              <w:left w:val="single" w:sz="4" w:space="0" w:color="auto"/>
            </w:tcBorders>
          </w:tcPr>
          <w:p w14:paraId="24BEE46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A4E05C2"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0.89</w:t>
            </w:r>
          </w:p>
          <w:p w14:paraId="2E3FCD5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0.79-0.95</w:t>
            </w:r>
          </w:p>
        </w:tc>
      </w:tr>
      <w:tr w:rsidR="0075134C" w:rsidRPr="0075134C" w14:paraId="53AFB61A"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37F08313"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Role functioning score</w:t>
            </w:r>
          </w:p>
          <w:p w14:paraId="20E14194"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7C9D7DCA"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40EFA2F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44BF636"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0.76</w:t>
            </w:r>
          </w:p>
          <w:p w14:paraId="3131419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0.56-0.88</w:t>
            </w:r>
          </w:p>
        </w:tc>
        <w:tc>
          <w:tcPr>
            <w:tcW w:w="1850" w:type="dxa"/>
            <w:tcBorders>
              <w:top w:val="none" w:sz="0" w:space="0" w:color="auto"/>
              <w:left w:val="single" w:sz="4" w:space="0" w:color="auto"/>
              <w:bottom w:val="none" w:sz="0" w:space="0" w:color="auto"/>
              <w:right w:val="single" w:sz="4" w:space="0" w:color="auto"/>
            </w:tcBorders>
          </w:tcPr>
          <w:p w14:paraId="49AE451A"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D9DCAF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0.89</w:t>
            </w:r>
          </w:p>
          <w:p w14:paraId="69803B5F"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0.78-0.94</w:t>
            </w:r>
          </w:p>
        </w:tc>
        <w:tc>
          <w:tcPr>
            <w:tcW w:w="1851" w:type="dxa"/>
            <w:tcBorders>
              <w:top w:val="none" w:sz="0" w:space="0" w:color="auto"/>
              <w:left w:val="single" w:sz="4" w:space="0" w:color="auto"/>
              <w:bottom w:val="none" w:sz="0" w:space="0" w:color="auto"/>
            </w:tcBorders>
          </w:tcPr>
          <w:p w14:paraId="77729CF3"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2FC16A2"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0.84</w:t>
            </w:r>
          </w:p>
          <w:p w14:paraId="1BFCFE2D"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0.68-0.92</w:t>
            </w:r>
          </w:p>
        </w:tc>
      </w:tr>
      <w:tr w:rsidR="0075134C" w:rsidRPr="0075134C" w14:paraId="18E302A5"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16E9E54E"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Emotional functioning score</w:t>
            </w:r>
          </w:p>
          <w:p w14:paraId="260E9D5B"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19B7727E"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2DB01BB9"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8245AC7"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w:t>
            </w:r>
          </w:p>
          <w:p w14:paraId="05BB6494"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0.60-0.89</w:t>
            </w:r>
          </w:p>
        </w:tc>
        <w:tc>
          <w:tcPr>
            <w:tcW w:w="1850" w:type="dxa"/>
            <w:tcBorders>
              <w:left w:val="single" w:sz="4" w:space="0" w:color="auto"/>
              <w:right w:val="single" w:sz="4" w:space="0" w:color="auto"/>
            </w:tcBorders>
          </w:tcPr>
          <w:p w14:paraId="010E44E8"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B76222B"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0.92</w:t>
            </w:r>
          </w:p>
          <w:p w14:paraId="1E0993B5"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0.84-0.96</w:t>
            </w:r>
          </w:p>
        </w:tc>
        <w:tc>
          <w:tcPr>
            <w:tcW w:w="1851" w:type="dxa"/>
            <w:tcBorders>
              <w:left w:val="single" w:sz="4" w:space="0" w:color="auto"/>
            </w:tcBorders>
          </w:tcPr>
          <w:p w14:paraId="70743BB0"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622C896"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0.86</w:t>
            </w:r>
          </w:p>
          <w:p w14:paraId="6F75E51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0.73-0.93</w:t>
            </w:r>
          </w:p>
        </w:tc>
      </w:tr>
      <w:tr w:rsidR="0075134C" w:rsidRPr="0075134C" w14:paraId="6D467530"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57E93281"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Cognitive functioning score</w:t>
            </w:r>
          </w:p>
          <w:p w14:paraId="28437268"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 xml:space="preserve"> ICC</w:t>
            </w:r>
          </w:p>
          <w:p w14:paraId="3E88B6B4"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1DD5F6B4"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4660CAA"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0.85</w:t>
            </w:r>
          </w:p>
          <w:p w14:paraId="4A00B53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0.71-0.92</w:t>
            </w:r>
          </w:p>
        </w:tc>
        <w:tc>
          <w:tcPr>
            <w:tcW w:w="1850" w:type="dxa"/>
            <w:tcBorders>
              <w:top w:val="none" w:sz="0" w:space="0" w:color="auto"/>
              <w:left w:val="single" w:sz="4" w:space="0" w:color="auto"/>
              <w:bottom w:val="none" w:sz="0" w:space="0" w:color="auto"/>
              <w:right w:val="single" w:sz="4" w:space="0" w:color="auto"/>
            </w:tcBorders>
          </w:tcPr>
          <w:p w14:paraId="1834E88F"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0CA66CE"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0.94</w:t>
            </w:r>
          </w:p>
          <w:p w14:paraId="2FD6B0CC"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0.87-0.97</w:t>
            </w:r>
          </w:p>
        </w:tc>
        <w:tc>
          <w:tcPr>
            <w:tcW w:w="1851" w:type="dxa"/>
            <w:tcBorders>
              <w:top w:val="none" w:sz="0" w:space="0" w:color="auto"/>
              <w:left w:val="single" w:sz="4" w:space="0" w:color="auto"/>
              <w:bottom w:val="none" w:sz="0" w:space="0" w:color="auto"/>
            </w:tcBorders>
          </w:tcPr>
          <w:p w14:paraId="5A49524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9E67BA2"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2A21C9C6"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0.80-0.95</w:t>
            </w:r>
          </w:p>
        </w:tc>
      </w:tr>
      <w:tr w:rsidR="0075134C" w:rsidRPr="0075134C" w14:paraId="2A08B78A"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430A9E7C"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Social functioning score</w:t>
            </w:r>
          </w:p>
          <w:p w14:paraId="096ED231"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7B825ECA"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537B660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00674CF"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0.76</w:t>
            </w:r>
          </w:p>
          <w:p w14:paraId="52BC079C"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0.55-0.87</w:t>
            </w:r>
          </w:p>
        </w:tc>
        <w:tc>
          <w:tcPr>
            <w:tcW w:w="1850" w:type="dxa"/>
            <w:tcBorders>
              <w:left w:val="single" w:sz="4" w:space="0" w:color="auto"/>
              <w:right w:val="single" w:sz="4" w:space="0" w:color="auto"/>
            </w:tcBorders>
          </w:tcPr>
          <w:p w14:paraId="127CC06B"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6EE8D0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0.85</w:t>
            </w:r>
          </w:p>
          <w:p w14:paraId="18A6372B"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0.70-0.92</w:t>
            </w:r>
          </w:p>
        </w:tc>
        <w:tc>
          <w:tcPr>
            <w:tcW w:w="1851" w:type="dxa"/>
            <w:tcBorders>
              <w:left w:val="single" w:sz="4" w:space="0" w:color="auto"/>
            </w:tcBorders>
          </w:tcPr>
          <w:p w14:paraId="3B9F215F"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2D00E8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w:t>
            </w:r>
          </w:p>
          <w:p w14:paraId="62CB3DA4"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0.59-0.89</w:t>
            </w:r>
          </w:p>
        </w:tc>
      </w:tr>
      <w:tr w:rsidR="0075134C" w:rsidRPr="0075134C" w14:paraId="4C0F7717"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2B75DF62"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Fatigue score</w:t>
            </w:r>
          </w:p>
          <w:p w14:paraId="6407798F"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0DCF3D51"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62700226"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E0F4EB5"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0.76</w:t>
            </w:r>
          </w:p>
          <w:p w14:paraId="2C4B6CF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0.56-0.88</w:t>
            </w:r>
          </w:p>
        </w:tc>
        <w:tc>
          <w:tcPr>
            <w:tcW w:w="1850" w:type="dxa"/>
            <w:tcBorders>
              <w:top w:val="none" w:sz="0" w:space="0" w:color="auto"/>
              <w:left w:val="single" w:sz="4" w:space="0" w:color="auto"/>
              <w:bottom w:val="none" w:sz="0" w:space="0" w:color="auto"/>
              <w:right w:val="single" w:sz="4" w:space="0" w:color="auto"/>
            </w:tcBorders>
          </w:tcPr>
          <w:p w14:paraId="64A01945"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CF6483A"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0.82</w:t>
            </w:r>
          </w:p>
          <w:p w14:paraId="3F3DC2F2"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0.66-0.91</w:t>
            </w:r>
          </w:p>
        </w:tc>
        <w:tc>
          <w:tcPr>
            <w:tcW w:w="1851" w:type="dxa"/>
            <w:tcBorders>
              <w:top w:val="none" w:sz="0" w:space="0" w:color="auto"/>
              <w:left w:val="single" w:sz="4" w:space="0" w:color="auto"/>
              <w:bottom w:val="none" w:sz="0" w:space="0" w:color="auto"/>
            </w:tcBorders>
          </w:tcPr>
          <w:p w14:paraId="3F6C8AB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2126F4A"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w:t>
            </w:r>
          </w:p>
          <w:p w14:paraId="5844376F"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0.59-0.89</w:t>
            </w:r>
          </w:p>
        </w:tc>
      </w:tr>
      <w:tr w:rsidR="0075134C" w:rsidRPr="0075134C" w14:paraId="08CF2199"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08587810"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Nausea and Vomiting</w:t>
            </w:r>
          </w:p>
          <w:p w14:paraId="4502B4F6"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13E50F38"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5585A69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355DBFC"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0.55</w:t>
            </w:r>
          </w:p>
          <w:p w14:paraId="0FE50B32"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0.24-0.76</w:t>
            </w:r>
          </w:p>
        </w:tc>
        <w:tc>
          <w:tcPr>
            <w:tcW w:w="1850" w:type="dxa"/>
            <w:tcBorders>
              <w:left w:val="single" w:sz="4" w:space="0" w:color="auto"/>
              <w:right w:val="single" w:sz="4" w:space="0" w:color="auto"/>
            </w:tcBorders>
          </w:tcPr>
          <w:p w14:paraId="60EB3CED"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B8D400B"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0.91</w:t>
            </w:r>
          </w:p>
          <w:p w14:paraId="34DEA7B6"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0.83-0.96</w:t>
            </w:r>
          </w:p>
        </w:tc>
        <w:tc>
          <w:tcPr>
            <w:tcW w:w="1851" w:type="dxa"/>
            <w:tcBorders>
              <w:left w:val="single" w:sz="4" w:space="0" w:color="auto"/>
            </w:tcBorders>
          </w:tcPr>
          <w:p w14:paraId="5CD4B00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672F91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0.72</w:t>
            </w:r>
          </w:p>
          <w:p w14:paraId="63CB497D"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0.48-0.86</w:t>
            </w:r>
          </w:p>
        </w:tc>
      </w:tr>
      <w:tr w:rsidR="0075134C" w:rsidRPr="0075134C" w14:paraId="78213343"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0D488E40"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Pain</w:t>
            </w:r>
          </w:p>
          <w:p w14:paraId="3385F269"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34B172B9"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168AEF1D"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B03DF15"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0.89</w:t>
            </w:r>
          </w:p>
          <w:p w14:paraId="0E9227A3"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0.78-0.94</w:t>
            </w:r>
          </w:p>
        </w:tc>
        <w:tc>
          <w:tcPr>
            <w:tcW w:w="1850" w:type="dxa"/>
            <w:tcBorders>
              <w:top w:val="none" w:sz="0" w:space="0" w:color="auto"/>
              <w:left w:val="single" w:sz="4" w:space="0" w:color="auto"/>
              <w:bottom w:val="none" w:sz="0" w:space="0" w:color="auto"/>
              <w:right w:val="single" w:sz="4" w:space="0" w:color="auto"/>
            </w:tcBorders>
          </w:tcPr>
          <w:p w14:paraId="18074733"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A431EB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2BFED66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0.80-0.95</w:t>
            </w:r>
          </w:p>
        </w:tc>
        <w:tc>
          <w:tcPr>
            <w:tcW w:w="1851" w:type="dxa"/>
            <w:tcBorders>
              <w:top w:val="none" w:sz="0" w:space="0" w:color="auto"/>
              <w:left w:val="single" w:sz="4" w:space="0" w:color="auto"/>
              <w:bottom w:val="none" w:sz="0" w:space="0" w:color="auto"/>
            </w:tcBorders>
          </w:tcPr>
          <w:p w14:paraId="6A7431E4"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6AAD711"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6309557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0.79-0.95</w:t>
            </w:r>
          </w:p>
        </w:tc>
      </w:tr>
      <w:tr w:rsidR="0075134C" w:rsidRPr="0075134C" w14:paraId="06BC6945"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2CB87A8A"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Dyspnoea</w:t>
            </w:r>
          </w:p>
          <w:p w14:paraId="3C41DADF"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45767594"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6C897D10"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18FC7E5"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0.78</w:t>
            </w:r>
          </w:p>
          <w:p w14:paraId="33F48A69"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0.59-0.89</w:t>
            </w:r>
          </w:p>
        </w:tc>
        <w:tc>
          <w:tcPr>
            <w:tcW w:w="1850" w:type="dxa"/>
            <w:tcBorders>
              <w:left w:val="single" w:sz="4" w:space="0" w:color="auto"/>
              <w:right w:val="single" w:sz="4" w:space="0" w:color="auto"/>
            </w:tcBorders>
          </w:tcPr>
          <w:p w14:paraId="476EBF7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EB48348"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0.79</w:t>
            </w:r>
          </w:p>
          <w:p w14:paraId="6E1D6ACC"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0.60-0.89</w:t>
            </w:r>
          </w:p>
        </w:tc>
        <w:tc>
          <w:tcPr>
            <w:tcW w:w="1851" w:type="dxa"/>
            <w:tcBorders>
              <w:left w:val="single" w:sz="4" w:space="0" w:color="auto"/>
            </w:tcBorders>
          </w:tcPr>
          <w:p w14:paraId="799707DF"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215E847"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0.76</w:t>
            </w:r>
          </w:p>
          <w:p w14:paraId="0D7CC5C9"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0.55-0.88</w:t>
            </w:r>
          </w:p>
        </w:tc>
      </w:tr>
      <w:tr w:rsidR="0075134C" w:rsidRPr="0075134C" w14:paraId="17038283"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051F26DB"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Insomnia</w:t>
            </w:r>
          </w:p>
          <w:p w14:paraId="1722482C"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01EA69CC" w14:textId="24B1D768"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18E97561"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F48BB8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0.87</w:t>
            </w:r>
          </w:p>
          <w:p w14:paraId="344FA1E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0.74-0.93</w:t>
            </w:r>
          </w:p>
        </w:tc>
        <w:tc>
          <w:tcPr>
            <w:tcW w:w="1850" w:type="dxa"/>
            <w:tcBorders>
              <w:top w:val="none" w:sz="0" w:space="0" w:color="auto"/>
              <w:left w:val="single" w:sz="4" w:space="0" w:color="auto"/>
              <w:bottom w:val="none" w:sz="0" w:space="0" w:color="auto"/>
              <w:right w:val="single" w:sz="4" w:space="0" w:color="auto"/>
            </w:tcBorders>
          </w:tcPr>
          <w:p w14:paraId="6E031606"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770CEBB"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0.83</w:t>
            </w:r>
          </w:p>
          <w:p w14:paraId="0DB79ACD"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0.68-0.92</w:t>
            </w:r>
          </w:p>
        </w:tc>
        <w:tc>
          <w:tcPr>
            <w:tcW w:w="1851" w:type="dxa"/>
            <w:tcBorders>
              <w:top w:val="none" w:sz="0" w:space="0" w:color="auto"/>
              <w:left w:val="single" w:sz="4" w:space="0" w:color="auto"/>
              <w:bottom w:val="none" w:sz="0" w:space="0" w:color="auto"/>
            </w:tcBorders>
          </w:tcPr>
          <w:p w14:paraId="57BA6D2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5FA8AB3"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0.84</w:t>
            </w:r>
          </w:p>
          <w:p w14:paraId="17A7AF7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0.69-0.92</w:t>
            </w:r>
          </w:p>
        </w:tc>
      </w:tr>
      <w:tr w:rsidR="0075134C" w:rsidRPr="0075134C" w14:paraId="6CDFCA1F"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7CB28EFD"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Appetite loss</w:t>
            </w:r>
          </w:p>
          <w:p w14:paraId="692470FA"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360F0468"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7928DE99"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FF0851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392EF11D"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0.80-0.95</w:t>
            </w:r>
          </w:p>
        </w:tc>
        <w:tc>
          <w:tcPr>
            <w:tcW w:w="1850" w:type="dxa"/>
            <w:tcBorders>
              <w:left w:val="single" w:sz="4" w:space="0" w:color="auto"/>
              <w:right w:val="single" w:sz="4" w:space="0" w:color="auto"/>
            </w:tcBorders>
          </w:tcPr>
          <w:p w14:paraId="58E4C7FD"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BD928AC"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0.82</w:t>
            </w:r>
          </w:p>
          <w:p w14:paraId="34FA40AD"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0.65-0.91</w:t>
            </w:r>
          </w:p>
        </w:tc>
        <w:tc>
          <w:tcPr>
            <w:tcW w:w="1851" w:type="dxa"/>
            <w:tcBorders>
              <w:left w:val="single" w:sz="4" w:space="0" w:color="auto"/>
            </w:tcBorders>
          </w:tcPr>
          <w:p w14:paraId="7F8FFFC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254EB82"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0.85</w:t>
            </w:r>
          </w:p>
          <w:p w14:paraId="1EDBAF46"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0.71-0.93</w:t>
            </w:r>
          </w:p>
        </w:tc>
      </w:tr>
      <w:tr w:rsidR="0075134C" w:rsidRPr="0075134C" w14:paraId="29D7D134"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605A0238"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Constipation</w:t>
            </w:r>
          </w:p>
          <w:p w14:paraId="7813FB07"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31922FD5"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5041D49F"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886B43A"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32BCCE1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0.81-0.95</w:t>
            </w:r>
          </w:p>
        </w:tc>
        <w:tc>
          <w:tcPr>
            <w:tcW w:w="1850" w:type="dxa"/>
            <w:tcBorders>
              <w:top w:val="none" w:sz="0" w:space="0" w:color="auto"/>
              <w:left w:val="single" w:sz="4" w:space="0" w:color="auto"/>
              <w:bottom w:val="none" w:sz="0" w:space="0" w:color="auto"/>
              <w:right w:val="single" w:sz="4" w:space="0" w:color="auto"/>
            </w:tcBorders>
          </w:tcPr>
          <w:p w14:paraId="103B2AF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8EBFAB4"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1FFDB55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0.80-0.95</w:t>
            </w:r>
          </w:p>
        </w:tc>
        <w:tc>
          <w:tcPr>
            <w:tcW w:w="1851" w:type="dxa"/>
            <w:tcBorders>
              <w:top w:val="none" w:sz="0" w:space="0" w:color="auto"/>
              <w:left w:val="single" w:sz="4" w:space="0" w:color="auto"/>
              <w:bottom w:val="none" w:sz="0" w:space="0" w:color="auto"/>
            </w:tcBorders>
          </w:tcPr>
          <w:p w14:paraId="63229E4C"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21FC5B1"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0.90</w:t>
            </w:r>
          </w:p>
          <w:p w14:paraId="57EFE95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0.80-0.95</w:t>
            </w:r>
          </w:p>
        </w:tc>
      </w:tr>
      <w:tr w:rsidR="0075134C" w:rsidRPr="0075134C" w14:paraId="2CB368D0" w14:textId="77777777" w:rsidTr="0075134C">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57817182"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Diarrhoea</w:t>
            </w:r>
          </w:p>
          <w:p w14:paraId="1BEC7C38"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5A662AB6"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left w:val="single" w:sz="4" w:space="0" w:color="auto"/>
              <w:right w:val="single" w:sz="4" w:space="0" w:color="auto"/>
            </w:tcBorders>
          </w:tcPr>
          <w:p w14:paraId="1C817511"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D74C4B3"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0.77</w:t>
            </w:r>
          </w:p>
          <w:p w14:paraId="73AAD15A"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0.58-0.88</w:t>
            </w:r>
          </w:p>
        </w:tc>
        <w:tc>
          <w:tcPr>
            <w:tcW w:w="1850" w:type="dxa"/>
            <w:tcBorders>
              <w:left w:val="single" w:sz="4" w:space="0" w:color="auto"/>
              <w:right w:val="single" w:sz="4" w:space="0" w:color="auto"/>
            </w:tcBorders>
          </w:tcPr>
          <w:p w14:paraId="7B2E7116"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FB561E3"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0.85</w:t>
            </w:r>
          </w:p>
          <w:p w14:paraId="2C7915E9"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0.71-0.92</w:t>
            </w:r>
          </w:p>
        </w:tc>
        <w:tc>
          <w:tcPr>
            <w:tcW w:w="1851" w:type="dxa"/>
            <w:tcBorders>
              <w:left w:val="single" w:sz="4" w:space="0" w:color="auto"/>
            </w:tcBorders>
          </w:tcPr>
          <w:p w14:paraId="3C4A5A52"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B77CAFE"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0.80</w:t>
            </w:r>
          </w:p>
          <w:p w14:paraId="0DB32587" w14:textId="77777777" w:rsidR="0075134C" w:rsidRPr="0075134C" w:rsidRDefault="0075134C" w:rsidP="0075134C">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0.62-0.90</w:t>
            </w:r>
          </w:p>
        </w:tc>
      </w:tr>
      <w:tr w:rsidR="0075134C" w:rsidRPr="0075134C" w14:paraId="6FB01332" w14:textId="77777777" w:rsidTr="00751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single" w:sz="4" w:space="0" w:color="auto"/>
            </w:tcBorders>
          </w:tcPr>
          <w:p w14:paraId="79C8B2F3"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Financial difficulties</w:t>
            </w:r>
          </w:p>
          <w:p w14:paraId="238607BE"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ICC</w:t>
            </w:r>
          </w:p>
          <w:p w14:paraId="67E3DA6A" w14:textId="77777777" w:rsidR="0075134C" w:rsidRPr="0075134C" w:rsidRDefault="0075134C" w:rsidP="0075134C">
            <w:pPr>
              <w:jc w:val="both"/>
              <w:rPr>
                <w:rFonts w:ascii="Times New Roman" w:eastAsia="Arial" w:hAnsi="Times New Roman" w:cs="Times New Roman"/>
                <w:sz w:val="18"/>
                <w:szCs w:val="18"/>
              </w:rPr>
            </w:pPr>
            <w:r w:rsidRPr="0075134C">
              <w:rPr>
                <w:rFonts w:ascii="Times New Roman" w:eastAsia="Arial" w:hAnsi="Times New Roman" w:cs="Times New Roman"/>
                <w:sz w:val="18"/>
                <w:szCs w:val="18"/>
              </w:rPr>
              <w:t>95% CI</w:t>
            </w:r>
          </w:p>
        </w:tc>
        <w:tc>
          <w:tcPr>
            <w:tcW w:w="1918" w:type="dxa"/>
            <w:tcBorders>
              <w:top w:val="none" w:sz="0" w:space="0" w:color="auto"/>
              <w:left w:val="single" w:sz="4" w:space="0" w:color="auto"/>
              <w:bottom w:val="none" w:sz="0" w:space="0" w:color="auto"/>
              <w:right w:val="single" w:sz="4" w:space="0" w:color="auto"/>
            </w:tcBorders>
          </w:tcPr>
          <w:p w14:paraId="2B3EFEE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AC5E16D"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0.60</w:t>
            </w:r>
          </w:p>
          <w:p w14:paraId="0465CF9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0.31-0.79</w:t>
            </w:r>
          </w:p>
        </w:tc>
        <w:tc>
          <w:tcPr>
            <w:tcW w:w="1850" w:type="dxa"/>
            <w:tcBorders>
              <w:top w:val="none" w:sz="0" w:space="0" w:color="auto"/>
              <w:left w:val="single" w:sz="4" w:space="0" w:color="auto"/>
              <w:bottom w:val="none" w:sz="0" w:space="0" w:color="auto"/>
              <w:right w:val="single" w:sz="4" w:space="0" w:color="auto"/>
            </w:tcBorders>
          </w:tcPr>
          <w:p w14:paraId="50D9A826"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914A0E8"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0.87</w:t>
            </w:r>
          </w:p>
          <w:p w14:paraId="376DBBB9"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0.75-0.93</w:t>
            </w:r>
          </w:p>
        </w:tc>
        <w:tc>
          <w:tcPr>
            <w:tcW w:w="1851" w:type="dxa"/>
            <w:tcBorders>
              <w:top w:val="none" w:sz="0" w:space="0" w:color="auto"/>
              <w:left w:val="single" w:sz="4" w:space="0" w:color="auto"/>
              <w:bottom w:val="none" w:sz="0" w:space="0" w:color="auto"/>
            </w:tcBorders>
          </w:tcPr>
          <w:p w14:paraId="07C78113"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BAF79B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0.73</w:t>
            </w:r>
          </w:p>
          <w:p w14:paraId="65DD23B7" w14:textId="77777777" w:rsidR="0075134C" w:rsidRPr="0075134C" w:rsidRDefault="0075134C" w:rsidP="0075134C">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75134C">
              <w:rPr>
                <w:rFonts w:ascii="Times New Roman" w:eastAsia="Arial" w:hAnsi="Times New Roman" w:cs="Times New Roman"/>
                <w:sz w:val="18"/>
                <w:szCs w:val="18"/>
              </w:rPr>
              <w:t>0.49-0.86</w:t>
            </w:r>
          </w:p>
        </w:tc>
      </w:tr>
    </w:tbl>
    <w:p w14:paraId="2283478B" w14:textId="68EB7C70" w:rsidR="00481737" w:rsidRDefault="00481737" w:rsidP="00FE77C0">
      <w:pPr>
        <w:spacing w:line="480" w:lineRule="auto"/>
        <w:rPr>
          <w:rFonts w:ascii="Times New Roman" w:hAnsi="Times New Roman" w:cs="Times New Roman"/>
        </w:rPr>
      </w:pPr>
    </w:p>
    <w:p w14:paraId="5197BA1D" w14:textId="04319094" w:rsidR="001E4C2C" w:rsidRDefault="00202B2A" w:rsidP="00FE77C0">
      <w:pPr>
        <w:spacing w:line="480" w:lineRule="auto"/>
        <w:rPr>
          <w:rFonts w:ascii="Times New Roman" w:hAnsi="Times New Roman" w:cs="Times New Roman"/>
        </w:rPr>
      </w:pPr>
      <w:r w:rsidRPr="00F77C96">
        <w:rPr>
          <w:rFonts w:ascii="Times New Roman" w:hAnsi="Times New Roman" w:cs="Times New Roman"/>
        </w:rPr>
        <w:t>Mean differences</w:t>
      </w:r>
      <w:r w:rsidR="00054955">
        <w:rPr>
          <w:rFonts w:ascii="Times New Roman" w:hAnsi="Times New Roman" w:cs="Times New Roman"/>
        </w:rPr>
        <w:t xml:space="preserve"> in</w:t>
      </w:r>
      <w:r w:rsidRPr="00F77C96">
        <w:rPr>
          <w:rFonts w:ascii="Times New Roman" w:hAnsi="Times New Roman" w:cs="Times New Roman"/>
        </w:rPr>
        <w:t xml:space="preserve"> domain-level scores were assessed between administration modes</w:t>
      </w:r>
      <w:r w:rsidR="001B2A63">
        <w:rPr>
          <w:rFonts w:ascii="Times New Roman" w:hAnsi="Times New Roman" w:cs="Times New Roman"/>
        </w:rPr>
        <w:t xml:space="preserve"> and are shown in Table </w:t>
      </w:r>
      <w:r w:rsidR="00876CFD">
        <w:rPr>
          <w:rFonts w:ascii="Times New Roman" w:hAnsi="Times New Roman" w:cs="Times New Roman"/>
        </w:rPr>
        <w:t>5</w:t>
      </w:r>
      <w:r w:rsidRPr="00F77C96">
        <w:rPr>
          <w:rFonts w:ascii="Times New Roman" w:hAnsi="Times New Roman" w:cs="Times New Roman"/>
        </w:rPr>
        <w:t>. Results</w:t>
      </w:r>
      <w:r w:rsidR="001B2A63">
        <w:rPr>
          <w:rFonts w:ascii="Times New Roman" w:hAnsi="Times New Roman" w:cs="Times New Roman"/>
        </w:rPr>
        <w:t xml:space="preserve"> f</w:t>
      </w:r>
      <w:r w:rsidR="007274DF">
        <w:rPr>
          <w:rFonts w:ascii="Times New Roman" w:hAnsi="Times New Roman" w:cs="Times New Roman"/>
        </w:rPr>
        <w:t xml:space="preserve">or mean differences at the item </w:t>
      </w:r>
      <w:r w:rsidR="001B2A63">
        <w:rPr>
          <w:rFonts w:ascii="Times New Roman" w:hAnsi="Times New Roman" w:cs="Times New Roman"/>
        </w:rPr>
        <w:t xml:space="preserve">level are displayed in Appendix B. </w:t>
      </w:r>
      <w:r w:rsidR="00F77C96" w:rsidRPr="00095ADA">
        <w:rPr>
          <w:rFonts w:ascii="Times New Roman" w:hAnsi="Times New Roman" w:cs="Times New Roman"/>
        </w:rPr>
        <w:t xml:space="preserve">At the domain </w:t>
      </w:r>
      <w:r w:rsidR="00F77C96" w:rsidRPr="00095ADA">
        <w:rPr>
          <w:rFonts w:ascii="Times New Roman" w:hAnsi="Times New Roman" w:cs="Times New Roman"/>
        </w:rPr>
        <w:lastRenderedPageBreak/>
        <w:t xml:space="preserve">level, </w:t>
      </w:r>
      <w:r w:rsidR="00054955">
        <w:rPr>
          <w:rFonts w:ascii="Times New Roman" w:hAnsi="Times New Roman" w:cs="Times New Roman"/>
        </w:rPr>
        <w:t xml:space="preserve">differences between modes were </w:t>
      </w:r>
      <w:r w:rsidR="00F77C96" w:rsidRPr="00095ADA">
        <w:rPr>
          <w:rFonts w:ascii="Times New Roman" w:hAnsi="Times New Roman" w:cs="Times New Roman"/>
        </w:rPr>
        <w:t>minimal in absolute magnitude, ranging from 0.00 to 11.00 points</w:t>
      </w:r>
      <w:r w:rsidR="0075134C">
        <w:rPr>
          <w:rFonts w:ascii="Times New Roman" w:hAnsi="Times New Roman" w:cs="Times New Roman"/>
        </w:rPr>
        <w:t>.</w:t>
      </w:r>
      <w:r w:rsidR="00095ADA">
        <w:rPr>
          <w:rFonts w:ascii="Times New Roman" w:hAnsi="Times New Roman" w:cs="Times New Roman"/>
        </w:rPr>
        <w:t xml:space="preserve"> </w:t>
      </w:r>
    </w:p>
    <w:p w14:paraId="3EB9D425" w14:textId="7C842267" w:rsidR="00883BF8" w:rsidRPr="00883BF8" w:rsidRDefault="00F52303" w:rsidP="00883BF8">
      <w:pPr>
        <w:rPr>
          <w:rFonts w:ascii="Times New Roman" w:hAnsi="Times New Roman" w:cs="Times New Roman"/>
        </w:rPr>
      </w:pPr>
      <w:r>
        <w:rPr>
          <w:rFonts w:ascii="Times New Roman" w:hAnsi="Times New Roman" w:cs="Times New Roman"/>
        </w:rPr>
        <w:t>T</w:t>
      </w:r>
      <w:r w:rsidR="00A05155">
        <w:rPr>
          <w:rFonts w:ascii="Times New Roman" w:hAnsi="Times New Roman" w:cs="Times New Roman"/>
        </w:rPr>
        <w:t xml:space="preserve">able </w:t>
      </w:r>
      <w:r w:rsidR="00876CFD">
        <w:rPr>
          <w:rFonts w:ascii="Times New Roman" w:hAnsi="Times New Roman" w:cs="Times New Roman"/>
        </w:rPr>
        <w:t>5</w:t>
      </w:r>
      <w:r w:rsidR="00883BF8" w:rsidRPr="00883BF8">
        <w:rPr>
          <w:rFonts w:ascii="Times New Roman" w:hAnsi="Times New Roman" w:cs="Times New Roman"/>
        </w:rPr>
        <w:t>.  Mean differences in multi-item scores between paper and pen versions.</w:t>
      </w:r>
    </w:p>
    <w:tbl>
      <w:tblPr>
        <w:tblStyle w:val="ListTable3-Accent15"/>
        <w:tblW w:w="552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980"/>
        <w:gridCol w:w="1701"/>
        <w:gridCol w:w="1843"/>
      </w:tblGrid>
      <w:tr w:rsidR="003E7481" w:rsidRPr="003E7481" w14:paraId="344D220C" w14:textId="77777777" w:rsidTr="003E7481">
        <w:trPr>
          <w:cnfStyle w:val="100000000000" w:firstRow="1" w:lastRow="0" w:firstColumn="0" w:lastColumn="0" w:oddVBand="0" w:evenVBand="0" w:oddHBand="0" w:evenHBand="0" w:firstRowFirstColumn="0" w:firstRowLastColumn="0" w:lastRowFirstColumn="0" w:lastRowLastColumn="0"/>
          <w:trHeight w:val="266"/>
          <w:tblHeader/>
        </w:trPr>
        <w:tc>
          <w:tcPr>
            <w:cnfStyle w:val="001000000100" w:firstRow="0" w:lastRow="0" w:firstColumn="1" w:lastColumn="0" w:oddVBand="0" w:evenVBand="0" w:oddHBand="0" w:evenHBand="0" w:firstRowFirstColumn="1" w:firstRowLastColumn="0" w:lastRowFirstColumn="0" w:lastRowLastColumn="0"/>
            <w:tcW w:w="1980" w:type="dxa"/>
            <w:vMerge w:val="restart"/>
            <w:shd w:val="clear" w:color="auto" w:fill="auto"/>
          </w:tcPr>
          <w:p w14:paraId="4D95568F" w14:textId="77777777" w:rsidR="003E7481" w:rsidRPr="003E7481" w:rsidRDefault="003E7481" w:rsidP="003E7481">
            <w:pPr>
              <w:jc w:val="both"/>
              <w:rPr>
                <w:rFonts w:ascii="Times New Roman" w:eastAsia="Arial" w:hAnsi="Times New Roman" w:cs="Times New Roman"/>
                <w:color w:val="auto"/>
                <w:sz w:val="18"/>
                <w:szCs w:val="18"/>
                <w:lang w:val="fr-BE"/>
              </w:rPr>
            </w:pPr>
            <w:r w:rsidRPr="003E7481">
              <w:rPr>
                <w:rFonts w:ascii="Times New Roman" w:eastAsia="Arial" w:hAnsi="Times New Roman" w:cs="Times New Roman"/>
                <w:color w:val="auto"/>
                <w:sz w:val="18"/>
                <w:szCs w:val="18"/>
                <w:lang w:val="fr-BE"/>
              </w:rPr>
              <w:t xml:space="preserve">QLQ-C30 </w:t>
            </w:r>
          </w:p>
          <w:p w14:paraId="75269AB1" w14:textId="77777777" w:rsidR="003E7481" w:rsidRPr="003E7481" w:rsidRDefault="003E7481" w:rsidP="003E7481">
            <w:pPr>
              <w:jc w:val="both"/>
              <w:rPr>
                <w:rFonts w:ascii="Times New Roman" w:eastAsia="Arial" w:hAnsi="Times New Roman" w:cs="Times New Roman"/>
                <w:color w:val="auto"/>
                <w:sz w:val="18"/>
                <w:szCs w:val="18"/>
                <w:lang w:val="fr-BE"/>
              </w:rPr>
            </w:pPr>
            <w:r w:rsidRPr="003E7481">
              <w:rPr>
                <w:rFonts w:ascii="Times New Roman" w:eastAsia="Arial" w:hAnsi="Times New Roman" w:cs="Times New Roman"/>
                <w:color w:val="auto"/>
                <w:sz w:val="18"/>
                <w:szCs w:val="18"/>
                <w:lang w:val="fr-BE"/>
              </w:rPr>
              <w:t>scores</w:t>
            </w:r>
          </w:p>
        </w:tc>
        <w:tc>
          <w:tcPr>
            <w:tcW w:w="3544" w:type="dxa"/>
            <w:gridSpan w:val="2"/>
            <w:tcBorders>
              <w:left w:val="nil"/>
              <w:bottom w:val="nil"/>
            </w:tcBorders>
            <w:shd w:val="clear" w:color="auto" w:fill="auto"/>
          </w:tcPr>
          <w:p w14:paraId="650963F9" w14:textId="77777777" w:rsidR="003E7481" w:rsidRPr="003E7481" w:rsidRDefault="003E7481" w:rsidP="003E7481">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3E7481">
              <w:rPr>
                <w:rFonts w:ascii="Times New Roman" w:eastAsia="Arial" w:hAnsi="Times New Roman" w:cs="Times New Roman"/>
                <w:color w:val="auto"/>
                <w:sz w:val="18"/>
                <w:szCs w:val="18"/>
              </w:rPr>
              <w:t>All patients</w:t>
            </w:r>
          </w:p>
        </w:tc>
      </w:tr>
      <w:tr w:rsidR="003E7481" w:rsidRPr="003E7481" w14:paraId="7A415DFD" w14:textId="77777777" w:rsidTr="003E7481">
        <w:trPr>
          <w:cnfStyle w:val="100000000000" w:firstRow="1" w:lastRow="0" w:firstColumn="0" w:lastColumn="0" w:oddVBand="0" w:evenVBand="0" w:oddHBand="0" w:evenHBand="0" w:firstRowFirstColumn="0" w:firstRowLastColumn="0" w:lastRowFirstColumn="0" w:lastRowLastColumn="0"/>
          <w:trHeight w:val="407"/>
          <w:tblHeader/>
        </w:trPr>
        <w:tc>
          <w:tcPr>
            <w:cnfStyle w:val="001000000100" w:firstRow="0" w:lastRow="0" w:firstColumn="1" w:lastColumn="0" w:oddVBand="0" w:evenVBand="0" w:oddHBand="0" w:evenHBand="0" w:firstRowFirstColumn="1" w:firstRowLastColumn="0" w:lastRowFirstColumn="0" w:lastRowLastColumn="0"/>
            <w:tcW w:w="1980" w:type="dxa"/>
            <w:vMerge/>
            <w:tcBorders>
              <w:bottom w:val="single" w:sz="4" w:space="0" w:color="auto"/>
            </w:tcBorders>
            <w:shd w:val="clear" w:color="auto" w:fill="auto"/>
          </w:tcPr>
          <w:p w14:paraId="0E1FF0FE" w14:textId="77777777" w:rsidR="003E7481" w:rsidRPr="003E7481" w:rsidRDefault="003E7481" w:rsidP="003E7481">
            <w:pPr>
              <w:jc w:val="both"/>
              <w:rPr>
                <w:rFonts w:ascii="Times New Roman" w:eastAsia="Arial" w:hAnsi="Times New Roman" w:cs="Times New Roman"/>
                <w:sz w:val="18"/>
                <w:szCs w:val="18"/>
              </w:rPr>
            </w:pPr>
          </w:p>
        </w:tc>
        <w:tc>
          <w:tcPr>
            <w:tcW w:w="1701" w:type="dxa"/>
            <w:tcBorders>
              <w:top w:val="nil"/>
              <w:left w:val="nil"/>
              <w:bottom w:val="single" w:sz="4" w:space="0" w:color="auto"/>
            </w:tcBorders>
            <w:shd w:val="clear" w:color="auto" w:fill="auto"/>
          </w:tcPr>
          <w:p w14:paraId="7A6CF073" w14:textId="77777777" w:rsidR="003E7481" w:rsidRPr="003E7481" w:rsidRDefault="003E7481" w:rsidP="003E7481">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3E7481">
              <w:rPr>
                <w:rFonts w:ascii="Times New Roman" w:eastAsia="Arial" w:hAnsi="Times New Roman" w:cs="Times New Roman"/>
                <w:color w:val="auto"/>
                <w:sz w:val="18"/>
                <w:szCs w:val="18"/>
              </w:rPr>
              <w:t>Paper first</w:t>
            </w:r>
          </w:p>
          <w:p w14:paraId="4051641D" w14:textId="77777777" w:rsidR="003E7481" w:rsidRPr="003E7481" w:rsidRDefault="003E7481" w:rsidP="003E7481">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3E7481">
              <w:rPr>
                <w:rFonts w:ascii="Times New Roman" w:eastAsia="Arial" w:hAnsi="Times New Roman" w:cs="Times New Roman"/>
                <w:color w:val="auto"/>
                <w:sz w:val="18"/>
                <w:szCs w:val="18"/>
              </w:rPr>
              <w:t>(N=31)</w:t>
            </w:r>
          </w:p>
        </w:tc>
        <w:tc>
          <w:tcPr>
            <w:tcW w:w="1843" w:type="dxa"/>
            <w:tcBorders>
              <w:top w:val="nil"/>
              <w:bottom w:val="single" w:sz="4" w:space="0" w:color="auto"/>
            </w:tcBorders>
            <w:shd w:val="clear" w:color="auto" w:fill="auto"/>
          </w:tcPr>
          <w:p w14:paraId="0D7A7B97" w14:textId="77777777" w:rsidR="003E7481" w:rsidRPr="003E7481" w:rsidRDefault="003E7481" w:rsidP="003E7481">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3E7481">
              <w:rPr>
                <w:rFonts w:ascii="Times New Roman" w:eastAsia="Arial" w:hAnsi="Times New Roman" w:cs="Times New Roman"/>
                <w:color w:val="auto"/>
                <w:sz w:val="18"/>
                <w:szCs w:val="18"/>
              </w:rPr>
              <w:t>Phone first</w:t>
            </w:r>
          </w:p>
          <w:p w14:paraId="2EE3F52C" w14:textId="77777777" w:rsidR="003E7481" w:rsidRPr="003E7481" w:rsidRDefault="003E7481" w:rsidP="003E7481">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3E7481">
              <w:rPr>
                <w:rFonts w:ascii="Times New Roman" w:eastAsia="Arial" w:hAnsi="Times New Roman" w:cs="Times New Roman"/>
                <w:color w:val="auto"/>
                <w:sz w:val="18"/>
                <w:szCs w:val="18"/>
              </w:rPr>
              <w:t>(N=32)</w:t>
            </w:r>
          </w:p>
        </w:tc>
      </w:tr>
      <w:tr w:rsidR="003E7481" w:rsidRPr="003E7481" w14:paraId="1E2C1162" w14:textId="77777777" w:rsidTr="003E748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38BFBE4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Global health status</w:t>
            </w:r>
          </w:p>
        </w:tc>
        <w:tc>
          <w:tcPr>
            <w:tcW w:w="1701" w:type="dxa"/>
            <w:tcBorders>
              <w:left w:val="single" w:sz="4" w:space="0" w:color="auto"/>
              <w:bottom w:val="nil"/>
              <w:right w:val="single" w:sz="4" w:space="0" w:color="auto"/>
            </w:tcBorders>
          </w:tcPr>
          <w:p w14:paraId="2EF37DF0"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18"/>
                <w:szCs w:val="18"/>
              </w:rPr>
            </w:pPr>
          </w:p>
        </w:tc>
        <w:tc>
          <w:tcPr>
            <w:tcW w:w="1843" w:type="dxa"/>
            <w:tcBorders>
              <w:left w:val="single" w:sz="4" w:space="0" w:color="auto"/>
              <w:bottom w:val="nil"/>
              <w:right w:val="single" w:sz="4" w:space="0" w:color="auto"/>
            </w:tcBorders>
          </w:tcPr>
          <w:p w14:paraId="4E33395A"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18"/>
                <w:szCs w:val="18"/>
              </w:rPr>
            </w:pPr>
          </w:p>
        </w:tc>
      </w:tr>
      <w:tr w:rsidR="003E7481" w:rsidRPr="003E7481" w14:paraId="0D8F777B" w14:textId="77777777" w:rsidTr="003E7481">
        <w:trPr>
          <w:trHeight w:val="241"/>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1BA38E5B"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6C9903E9"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-0.67 (9.01)</w:t>
            </w:r>
          </w:p>
        </w:tc>
        <w:tc>
          <w:tcPr>
            <w:tcW w:w="1843" w:type="dxa"/>
            <w:tcBorders>
              <w:top w:val="nil"/>
              <w:left w:val="single" w:sz="4" w:space="0" w:color="auto"/>
              <w:bottom w:val="nil"/>
              <w:right w:val="single" w:sz="4" w:space="0" w:color="auto"/>
            </w:tcBorders>
          </w:tcPr>
          <w:p w14:paraId="4537ED17"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-0.52 (8.71)</w:t>
            </w:r>
          </w:p>
        </w:tc>
      </w:tr>
      <w:tr w:rsidR="003E7481" w:rsidRPr="003E7481" w14:paraId="24AA508E" w14:textId="77777777" w:rsidTr="003E748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53E76148"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6E8BD873"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-16.67 - 33.33</w:t>
            </w:r>
          </w:p>
        </w:tc>
        <w:tc>
          <w:tcPr>
            <w:tcW w:w="1843" w:type="dxa"/>
            <w:tcBorders>
              <w:top w:val="nil"/>
              <w:left w:val="single" w:sz="4" w:space="0" w:color="auto"/>
              <w:bottom w:val="single" w:sz="4" w:space="0" w:color="auto"/>
              <w:right w:val="single" w:sz="4" w:space="0" w:color="auto"/>
            </w:tcBorders>
          </w:tcPr>
          <w:p w14:paraId="05FBB70E"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-25.00 - 25.00</w:t>
            </w:r>
          </w:p>
        </w:tc>
      </w:tr>
      <w:tr w:rsidR="003E7481" w:rsidRPr="003E7481" w14:paraId="67889F8A" w14:textId="77777777" w:rsidTr="003E7481">
        <w:trPr>
          <w:trHeight w:val="253"/>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34E1217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Physical functioning</w:t>
            </w:r>
          </w:p>
        </w:tc>
        <w:tc>
          <w:tcPr>
            <w:tcW w:w="1701" w:type="dxa"/>
            <w:tcBorders>
              <w:left w:val="single" w:sz="4" w:space="0" w:color="auto"/>
              <w:bottom w:val="nil"/>
              <w:right w:val="single" w:sz="4" w:space="0" w:color="auto"/>
            </w:tcBorders>
          </w:tcPr>
          <w:p w14:paraId="3BCDAFD1"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5CDEB9BE"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6621DD98" w14:textId="77777777" w:rsidTr="003E748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7F5D5216"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3A2317D8"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-2.37 (8.35)</w:t>
            </w:r>
          </w:p>
        </w:tc>
        <w:tc>
          <w:tcPr>
            <w:tcW w:w="1843" w:type="dxa"/>
            <w:tcBorders>
              <w:top w:val="nil"/>
              <w:left w:val="single" w:sz="4" w:space="0" w:color="auto"/>
              <w:bottom w:val="nil"/>
              <w:right w:val="single" w:sz="4" w:space="0" w:color="auto"/>
            </w:tcBorders>
          </w:tcPr>
          <w:p w14:paraId="6F568B10"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1.04 (6.36)</w:t>
            </w:r>
          </w:p>
        </w:tc>
      </w:tr>
      <w:tr w:rsidR="003E7481" w:rsidRPr="003E7481" w14:paraId="17719970" w14:textId="77777777" w:rsidTr="00E6739F">
        <w:trPr>
          <w:trHeight w:val="253"/>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right w:val="single" w:sz="4" w:space="0" w:color="auto"/>
            </w:tcBorders>
          </w:tcPr>
          <w:p w14:paraId="3C3F08EE"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0" w:type="dxa"/>
            <w:tcBorders>
              <w:top w:val="nil"/>
              <w:left w:val="single" w:sz="4" w:space="0" w:color="auto"/>
              <w:bottom w:val="single" w:sz="4" w:space="0" w:color="auto"/>
              <w:right w:val="single" w:sz="4" w:space="0" w:color="auto"/>
            </w:tcBorders>
          </w:tcPr>
          <w:p w14:paraId="59465DD6"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-20.00 - 20.00</w:t>
            </w:r>
          </w:p>
        </w:tc>
        <w:tc>
          <w:tcPr>
            <w:tcW w:w="0" w:type="dxa"/>
            <w:tcBorders>
              <w:top w:val="nil"/>
              <w:left w:val="single" w:sz="4" w:space="0" w:color="auto"/>
              <w:bottom w:val="single" w:sz="4" w:space="0" w:color="auto"/>
              <w:right w:val="single" w:sz="4" w:space="0" w:color="auto"/>
            </w:tcBorders>
          </w:tcPr>
          <w:p w14:paraId="7B8AD09A"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-6.67 - 26.67</w:t>
            </w:r>
          </w:p>
        </w:tc>
      </w:tr>
      <w:tr w:rsidR="003E7481" w:rsidRPr="003E7481" w14:paraId="71140DB2" w14:textId="77777777" w:rsidTr="003E748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nil"/>
              <w:right w:val="single" w:sz="4" w:space="0" w:color="auto"/>
            </w:tcBorders>
          </w:tcPr>
          <w:p w14:paraId="7C1809F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Role functioning</w:t>
            </w:r>
          </w:p>
        </w:tc>
        <w:tc>
          <w:tcPr>
            <w:tcW w:w="1701" w:type="dxa"/>
            <w:tcBorders>
              <w:top w:val="single" w:sz="4" w:space="0" w:color="auto"/>
              <w:left w:val="single" w:sz="4" w:space="0" w:color="auto"/>
              <w:bottom w:val="nil"/>
              <w:right w:val="single" w:sz="4" w:space="0" w:color="auto"/>
            </w:tcBorders>
          </w:tcPr>
          <w:p w14:paraId="41435658"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top w:val="single" w:sz="4" w:space="0" w:color="auto"/>
              <w:left w:val="single" w:sz="4" w:space="0" w:color="auto"/>
              <w:bottom w:val="nil"/>
              <w:right w:val="single" w:sz="4" w:space="0" w:color="auto"/>
            </w:tcBorders>
          </w:tcPr>
          <w:p w14:paraId="4F54537F"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1D67A2F0" w14:textId="77777777" w:rsidTr="00E6739F">
        <w:trPr>
          <w:trHeight w:val="253"/>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right w:val="single" w:sz="4" w:space="0" w:color="auto"/>
            </w:tcBorders>
          </w:tcPr>
          <w:p w14:paraId="295E4859"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0" w:type="dxa"/>
            <w:tcBorders>
              <w:top w:val="nil"/>
              <w:left w:val="single" w:sz="4" w:space="0" w:color="auto"/>
              <w:bottom w:val="nil"/>
              <w:right w:val="single" w:sz="4" w:space="0" w:color="auto"/>
            </w:tcBorders>
          </w:tcPr>
          <w:p w14:paraId="210A3A5A"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-0.54 (15.80)</w:t>
            </w:r>
          </w:p>
        </w:tc>
        <w:tc>
          <w:tcPr>
            <w:tcW w:w="0" w:type="dxa"/>
            <w:tcBorders>
              <w:top w:val="nil"/>
              <w:left w:val="single" w:sz="4" w:space="0" w:color="auto"/>
              <w:bottom w:val="nil"/>
              <w:right w:val="single" w:sz="4" w:space="0" w:color="auto"/>
            </w:tcBorders>
          </w:tcPr>
          <w:p w14:paraId="206D5521"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5.73 (14.42)</w:t>
            </w:r>
          </w:p>
        </w:tc>
      </w:tr>
      <w:tr w:rsidR="003E7481" w:rsidRPr="003E7481" w14:paraId="5212A711" w14:textId="77777777" w:rsidTr="00E6739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right w:val="single" w:sz="4" w:space="0" w:color="auto"/>
            </w:tcBorders>
          </w:tcPr>
          <w:p w14:paraId="2BE2A3C3"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0" w:type="dxa"/>
            <w:tcBorders>
              <w:top w:val="nil"/>
              <w:left w:val="single" w:sz="4" w:space="0" w:color="auto"/>
              <w:bottom w:val="single" w:sz="4" w:space="0" w:color="auto"/>
              <w:right w:val="single" w:sz="4" w:space="0" w:color="auto"/>
            </w:tcBorders>
          </w:tcPr>
          <w:p w14:paraId="30B129C3"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-33.33 - 33.33</w:t>
            </w:r>
          </w:p>
        </w:tc>
        <w:tc>
          <w:tcPr>
            <w:tcW w:w="0" w:type="dxa"/>
            <w:tcBorders>
              <w:top w:val="nil"/>
              <w:left w:val="single" w:sz="4" w:space="0" w:color="auto"/>
              <w:bottom w:val="single" w:sz="4" w:space="0" w:color="auto"/>
              <w:right w:val="single" w:sz="4" w:space="0" w:color="auto"/>
            </w:tcBorders>
          </w:tcPr>
          <w:p w14:paraId="179BE0FA"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-16.67 - 33.33</w:t>
            </w:r>
          </w:p>
        </w:tc>
      </w:tr>
      <w:tr w:rsidR="003E7481" w:rsidRPr="003E7481" w14:paraId="17DED871" w14:textId="77777777" w:rsidTr="003E7481">
        <w:trPr>
          <w:trHeight w:val="237"/>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30A0259F"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Emotional functioning</w:t>
            </w:r>
          </w:p>
        </w:tc>
        <w:tc>
          <w:tcPr>
            <w:tcW w:w="1701" w:type="dxa"/>
            <w:tcBorders>
              <w:left w:val="single" w:sz="4" w:space="0" w:color="auto"/>
              <w:bottom w:val="nil"/>
              <w:right w:val="single" w:sz="4" w:space="0" w:color="auto"/>
            </w:tcBorders>
          </w:tcPr>
          <w:p w14:paraId="0AD01490"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6BB19CF2"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0774E0CB" w14:textId="77777777" w:rsidTr="003E748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5B222983"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489F64D9"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0.54 (14.26)</w:t>
            </w:r>
          </w:p>
        </w:tc>
        <w:tc>
          <w:tcPr>
            <w:tcW w:w="1843" w:type="dxa"/>
            <w:tcBorders>
              <w:top w:val="nil"/>
              <w:left w:val="single" w:sz="4" w:space="0" w:color="auto"/>
              <w:bottom w:val="nil"/>
              <w:right w:val="single" w:sz="4" w:space="0" w:color="auto"/>
            </w:tcBorders>
          </w:tcPr>
          <w:p w14:paraId="25ECC601"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4.43 (10.37)</w:t>
            </w:r>
          </w:p>
        </w:tc>
      </w:tr>
      <w:tr w:rsidR="003E7481" w:rsidRPr="003E7481" w14:paraId="60AB1C19" w14:textId="77777777" w:rsidTr="003E7481">
        <w:trPr>
          <w:trHeight w:val="25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29E089B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260FED46"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-25.00 - 33.33</w:t>
            </w:r>
          </w:p>
        </w:tc>
        <w:tc>
          <w:tcPr>
            <w:tcW w:w="1843" w:type="dxa"/>
            <w:tcBorders>
              <w:top w:val="nil"/>
              <w:left w:val="single" w:sz="4" w:space="0" w:color="auto"/>
              <w:bottom w:val="single" w:sz="4" w:space="0" w:color="auto"/>
              <w:right w:val="single" w:sz="4" w:space="0" w:color="auto"/>
            </w:tcBorders>
          </w:tcPr>
          <w:p w14:paraId="4C0E6E52"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-25.00 - 25.00</w:t>
            </w:r>
          </w:p>
        </w:tc>
      </w:tr>
      <w:tr w:rsidR="003E7481" w:rsidRPr="003E7481" w14:paraId="5AAFC551" w14:textId="77777777" w:rsidTr="003E748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1F61E2E5"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Cognitive functioning</w:t>
            </w:r>
          </w:p>
        </w:tc>
        <w:tc>
          <w:tcPr>
            <w:tcW w:w="1701" w:type="dxa"/>
            <w:tcBorders>
              <w:left w:val="single" w:sz="4" w:space="0" w:color="auto"/>
              <w:bottom w:val="nil"/>
              <w:right w:val="single" w:sz="4" w:space="0" w:color="auto"/>
            </w:tcBorders>
          </w:tcPr>
          <w:p w14:paraId="094A2FAE"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left w:val="single" w:sz="4" w:space="0" w:color="auto"/>
              <w:bottom w:val="nil"/>
              <w:right w:val="single" w:sz="4" w:space="0" w:color="auto"/>
            </w:tcBorders>
          </w:tcPr>
          <w:p w14:paraId="7E13DA6F"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23385A02" w14:textId="77777777" w:rsidTr="003E7481">
        <w:trPr>
          <w:trHeight w:val="297"/>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24318AF8"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1BAD1E11"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1.43 (10.92)</w:t>
            </w:r>
          </w:p>
        </w:tc>
        <w:tc>
          <w:tcPr>
            <w:tcW w:w="1843" w:type="dxa"/>
            <w:tcBorders>
              <w:top w:val="nil"/>
              <w:left w:val="single" w:sz="4" w:space="0" w:color="auto"/>
              <w:bottom w:val="nil"/>
              <w:right w:val="single" w:sz="4" w:space="0" w:color="auto"/>
            </w:tcBorders>
          </w:tcPr>
          <w:p w14:paraId="5B674113"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4.17 (7.98)</w:t>
            </w:r>
          </w:p>
        </w:tc>
      </w:tr>
      <w:tr w:rsidR="003E7481" w:rsidRPr="003E7481" w14:paraId="3C361C5E" w14:textId="77777777" w:rsidTr="003E748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43E1CBFA"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485B1A13"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-16.67 - 33.33</w:t>
            </w:r>
          </w:p>
        </w:tc>
        <w:tc>
          <w:tcPr>
            <w:tcW w:w="1843" w:type="dxa"/>
            <w:tcBorders>
              <w:top w:val="nil"/>
              <w:left w:val="single" w:sz="4" w:space="0" w:color="auto"/>
              <w:bottom w:val="single" w:sz="4" w:space="0" w:color="auto"/>
              <w:right w:val="single" w:sz="4" w:space="0" w:color="auto"/>
            </w:tcBorders>
          </w:tcPr>
          <w:p w14:paraId="6A04261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-16.67 - 22.22</w:t>
            </w:r>
          </w:p>
        </w:tc>
      </w:tr>
      <w:tr w:rsidR="003E7481" w:rsidRPr="003E7481" w14:paraId="5C824C38" w14:textId="77777777" w:rsidTr="003E7481">
        <w:trPr>
          <w:trHeight w:val="263"/>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02EB1E1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Social functioning</w:t>
            </w:r>
          </w:p>
        </w:tc>
        <w:tc>
          <w:tcPr>
            <w:tcW w:w="1701" w:type="dxa"/>
            <w:tcBorders>
              <w:left w:val="single" w:sz="4" w:space="0" w:color="auto"/>
              <w:bottom w:val="nil"/>
              <w:right w:val="single" w:sz="4" w:space="0" w:color="auto"/>
            </w:tcBorders>
          </w:tcPr>
          <w:p w14:paraId="10EE06F7"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168DE476"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50F5BC4A" w14:textId="77777777" w:rsidTr="003E748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0DB2F9E1"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2628F80B"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-9.68 (19.61)</w:t>
            </w:r>
          </w:p>
        </w:tc>
        <w:tc>
          <w:tcPr>
            <w:tcW w:w="1843" w:type="dxa"/>
            <w:tcBorders>
              <w:top w:val="nil"/>
              <w:left w:val="single" w:sz="4" w:space="0" w:color="auto"/>
              <w:bottom w:val="nil"/>
              <w:right w:val="single" w:sz="4" w:space="0" w:color="auto"/>
            </w:tcBorders>
          </w:tcPr>
          <w:p w14:paraId="0CC08688"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1.04 (15.23)</w:t>
            </w:r>
          </w:p>
        </w:tc>
      </w:tr>
      <w:tr w:rsidR="003E7481" w:rsidRPr="003E7481" w14:paraId="505A2E9B" w14:textId="77777777" w:rsidTr="00791385">
        <w:trPr>
          <w:trHeight w:val="263"/>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right w:val="single" w:sz="4" w:space="0" w:color="auto"/>
            </w:tcBorders>
          </w:tcPr>
          <w:p w14:paraId="7E45352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0" w:type="dxa"/>
            <w:tcBorders>
              <w:top w:val="nil"/>
              <w:left w:val="single" w:sz="4" w:space="0" w:color="auto"/>
              <w:bottom w:val="single" w:sz="4" w:space="0" w:color="auto"/>
              <w:right w:val="single" w:sz="4" w:space="0" w:color="auto"/>
            </w:tcBorders>
          </w:tcPr>
          <w:p w14:paraId="401503F1"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-50.00 - 33.33</w:t>
            </w:r>
          </w:p>
        </w:tc>
        <w:tc>
          <w:tcPr>
            <w:tcW w:w="0" w:type="dxa"/>
            <w:tcBorders>
              <w:top w:val="nil"/>
              <w:left w:val="single" w:sz="4" w:space="0" w:color="auto"/>
              <w:bottom w:val="single" w:sz="4" w:space="0" w:color="auto"/>
              <w:right w:val="single" w:sz="4" w:space="0" w:color="auto"/>
            </w:tcBorders>
          </w:tcPr>
          <w:p w14:paraId="01450840"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-33.33 - 33.33</w:t>
            </w:r>
          </w:p>
        </w:tc>
      </w:tr>
      <w:tr w:rsidR="003E7481" w:rsidRPr="003E7481" w14:paraId="24279287" w14:textId="77777777" w:rsidTr="00E47AA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nil"/>
              <w:right w:val="single" w:sz="4" w:space="0" w:color="auto"/>
            </w:tcBorders>
          </w:tcPr>
          <w:p w14:paraId="2EBAC25C"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Fatigue</w:t>
            </w:r>
          </w:p>
        </w:tc>
        <w:tc>
          <w:tcPr>
            <w:tcW w:w="1701" w:type="dxa"/>
            <w:tcBorders>
              <w:top w:val="single" w:sz="4" w:space="0" w:color="auto"/>
              <w:left w:val="single" w:sz="4" w:space="0" w:color="auto"/>
              <w:bottom w:val="nil"/>
              <w:right w:val="single" w:sz="4" w:space="0" w:color="auto"/>
            </w:tcBorders>
          </w:tcPr>
          <w:p w14:paraId="4DBEFE64"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top w:val="single" w:sz="4" w:space="0" w:color="auto"/>
              <w:left w:val="single" w:sz="4" w:space="0" w:color="auto"/>
              <w:bottom w:val="nil"/>
              <w:right w:val="single" w:sz="4" w:space="0" w:color="auto"/>
            </w:tcBorders>
          </w:tcPr>
          <w:p w14:paraId="33321A4C"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0DAD1428" w14:textId="77777777" w:rsidTr="00791385">
        <w:trPr>
          <w:trHeight w:val="263"/>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right w:val="single" w:sz="4" w:space="0" w:color="auto"/>
            </w:tcBorders>
          </w:tcPr>
          <w:p w14:paraId="1D2D125F"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0" w:type="dxa"/>
            <w:tcBorders>
              <w:top w:val="nil"/>
              <w:left w:val="single" w:sz="4" w:space="0" w:color="auto"/>
              <w:bottom w:val="nil"/>
              <w:right w:val="single" w:sz="4" w:space="0" w:color="auto"/>
            </w:tcBorders>
          </w:tcPr>
          <w:p w14:paraId="65268B5E"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0.72 (16.71)</w:t>
            </w:r>
          </w:p>
        </w:tc>
        <w:tc>
          <w:tcPr>
            <w:tcW w:w="0" w:type="dxa"/>
            <w:tcBorders>
              <w:top w:val="nil"/>
              <w:left w:val="single" w:sz="4" w:space="0" w:color="auto"/>
              <w:bottom w:val="nil"/>
              <w:right w:val="single" w:sz="4" w:space="0" w:color="auto"/>
            </w:tcBorders>
          </w:tcPr>
          <w:p w14:paraId="12BD9295"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-6.25 (14.09)</w:t>
            </w:r>
          </w:p>
        </w:tc>
      </w:tr>
      <w:tr w:rsidR="003E7481" w:rsidRPr="003E7481" w14:paraId="56F1A5C9" w14:textId="77777777" w:rsidTr="0079138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right w:val="single" w:sz="4" w:space="0" w:color="auto"/>
            </w:tcBorders>
          </w:tcPr>
          <w:p w14:paraId="43EAF495"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0" w:type="dxa"/>
            <w:tcBorders>
              <w:top w:val="nil"/>
              <w:left w:val="single" w:sz="4" w:space="0" w:color="auto"/>
              <w:bottom w:val="single" w:sz="4" w:space="0" w:color="auto"/>
              <w:right w:val="single" w:sz="4" w:space="0" w:color="auto"/>
            </w:tcBorders>
          </w:tcPr>
          <w:p w14:paraId="27B5DEDB"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-44.44 - 33.33</w:t>
            </w:r>
          </w:p>
        </w:tc>
        <w:tc>
          <w:tcPr>
            <w:tcW w:w="0" w:type="dxa"/>
            <w:tcBorders>
              <w:top w:val="nil"/>
              <w:left w:val="single" w:sz="4" w:space="0" w:color="auto"/>
              <w:bottom w:val="single" w:sz="4" w:space="0" w:color="auto"/>
              <w:right w:val="single" w:sz="4" w:space="0" w:color="auto"/>
            </w:tcBorders>
          </w:tcPr>
          <w:p w14:paraId="0733528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-44.44 - 22.22</w:t>
            </w:r>
          </w:p>
        </w:tc>
      </w:tr>
      <w:tr w:rsidR="003E7481" w:rsidRPr="003E7481" w14:paraId="2EF72408" w14:textId="77777777" w:rsidTr="003E7481">
        <w:trPr>
          <w:trHeight w:val="263"/>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0F71F853"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Nausea and Vomiting</w:t>
            </w:r>
          </w:p>
        </w:tc>
        <w:tc>
          <w:tcPr>
            <w:tcW w:w="1701" w:type="dxa"/>
            <w:tcBorders>
              <w:left w:val="single" w:sz="4" w:space="0" w:color="auto"/>
              <w:bottom w:val="nil"/>
              <w:right w:val="single" w:sz="4" w:space="0" w:color="auto"/>
            </w:tcBorders>
          </w:tcPr>
          <w:p w14:paraId="225035A3"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7A266B81"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0990EED1" w14:textId="77777777" w:rsidTr="003E748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5A2E1D99"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3632567E"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4.30 (12.89)</w:t>
            </w:r>
          </w:p>
        </w:tc>
        <w:tc>
          <w:tcPr>
            <w:tcW w:w="1843" w:type="dxa"/>
            <w:tcBorders>
              <w:top w:val="nil"/>
              <w:left w:val="single" w:sz="4" w:space="0" w:color="auto"/>
              <w:bottom w:val="nil"/>
              <w:right w:val="single" w:sz="4" w:space="0" w:color="auto"/>
            </w:tcBorders>
          </w:tcPr>
          <w:p w14:paraId="442CE66E"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-2.08 (5.60)</w:t>
            </w:r>
          </w:p>
        </w:tc>
      </w:tr>
      <w:tr w:rsidR="003E7481" w:rsidRPr="003E7481" w14:paraId="21C16F4E" w14:textId="77777777" w:rsidTr="003E7481">
        <w:trPr>
          <w:trHeight w:val="26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18268E23"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1A278FC3"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0.00 - 66.67</w:t>
            </w:r>
          </w:p>
        </w:tc>
        <w:tc>
          <w:tcPr>
            <w:tcW w:w="1843" w:type="dxa"/>
            <w:tcBorders>
              <w:top w:val="nil"/>
              <w:left w:val="single" w:sz="4" w:space="0" w:color="auto"/>
              <w:bottom w:val="single" w:sz="4" w:space="0" w:color="auto"/>
              <w:right w:val="single" w:sz="4" w:space="0" w:color="auto"/>
            </w:tcBorders>
          </w:tcPr>
          <w:p w14:paraId="7AC2E468"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-16.67 - 0.00</w:t>
            </w:r>
          </w:p>
        </w:tc>
      </w:tr>
      <w:tr w:rsidR="003E7481" w:rsidRPr="003E7481" w14:paraId="3B949509" w14:textId="77777777" w:rsidTr="003E748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14D7D130"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Pain</w:t>
            </w:r>
          </w:p>
        </w:tc>
        <w:tc>
          <w:tcPr>
            <w:tcW w:w="1701" w:type="dxa"/>
            <w:tcBorders>
              <w:left w:val="single" w:sz="4" w:space="0" w:color="auto"/>
              <w:bottom w:val="nil"/>
              <w:right w:val="single" w:sz="4" w:space="0" w:color="auto"/>
            </w:tcBorders>
          </w:tcPr>
          <w:p w14:paraId="3680EDB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left w:val="single" w:sz="4" w:space="0" w:color="auto"/>
              <w:bottom w:val="nil"/>
              <w:right w:val="single" w:sz="4" w:space="0" w:color="auto"/>
            </w:tcBorders>
          </w:tcPr>
          <w:p w14:paraId="0B2C3FB4"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0E9A2167" w14:textId="77777777" w:rsidTr="003E748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4E266065"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314CF2A3"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1.08 (14.23)</w:t>
            </w:r>
          </w:p>
        </w:tc>
        <w:tc>
          <w:tcPr>
            <w:tcW w:w="1843" w:type="dxa"/>
            <w:tcBorders>
              <w:top w:val="nil"/>
              <w:left w:val="single" w:sz="4" w:space="0" w:color="auto"/>
              <w:bottom w:val="nil"/>
              <w:right w:val="single" w:sz="4" w:space="0" w:color="auto"/>
            </w:tcBorders>
          </w:tcPr>
          <w:p w14:paraId="700518ED"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1.56 (13.63)</w:t>
            </w:r>
          </w:p>
        </w:tc>
      </w:tr>
      <w:tr w:rsidR="003E7481" w:rsidRPr="003E7481" w14:paraId="37147F18" w14:textId="77777777" w:rsidTr="003E748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4A003612"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05273F9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-16.67 - 50.00</w:t>
            </w:r>
          </w:p>
        </w:tc>
        <w:tc>
          <w:tcPr>
            <w:tcW w:w="1843" w:type="dxa"/>
            <w:tcBorders>
              <w:top w:val="nil"/>
              <w:left w:val="single" w:sz="4" w:space="0" w:color="auto"/>
              <w:bottom w:val="single" w:sz="4" w:space="0" w:color="auto"/>
              <w:right w:val="single" w:sz="4" w:space="0" w:color="auto"/>
            </w:tcBorders>
          </w:tcPr>
          <w:p w14:paraId="4DBF184F"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-16.67 - 33.33</w:t>
            </w:r>
          </w:p>
        </w:tc>
      </w:tr>
      <w:tr w:rsidR="003E7481" w:rsidRPr="003E7481" w14:paraId="5F6A6781" w14:textId="77777777" w:rsidTr="003E7481">
        <w:trPr>
          <w:trHeight w:val="264"/>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285C80E1"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Dyspnoea</w:t>
            </w:r>
          </w:p>
        </w:tc>
        <w:tc>
          <w:tcPr>
            <w:tcW w:w="1701" w:type="dxa"/>
            <w:tcBorders>
              <w:left w:val="single" w:sz="4" w:space="0" w:color="auto"/>
              <w:bottom w:val="nil"/>
              <w:right w:val="single" w:sz="4" w:space="0" w:color="auto"/>
            </w:tcBorders>
          </w:tcPr>
          <w:p w14:paraId="7FC90450"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5DB76354"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03E9FBBC" w14:textId="77777777" w:rsidTr="003E74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10119F7A"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0F1FB61C"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2.15 (17.07)</w:t>
            </w:r>
          </w:p>
        </w:tc>
        <w:tc>
          <w:tcPr>
            <w:tcW w:w="1843" w:type="dxa"/>
            <w:tcBorders>
              <w:top w:val="nil"/>
              <w:left w:val="single" w:sz="4" w:space="0" w:color="auto"/>
              <w:bottom w:val="nil"/>
              <w:right w:val="single" w:sz="4" w:space="0" w:color="auto"/>
            </w:tcBorders>
          </w:tcPr>
          <w:p w14:paraId="4E99F8C8"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-8.33 (14.66)</w:t>
            </w:r>
          </w:p>
        </w:tc>
      </w:tr>
      <w:tr w:rsidR="003E7481" w:rsidRPr="003E7481" w14:paraId="5B875840" w14:textId="77777777" w:rsidTr="003E7481">
        <w:trPr>
          <w:trHeight w:val="258"/>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426AFE10"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1DA19072"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-33.33 - 66.67</w:t>
            </w:r>
          </w:p>
        </w:tc>
        <w:tc>
          <w:tcPr>
            <w:tcW w:w="1843" w:type="dxa"/>
            <w:tcBorders>
              <w:top w:val="nil"/>
              <w:left w:val="single" w:sz="4" w:space="0" w:color="auto"/>
              <w:bottom w:val="single" w:sz="4" w:space="0" w:color="auto"/>
              <w:right w:val="single" w:sz="4" w:space="0" w:color="auto"/>
            </w:tcBorders>
          </w:tcPr>
          <w:p w14:paraId="5A2F16B7"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-33.33 - 0.00</w:t>
            </w:r>
          </w:p>
        </w:tc>
      </w:tr>
      <w:tr w:rsidR="003E7481" w:rsidRPr="003E7481" w14:paraId="0CA2BBAC" w14:textId="77777777" w:rsidTr="003E748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72516D0F"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Insomnia</w:t>
            </w:r>
          </w:p>
        </w:tc>
        <w:tc>
          <w:tcPr>
            <w:tcW w:w="1701" w:type="dxa"/>
            <w:tcBorders>
              <w:left w:val="single" w:sz="4" w:space="0" w:color="auto"/>
              <w:bottom w:val="nil"/>
              <w:right w:val="single" w:sz="4" w:space="0" w:color="auto"/>
            </w:tcBorders>
          </w:tcPr>
          <w:p w14:paraId="38D1C22C"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left w:val="single" w:sz="4" w:space="0" w:color="auto"/>
              <w:bottom w:val="nil"/>
              <w:right w:val="single" w:sz="4" w:space="0" w:color="auto"/>
            </w:tcBorders>
          </w:tcPr>
          <w:p w14:paraId="6212F73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6730F51F" w14:textId="77777777" w:rsidTr="003E7481">
        <w:trPr>
          <w:trHeight w:val="258"/>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5A065BEC"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41014D8B"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1.08 (16.06)</w:t>
            </w:r>
          </w:p>
        </w:tc>
        <w:tc>
          <w:tcPr>
            <w:tcW w:w="1843" w:type="dxa"/>
            <w:tcBorders>
              <w:top w:val="nil"/>
              <w:left w:val="single" w:sz="4" w:space="0" w:color="auto"/>
              <w:bottom w:val="nil"/>
              <w:right w:val="single" w:sz="4" w:space="0" w:color="auto"/>
            </w:tcBorders>
          </w:tcPr>
          <w:p w14:paraId="6A089B0B"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-7.29 (20.27)</w:t>
            </w:r>
          </w:p>
        </w:tc>
      </w:tr>
      <w:tr w:rsidR="003E7481" w:rsidRPr="003E7481" w14:paraId="13332AF9" w14:textId="77777777" w:rsidTr="003E748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5C389754"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02124F08"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-33.33 - 33.33</w:t>
            </w:r>
          </w:p>
        </w:tc>
        <w:tc>
          <w:tcPr>
            <w:tcW w:w="1843" w:type="dxa"/>
            <w:tcBorders>
              <w:top w:val="nil"/>
              <w:left w:val="single" w:sz="4" w:space="0" w:color="auto"/>
              <w:bottom w:val="single" w:sz="4" w:space="0" w:color="auto"/>
              <w:right w:val="single" w:sz="4" w:space="0" w:color="auto"/>
            </w:tcBorders>
          </w:tcPr>
          <w:p w14:paraId="136E8D6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-66.67 - 33.33</w:t>
            </w:r>
          </w:p>
        </w:tc>
      </w:tr>
      <w:tr w:rsidR="003E7481" w:rsidRPr="003E7481" w14:paraId="6A9A49F3" w14:textId="77777777" w:rsidTr="003E7481">
        <w:trPr>
          <w:trHeight w:val="258"/>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2D043D51"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Appetite loss</w:t>
            </w:r>
          </w:p>
        </w:tc>
        <w:tc>
          <w:tcPr>
            <w:tcW w:w="1701" w:type="dxa"/>
            <w:tcBorders>
              <w:left w:val="single" w:sz="4" w:space="0" w:color="auto"/>
              <w:bottom w:val="nil"/>
              <w:right w:val="single" w:sz="4" w:space="0" w:color="auto"/>
            </w:tcBorders>
          </w:tcPr>
          <w:p w14:paraId="16B1225F"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2480571A"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6353FCDA" w14:textId="77777777" w:rsidTr="003E748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3C13D063"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5F2E290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3.23 (10.02)</w:t>
            </w:r>
          </w:p>
        </w:tc>
        <w:tc>
          <w:tcPr>
            <w:tcW w:w="1843" w:type="dxa"/>
            <w:tcBorders>
              <w:top w:val="nil"/>
              <w:left w:val="single" w:sz="4" w:space="0" w:color="auto"/>
              <w:bottom w:val="nil"/>
              <w:right w:val="single" w:sz="4" w:space="0" w:color="auto"/>
            </w:tcBorders>
          </w:tcPr>
          <w:p w14:paraId="08E8BAD4"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-0.00 (14.66)</w:t>
            </w:r>
          </w:p>
        </w:tc>
      </w:tr>
      <w:tr w:rsidR="003E7481" w:rsidRPr="003E7481" w14:paraId="30907469" w14:textId="77777777" w:rsidTr="003E7481">
        <w:trPr>
          <w:trHeight w:val="258"/>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28182CFC"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428287B4"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0.00 - 33.33</w:t>
            </w:r>
          </w:p>
        </w:tc>
        <w:tc>
          <w:tcPr>
            <w:tcW w:w="1843" w:type="dxa"/>
            <w:tcBorders>
              <w:top w:val="nil"/>
              <w:left w:val="single" w:sz="4" w:space="0" w:color="auto"/>
              <w:bottom w:val="single" w:sz="4" w:space="0" w:color="auto"/>
              <w:right w:val="single" w:sz="4" w:space="0" w:color="auto"/>
            </w:tcBorders>
          </w:tcPr>
          <w:p w14:paraId="249CDB29"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-33.33 - 33.33</w:t>
            </w:r>
          </w:p>
        </w:tc>
      </w:tr>
      <w:tr w:rsidR="003E7481" w:rsidRPr="003E7481" w14:paraId="64824E76" w14:textId="77777777" w:rsidTr="003E748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30CEA2AF"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Constipation</w:t>
            </w:r>
          </w:p>
        </w:tc>
        <w:tc>
          <w:tcPr>
            <w:tcW w:w="1701" w:type="dxa"/>
            <w:tcBorders>
              <w:left w:val="single" w:sz="4" w:space="0" w:color="auto"/>
              <w:bottom w:val="nil"/>
              <w:right w:val="single" w:sz="4" w:space="0" w:color="auto"/>
            </w:tcBorders>
          </w:tcPr>
          <w:p w14:paraId="0243D271"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left w:val="single" w:sz="4" w:space="0" w:color="auto"/>
              <w:bottom w:val="nil"/>
              <w:right w:val="single" w:sz="4" w:space="0" w:color="auto"/>
            </w:tcBorders>
          </w:tcPr>
          <w:p w14:paraId="7EECFBBC"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44C90DFC" w14:textId="77777777" w:rsidTr="003E7481">
        <w:trPr>
          <w:trHeight w:val="258"/>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7608FCAD"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51D263B2"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-1.08 (10.48)</w:t>
            </w:r>
          </w:p>
        </w:tc>
        <w:tc>
          <w:tcPr>
            <w:tcW w:w="1843" w:type="dxa"/>
            <w:tcBorders>
              <w:top w:val="nil"/>
              <w:left w:val="single" w:sz="4" w:space="0" w:color="auto"/>
              <w:bottom w:val="nil"/>
              <w:right w:val="single" w:sz="4" w:space="0" w:color="auto"/>
            </w:tcBorders>
          </w:tcPr>
          <w:p w14:paraId="0F477E68"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-2.08 (14.51)</w:t>
            </w:r>
          </w:p>
        </w:tc>
      </w:tr>
      <w:tr w:rsidR="003E7481" w:rsidRPr="003E7481" w14:paraId="762F044E" w14:textId="77777777" w:rsidTr="003E748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702A4AD8"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2186398E"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-33.33 - 33.33</w:t>
            </w:r>
          </w:p>
        </w:tc>
        <w:tc>
          <w:tcPr>
            <w:tcW w:w="1843" w:type="dxa"/>
            <w:tcBorders>
              <w:top w:val="nil"/>
              <w:left w:val="single" w:sz="4" w:space="0" w:color="auto"/>
              <w:bottom w:val="single" w:sz="4" w:space="0" w:color="auto"/>
              <w:right w:val="single" w:sz="4" w:space="0" w:color="auto"/>
            </w:tcBorders>
          </w:tcPr>
          <w:p w14:paraId="355AC471"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-33.33 - 33.33</w:t>
            </w:r>
          </w:p>
        </w:tc>
      </w:tr>
      <w:tr w:rsidR="003E7481" w:rsidRPr="003E7481" w14:paraId="716A3442" w14:textId="77777777" w:rsidTr="003E7481">
        <w:trPr>
          <w:trHeight w:val="199"/>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4" w:space="0" w:color="auto"/>
            </w:tcBorders>
          </w:tcPr>
          <w:p w14:paraId="04C51BB3"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Diarrhoea</w:t>
            </w:r>
          </w:p>
        </w:tc>
        <w:tc>
          <w:tcPr>
            <w:tcW w:w="1701" w:type="dxa"/>
            <w:tcBorders>
              <w:left w:val="single" w:sz="4" w:space="0" w:color="auto"/>
              <w:bottom w:val="nil"/>
              <w:right w:val="single" w:sz="4" w:space="0" w:color="auto"/>
            </w:tcBorders>
          </w:tcPr>
          <w:p w14:paraId="18C46325"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843" w:type="dxa"/>
            <w:tcBorders>
              <w:left w:val="single" w:sz="4" w:space="0" w:color="auto"/>
              <w:bottom w:val="nil"/>
              <w:right w:val="single" w:sz="4" w:space="0" w:color="auto"/>
            </w:tcBorders>
          </w:tcPr>
          <w:p w14:paraId="411C3000"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3E7481" w:rsidRPr="003E7481" w14:paraId="31CAA1BD" w14:textId="77777777" w:rsidTr="003E7481">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1263B407"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15FE2153"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-1.08 (20.15)</w:t>
            </w:r>
          </w:p>
        </w:tc>
        <w:tc>
          <w:tcPr>
            <w:tcW w:w="1843" w:type="dxa"/>
            <w:tcBorders>
              <w:top w:val="nil"/>
              <w:left w:val="single" w:sz="4" w:space="0" w:color="auto"/>
              <w:bottom w:val="nil"/>
              <w:right w:val="single" w:sz="4" w:space="0" w:color="auto"/>
            </w:tcBorders>
          </w:tcPr>
          <w:p w14:paraId="51512A25"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-4.17 (14.04)</w:t>
            </w:r>
          </w:p>
        </w:tc>
      </w:tr>
      <w:tr w:rsidR="003E7481" w:rsidRPr="003E7481" w14:paraId="3296972D" w14:textId="77777777" w:rsidTr="003E7481">
        <w:trPr>
          <w:trHeight w:val="279"/>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45AB9066"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Min - Max</w:t>
            </w:r>
          </w:p>
        </w:tc>
        <w:tc>
          <w:tcPr>
            <w:tcW w:w="1701" w:type="dxa"/>
            <w:tcBorders>
              <w:top w:val="nil"/>
              <w:left w:val="single" w:sz="4" w:space="0" w:color="auto"/>
              <w:bottom w:val="single" w:sz="4" w:space="0" w:color="auto"/>
              <w:right w:val="single" w:sz="4" w:space="0" w:color="auto"/>
            </w:tcBorders>
          </w:tcPr>
          <w:p w14:paraId="61CF707F"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-100.00 - 33.33</w:t>
            </w:r>
          </w:p>
        </w:tc>
        <w:tc>
          <w:tcPr>
            <w:tcW w:w="1843" w:type="dxa"/>
            <w:tcBorders>
              <w:top w:val="nil"/>
              <w:left w:val="single" w:sz="4" w:space="0" w:color="auto"/>
              <w:bottom w:val="single" w:sz="4" w:space="0" w:color="auto"/>
              <w:right w:val="single" w:sz="4" w:space="0" w:color="auto"/>
            </w:tcBorders>
          </w:tcPr>
          <w:p w14:paraId="6E1B9100"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-33.33 - 33.33</w:t>
            </w:r>
          </w:p>
        </w:tc>
      </w:tr>
      <w:tr w:rsidR="003E7481" w:rsidRPr="003E7481" w14:paraId="141C9BDF" w14:textId="77777777" w:rsidTr="003E748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nil"/>
              <w:right w:val="single" w:sz="4" w:space="0" w:color="auto"/>
            </w:tcBorders>
          </w:tcPr>
          <w:p w14:paraId="56325BA8"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Financial difficulties</w:t>
            </w:r>
          </w:p>
        </w:tc>
        <w:tc>
          <w:tcPr>
            <w:tcW w:w="1701" w:type="dxa"/>
            <w:tcBorders>
              <w:top w:val="single" w:sz="4" w:space="0" w:color="auto"/>
              <w:left w:val="single" w:sz="4" w:space="0" w:color="auto"/>
              <w:bottom w:val="nil"/>
              <w:right w:val="single" w:sz="4" w:space="0" w:color="auto"/>
            </w:tcBorders>
          </w:tcPr>
          <w:p w14:paraId="64F332B7"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843" w:type="dxa"/>
            <w:tcBorders>
              <w:top w:val="single" w:sz="4" w:space="0" w:color="auto"/>
              <w:left w:val="single" w:sz="4" w:space="0" w:color="auto"/>
              <w:bottom w:val="nil"/>
              <w:right w:val="single" w:sz="4" w:space="0" w:color="auto"/>
            </w:tcBorders>
          </w:tcPr>
          <w:p w14:paraId="60ED8BE4"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3E7481" w:rsidRPr="003E7481" w14:paraId="3465567D" w14:textId="77777777" w:rsidTr="003E7481">
        <w:trPr>
          <w:trHeight w:val="273"/>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right w:val="single" w:sz="4" w:space="0" w:color="auto"/>
            </w:tcBorders>
          </w:tcPr>
          <w:p w14:paraId="28947F06"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t>Mean (SD)</w:t>
            </w:r>
          </w:p>
        </w:tc>
        <w:tc>
          <w:tcPr>
            <w:tcW w:w="1701" w:type="dxa"/>
            <w:tcBorders>
              <w:top w:val="nil"/>
              <w:left w:val="single" w:sz="4" w:space="0" w:color="auto"/>
              <w:bottom w:val="nil"/>
              <w:right w:val="single" w:sz="4" w:space="0" w:color="auto"/>
            </w:tcBorders>
          </w:tcPr>
          <w:p w14:paraId="63D9C7D1"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10.75 (30.29)</w:t>
            </w:r>
          </w:p>
        </w:tc>
        <w:tc>
          <w:tcPr>
            <w:tcW w:w="1843" w:type="dxa"/>
            <w:tcBorders>
              <w:top w:val="nil"/>
              <w:left w:val="single" w:sz="4" w:space="0" w:color="auto"/>
              <w:bottom w:val="nil"/>
              <w:right w:val="single" w:sz="4" w:space="0" w:color="auto"/>
            </w:tcBorders>
          </w:tcPr>
          <w:p w14:paraId="34D3976F" w14:textId="77777777" w:rsidR="003E7481" w:rsidRPr="003E7481" w:rsidRDefault="003E7481" w:rsidP="003E7481">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3E7481">
              <w:rPr>
                <w:rFonts w:ascii="Times New Roman" w:eastAsia="Arial" w:hAnsi="Times New Roman" w:cs="Times New Roman"/>
                <w:sz w:val="18"/>
                <w:szCs w:val="18"/>
              </w:rPr>
              <w:t>5.21 (12.30)</w:t>
            </w:r>
          </w:p>
        </w:tc>
      </w:tr>
      <w:tr w:rsidR="003E7481" w:rsidRPr="003E7481" w14:paraId="5BBACBAA" w14:textId="77777777" w:rsidTr="003E7481">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right w:val="single" w:sz="4" w:space="0" w:color="auto"/>
            </w:tcBorders>
          </w:tcPr>
          <w:p w14:paraId="2EB3D918" w14:textId="77777777" w:rsidR="003E7481" w:rsidRPr="003E7481" w:rsidRDefault="003E7481" w:rsidP="003E7481">
            <w:pPr>
              <w:jc w:val="both"/>
              <w:rPr>
                <w:rFonts w:ascii="Times New Roman" w:eastAsia="Arial" w:hAnsi="Times New Roman" w:cs="Times New Roman"/>
                <w:sz w:val="18"/>
                <w:szCs w:val="18"/>
              </w:rPr>
            </w:pPr>
            <w:r w:rsidRPr="003E7481">
              <w:rPr>
                <w:rFonts w:ascii="Times New Roman" w:eastAsia="Arial" w:hAnsi="Times New Roman" w:cs="Times New Roman"/>
                <w:sz w:val="18"/>
                <w:szCs w:val="18"/>
              </w:rPr>
              <w:lastRenderedPageBreak/>
              <w:t>Min - Max</w:t>
            </w:r>
          </w:p>
        </w:tc>
        <w:tc>
          <w:tcPr>
            <w:tcW w:w="1701" w:type="dxa"/>
            <w:tcBorders>
              <w:top w:val="nil"/>
              <w:left w:val="single" w:sz="4" w:space="0" w:color="auto"/>
              <w:bottom w:val="single" w:sz="4" w:space="0" w:color="auto"/>
              <w:right w:val="single" w:sz="4" w:space="0" w:color="auto"/>
            </w:tcBorders>
          </w:tcPr>
          <w:p w14:paraId="449C45D6"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-66.67 - 66.67</w:t>
            </w:r>
          </w:p>
        </w:tc>
        <w:tc>
          <w:tcPr>
            <w:tcW w:w="1843" w:type="dxa"/>
            <w:tcBorders>
              <w:top w:val="nil"/>
              <w:left w:val="single" w:sz="4" w:space="0" w:color="auto"/>
              <w:bottom w:val="single" w:sz="4" w:space="0" w:color="auto"/>
              <w:right w:val="single" w:sz="4" w:space="0" w:color="auto"/>
            </w:tcBorders>
          </w:tcPr>
          <w:p w14:paraId="3A2FED99" w14:textId="77777777" w:rsidR="003E7481" w:rsidRPr="003E7481" w:rsidRDefault="003E7481" w:rsidP="003E7481">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3E7481">
              <w:rPr>
                <w:rFonts w:ascii="Times New Roman" w:eastAsia="Arial" w:hAnsi="Times New Roman" w:cs="Times New Roman"/>
                <w:bCs/>
                <w:sz w:val="18"/>
                <w:szCs w:val="18"/>
              </w:rPr>
              <w:t>0.00 - 33.33</w:t>
            </w:r>
          </w:p>
        </w:tc>
      </w:tr>
    </w:tbl>
    <w:p w14:paraId="28DDA3F9" w14:textId="77777777" w:rsidR="00883BF8" w:rsidRDefault="00883BF8">
      <w:pPr>
        <w:rPr>
          <w:rFonts w:ascii="Times New Roman" w:hAnsi="Times New Roman" w:cs="Times New Roman"/>
          <w:b/>
        </w:rPr>
      </w:pPr>
    </w:p>
    <w:p w14:paraId="59E843D9" w14:textId="77777777" w:rsidR="00207C33" w:rsidRDefault="00207C33" w:rsidP="00207C33">
      <w:pPr>
        <w:spacing w:line="480" w:lineRule="auto"/>
        <w:rPr>
          <w:rFonts w:ascii="Times New Roman" w:hAnsi="Times New Roman" w:cs="Times New Roman"/>
        </w:rPr>
      </w:pPr>
      <w:r>
        <w:rPr>
          <w:rFonts w:ascii="Times New Roman" w:hAnsi="Times New Roman" w:cs="Times New Roman"/>
        </w:rPr>
        <w:t xml:space="preserve">The mean time for completion of the phone version of the QLQ-C30 was </w:t>
      </w:r>
      <w:r w:rsidRPr="00207C33">
        <w:rPr>
          <w:rFonts w:ascii="Times New Roman" w:hAnsi="Times New Roman" w:cs="Times New Roman"/>
        </w:rPr>
        <w:t>8.6 ± 1.9 minutes</w:t>
      </w:r>
      <w:r>
        <w:rPr>
          <w:rFonts w:ascii="Times New Roman" w:hAnsi="Times New Roman" w:cs="Times New Roman"/>
        </w:rPr>
        <w:t xml:space="preserve"> and 39 participants (62%) made comments or ask</w:t>
      </w:r>
      <w:r w:rsidR="00937F30">
        <w:rPr>
          <w:rFonts w:ascii="Times New Roman" w:hAnsi="Times New Roman" w:cs="Times New Roman"/>
        </w:rPr>
        <w:t>ed</w:t>
      </w:r>
      <w:r>
        <w:rPr>
          <w:rFonts w:ascii="Times New Roman" w:hAnsi="Times New Roman" w:cs="Times New Roman"/>
        </w:rPr>
        <w:t xml:space="preserve"> questions during the interview.</w:t>
      </w:r>
    </w:p>
    <w:p w14:paraId="71314CEB" w14:textId="7428C2CD" w:rsidR="003E7481" w:rsidRPr="003E7481" w:rsidRDefault="003E7481" w:rsidP="003E7481">
      <w:pPr>
        <w:spacing w:line="480" w:lineRule="auto"/>
        <w:rPr>
          <w:rFonts w:ascii="Times New Roman" w:hAnsi="Times New Roman" w:cs="Times New Roman"/>
        </w:rPr>
      </w:pPr>
      <w:bookmarkStart w:id="9" w:name="_Ref9414380"/>
      <w:r w:rsidRPr="003E7481">
        <w:rPr>
          <w:rFonts w:ascii="Times New Roman" w:hAnsi="Times New Roman" w:cs="Times New Roman"/>
        </w:rPr>
        <w:t xml:space="preserve">Sensitivity analyses comparing patients included before the study amendment (n=26) with those included after (n=37) revealed significant differences (i.e., 95% CI overlapping) only for the nausea and vomiting ICC, which was lower in the first wave of patients, and the constipation ICC, which was lower in the second wave. The full results are displayed in Table </w:t>
      </w:r>
      <w:r w:rsidR="00876CFD">
        <w:rPr>
          <w:rFonts w:ascii="Times New Roman" w:hAnsi="Times New Roman" w:cs="Times New Roman"/>
        </w:rPr>
        <w:t>6</w:t>
      </w:r>
      <w:r w:rsidRPr="003E7481">
        <w:rPr>
          <w:rFonts w:ascii="Times New Roman" w:hAnsi="Times New Roman" w:cs="Times New Roman"/>
        </w:rPr>
        <w:t>.</w:t>
      </w:r>
    </w:p>
    <w:p w14:paraId="46B97E84" w14:textId="3E0B25BD" w:rsidR="00190E02" w:rsidRPr="00190E02" w:rsidRDefault="00190E02" w:rsidP="00444732">
      <w:pPr>
        <w:spacing w:line="240" w:lineRule="auto"/>
        <w:rPr>
          <w:rFonts w:ascii="Times New Roman" w:hAnsi="Times New Roman" w:cs="Times New Roman"/>
        </w:rPr>
      </w:pPr>
      <w:r w:rsidRPr="00190E02">
        <w:rPr>
          <w:rFonts w:ascii="Times New Roman" w:hAnsi="Times New Roman" w:cs="Times New Roman"/>
        </w:rPr>
        <w:t>Table</w:t>
      </w:r>
      <w:bookmarkEnd w:id="9"/>
      <w:r w:rsidR="009B298A">
        <w:rPr>
          <w:rFonts w:ascii="Times New Roman" w:hAnsi="Times New Roman" w:cs="Times New Roman"/>
        </w:rPr>
        <w:t xml:space="preserve"> </w:t>
      </w:r>
      <w:r w:rsidR="00876CFD">
        <w:rPr>
          <w:rFonts w:ascii="Times New Roman" w:hAnsi="Times New Roman" w:cs="Times New Roman"/>
        </w:rPr>
        <w:t>6</w:t>
      </w:r>
      <w:r w:rsidRPr="00190E02">
        <w:rPr>
          <w:rFonts w:ascii="Times New Roman" w:hAnsi="Times New Roman" w:cs="Times New Roman"/>
        </w:rPr>
        <w:t>. Sensitivity analysis</w:t>
      </w:r>
      <w:r w:rsidR="00F52303">
        <w:rPr>
          <w:rFonts w:ascii="Times New Roman" w:hAnsi="Times New Roman" w:cs="Times New Roman"/>
        </w:rPr>
        <w:t xml:space="preserve"> of ICC scores by testing waves</w:t>
      </w:r>
    </w:p>
    <w:tbl>
      <w:tblPr>
        <w:tblStyle w:val="ListTable3-Accent1"/>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30"/>
        <w:gridCol w:w="1701"/>
        <w:gridCol w:w="1418"/>
        <w:gridCol w:w="1417"/>
      </w:tblGrid>
      <w:tr w:rsidR="00190E02" w:rsidRPr="00190E02" w14:paraId="6C334BF7" w14:textId="77777777" w:rsidTr="00190E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Borders>
              <w:top w:val="single" w:sz="4" w:space="0" w:color="auto"/>
              <w:bottom w:val="nil"/>
            </w:tcBorders>
            <w:shd w:val="clear" w:color="auto" w:fill="auto"/>
          </w:tcPr>
          <w:p w14:paraId="55376265" w14:textId="77777777" w:rsidR="00190E02" w:rsidRPr="00190E02" w:rsidRDefault="00190E02" w:rsidP="00190E02">
            <w:pPr>
              <w:jc w:val="both"/>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QLQ-C30 scores</w:t>
            </w:r>
          </w:p>
        </w:tc>
        <w:tc>
          <w:tcPr>
            <w:tcW w:w="3119" w:type="dxa"/>
            <w:gridSpan w:val="2"/>
            <w:tcBorders>
              <w:top w:val="single" w:sz="4" w:space="0" w:color="auto"/>
              <w:left w:val="nil"/>
              <w:bottom w:val="nil"/>
              <w:right w:val="nil"/>
            </w:tcBorders>
            <w:shd w:val="clear" w:color="auto" w:fill="auto"/>
          </w:tcPr>
          <w:p w14:paraId="48C6B1BB" w14:textId="77777777" w:rsidR="00190E02" w:rsidRPr="00190E02" w:rsidRDefault="00190E02" w:rsidP="00190E02">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All patients</w:t>
            </w:r>
          </w:p>
        </w:tc>
        <w:tc>
          <w:tcPr>
            <w:tcW w:w="1417" w:type="dxa"/>
            <w:tcBorders>
              <w:top w:val="single" w:sz="4" w:space="0" w:color="auto"/>
              <w:left w:val="nil"/>
              <w:bottom w:val="nil"/>
            </w:tcBorders>
            <w:shd w:val="clear" w:color="auto" w:fill="auto"/>
          </w:tcPr>
          <w:p w14:paraId="099D2223"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p>
        </w:tc>
      </w:tr>
      <w:tr w:rsidR="00190E02" w:rsidRPr="00190E02" w14:paraId="609E1600" w14:textId="77777777" w:rsidTr="00190E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Borders>
              <w:top w:val="nil"/>
              <w:bottom w:val="single" w:sz="6" w:space="0" w:color="auto"/>
            </w:tcBorders>
            <w:shd w:val="clear" w:color="auto" w:fill="auto"/>
          </w:tcPr>
          <w:p w14:paraId="06F625DD" w14:textId="77777777" w:rsidR="00190E02" w:rsidRPr="00190E02" w:rsidRDefault="00190E02" w:rsidP="00190E02">
            <w:pPr>
              <w:jc w:val="both"/>
              <w:rPr>
                <w:rFonts w:ascii="Times New Roman" w:eastAsia="Arial" w:hAnsi="Times New Roman" w:cs="Times New Roman"/>
                <w:color w:val="auto"/>
                <w:sz w:val="18"/>
                <w:szCs w:val="18"/>
              </w:rPr>
            </w:pPr>
          </w:p>
        </w:tc>
        <w:tc>
          <w:tcPr>
            <w:tcW w:w="1701" w:type="dxa"/>
            <w:tcBorders>
              <w:top w:val="nil"/>
              <w:left w:val="nil"/>
              <w:bottom w:val="single" w:sz="6" w:space="0" w:color="auto"/>
              <w:right w:val="nil"/>
            </w:tcBorders>
            <w:shd w:val="clear" w:color="auto" w:fill="auto"/>
          </w:tcPr>
          <w:p w14:paraId="2C174EC0"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1st wave</w:t>
            </w:r>
          </w:p>
          <w:p w14:paraId="1534EFD3"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(n=26)</w:t>
            </w:r>
          </w:p>
        </w:tc>
        <w:tc>
          <w:tcPr>
            <w:tcW w:w="1418" w:type="dxa"/>
            <w:tcBorders>
              <w:top w:val="nil"/>
              <w:left w:val="nil"/>
              <w:bottom w:val="single" w:sz="6" w:space="0" w:color="auto"/>
              <w:right w:val="nil"/>
            </w:tcBorders>
            <w:shd w:val="clear" w:color="auto" w:fill="auto"/>
          </w:tcPr>
          <w:p w14:paraId="2AE11D7D"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2nd wave</w:t>
            </w:r>
          </w:p>
          <w:p w14:paraId="193501DB"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(n=37)</w:t>
            </w:r>
          </w:p>
        </w:tc>
        <w:tc>
          <w:tcPr>
            <w:tcW w:w="1417" w:type="dxa"/>
            <w:tcBorders>
              <w:top w:val="nil"/>
              <w:left w:val="nil"/>
              <w:bottom w:val="single" w:sz="6" w:space="0" w:color="auto"/>
            </w:tcBorders>
            <w:shd w:val="clear" w:color="auto" w:fill="auto"/>
          </w:tcPr>
          <w:p w14:paraId="2194DFF0"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Total</w:t>
            </w:r>
          </w:p>
          <w:p w14:paraId="675FC88F" w14:textId="77777777" w:rsidR="00190E02" w:rsidRPr="00190E02" w:rsidRDefault="00190E02" w:rsidP="00190E02">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90E02">
              <w:rPr>
                <w:rFonts w:ascii="Times New Roman" w:eastAsia="Arial" w:hAnsi="Times New Roman" w:cs="Times New Roman"/>
                <w:color w:val="auto"/>
                <w:sz w:val="18"/>
                <w:szCs w:val="18"/>
              </w:rPr>
              <w:t>(n=63)</w:t>
            </w:r>
          </w:p>
        </w:tc>
      </w:tr>
      <w:tr w:rsidR="00190E02" w:rsidRPr="00190E02" w14:paraId="1EDB2275"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6" w:space="0" w:color="auto"/>
              <w:bottom w:val="none" w:sz="0" w:space="0" w:color="auto"/>
              <w:right w:val="none" w:sz="0" w:space="0" w:color="auto"/>
            </w:tcBorders>
          </w:tcPr>
          <w:p w14:paraId="2BBEE81A"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Global health status score</w:t>
            </w:r>
          </w:p>
          <w:p w14:paraId="55DAE8B6"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4A1E81F5"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single" w:sz="6" w:space="0" w:color="auto"/>
              <w:bottom w:val="none" w:sz="0" w:space="0" w:color="auto"/>
            </w:tcBorders>
          </w:tcPr>
          <w:p w14:paraId="0F6C66CE"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CB0954C"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0.92</w:t>
            </w:r>
          </w:p>
          <w:p w14:paraId="2D5C61BF"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0.83-0.96</w:t>
            </w:r>
          </w:p>
        </w:tc>
        <w:tc>
          <w:tcPr>
            <w:tcW w:w="1418" w:type="dxa"/>
            <w:tcBorders>
              <w:top w:val="single" w:sz="6" w:space="0" w:color="auto"/>
              <w:bottom w:val="none" w:sz="0" w:space="0" w:color="auto"/>
            </w:tcBorders>
          </w:tcPr>
          <w:p w14:paraId="4C1EADC2"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FFCCF5B"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0.89</w:t>
            </w:r>
          </w:p>
          <w:p w14:paraId="30ABB4C5"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0.79-0.95</w:t>
            </w:r>
          </w:p>
        </w:tc>
        <w:tc>
          <w:tcPr>
            <w:tcW w:w="1417" w:type="dxa"/>
            <w:tcBorders>
              <w:top w:val="single" w:sz="6" w:space="0" w:color="auto"/>
              <w:bottom w:val="none" w:sz="0" w:space="0" w:color="auto"/>
            </w:tcBorders>
          </w:tcPr>
          <w:p w14:paraId="4642B3D2"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7F9595B"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0.90</w:t>
            </w:r>
          </w:p>
          <w:p w14:paraId="03E5B847"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0.80-0.95</w:t>
            </w:r>
          </w:p>
        </w:tc>
      </w:tr>
      <w:tr w:rsidR="00190E02" w:rsidRPr="00190E02" w14:paraId="2ADB682D"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7C5B1DA"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Physical functioning score</w:t>
            </w:r>
          </w:p>
          <w:p w14:paraId="5644DFBF"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16FACCEF" w14:textId="1F9BDB20" w:rsidR="00190E02" w:rsidRPr="00190E02" w:rsidRDefault="003E7481" w:rsidP="00190E02">
            <w:pPr>
              <w:jc w:val="both"/>
              <w:rPr>
                <w:rFonts w:ascii="Times New Roman" w:eastAsia="Arial" w:hAnsi="Times New Roman" w:cs="Times New Roman"/>
                <w:sz w:val="18"/>
                <w:szCs w:val="18"/>
              </w:rPr>
            </w:pPr>
            <w:r>
              <w:rPr>
                <w:rFonts w:ascii="Times New Roman" w:eastAsia="Arial" w:hAnsi="Times New Roman" w:cs="Times New Roman"/>
                <w:sz w:val="18"/>
                <w:szCs w:val="18"/>
              </w:rPr>
              <w:t>95% CI</w:t>
            </w:r>
          </w:p>
        </w:tc>
        <w:tc>
          <w:tcPr>
            <w:tcW w:w="1701" w:type="dxa"/>
          </w:tcPr>
          <w:p w14:paraId="2E94B2E2"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199F5B93"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0.86</w:t>
            </w:r>
          </w:p>
          <w:p w14:paraId="1188D73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0.72-0.93</w:t>
            </w:r>
          </w:p>
        </w:tc>
        <w:tc>
          <w:tcPr>
            <w:tcW w:w="1418" w:type="dxa"/>
          </w:tcPr>
          <w:p w14:paraId="49B53764"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481ACC12"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0.93</w:t>
            </w:r>
          </w:p>
          <w:p w14:paraId="4713B916"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0.58-0.96</w:t>
            </w:r>
          </w:p>
        </w:tc>
        <w:tc>
          <w:tcPr>
            <w:tcW w:w="1417" w:type="dxa"/>
          </w:tcPr>
          <w:p w14:paraId="5AB06612"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C489BA7"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0.89</w:t>
            </w:r>
          </w:p>
          <w:p w14:paraId="48882AB6"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0.79-0.95</w:t>
            </w:r>
          </w:p>
        </w:tc>
      </w:tr>
      <w:tr w:rsidR="00190E02" w:rsidRPr="00190E02" w14:paraId="5BD67B8B"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3E385AF1"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Role functioning score</w:t>
            </w:r>
          </w:p>
          <w:p w14:paraId="1305AC2A"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5BAA8E37"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391EAE5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913420E"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0.76</w:t>
            </w:r>
          </w:p>
          <w:p w14:paraId="22D9F5FE"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0.55-0.88</w:t>
            </w:r>
          </w:p>
        </w:tc>
        <w:tc>
          <w:tcPr>
            <w:tcW w:w="1418" w:type="dxa"/>
            <w:tcBorders>
              <w:top w:val="none" w:sz="0" w:space="0" w:color="auto"/>
              <w:bottom w:val="none" w:sz="0" w:space="0" w:color="auto"/>
            </w:tcBorders>
          </w:tcPr>
          <w:p w14:paraId="1EBEE220"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BF598BB"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0.77</w:t>
            </w:r>
          </w:p>
          <w:p w14:paraId="37F0ECC4"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0.57-0.88</w:t>
            </w:r>
          </w:p>
        </w:tc>
        <w:tc>
          <w:tcPr>
            <w:tcW w:w="1417" w:type="dxa"/>
            <w:tcBorders>
              <w:top w:val="none" w:sz="0" w:space="0" w:color="auto"/>
              <w:bottom w:val="none" w:sz="0" w:space="0" w:color="auto"/>
            </w:tcBorders>
          </w:tcPr>
          <w:p w14:paraId="30B7E2D6"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985F819"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0.84</w:t>
            </w:r>
          </w:p>
          <w:p w14:paraId="438B8E14"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0.68-0.92</w:t>
            </w:r>
          </w:p>
        </w:tc>
      </w:tr>
      <w:tr w:rsidR="00190E02" w:rsidRPr="00190E02" w14:paraId="23335023"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4E4E5B03"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Emotional functioning score</w:t>
            </w:r>
          </w:p>
          <w:p w14:paraId="2F0661ED"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22E780CA"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Pr>
          <w:p w14:paraId="264487FF"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2E22077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0.84</w:t>
            </w:r>
          </w:p>
          <w:p w14:paraId="6A856B85"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0.69-0.92</w:t>
            </w:r>
          </w:p>
        </w:tc>
        <w:tc>
          <w:tcPr>
            <w:tcW w:w="1418" w:type="dxa"/>
          </w:tcPr>
          <w:p w14:paraId="1B7AC0DC"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4F456ED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0.87</w:t>
            </w:r>
          </w:p>
          <w:p w14:paraId="35BA33C7"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0.74-0.94</w:t>
            </w:r>
          </w:p>
        </w:tc>
        <w:tc>
          <w:tcPr>
            <w:tcW w:w="1417" w:type="dxa"/>
          </w:tcPr>
          <w:p w14:paraId="436134EE"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03386DEC"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0.86</w:t>
            </w:r>
          </w:p>
          <w:p w14:paraId="26DDB9F2"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0.73-0.93</w:t>
            </w:r>
          </w:p>
        </w:tc>
      </w:tr>
      <w:tr w:rsidR="00190E02" w:rsidRPr="00190E02" w14:paraId="2EAAD9F7"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02960352"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Cognitive functioning score</w:t>
            </w:r>
          </w:p>
          <w:p w14:paraId="500A0188"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2AE9A6B6"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60AD589A"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52CE68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0.90</w:t>
            </w:r>
          </w:p>
          <w:p w14:paraId="5694E066"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0.81-0.95</w:t>
            </w:r>
          </w:p>
        </w:tc>
        <w:tc>
          <w:tcPr>
            <w:tcW w:w="1418" w:type="dxa"/>
            <w:tcBorders>
              <w:top w:val="none" w:sz="0" w:space="0" w:color="auto"/>
              <w:bottom w:val="none" w:sz="0" w:space="0" w:color="auto"/>
            </w:tcBorders>
          </w:tcPr>
          <w:p w14:paraId="28717F99"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538E28E"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0.90</w:t>
            </w:r>
          </w:p>
          <w:p w14:paraId="1258307D"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0.79-0.95</w:t>
            </w:r>
          </w:p>
        </w:tc>
        <w:tc>
          <w:tcPr>
            <w:tcW w:w="1417" w:type="dxa"/>
            <w:tcBorders>
              <w:top w:val="none" w:sz="0" w:space="0" w:color="auto"/>
              <w:bottom w:val="none" w:sz="0" w:space="0" w:color="auto"/>
            </w:tcBorders>
          </w:tcPr>
          <w:p w14:paraId="5C48E926"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4254A6B"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0.90</w:t>
            </w:r>
          </w:p>
          <w:p w14:paraId="55A4CF20"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0.80-0.95</w:t>
            </w:r>
          </w:p>
        </w:tc>
      </w:tr>
      <w:tr w:rsidR="00190E02" w:rsidRPr="00190E02" w14:paraId="58119327"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6B789C5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Social functioning score</w:t>
            </w:r>
          </w:p>
          <w:p w14:paraId="0D11A32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78ABB20D"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Pr>
          <w:p w14:paraId="6DDA9C1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76A36330"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0.82</w:t>
            </w:r>
          </w:p>
          <w:p w14:paraId="75212F3B"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0.67-0.91</w:t>
            </w:r>
          </w:p>
        </w:tc>
        <w:tc>
          <w:tcPr>
            <w:tcW w:w="1418" w:type="dxa"/>
          </w:tcPr>
          <w:p w14:paraId="151DE1F2"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671CFF7"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0.75</w:t>
            </w:r>
          </w:p>
          <w:p w14:paraId="4744026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0.53-0.87</w:t>
            </w:r>
          </w:p>
        </w:tc>
        <w:tc>
          <w:tcPr>
            <w:tcW w:w="1417" w:type="dxa"/>
          </w:tcPr>
          <w:p w14:paraId="171D3B2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57732C2C"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0.79</w:t>
            </w:r>
          </w:p>
          <w:p w14:paraId="78726820"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0.59-0.89</w:t>
            </w:r>
          </w:p>
        </w:tc>
      </w:tr>
      <w:tr w:rsidR="00190E02" w:rsidRPr="00190E02" w14:paraId="670AC43B"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35471F01"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Fatigue score</w:t>
            </w:r>
          </w:p>
          <w:p w14:paraId="047D290E"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509CC0B2"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289958DD"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DF2D4DA"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0.77</w:t>
            </w:r>
          </w:p>
          <w:p w14:paraId="07DC7C60"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0.57-0.88</w:t>
            </w:r>
          </w:p>
        </w:tc>
        <w:tc>
          <w:tcPr>
            <w:tcW w:w="1418" w:type="dxa"/>
            <w:tcBorders>
              <w:top w:val="none" w:sz="0" w:space="0" w:color="auto"/>
              <w:bottom w:val="none" w:sz="0" w:space="0" w:color="auto"/>
            </w:tcBorders>
          </w:tcPr>
          <w:p w14:paraId="309C25CC"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162E26A"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0.82</w:t>
            </w:r>
          </w:p>
          <w:p w14:paraId="7994FE81"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0.64-0.91</w:t>
            </w:r>
          </w:p>
        </w:tc>
        <w:tc>
          <w:tcPr>
            <w:tcW w:w="1417" w:type="dxa"/>
            <w:tcBorders>
              <w:top w:val="none" w:sz="0" w:space="0" w:color="auto"/>
              <w:bottom w:val="none" w:sz="0" w:space="0" w:color="auto"/>
            </w:tcBorders>
          </w:tcPr>
          <w:p w14:paraId="63F4A0C2"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AC8231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0.79</w:t>
            </w:r>
          </w:p>
          <w:p w14:paraId="2AF729C9"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0.59-0.89</w:t>
            </w:r>
          </w:p>
        </w:tc>
      </w:tr>
      <w:tr w:rsidR="00190E02" w:rsidRPr="00190E02" w14:paraId="58EAC709"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2316FED3"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Nausea and Vomiting</w:t>
            </w:r>
          </w:p>
          <w:p w14:paraId="443AB40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1B184B8E"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Pr>
          <w:p w14:paraId="0E173B1D"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2C4387AD"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0.47</w:t>
            </w:r>
          </w:p>
          <w:p w14:paraId="35B8BDE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0.14-0.71</w:t>
            </w:r>
          </w:p>
        </w:tc>
        <w:tc>
          <w:tcPr>
            <w:tcW w:w="1418" w:type="dxa"/>
          </w:tcPr>
          <w:p w14:paraId="0B5A40C1"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2072ECEE"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0.96</w:t>
            </w:r>
          </w:p>
          <w:p w14:paraId="73F81E81"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0.90-0.98</w:t>
            </w:r>
          </w:p>
        </w:tc>
        <w:tc>
          <w:tcPr>
            <w:tcW w:w="1417" w:type="dxa"/>
          </w:tcPr>
          <w:p w14:paraId="10B735F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5F9E55B7"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0.72</w:t>
            </w:r>
          </w:p>
          <w:p w14:paraId="584B3987"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0.48-0.86</w:t>
            </w:r>
          </w:p>
        </w:tc>
      </w:tr>
      <w:tr w:rsidR="00190E02" w:rsidRPr="00190E02" w14:paraId="062010CA"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41E279B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Pain</w:t>
            </w:r>
          </w:p>
          <w:p w14:paraId="2863317A"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006DD55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109D1630"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568E4C9"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0.85</w:t>
            </w:r>
          </w:p>
          <w:p w14:paraId="541DE4F2"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0.71-0.93</w:t>
            </w:r>
          </w:p>
        </w:tc>
        <w:tc>
          <w:tcPr>
            <w:tcW w:w="1418" w:type="dxa"/>
            <w:tcBorders>
              <w:top w:val="none" w:sz="0" w:space="0" w:color="auto"/>
              <w:bottom w:val="none" w:sz="0" w:space="0" w:color="auto"/>
            </w:tcBorders>
          </w:tcPr>
          <w:p w14:paraId="19E50C21"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30F1D44"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0.94</w:t>
            </w:r>
          </w:p>
          <w:p w14:paraId="75E273EB"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0.87-0.97</w:t>
            </w:r>
          </w:p>
        </w:tc>
        <w:tc>
          <w:tcPr>
            <w:tcW w:w="1417" w:type="dxa"/>
            <w:tcBorders>
              <w:top w:val="none" w:sz="0" w:space="0" w:color="auto"/>
              <w:bottom w:val="none" w:sz="0" w:space="0" w:color="auto"/>
            </w:tcBorders>
          </w:tcPr>
          <w:p w14:paraId="0B8603C0"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F4A8D3B"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0.90</w:t>
            </w:r>
          </w:p>
          <w:p w14:paraId="5A18D7EA"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0.79-0.95</w:t>
            </w:r>
          </w:p>
        </w:tc>
      </w:tr>
      <w:tr w:rsidR="00190E02" w:rsidRPr="00190E02" w14:paraId="7CA3DE2B"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730D4A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Dyspnoea</w:t>
            </w:r>
          </w:p>
          <w:p w14:paraId="4759BD4A"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58BF9E71"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Pr>
          <w:p w14:paraId="4A2E37BB"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6A1CE33D"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0.73</w:t>
            </w:r>
          </w:p>
          <w:p w14:paraId="714680FC"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0.50-0.86</w:t>
            </w:r>
          </w:p>
        </w:tc>
        <w:tc>
          <w:tcPr>
            <w:tcW w:w="1418" w:type="dxa"/>
          </w:tcPr>
          <w:p w14:paraId="38CF3DFB"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0189988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0.82</w:t>
            </w:r>
          </w:p>
          <w:p w14:paraId="16AD64C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0.65-0.91</w:t>
            </w:r>
          </w:p>
        </w:tc>
        <w:tc>
          <w:tcPr>
            <w:tcW w:w="1417" w:type="dxa"/>
          </w:tcPr>
          <w:p w14:paraId="15004286"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4604C2F1"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0.76</w:t>
            </w:r>
          </w:p>
          <w:p w14:paraId="3FB778D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0.55-0.88</w:t>
            </w:r>
          </w:p>
        </w:tc>
      </w:tr>
      <w:tr w:rsidR="00190E02" w:rsidRPr="00190E02" w14:paraId="727C114C"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358F0072"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Insomnia</w:t>
            </w:r>
          </w:p>
          <w:p w14:paraId="4A10F3C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0763DA88"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1CC3355A"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7E27C0A"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0.78</w:t>
            </w:r>
          </w:p>
          <w:p w14:paraId="16BD43E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0.59-0.89</w:t>
            </w:r>
          </w:p>
        </w:tc>
        <w:tc>
          <w:tcPr>
            <w:tcW w:w="1418" w:type="dxa"/>
            <w:tcBorders>
              <w:top w:val="none" w:sz="0" w:space="0" w:color="auto"/>
              <w:bottom w:val="none" w:sz="0" w:space="0" w:color="auto"/>
            </w:tcBorders>
          </w:tcPr>
          <w:p w14:paraId="75E2DE90"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B813EDD"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0.89</w:t>
            </w:r>
          </w:p>
          <w:p w14:paraId="48556433"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0.80-0.95</w:t>
            </w:r>
          </w:p>
        </w:tc>
        <w:tc>
          <w:tcPr>
            <w:tcW w:w="1417" w:type="dxa"/>
            <w:tcBorders>
              <w:top w:val="none" w:sz="0" w:space="0" w:color="auto"/>
              <w:bottom w:val="none" w:sz="0" w:space="0" w:color="auto"/>
            </w:tcBorders>
          </w:tcPr>
          <w:p w14:paraId="0EF1D00C"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DC715D4"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0.84</w:t>
            </w:r>
          </w:p>
          <w:p w14:paraId="099D4C12"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0.69-0.92</w:t>
            </w:r>
          </w:p>
        </w:tc>
      </w:tr>
      <w:tr w:rsidR="00190E02" w:rsidRPr="00190E02" w14:paraId="335A030F"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CB08ABF"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Appetite loss</w:t>
            </w:r>
          </w:p>
          <w:p w14:paraId="3BC777DC"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6E4E0EC8"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Pr>
          <w:p w14:paraId="439A0305"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0672B41B"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0.85</w:t>
            </w:r>
          </w:p>
          <w:p w14:paraId="797428C0"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0.70-0.92</w:t>
            </w:r>
          </w:p>
        </w:tc>
        <w:tc>
          <w:tcPr>
            <w:tcW w:w="1418" w:type="dxa"/>
          </w:tcPr>
          <w:p w14:paraId="784C4FBF"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229C584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0.85</w:t>
            </w:r>
          </w:p>
          <w:p w14:paraId="62F3B2C6"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0.71-0.93</w:t>
            </w:r>
          </w:p>
        </w:tc>
        <w:tc>
          <w:tcPr>
            <w:tcW w:w="1417" w:type="dxa"/>
          </w:tcPr>
          <w:p w14:paraId="3A1E2FFF"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32409DA"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0.85</w:t>
            </w:r>
          </w:p>
          <w:p w14:paraId="089ABD3A"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0.71-0.93</w:t>
            </w:r>
          </w:p>
        </w:tc>
      </w:tr>
      <w:tr w:rsidR="00190E02" w:rsidRPr="00190E02" w14:paraId="3CBA332F"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1F3417A4"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Constipation</w:t>
            </w:r>
          </w:p>
          <w:p w14:paraId="2C7BA31B"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1E2D02F3"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lastRenderedPageBreak/>
              <w:t>95% CI</w:t>
            </w:r>
          </w:p>
        </w:tc>
        <w:tc>
          <w:tcPr>
            <w:tcW w:w="1701" w:type="dxa"/>
            <w:tcBorders>
              <w:top w:val="none" w:sz="0" w:space="0" w:color="auto"/>
              <w:bottom w:val="none" w:sz="0" w:space="0" w:color="auto"/>
            </w:tcBorders>
          </w:tcPr>
          <w:p w14:paraId="3FD6EA56"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2E8B8B7"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0.98</w:t>
            </w:r>
          </w:p>
          <w:p w14:paraId="2503054C"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lastRenderedPageBreak/>
              <w:t>0.95-0.99</w:t>
            </w:r>
          </w:p>
        </w:tc>
        <w:tc>
          <w:tcPr>
            <w:tcW w:w="1418" w:type="dxa"/>
            <w:tcBorders>
              <w:top w:val="none" w:sz="0" w:space="0" w:color="auto"/>
              <w:bottom w:val="none" w:sz="0" w:space="0" w:color="auto"/>
            </w:tcBorders>
          </w:tcPr>
          <w:p w14:paraId="7FEEECA7"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BF9BDC7"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0.84</w:t>
            </w:r>
          </w:p>
          <w:p w14:paraId="06F23F8E"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lastRenderedPageBreak/>
              <w:t>0.70-0.92</w:t>
            </w:r>
          </w:p>
        </w:tc>
        <w:tc>
          <w:tcPr>
            <w:tcW w:w="1417" w:type="dxa"/>
            <w:tcBorders>
              <w:top w:val="none" w:sz="0" w:space="0" w:color="auto"/>
              <w:bottom w:val="none" w:sz="0" w:space="0" w:color="auto"/>
            </w:tcBorders>
          </w:tcPr>
          <w:p w14:paraId="167CF046"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21A5E0F"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0.90</w:t>
            </w:r>
          </w:p>
          <w:p w14:paraId="58973ADE"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lastRenderedPageBreak/>
              <w:t>0.80-0.95</w:t>
            </w:r>
          </w:p>
        </w:tc>
      </w:tr>
      <w:tr w:rsidR="00190E02" w:rsidRPr="00190E02" w14:paraId="7A992835" w14:textId="77777777" w:rsidTr="00190E0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4E4A786D"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lastRenderedPageBreak/>
              <w:t>Diarrhoea</w:t>
            </w:r>
          </w:p>
          <w:p w14:paraId="19FACC16"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45741D57"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Pr>
          <w:p w14:paraId="1296790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1AE0D5C"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0.72</w:t>
            </w:r>
          </w:p>
          <w:p w14:paraId="7D435A02"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0.49-0.86</w:t>
            </w:r>
          </w:p>
        </w:tc>
        <w:tc>
          <w:tcPr>
            <w:tcW w:w="1418" w:type="dxa"/>
          </w:tcPr>
          <w:p w14:paraId="1BE10BE5"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23920BC3"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0.90</w:t>
            </w:r>
          </w:p>
          <w:p w14:paraId="34D9FAD4"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0.79-0.95</w:t>
            </w:r>
          </w:p>
        </w:tc>
        <w:tc>
          <w:tcPr>
            <w:tcW w:w="1417" w:type="dxa"/>
          </w:tcPr>
          <w:p w14:paraId="29785954"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0907BBD8"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0.80</w:t>
            </w:r>
          </w:p>
          <w:p w14:paraId="08BDF629" w14:textId="77777777" w:rsidR="00190E02" w:rsidRPr="00190E02" w:rsidRDefault="00190E02" w:rsidP="00190E02">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90E02">
              <w:rPr>
                <w:rFonts w:ascii="Times New Roman" w:eastAsia="Arial" w:hAnsi="Times New Roman" w:cs="Times New Roman"/>
                <w:bCs/>
                <w:sz w:val="18"/>
                <w:szCs w:val="18"/>
              </w:rPr>
              <w:t>0.62-0.90</w:t>
            </w:r>
          </w:p>
        </w:tc>
      </w:tr>
      <w:tr w:rsidR="00190E02" w:rsidRPr="00190E02" w14:paraId="181A5BE2" w14:textId="77777777" w:rsidTr="0019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0A864A0"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Financial difficulties</w:t>
            </w:r>
          </w:p>
          <w:p w14:paraId="37293334"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ICC</w:t>
            </w:r>
          </w:p>
          <w:p w14:paraId="429E2D01" w14:textId="77777777" w:rsidR="00190E02" w:rsidRPr="00190E02" w:rsidRDefault="00190E02" w:rsidP="00190E02">
            <w:pPr>
              <w:jc w:val="both"/>
              <w:rPr>
                <w:rFonts w:ascii="Times New Roman" w:eastAsia="Arial" w:hAnsi="Times New Roman" w:cs="Times New Roman"/>
                <w:sz w:val="18"/>
                <w:szCs w:val="18"/>
              </w:rPr>
            </w:pPr>
            <w:r w:rsidRPr="00190E02">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4931546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47FF9D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0.52</w:t>
            </w:r>
          </w:p>
          <w:p w14:paraId="3CA081B3"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0.20-0.74</w:t>
            </w:r>
          </w:p>
        </w:tc>
        <w:tc>
          <w:tcPr>
            <w:tcW w:w="1418" w:type="dxa"/>
            <w:tcBorders>
              <w:top w:val="none" w:sz="0" w:space="0" w:color="auto"/>
              <w:bottom w:val="none" w:sz="0" w:space="0" w:color="auto"/>
            </w:tcBorders>
          </w:tcPr>
          <w:p w14:paraId="749C8CA3"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4CC3689"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0.79</w:t>
            </w:r>
          </w:p>
          <w:p w14:paraId="19550036"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0.60-0.90</w:t>
            </w:r>
          </w:p>
        </w:tc>
        <w:tc>
          <w:tcPr>
            <w:tcW w:w="1417" w:type="dxa"/>
            <w:tcBorders>
              <w:top w:val="none" w:sz="0" w:space="0" w:color="auto"/>
              <w:bottom w:val="none" w:sz="0" w:space="0" w:color="auto"/>
            </w:tcBorders>
          </w:tcPr>
          <w:p w14:paraId="6CF5D44F"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DDEB97C"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0.73</w:t>
            </w:r>
          </w:p>
          <w:p w14:paraId="547E9B58" w14:textId="77777777" w:rsidR="00190E02" w:rsidRPr="00190E02" w:rsidRDefault="00190E02" w:rsidP="00190E02">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90E02">
              <w:rPr>
                <w:rFonts w:ascii="Times New Roman" w:eastAsia="Arial" w:hAnsi="Times New Roman" w:cs="Times New Roman"/>
                <w:sz w:val="18"/>
                <w:szCs w:val="18"/>
              </w:rPr>
              <w:t>0.49-0.86</w:t>
            </w:r>
          </w:p>
        </w:tc>
      </w:tr>
    </w:tbl>
    <w:p w14:paraId="4643A992" w14:textId="77777777" w:rsidR="00EE712F" w:rsidRDefault="00EE712F" w:rsidP="00207C33">
      <w:pPr>
        <w:spacing w:line="480" w:lineRule="auto"/>
        <w:rPr>
          <w:rFonts w:ascii="Times New Roman" w:hAnsi="Times New Roman" w:cs="Times New Roman"/>
        </w:rPr>
      </w:pPr>
    </w:p>
    <w:p w14:paraId="2CCD0FEB" w14:textId="21B3C8EA" w:rsidR="000933C5" w:rsidRDefault="00E47AA4" w:rsidP="00207C33">
      <w:pPr>
        <w:spacing w:line="480" w:lineRule="auto"/>
        <w:rPr>
          <w:rFonts w:ascii="Times New Roman" w:hAnsi="Times New Roman" w:cs="Times New Roman"/>
        </w:rPr>
      </w:pPr>
      <w:r w:rsidRPr="00E47AA4">
        <w:rPr>
          <w:rFonts w:ascii="Times New Roman" w:hAnsi="Times New Roman" w:cs="Times New Roman"/>
        </w:rPr>
        <w:t xml:space="preserve">The results of additional sensitivity analyses to assess possible differences in scores based on age (&lt;60 versus </w:t>
      </w:r>
      <w:r w:rsidRPr="00E47AA4">
        <w:rPr>
          <w:rFonts w:ascii="Times New Roman" w:hAnsi="Times New Roman" w:cs="Times New Roman"/>
          <w:u w:val="single"/>
        </w:rPr>
        <w:t>&gt;</w:t>
      </w:r>
      <w:r w:rsidRPr="00E47AA4">
        <w:rPr>
          <w:rFonts w:ascii="Times New Roman" w:hAnsi="Times New Roman" w:cs="Times New Roman"/>
        </w:rPr>
        <w:t xml:space="preserve">60) and gender are displayed in Tables </w:t>
      </w:r>
      <w:r w:rsidR="00876CFD">
        <w:rPr>
          <w:rFonts w:ascii="Times New Roman" w:hAnsi="Times New Roman" w:cs="Times New Roman"/>
        </w:rPr>
        <w:t>7</w:t>
      </w:r>
      <w:r w:rsidR="00876CFD" w:rsidRPr="00E47AA4">
        <w:rPr>
          <w:rFonts w:ascii="Times New Roman" w:hAnsi="Times New Roman" w:cs="Times New Roman"/>
        </w:rPr>
        <w:t xml:space="preserve"> </w:t>
      </w:r>
      <w:r w:rsidRPr="00E47AA4">
        <w:rPr>
          <w:rFonts w:ascii="Times New Roman" w:hAnsi="Times New Roman" w:cs="Times New Roman"/>
        </w:rPr>
        <w:t xml:space="preserve">and </w:t>
      </w:r>
      <w:r w:rsidR="00876CFD">
        <w:rPr>
          <w:rFonts w:ascii="Times New Roman" w:hAnsi="Times New Roman" w:cs="Times New Roman"/>
        </w:rPr>
        <w:t>8</w:t>
      </w:r>
      <w:r w:rsidRPr="00E47AA4">
        <w:rPr>
          <w:rFonts w:ascii="Times New Roman" w:hAnsi="Times New Roman" w:cs="Times New Roman"/>
        </w:rPr>
        <w:t xml:space="preserve">. </w:t>
      </w:r>
    </w:p>
    <w:p w14:paraId="51E887F5" w14:textId="092F8A29" w:rsidR="000933C5" w:rsidRPr="00141E79" w:rsidRDefault="000933C5" w:rsidP="00141E79">
      <w:pPr>
        <w:spacing w:line="240" w:lineRule="auto"/>
        <w:rPr>
          <w:rFonts w:ascii="Times New Roman" w:hAnsi="Times New Roman" w:cs="Times New Roman"/>
        </w:rPr>
      </w:pPr>
      <w:r w:rsidRPr="00141E79">
        <w:rPr>
          <w:rFonts w:ascii="Times New Roman" w:hAnsi="Times New Roman" w:cs="Times New Roman"/>
        </w:rPr>
        <w:t xml:space="preserve">Table </w:t>
      </w:r>
      <w:r w:rsidR="00876CFD">
        <w:rPr>
          <w:rFonts w:ascii="Times New Roman" w:hAnsi="Times New Roman" w:cs="Times New Roman"/>
        </w:rPr>
        <w:t>7</w:t>
      </w:r>
      <w:r w:rsidR="00141E79" w:rsidRPr="00141E79">
        <w:rPr>
          <w:rFonts w:ascii="Times New Roman" w:hAnsi="Times New Roman" w:cs="Times New Roman"/>
        </w:rPr>
        <w:t xml:space="preserve">. </w:t>
      </w:r>
      <w:r w:rsidRPr="00141E79">
        <w:rPr>
          <w:rFonts w:ascii="Times New Roman" w:hAnsi="Times New Roman" w:cs="Times New Roman"/>
        </w:rPr>
        <w:t>Sensitivity analysis of ICC scores by age above and below 60</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tblGrid>
      <w:tr w:rsidR="00141E79" w:rsidRPr="00141E79" w14:paraId="3C6BAACB" w14:textId="77777777" w:rsidTr="00141E79">
        <w:trPr>
          <w:cnfStyle w:val="100000000000" w:firstRow="1" w:lastRow="0" w:firstColumn="0" w:lastColumn="0" w:oddVBand="0" w:evenVBand="0" w:oddHBand="0" w:evenHBand="0" w:firstRowFirstColumn="0" w:firstRowLastColumn="0" w:lastRowFirstColumn="0" w:lastRowLastColumn="0"/>
          <w:trHeight w:val="357"/>
          <w:tblHeader/>
        </w:trPr>
        <w:tc>
          <w:tcPr>
            <w:cnfStyle w:val="001000000100" w:firstRow="0" w:lastRow="0" w:firstColumn="1" w:lastColumn="0" w:oddVBand="0" w:evenVBand="0" w:oddHBand="0" w:evenHBand="0" w:firstRowFirstColumn="1" w:firstRowLastColumn="0" w:lastRowFirstColumn="0" w:lastRowLastColumn="0"/>
            <w:tcW w:w="2830" w:type="dxa"/>
            <w:tcBorders>
              <w:bottom w:val="nil"/>
            </w:tcBorders>
            <w:shd w:val="clear" w:color="auto" w:fill="auto"/>
          </w:tcPr>
          <w:p w14:paraId="60B496D2" w14:textId="77777777" w:rsidR="000933C5" w:rsidRPr="00141E79" w:rsidRDefault="000933C5" w:rsidP="00141E79">
            <w:pPr>
              <w:jc w:val="both"/>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QLQ-C30 scores</w:t>
            </w:r>
          </w:p>
        </w:tc>
        <w:tc>
          <w:tcPr>
            <w:tcW w:w="3119" w:type="dxa"/>
            <w:gridSpan w:val="2"/>
            <w:tcBorders>
              <w:left w:val="nil"/>
              <w:bottom w:val="nil"/>
            </w:tcBorders>
            <w:shd w:val="clear" w:color="auto" w:fill="auto"/>
          </w:tcPr>
          <w:p w14:paraId="0B0AE7CF" w14:textId="77777777" w:rsidR="000933C5" w:rsidRPr="00141E79" w:rsidRDefault="000933C5" w:rsidP="00141E79">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All patients</w:t>
            </w:r>
          </w:p>
        </w:tc>
      </w:tr>
      <w:tr w:rsidR="00141E79" w:rsidRPr="00141E79" w14:paraId="18E6E2D1" w14:textId="77777777" w:rsidTr="00141E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Borders>
              <w:top w:val="nil"/>
            </w:tcBorders>
            <w:shd w:val="clear" w:color="auto" w:fill="auto"/>
          </w:tcPr>
          <w:p w14:paraId="0984093D" w14:textId="77777777" w:rsidR="000933C5" w:rsidRPr="00141E79" w:rsidRDefault="000933C5" w:rsidP="00141E79">
            <w:pPr>
              <w:jc w:val="both"/>
              <w:rPr>
                <w:rFonts w:ascii="Times New Roman" w:eastAsia="Arial" w:hAnsi="Times New Roman" w:cs="Times New Roman"/>
                <w:color w:val="auto"/>
                <w:sz w:val="18"/>
                <w:szCs w:val="18"/>
              </w:rPr>
            </w:pPr>
          </w:p>
        </w:tc>
        <w:tc>
          <w:tcPr>
            <w:tcW w:w="1560" w:type="dxa"/>
            <w:tcBorders>
              <w:top w:val="nil"/>
              <w:left w:val="nil"/>
              <w:right w:val="nil"/>
            </w:tcBorders>
            <w:shd w:val="clear" w:color="auto" w:fill="auto"/>
          </w:tcPr>
          <w:p w14:paraId="29631452" w14:textId="77777777" w:rsidR="000933C5" w:rsidRPr="00141E79" w:rsidRDefault="000933C5"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Age &lt;60</w:t>
            </w:r>
          </w:p>
          <w:p w14:paraId="590F593E" w14:textId="77777777" w:rsidR="000933C5" w:rsidRPr="00141E79" w:rsidRDefault="000933C5"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(n=40)</w:t>
            </w:r>
          </w:p>
        </w:tc>
        <w:tc>
          <w:tcPr>
            <w:tcW w:w="1559" w:type="dxa"/>
            <w:tcBorders>
              <w:top w:val="nil"/>
              <w:left w:val="nil"/>
            </w:tcBorders>
            <w:shd w:val="clear" w:color="auto" w:fill="auto"/>
          </w:tcPr>
          <w:p w14:paraId="3CDF75FE" w14:textId="77777777" w:rsidR="000933C5" w:rsidRPr="00141E79" w:rsidRDefault="000933C5"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Age ≥60</w:t>
            </w:r>
          </w:p>
          <w:p w14:paraId="63BE5C46" w14:textId="77777777" w:rsidR="000933C5" w:rsidRPr="00141E79" w:rsidRDefault="000933C5"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(n=23)</w:t>
            </w:r>
          </w:p>
        </w:tc>
      </w:tr>
      <w:tr w:rsidR="000933C5" w:rsidRPr="000933C5" w14:paraId="5E730475"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C98294A"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Global health status score</w:t>
            </w:r>
          </w:p>
          <w:p w14:paraId="2474F305"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59BD977"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36F26B1F"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0D044348"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0.89</w:t>
            </w:r>
          </w:p>
          <w:p w14:paraId="7795CB6A"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0.78-0.94</w:t>
            </w:r>
          </w:p>
        </w:tc>
        <w:tc>
          <w:tcPr>
            <w:tcW w:w="1559" w:type="dxa"/>
            <w:tcBorders>
              <w:top w:val="none" w:sz="0" w:space="0" w:color="auto"/>
              <w:bottom w:val="none" w:sz="0" w:space="0" w:color="auto"/>
            </w:tcBorders>
          </w:tcPr>
          <w:p w14:paraId="48A98C6E"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2B7D3998"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0.90</w:t>
            </w:r>
          </w:p>
          <w:p w14:paraId="7E1749B1"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0.81-0.95</w:t>
            </w:r>
          </w:p>
        </w:tc>
      </w:tr>
      <w:tr w:rsidR="000933C5" w:rsidRPr="000933C5" w14:paraId="185D5364"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7D7EF1C3"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Physical functioning score</w:t>
            </w:r>
          </w:p>
          <w:p w14:paraId="0A0DD050"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4EFD33F3"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Pr>
          <w:p w14:paraId="62BED588"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E129D98"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0.95</w:t>
            </w:r>
          </w:p>
          <w:p w14:paraId="3B34AC3B"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0.89-0.97</w:t>
            </w:r>
          </w:p>
        </w:tc>
        <w:tc>
          <w:tcPr>
            <w:tcW w:w="1559" w:type="dxa"/>
          </w:tcPr>
          <w:p w14:paraId="6EC02F5E"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DE6247B"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0.77</w:t>
            </w:r>
          </w:p>
          <w:p w14:paraId="61125BEC"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0.57-0.88</w:t>
            </w:r>
          </w:p>
        </w:tc>
      </w:tr>
      <w:tr w:rsidR="000933C5" w:rsidRPr="000933C5" w14:paraId="2143BFFF"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4F54D0F5"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Role functioning score</w:t>
            </w:r>
          </w:p>
          <w:p w14:paraId="03E13899"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72450724"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5D2FEDCE"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12C2F040"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0.84</w:t>
            </w:r>
          </w:p>
          <w:p w14:paraId="5B8776C1"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0.69-0.92</w:t>
            </w:r>
          </w:p>
        </w:tc>
        <w:tc>
          <w:tcPr>
            <w:tcW w:w="1559" w:type="dxa"/>
            <w:tcBorders>
              <w:top w:val="none" w:sz="0" w:space="0" w:color="auto"/>
              <w:bottom w:val="none" w:sz="0" w:space="0" w:color="auto"/>
            </w:tcBorders>
          </w:tcPr>
          <w:p w14:paraId="76E3AA18"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17014EB6"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0.81</w:t>
            </w:r>
          </w:p>
          <w:p w14:paraId="2835567D"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0.64-0.90</w:t>
            </w:r>
          </w:p>
        </w:tc>
      </w:tr>
      <w:tr w:rsidR="000933C5" w:rsidRPr="000933C5" w14:paraId="3D0F2CE1"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3F295129"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Emotional functioning score</w:t>
            </w:r>
          </w:p>
          <w:p w14:paraId="2F1B5C3A"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47ADD7BD"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Pr>
          <w:p w14:paraId="733A501D"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F205C4D"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0.88</w:t>
            </w:r>
          </w:p>
          <w:p w14:paraId="3781C1E0"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0.76-0.94</w:t>
            </w:r>
          </w:p>
        </w:tc>
        <w:tc>
          <w:tcPr>
            <w:tcW w:w="1559" w:type="dxa"/>
          </w:tcPr>
          <w:p w14:paraId="07F7884B"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E345786"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0.81</w:t>
            </w:r>
          </w:p>
          <w:p w14:paraId="790E84F2"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0.65-0.90</w:t>
            </w:r>
          </w:p>
        </w:tc>
      </w:tr>
      <w:tr w:rsidR="000933C5" w:rsidRPr="000933C5" w14:paraId="49C12E70"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0A397C0C"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Cognitive functioning score</w:t>
            </w:r>
          </w:p>
          <w:p w14:paraId="5A5896B3"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 xml:space="preserve"> ICC</w:t>
            </w:r>
          </w:p>
          <w:p w14:paraId="139A2FAA"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1D23500C"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6EC2942E"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0.90</w:t>
            </w:r>
          </w:p>
          <w:p w14:paraId="39BB8EEA"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0.80-0.95</w:t>
            </w:r>
          </w:p>
        </w:tc>
        <w:tc>
          <w:tcPr>
            <w:tcW w:w="1559" w:type="dxa"/>
            <w:tcBorders>
              <w:top w:val="none" w:sz="0" w:space="0" w:color="auto"/>
              <w:bottom w:val="none" w:sz="0" w:space="0" w:color="auto"/>
            </w:tcBorders>
          </w:tcPr>
          <w:p w14:paraId="6B66778E"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5505668A"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0.88</w:t>
            </w:r>
          </w:p>
          <w:p w14:paraId="4B3BA1F6"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0.77-0.94</w:t>
            </w:r>
          </w:p>
        </w:tc>
      </w:tr>
      <w:tr w:rsidR="000933C5" w:rsidRPr="000933C5" w14:paraId="19763E1B"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31F50E3"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Social functioning score</w:t>
            </w:r>
          </w:p>
          <w:p w14:paraId="336ED1E8"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D778906"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Pr>
          <w:p w14:paraId="2DD0798E"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1D41647"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0.81</w:t>
            </w:r>
          </w:p>
          <w:p w14:paraId="30676588"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0.65-0.91</w:t>
            </w:r>
          </w:p>
        </w:tc>
        <w:tc>
          <w:tcPr>
            <w:tcW w:w="1559" w:type="dxa"/>
          </w:tcPr>
          <w:p w14:paraId="09AECDAE"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2153354"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0.69</w:t>
            </w:r>
          </w:p>
          <w:p w14:paraId="525EC9F3"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0.45-0.84</w:t>
            </w:r>
          </w:p>
        </w:tc>
      </w:tr>
      <w:tr w:rsidR="000933C5" w:rsidRPr="000933C5" w14:paraId="69F76664"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8394894"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Fatigue score</w:t>
            </w:r>
          </w:p>
          <w:p w14:paraId="78A24D7F"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05840B62"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35B56706"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0B3E2268"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0.80</w:t>
            </w:r>
          </w:p>
          <w:p w14:paraId="69BA9F5C"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0.61-0.90</w:t>
            </w:r>
          </w:p>
        </w:tc>
        <w:tc>
          <w:tcPr>
            <w:tcW w:w="1559" w:type="dxa"/>
            <w:tcBorders>
              <w:top w:val="none" w:sz="0" w:space="0" w:color="auto"/>
              <w:bottom w:val="none" w:sz="0" w:space="0" w:color="auto"/>
            </w:tcBorders>
          </w:tcPr>
          <w:p w14:paraId="37807360"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55D6F361"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0.75</w:t>
            </w:r>
          </w:p>
          <w:p w14:paraId="3243B159"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0.55-0.87</w:t>
            </w:r>
          </w:p>
        </w:tc>
      </w:tr>
      <w:tr w:rsidR="000933C5" w:rsidRPr="000933C5" w14:paraId="7B690437"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31FF9F8"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Nausea and Vomiting</w:t>
            </w:r>
          </w:p>
          <w:p w14:paraId="0CC591AA"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1271CFD2"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Pr>
          <w:p w14:paraId="333E7372"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DDFB32D"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0.63</w:t>
            </w:r>
          </w:p>
          <w:p w14:paraId="09E9D297"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0.35-0.81</w:t>
            </w:r>
          </w:p>
        </w:tc>
        <w:tc>
          <w:tcPr>
            <w:tcW w:w="1559" w:type="dxa"/>
          </w:tcPr>
          <w:p w14:paraId="6A40AD77"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E4B9A6D"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0.92</w:t>
            </w:r>
          </w:p>
          <w:p w14:paraId="45702C87"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0.84-0.96</w:t>
            </w:r>
          </w:p>
        </w:tc>
      </w:tr>
      <w:tr w:rsidR="000933C5" w:rsidRPr="000933C5" w14:paraId="5AAC0BF1"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06D3B5A2"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Pain</w:t>
            </w:r>
          </w:p>
          <w:p w14:paraId="02EBC0E0"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29530D9E"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723E41BC"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596CCA3F"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0.89</w:t>
            </w:r>
          </w:p>
          <w:p w14:paraId="3D97C3F4"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0.79-0.95</w:t>
            </w:r>
          </w:p>
        </w:tc>
        <w:tc>
          <w:tcPr>
            <w:tcW w:w="1559" w:type="dxa"/>
            <w:tcBorders>
              <w:top w:val="none" w:sz="0" w:space="0" w:color="auto"/>
              <w:bottom w:val="none" w:sz="0" w:space="0" w:color="auto"/>
            </w:tcBorders>
          </w:tcPr>
          <w:p w14:paraId="02454528"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367AB705"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0.89</w:t>
            </w:r>
          </w:p>
          <w:p w14:paraId="1CCC0A18"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0.80-0.95</w:t>
            </w:r>
          </w:p>
        </w:tc>
      </w:tr>
      <w:tr w:rsidR="000933C5" w:rsidRPr="000933C5" w14:paraId="3D2B1B30"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552F27F"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Dyspnoea</w:t>
            </w:r>
          </w:p>
          <w:p w14:paraId="2A2DB2BA"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62E5313"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Pr>
          <w:p w14:paraId="2A35E103"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005F326"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0.79</w:t>
            </w:r>
          </w:p>
          <w:p w14:paraId="2F4DE873"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0.61-0.90</w:t>
            </w:r>
          </w:p>
        </w:tc>
        <w:tc>
          <w:tcPr>
            <w:tcW w:w="1559" w:type="dxa"/>
          </w:tcPr>
          <w:p w14:paraId="5ADB5021"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A9DDF5A"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0.72</w:t>
            </w:r>
          </w:p>
          <w:p w14:paraId="058E3F9D"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0.49-0.85</w:t>
            </w:r>
          </w:p>
        </w:tc>
      </w:tr>
      <w:tr w:rsidR="000933C5" w:rsidRPr="000933C5" w14:paraId="3A2C6145"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39BEE046"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Insomnia</w:t>
            </w:r>
          </w:p>
          <w:p w14:paraId="6AAE9D1E"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47CE70DF"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55CD0735"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359A612F"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0.88</w:t>
            </w:r>
          </w:p>
          <w:p w14:paraId="7E8F153F"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0.76-0.94</w:t>
            </w:r>
          </w:p>
        </w:tc>
        <w:tc>
          <w:tcPr>
            <w:tcW w:w="1559" w:type="dxa"/>
            <w:tcBorders>
              <w:top w:val="none" w:sz="0" w:space="0" w:color="auto"/>
              <w:bottom w:val="none" w:sz="0" w:space="0" w:color="auto"/>
            </w:tcBorders>
          </w:tcPr>
          <w:p w14:paraId="522F1589"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735A0827"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0.72</w:t>
            </w:r>
          </w:p>
          <w:p w14:paraId="5FF7A2C6"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0.49-0.85</w:t>
            </w:r>
          </w:p>
        </w:tc>
      </w:tr>
      <w:tr w:rsidR="000933C5" w:rsidRPr="000933C5" w14:paraId="17B985C4"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39C57A7"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Appetite loss</w:t>
            </w:r>
          </w:p>
          <w:p w14:paraId="2FDB755D"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11324682"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Pr>
          <w:p w14:paraId="50C794E9"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3A88484"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0.92</w:t>
            </w:r>
          </w:p>
          <w:p w14:paraId="42F07593"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0.85-0.96</w:t>
            </w:r>
          </w:p>
        </w:tc>
        <w:tc>
          <w:tcPr>
            <w:tcW w:w="1559" w:type="dxa"/>
          </w:tcPr>
          <w:p w14:paraId="1DDB5608"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2802B48"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0.71</w:t>
            </w:r>
          </w:p>
          <w:p w14:paraId="0A090961"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0.48-0.85</w:t>
            </w:r>
          </w:p>
        </w:tc>
      </w:tr>
      <w:tr w:rsidR="000933C5" w:rsidRPr="000933C5" w14:paraId="6A46EF8B"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434D6B2A"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Constipation</w:t>
            </w:r>
          </w:p>
          <w:p w14:paraId="0C14F2FB"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1ABA3258"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742A256B"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0FEA76B4"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0.87</w:t>
            </w:r>
          </w:p>
          <w:p w14:paraId="30D8A28C"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0.75-0.94</w:t>
            </w:r>
          </w:p>
        </w:tc>
        <w:tc>
          <w:tcPr>
            <w:tcW w:w="1559" w:type="dxa"/>
            <w:tcBorders>
              <w:top w:val="none" w:sz="0" w:space="0" w:color="auto"/>
              <w:bottom w:val="none" w:sz="0" w:space="0" w:color="auto"/>
            </w:tcBorders>
          </w:tcPr>
          <w:p w14:paraId="01E08F75"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1EEC30A1"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0.94</w:t>
            </w:r>
          </w:p>
          <w:p w14:paraId="66126203"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0.88-0.97</w:t>
            </w:r>
          </w:p>
        </w:tc>
      </w:tr>
      <w:tr w:rsidR="000933C5" w:rsidRPr="000933C5" w14:paraId="1C4CE82A"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3E609B43"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Diarrhoea</w:t>
            </w:r>
          </w:p>
          <w:p w14:paraId="1B31252B"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476BB591"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95% CI</w:t>
            </w:r>
          </w:p>
        </w:tc>
        <w:tc>
          <w:tcPr>
            <w:tcW w:w="1560" w:type="dxa"/>
          </w:tcPr>
          <w:p w14:paraId="0A215871"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C4A9595"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0.68</w:t>
            </w:r>
          </w:p>
          <w:p w14:paraId="14594741"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0.42-0.83</w:t>
            </w:r>
          </w:p>
        </w:tc>
        <w:tc>
          <w:tcPr>
            <w:tcW w:w="1559" w:type="dxa"/>
          </w:tcPr>
          <w:p w14:paraId="400F3F16"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3F40ADB"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0.95</w:t>
            </w:r>
          </w:p>
          <w:p w14:paraId="6451418F" w14:textId="77777777" w:rsidR="000933C5" w:rsidRPr="00141E79" w:rsidRDefault="000933C5"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0.90-0.97</w:t>
            </w:r>
          </w:p>
        </w:tc>
      </w:tr>
      <w:tr w:rsidR="000933C5" w:rsidRPr="000933C5" w14:paraId="174F84F8"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4D73453C"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Financial difficulties</w:t>
            </w:r>
          </w:p>
          <w:p w14:paraId="5A33EE8E"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 xml:space="preserve"> ICC</w:t>
            </w:r>
          </w:p>
          <w:p w14:paraId="15539CAC" w14:textId="77777777" w:rsidR="000933C5" w:rsidRPr="00141E79" w:rsidRDefault="000933C5"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560" w:type="dxa"/>
            <w:tcBorders>
              <w:top w:val="none" w:sz="0" w:space="0" w:color="auto"/>
              <w:bottom w:val="none" w:sz="0" w:space="0" w:color="auto"/>
            </w:tcBorders>
          </w:tcPr>
          <w:p w14:paraId="43AE3937"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0DD5DECE"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0.75</w:t>
            </w:r>
          </w:p>
          <w:p w14:paraId="60D146EC"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0.54-0.87</w:t>
            </w:r>
          </w:p>
        </w:tc>
        <w:tc>
          <w:tcPr>
            <w:tcW w:w="1559" w:type="dxa"/>
            <w:tcBorders>
              <w:top w:val="none" w:sz="0" w:space="0" w:color="auto"/>
              <w:bottom w:val="none" w:sz="0" w:space="0" w:color="auto"/>
            </w:tcBorders>
          </w:tcPr>
          <w:p w14:paraId="579AAD84"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63FF7C5D"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0.54</w:t>
            </w:r>
          </w:p>
          <w:p w14:paraId="5B52ECB3" w14:textId="77777777" w:rsidR="000933C5" w:rsidRPr="00141E79" w:rsidRDefault="000933C5"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0.23-0.75</w:t>
            </w:r>
          </w:p>
        </w:tc>
      </w:tr>
    </w:tbl>
    <w:p w14:paraId="60ACCDD2" w14:textId="77777777" w:rsidR="000933C5" w:rsidRDefault="000933C5" w:rsidP="00207C33">
      <w:pPr>
        <w:spacing w:line="480" w:lineRule="auto"/>
        <w:rPr>
          <w:rFonts w:ascii="Times New Roman" w:hAnsi="Times New Roman" w:cs="Times New Roman"/>
        </w:rPr>
      </w:pPr>
    </w:p>
    <w:p w14:paraId="5A8E6DE9" w14:textId="77777777" w:rsidR="00B77396" w:rsidRDefault="00B77396" w:rsidP="00141E79">
      <w:pPr>
        <w:spacing w:line="240" w:lineRule="auto"/>
        <w:rPr>
          <w:rFonts w:ascii="Times New Roman" w:hAnsi="Times New Roman" w:cs="Times New Roman"/>
        </w:rPr>
      </w:pPr>
      <w:bookmarkStart w:id="10" w:name="_Ref19545052"/>
    </w:p>
    <w:p w14:paraId="512352EF" w14:textId="77777777" w:rsidR="00B77396" w:rsidRDefault="00B77396" w:rsidP="00141E79">
      <w:pPr>
        <w:spacing w:line="240" w:lineRule="auto"/>
        <w:rPr>
          <w:rFonts w:ascii="Times New Roman" w:hAnsi="Times New Roman" w:cs="Times New Roman"/>
        </w:rPr>
      </w:pPr>
    </w:p>
    <w:p w14:paraId="302641E9" w14:textId="77777777" w:rsidR="00B77396" w:rsidRDefault="00B77396" w:rsidP="00141E79">
      <w:pPr>
        <w:spacing w:line="240" w:lineRule="auto"/>
        <w:rPr>
          <w:rFonts w:ascii="Times New Roman" w:hAnsi="Times New Roman" w:cs="Times New Roman"/>
        </w:rPr>
      </w:pPr>
    </w:p>
    <w:p w14:paraId="6060E62D" w14:textId="2F22B9F0" w:rsidR="00141E79" w:rsidRPr="00141E79" w:rsidRDefault="00141E79" w:rsidP="00141E79">
      <w:pPr>
        <w:spacing w:line="240" w:lineRule="auto"/>
        <w:rPr>
          <w:rFonts w:ascii="Times New Roman" w:hAnsi="Times New Roman" w:cs="Times New Roman"/>
        </w:rPr>
      </w:pPr>
      <w:r w:rsidRPr="00141E79">
        <w:rPr>
          <w:rFonts w:ascii="Times New Roman" w:hAnsi="Times New Roman" w:cs="Times New Roman"/>
        </w:rPr>
        <w:t>Table</w:t>
      </w:r>
      <w:bookmarkEnd w:id="10"/>
      <w:r w:rsidR="009B298A">
        <w:rPr>
          <w:rFonts w:ascii="Times New Roman" w:hAnsi="Times New Roman" w:cs="Times New Roman"/>
        </w:rPr>
        <w:t xml:space="preserve"> </w:t>
      </w:r>
      <w:r w:rsidR="00876CFD">
        <w:rPr>
          <w:rFonts w:ascii="Times New Roman" w:hAnsi="Times New Roman" w:cs="Times New Roman"/>
        </w:rPr>
        <w:t>8</w:t>
      </w:r>
      <w:r w:rsidRPr="00141E79">
        <w:rPr>
          <w:rFonts w:ascii="Times New Roman" w:hAnsi="Times New Roman" w:cs="Times New Roman"/>
        </w:rPr>
        <w:t>. Sensitivity analysis of ICC scores by gender</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1418"/>
      </w:tblGrid>
      <w:tr w:rsidR="00141E79" w:rsidRPr="00141E79" w14:paraId="75931471" w14:textId="77777777" w:rsidTr="00141E79">
        <w:trPr>
          <w:cnfStyle w:val="100000000000" w:firstRow="1" w:lastRow="0" w:firstColumn="0" w:lastColumn="0" w:oddVBand="0" w:evenVBand="0" w:oddHBand="0" w:evenHBand="0" w:firstRowFirstColumn="0" w:firstRowLastColumn="0" w:lastRowFirstColumn="0" w:lastRowLastColumn="0"/>
          <w:trHeight w:val="407"/>
          <w:tblHeader/>
        </w:trPr>
        <w:tc>
          <w:tcPr>
            <w:cnfStyle w:val="001000000100" w:firstRow="0" w:lastRow="0" w:firstColumn="1" w:lastColumn="0" w:oddVBand="0" w:evenVBand="0" w:oddHBand="0" w:evenHBand="0" w:firstRowFirstColumn="1" w:firstRowLastColumn="0" w:lastRowFirstColumn="0" w:lastRowLastColumn="0"/>
            <w:tcW w:w="2830" w:type="dxa"/>
            <w:tcBorders>
              <w:bottom w:val="nil"/>
            </w:tcBorders>
            <w:shd w:val="clear" w:color="auto" w:fill="auto"/>
          </w:tcPr>
          <w:p w14:paraId="006B33FA" w14:textId="77777777" w:rsidR="00141E79" w:rsidRPr="00141E79" w:rsidRDefault="00141E79" w:rsidP="00141E79">
            <w:pPr>
              <w:jc w:val="both"/>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QLQ-C30 scores</w:t>
            </w:r>
          </w:p>
        </w:tc>
        <w:tc>
          <w:tcPr>
            <w:tcW w:w="3119" w:type="dxa"/>
            <w:gridSpan w:val="2"/>
            <w:tcBorders>
              <w:left w:val="nil"/>
              <w:bottom w:val="nil"/>
            </w:tcBorders>
            <w:shd w:val="clear" w:color="auto" w:fill="auto"/>
          </w:tcPr>
          <w:p w14:paraId="2BB5B951" w14:textId="77777777" w:rsidR="00141E79" w:rsidRPr="00141E79" w:rsidRDefault="00141E79" w:rsidP="00141E79">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All patients</w:t>
            </w:r>
          </w:p>
        </w:tc>
      </w:tr>
      <w:tr w:rsidR="00141E79" w:rsidRPr="00141E79" w14:paraId="1FBCFD3D" w14:textId="77777777" w:rsidTr="00141E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Borders>
              <w:top w:val="nil"/>
            </w:tcBorders>
            <w:shd w:val="clear" w:color="auto" w:fill="auto"/>
          </w:tcPr>
          <w:p w14:paraId="26842B5A" w14:textId="77777777" w:rsidR="00141E79" w:rsidRPr="00141E79" w:rsidRDefault="00141E79" w:rsidP="00141E79">
            <w:pPr>
              <w:jc w:val="both"/>
              <w:rPr>
                <w:rFonts w:ascii="Times New Roman" w:eastAsia="Arial" w:hAnsi="Times New Roman" w:cs="Times New Roman"/>
                <w:color w:val="auto"/>
                <w:sz w:val="18"/>
                <w:szCs w:val="18"/>
              </w:rPr>
            </w:pPr>
          </w:p>
        </w:tc>
        <w:tc>
          <w:tcPr>
            <w:tcW w:w="1701" w:type="dxa"/>
            <w:tcBorders>
              <w:top w:val="nil"/>
              <w:left w:val="nil"/>
              <w:right w:val="nil"/>
            </w:tcBorders>
            <w:shd w:val="clear" w:color="auto" w:fill="auto"/>
          </w:tcPr>
          <w:p w14:paraId="377FD3F8" w14:textId="77777777" w:rsidR="00141E79" w:rsidRPr="00141E79" w:rsidRDefault="00141E79"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Male</w:t>
            </w:r>
          </w:p>
          <w:p w14:paraId="3DF39461" w14:textId="77777777" w:rsidR="00141E79" w:rsidRPr="00141E79" w:rsidRDefault="00141E79"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(n=22)</w:t>
            </w:r>
          </w:p>
        </w:tc>
        <w:tc>
          <w:tcPr>
            <w:tcW w:w="1418" w:type="dxa"/>
            <w:tcBorders>
              <w:top w:val="nil"/>
              <w:left w:val="nil"/>
            </w:tcBorders>
            <w:shd w:val="clear" w:color="auto" w:fill="auto"/>
          </w:tcPr>
          <w:p w14:paraId="44902B6C" w14:textId="77777777" w:rsidR="00141E79" w:rsidRPr="00141E79" w:rsidRDefault="00141E79"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Female</w:t>
            </w:r>
          </w:p>
          <w:p w14:paraId="69DEB46F" w14:textId="77777777" w:rsidR="00141E79" w:rsidRPr="00141E79" w:rsidRDefault="00141E79" w:rsidP="00141E79">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141E79">
              <w:rPr>
                <w:rFonts w:ascii="Times New Roman" w:eastAsia="Arial" w:hAnsi="Times New Roman" w:cs="Times New Roman"/>
                <w:color w:val="auto"/>
                <w:sz w:val="18"/>
                <w:szCs w:val="18"/>
              </w:rPr>
              <w:t>(n=41)</w:t>
            </w:r>
          </w:p>
        </w:tc>
      </w:tr>
      <w:tr w:rsidR="00141E79" w:rsidRPr="00141E79" w14:paraId="32A60072"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304BCAC1"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Global health status score</w:t>
            </w:r>
          </w:p>
          <w:p w14:paraId="66AE0D6D"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E45FB18"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1DBEA229"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55FBB96"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0.92</w:t>
            </w:r>
          </w:p>
          <w:p w14:paraId="34AC4847"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0.84-0.96</w:t>
            </w:r>
          </w:p>
        </w:tc>
        <w:tc>
          <w:tcPr>
            <w:tcW w:w="1418" w:type="dxa"/>
            <w:tcBorders>
              <w:top w:val="none" w:sz="0" w:space="0" w:color="auto"/>
              <w:bottom w:val="none" w:sz="0" w:space="0" w:color="auto"/>
            </w:tcBorders>
          </w:tcPr>
          <w:p w14:paraId="505D9D04"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25D7866"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0.87</w:t>
            </w:r>
          </w:p>
          <w:p w14:paraId="46E0A1A5"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0.75-0.94</w:t>
            </w:r>
          </w:p>
        </w:tc>
      </w:tr>
      <w:tr w:rsidR="00141E79" w:rsidRPr="00141E79" w14:paraId="1A1A7C70"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256BF686"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Physical functioning score</w:t>
            </w:r>
          </w:p>
          <w:p w14:paraId="39DD35BE"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7663834D"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62B11389"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E4764A2"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0.77</w:t>
            </w:r>
          </w:p>
          <w:p w14:paraId="53EC69FA"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0.57-0.88</w:t>
            </w:r>
          </w:p>
        </w:tc>
        <w:tc>
          <w:tcPr>
            <w:tcW w:w="1418" w:type="dxa"/>
          </w:tcPr>
          <w:p w14:paraId="2FAA6E78"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85CB27C"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0.94</w:t>
            </w:r>
          </w:p>
          <w:p w14:paraId="5737FE0F"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0.89-0.97</w:t>
            </w:r>
          </w:p>
        </w:tc>
      </w:tr>
      <w:tr w:rsidR="00141E79" w:rsidRPr="00141E79" w14:paraId="2B767DFC"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05249940"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Role functioning score</w:t>
            </w:r>
          </w:p>
          <w:p w14:paraId="6817E771"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7816C6EB"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1CDA22A7"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7702F1D"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0.81</w:t>
            </w:r>
          </w:p>
          <w:p w14:paraId="25CC728F"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0.65-0.90</w:t>
            </w:r>
          </w:p>
        </w:tc>
        <w:tc>
          <w:tcPr>
            <w:tcW w:w="1418" w:type="dxa"/>
            <w:tcBorders>
              <w:top w:val="none" w:sz="0" w:space="0" w:color="auto"/>
              <w:bottom w:val="none" w:sz="0" w:space="0" w:color="auto"/>
            </w:tcBorders>
          </w:tcPr>
          <w:p w14:paraId="2F5397B7"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4F01110"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0.84</w:t>
            </w:r>
          </w:p>
          <w:p w14:paraId="78CB5485"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0.69-0.92</w:t>
            </w:r>
          </w:p>
        </w:tc>
      </w:tr>
      <w:tr w:rsidR="00141E79" w:rsidRPr="00141E79" w14:paraId="34B9CDEA"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7BCBF633"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Emotional functioning score</w:t>
            </w:r>
          </w:p>
          <w:p w14:paraId="5AB0F192"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51304F5F"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4561C77A"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532E7699"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0.80</w:t>
            </w:r>
          </w:p>
          <w:p w14:paraId="3888BF46"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0.62-0.90</w:t>
            </w:r>
          </w:p>
        </w:tc>
        <w:tc>
          <w:tcPr>
            <w:tcW w:w="1418" w:type="dxa"/>
          </w:tcPr>
          <w:p w14:paraId="711EA549"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FB7DEF3"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0.88</w:t>
            </w:r>
          </w:p>
          <w:p w14:paraId="0BF0ECD1"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0.76-0.94</w:t>
            </w:r>
          </w:p>
        </w:tc>
      </w:tr>
      <w:tr w:rsidR="00141E79" w:rsidRPr="00141E79" w14:paraId="580F732F"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571D687E"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Cognitive functioning score</w:t>
            </w:r>
          </w:p>
          <w:p w14:paraId="1E3E857D"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 xml:space="preserve"> ICC</w:t>
            </w:r>
          </w:p>
          <w:p w14:paraId="5F93CC79"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44182369"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D134ABC"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0.87</w:t>
            </w:r>
          </w:p>
          <w:p w14:paraId="1826F51A"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0.75-0.93</w:t>
            </w:r>
          </w:p>
        </w:tc>
        <w:tc>
          <w:tcPr>
            <w:tcW w:w="1418" w:type="dxa"/>
            <w:tcBorders>
              <w:top w:val="none" w:sz="0" w:space="0" w:color="auto"/>
              <w:bottom w:val="none" w:sz="0" w:space="0" w:color="auto"/>
            </w:tcBorders>
          </w:tcPr>
          <w:p w14:paraId="2995A204"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C753670"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0.90</w:t>
            </w:r>
          </w:p>
          <w:p w14:paraId="67B64F5C"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0.79-0.95</w:t>
            </w:r>
          </w:p>
        </w:tc>
      </w:tr>
      <w:tr w:rsidR="00141E79" w:rsidRPr="00141E79" w14:paraId="454FC9E4"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63C2A817"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Social functioning score</w:t>
            </w:r>
          </w:p>
          <w:p w14:paraId="3DB76847"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4028312D"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60F36CD4"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75A2E6EA"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0.83</w:t>
            </w:r>
          </w:p>
          <w:p w14:paraId="0581A06A"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0.68-0.91</w:t>
            </w:r>
          </w:p>
        </w:tc>
        <w:tc>
          <w:tcPr>
            <w:tcW w:w="1418" w:type="dxa"/>
          </w:tcPr>
          <w:p w14:paraId="58F3AA4B"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16D8EA65"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0.73</w:t>
            </w:r>
          </w:p>
          <w:p w14:paraId="1AA4F4CB"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0.51-0.86</w:t>
            </w:r>
          </w:p>
        </w:tc>
      </w:tr>
      <w:tr w:rsidR="00141E79" w:rsidRPr="00141E79" w14:paraId="544E5126"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210107DF"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Fatigue score</w:t>
            </w:r>
          </w:p>
          <w:p w14:paraId="3F97B9E6"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AC375C3"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77897F1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0DCCF7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0.66</w:t>
            </w:r>
          </w:p>
          <w:p w14:paraId="620F36A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0.40-0.82</w:t>
            </w:r>
          </w:p>
        </w:tc>
        <w:tc>
          <w:tcPr>
            <w:tcW w:w="1418" w:type="dxa"/>
            <w:tcBorders>
              <w:top w:val="none" w:sz="0" w:space="0" w:color="auto"/>
              <w:bottom w:val="none" w:sz="0" w:space="0" w:color="auto"/>
            </w:tcBorders>
          </w:tcPr>
          <w:p w14:paraId="7CAFC62E"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E52D109"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0.85</w:t>
            </w:r>
          </w:p>
          <w:p w14:paraId="4A2A5010"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0.71-0.93</w:t>
            </w:r>
          </w:p>
        </w:tc>
      </w:tr>
      <w:tr w:rsidR="00141E79" w:rsidRPr="00141E79" w14:paraId="0FCA1E32"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B8C08C0"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Nausea and Vomiting</w:t>
            </w:r>
          </w:p>
          <w:p w14:paraId="2638A7CF"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668A85EA"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6B405A6A"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1ED990BE"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0.52</w:t>
            </w:r>
          </w:p>
          <w:p w14:paraId="1B9282CC"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0.20-0.73</w:t>
            </w:r>
          </w:p>
        </w:tc>
        <w:tc>
          <w:tcPr>
            <w:tcW w:w="1418" w:type="dxa"/>
          </w:tcPr>
          <w:p w14:paraId="5EB0814F"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45D8C31"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0.88</w:t>
            </w:r>
          </w:p>
          <w:p w14:paraId="03D7FB23"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0.76-0.94</w:t>
            </w:r>
          </w:p>
        </w:tc>
      </w:tr>
      <w:tr w:rsidR="00141E79" w:rsidRPr="00141E79" w14:paraId="51D64EE7"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57F52BA5"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Pain</w:t>
            </w:r>
          </w:p>
          <w:p w14:paraId="73983DB8"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284A173"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253277F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C30371D"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0.88</w:t>
            </w:r>
          </w:p>
          <w:p w14:paraId="00BF0FDB"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0.76-0.94</w:t>
            </w:r>
          </w:p>
        </w:tc>
        <w:tc>
          <w:tcPr>
            <w:tcW w:w="1418" w:type="dxa"/>
            <w:tcBorders>
              <w:top w:val="none" w:sz="0" w:space="0" w:color="auto"/>
              <w:bottom w:val="none" w:sz="0" w:space="0" w:color="auto"/>
            </w:tcBorders>
          </w:tcPr>
          <w:p w14:paraId="3CD00080"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2B01455"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0.91</w:t>
            </w:r>
          </w:p>
          <w:p w14:paraId="0808BA0E"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0.82-0.95</w:t>
            </w:r>
          </w:p>
        </w:tc>
      </w:tr>
      <w:tr w:rsidR="00141E79" w:rsidRPr="00141E79" w14:paraId="7DE7199D"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259DC704"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Dyspnoea</w:t>
            </w:r>
          </w:p>
          <w:p w14:paraId="30E8A8CA"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68A01A08"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61139E23"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48A6A0DF"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0.69</w:t>
            </w:r>
          </w:p>
          <w:p w14:paraId="3B766407"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0.45-0.84</w:t>
            </w:r>
          </w:p>
        </w:tc>
        <w:tc>
          <w:tcPr>
            <w:tcW w:w="1418" w:type="dxa"/>
          </w:tcPr>
          <w:p w14:paraId="47E8324A"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1DE213E"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0.83</w:t>
            </w:r>
          </w:p>
          <w:p w14:paraId="31AE11A1"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0.67-0.91</w:t>
            </w:r>
          </w:p>
        </w:tc>
      </w:tr>
      <w:tr w:rsidR="00141E79" w:rsidRPr="00141E79" w14:paraId="5CC53E79"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25CE8ADB"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Insomnia</w:t>
            </w:r>
          </w:p>
          <w:p w14:paraId="7FB1BFE8"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611C2B01"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10AAABCB"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E8D49D5"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0.75</w:t>
            </w:r>
          </w:p>
          <w:p w14:paraId="0D566E56"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0.55-0.87</w:t>
            </w:r>
          </w:p>
        </w:tc>
        <w:tc>
          <w:tcPr>
            <w:tcW w:w="1418" w:type="dxa"/>
            <w:tcBorders>
              <w:top w:val="none" w:sz="0" w:space="0" w:color="auto"/>
              <w:bottom w:val="none" w:sz="0" w:space="0" w:color="auto"/>
            </w:tcBorders>
          </w:tcPr>
          <w:p w14:paraId="47D399C1"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BBE6A04"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0.88</w:t>
            </w:r>
          </w:p>
          <w:p w14:paraId="72F5DA51"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0.76-0.94</w:t>
            </w:r>
          </w:p>
        </w:tc>
      </w:tr>
      <w:tr w:rsidR="00141E79" w:rsidRPr="00141E79" w14:paraId="1F3066ED"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5FA9B46"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Appetite loss</w:t>
            </w:r>
          </w:p>
          <w:p w14:paraId="4A2394CF"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5210B4DF"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65F7A986"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692F63B3"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0.87</w:t>
            </w:r>
          </w:p>
          <w:p w14:paraId="5A10CB0D"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0.74-0.93</w:t>
            </w:r>
          </w:p>
        </w:tc>
        <w:tc>
          <w:tcPr>
            <w:tcW w:w="1418" w:type="dxa"/>
          </w:tcPr>
          <w:p w14:paraId="514AA9AF"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85C70FF"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0.84</w:t>
            </w:r>
          </w:p>
          <w:p w14:paraId="4D67B8FB"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0.69-0.92</w:t>
            </w:r>
          </w:p>
        </w:tc>
      </w:tr>
      <w:tr w:rsidR="00141E79" w:rsidRPr="00141E79" w14:paraId="0C170F6A"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1EE96199"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Constipation</w:t>
            </w:r>
          </w:p>
          <w:p w14:paraId="7A51F9B4"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35E56767"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3CBC9B6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AA1C496"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0.87</w:t>
            </w:r>
          </w:p>
          <w:p w14:paraId="1AFF7AFF"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0.75-0.93</w:t>
            </w:r>
          </w:p>
        </w:tc>
        <w:tc>
          <w:tcPr>
            <w:tcW w:w="1418" w:type="dxa"/>
            <w:tcBorders>
              <w:top w:val="none" w:sz="0" w:space="0" w:color="auto"/>
              <w:bottom w:val="none" w:sz="0" w:space="0" w:color="auto"/>
            </w:tcBorders>
          </w:tcPr>
          <w:p w14:paraId="561E4D9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392B81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0.90</w:t>
            </w:r>
          </w:p>
          <w:p w14:paraId="0EAC892C"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0.81-0.95</w:t>
            </w:r>
          </w:p>
        </w:tc>
      </w:tr>
      <w:tr w:rsidR="00141E79" w:rsidRPr="00141E79" w14:paraId="4C78F622" w14:textId="77777777" w:rsidTr="00141E79">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6BB71259"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Diarrhoea</w:t>
            </w:r>
          </w:p>
          <w:p w14:paraId="6947CD0D"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ICC</w:t>
            </w:r>
          </w:p>
          <w:p w14:paraId="02925B25"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Pr>
          <w:p w14:paraId="43BF51BD"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1DAF9B74"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0.68</w:t>
            </w:r>
          </w:p>
          <w:p w14:paraId="74EB68CF"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0.44-0.83</w:t>
            </w:r>
          </w:p>
        </w:tc>
        <w:tc>
          <w:tcPr>
            <w:tcW w:w="1418" w:type="dxa"/>
          </w:tcPr>
          <w:p w14:paraId="0620CBD5"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p w14:paraId="33385CF5"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0.90</w:t>
            </w:r>
          </w:p>
          <w:p w14:paraId="1452EDC9" w14:textId="77777777" w:rsidR="00141E79" w:rsidRPr="00141E79" w:rsidRDefault="00141E79" w:rsidP="00141E7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141E79">
              <w:rPr>
                <w:rFonts w:ascii="Times New Roman" w:eastAsia="Arial" w:hAnsi="Times New Roman" w:cs="Times New Roman"/>
                <w:bCs/>
                <w:sz w:val="18"/>
                <w:szCs w:val="18"/>
              </w:rPr>
              <w:t>0.80-0.95</w:t>
            </w:r>
          </w:p>
        </w:tc>
      </w:tr>
      <w:tr w:rsidR="00141E79" w:rsidRPr="00141E79" w14:paraId="4C96A7D3" w14:textId="77777777" w:rsidTr="00141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57876671"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Financial difficulties</w:t>
            </w:r>
          </w:p>
          <w:p w14:paraId="0071F311"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ICC</w:t>
            </w:r>
          </w:p>
          <w:p w14:paraId="2E8689E0" w14:textId="77777777" w:rsidR="00141E79" w:rsidRPr="00141E79" w:rsidRDefault="00141E79" w:rsidP="00141E79">
            <w:pPr>
              <w:jc w:val="both"/>
              <w:rPr>
                <w:rFonts w:ascii="Times New Roman" w:eastAsia="Arial" w:hAnsi="Times New Roman" w:cs="Times New Roman"/>
                <w:sz w:val="18"/>
                <w:szCs w:val="18"/>
              </w:rPr>
            </w:pPr>
            <w:r w:rsidRPr="00141E79">
              <w:rPr>
                <w:rFonts w:ascii="Times New Roman" w:eastAsia="Arial" w:hAnsi="Times New Roman" w:cs="Times New Roman"/>
                <w:sz w:val="18"/>
                <w:szCs w:val="18"/>
              </w:rPr>
              <w:t>95% CI</w:t>
            </w:r>
          </w:p>
        </w:tc>
        <w:tc>
          <w:tcPr>
            <w:tcW w:w="1701" w:type="dxa"/>
            <w:tcBorders>
              <w:top w:val="none" w:sz="0" w:space="0" w:color="auto"/>
              <w:bottom w:val="none" w:sz="0" w:space="0" w:color="auto"/>
            </w:tcBorders>
          </w:tcPr>
          <w:p w14:paraId="7A6420C7"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E4A65CB"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0.62</w:t>
            </w:r>
          </w:p>
          <w:p w14:paraId="373009C5"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0.34-0.79</w:t>
            </w:r>
          </w:p>
        </w:tc>
        <w:tc>
          <w:tcPr>
            <w:tcW w:w="1418" w:type="dxa"/>
            <w:tcBorders>
              <w:top w:val="none" w:sz="0" w:space="0" w:color="auto"/>
              <w:bottom w:val="none" w:sz="0" w:space="0" w:color="auto"/>
            </w:tcBorders>
          </w:tcPr>
          <w:p w14:paraId="48F38922"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1E0AA87"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lastRenderedPageBreak/>
              <w:t>0.74</w:t>
            </w:r>
          </w:p>
          <w:p w14:paraId="62FADA54" w14:textId="77777777" w:rsidR="00141E79" w:rsidRPr="00141E79" w:rsidRDefault="00141E79" w:rsidP="00141E7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141E79">
              <w:rPr>
                <w:rFonts w:ascii="Times New Roman" w:eastAsia="Arial" w:hAnsi="Times New Roman" w:cs="Times New Roman"/>
                <w:sz w:val="18"/>
                <w:szCs w:val="18"/>
              </w:rPr>
              <w:t>0.52-0.87</w:t>
            </w:r>
          </w:p>
        </w:tc>
      </w:tr>
    </w:tbl>
    <w:p w14:paraId="12897BE8" w14:textId="2D997359" w:rsidR="009546D2" w:rsidRDefault="009546D2">
      <w:pPr>
        <w:rPr>
          <w:rFonts w:ascii="Times New Roman" w:hAnsi="Times New Roman" w:cs="Times New Roman"/>
          <w:b/>
        </w:rPr>
      </w:pPr>
    </w:p>
    <w:p w14:paraId="72EAF72B" w14:textId="22D8D7DE" w:rsidR="00224081" w:rsidRPr="00791385" w:rsidRDefault="00224081">
      <w:pPr>
        <w:rPr>
          <w:rFonts w:ascii="Times New Roman" w:hAnsi="Times New Roman" w:cs="Times New Roman"/>
          <w:bCs/>
        </w:rPr>
      </w:pPr>
    </w:p>
    <w:p w14:paraId="08F06758" w14:textId="543BBB33" w:rsidR="00DB5172" w:rsidRDefault="00DB5172">
      <w:pPr>
        <w:rPr>
          <w:rFonts w:ascii="Times New Roman" w:hAnsi="Times New Roman" w:cs="Times New Roman"/>
          <w:b/>
        </w:rPr>
      </w:pPr>
      <w:r>
        <w:rPr>
          <w:rFonts w:ascii="Times New Roman" w:hAnsi="Times New Roman" w:cs="Times New Roman"/>
          <w:b/>
        </w:rPr>
        <w:t>DISCUSSION</w:t>
      </w:r>
    </w:p>
    <w:p w14:paraId="09B95E2F" w14:textId="75CF8784" w:rsidR="00444732" w:rsidRDefault="001D24B5" w:rsidP="001D24B5">
      <w:pPr>
        <w:spacing w:line="480" w:lineRule="auto"/>
        <w:rPr>
          <w:rFonts w:ascii="Times New Roman" w:hAnsi="Times New Roman" w:cs="Times New Roman"/>
        </w:rPr>
      </w:pPr>
      <w:r>
        <w:rPr>
          <w:rFonts w:ascii="Times New Roman" w:hAnsi="Times New Roman" w:cs="Times New Roman"/>
        </w:rPr>
        <w:t xml:space="preserve">This study </w:t>
      </w:r>
      <w:r w:rsidR="005A2879">
        <w:rPr>
          <w:rFonts w:ascii="Times New Roman" w:hAnsi="Times New Roman" w:cs="Times New Roman"/>
        </w:rPr>
        <w:t xml:space="preserve">aimed to </w:t>
      </w:r>
      <w:r w:rsidR="00B07E2A">
        <w:rPr>
          <w:rFonts w:ascii="Times New Roman" w:hAnsi="Times New Roman" w:cs="Times New Roman"/>
        </w:rPr>
        <w:t>develop</w:t>
      </w:r>
      <w:r w:rsidR="005A2879">
        <w:rPr>
          <w:rFonts w:ascii="Times New Roman" w:hAnsi="Times New Roman" w:cs="Times New Roman"/>
        </w:rPr>
        <w:t xml:space="preserve"> and validate a voice script for phone administration of the QLQ-C30 and evaluate its equivalence to paper administration in a sample of patients actively undergoing cancer treatment.</w:t>
      </w:r>
      <w:r w:rsidR="00953C90">
        <w:rPr>
          <w:rFonts w:ascii="Times New Roman" w:hAnsi="Times New Roman" w:cs="Times New Roman"/>
        </w:rPr>
        <w:t xml:space="preserve"> </w:t>
      </w:r>
      <w:r w:rsidR="00EC1385">
        <w:rPr>
          <w:rFonts w:ascii="Times New Roman" w:hAnsi="Times New Roman" w:cs="Times New Roman"/>
        </w:rPr>
        <w:t>During pilot testing, t</w:t>
      </w:r>
      <w:r w:rsidR="00953C90">
        <w:rPr>
          <w:rFonts w:ascii="Times New Roman" w:hAnsi="Times New Roman" w:cs="Times New Roman"/>
        </w:rPr>
        <w:t>he voice script was deemed understandable and relevant with minimal co</w:t>
      </w:r>
      <w:r w:rsidR="00BB5719">
        <w:rPr>
          <w:rFonts w:ascii="Times New Roman" w:hAnsi="Times New Roman" w:cs="Times New Roman"/>
        </w:rPr>
        <w:t xml:space="preserve">mments received from patients. </w:t>
      </w:r>
    </w:p>
    <w:p w14:paraId="756B2325" w14:textId="5E331A01" w:rsidR="009546D2" w:rsidRDefault="008E130D" w:rsidP="001D24B5">
      <w:pPr>
        <w:spacing w:line="480" w:lineRule="auto"/>
        <w:rPr>
          <w:rFonts w:ascii="Times New Roman" w:hAnsi="Times New Roman" w:cs="Times New Roman"/>
        </w:rPr>
      </w:pPr>
      <w:r>
        <w:rPr>
          <w:rFonts w:ascii="Times New Roman" w:hAnsi="Times New Roman" w:cs="Times New Roman"/>
        </w:rPr>
        <w:t>Results from the final sample of patients included in the equivalence testing</w:t>
      </w:r>
      <w:r w:rsidR="00DD0B5D">
        <w:rPr>
          <w:rFonts w:ascii="Times New Roman" w:hAnsi="Times New Roman" w:cs="Times New Roman"/>
        </w:rPr>
        <w:t xml:space="preserve"> </w:t>
      </w:r>
      <w:r>
        <w:rPr>
          <w:rFonts w:ascii="Times New Roman" w:hAnsi="Times New Roman" w:cs="Times New Roman"/>
        </w:rPr>
        <w:t xml:space="preserve">indicated </w:t>
      </w:r>
      <w:r w:rsidR="00F508F7">
        <w:rPr>
          <w:rFonts w:ascii="Times New Roman" w:hAnsi="Times New Roman" w:cs="Times New Roman"/>
        </w:rPr>
        <w:t xml:space="preserve">good equivalence between paper and phone administration modes, with all total ICC scores above the </w:t>
      </w:r>
      <w:r w:rsidR="006B4F28">
        <w:rPr>
          <w:rFonts w:ascii="Times New Roman" w:hAnsi="Times New Roman" w:cs="Times New Roman"/>
        </w:rPr>
        <w:t>0.70 threshold</w:t>
      </w:r>
      <w:r w:rsidR="00C0717F">
        <w:rPr>
          <w:rFonts w:ascii="Times New Roman" w:hAnsi="Times New Roman" w:cs="Times New Roman"/>
        </w:rPr>
        <w:t>, ranging from 0.72 to 0.90</w:t>
      </w:r>
      <w:r w:rsidR="006B4F28">
        <w:rPr>
          <w:rFonts w:ascii="Times New Roman" w:hAnsi="Times New Roman" w:cs="Times New Roman"/>
        </w:rPr>
        <w:t xml:space="preserve">. </w:t>
      </w:r>
      <w:r w:rsidR="00E5648B">
        <w:rPr>
          <w:rFonts w:ascii="Times New Roman" w:hAnsi="Times New Roman" w:cs="Times New Roman"/>
        </w:rPr>
        <w:t>In the evaluation of paper administration first, two ICC scores were found to be below the 0.70 threshold, for nausea and vomiting (ICC 0.55; 95% CI 0.24-0.76) and financial difficulties (ICC 0.60; 95% CI 0.31-0.79).</w:t>
      </w:r>
      <w:r w:rsidR="009C7437">
        <w:rPr>
          <w:rFonts w:ascii="Times New Roman" w:hAnsi="Times New Roman" w:cs="Times New Roman"/>
        </w:rPr>
        <w:t xml:space="preserve"> When comparing differences in means at the domain score level, the difference</w:t>
      </w:r>
      <w:r w:rsidR="002D530C">
        <w:rPr>
          <w:rFonts w:ascii="Times New Roman" w:hAnsi="Times New Roman" w:cs="Times New Roman"/>
        </w:rPr>
        <w:t>s were still well below 10 points for the comparison of both administration modes, suggesting minimal</w:t>
      </w:r>
      <w:r w:rsidR="00CB70C7">
        <w:rPr>
          <w:rFonts w:ascii="Times New Roman" w:hAnsi="Times New Roman" w:cs="Times New Roman"/>
        </w:rPr>
        <w:t xml:space="preserve"> clinically meaningful</w:t>
      </w:r>
      <w:r w:rsidR="002D530C">
        <w:rPr>
          <w:rFonts w:ascii="Times New Roman" w:hAnsi="Times New Roman" w:cs="Times New Roman"/>
        </w:rPr>
        <w:t xml:space="preserve"> differences despite the ICCs</w:t>
      </w:r>
      <w:r w:rsidR="00CB70C7">
        <w:rPr>
          <w:rFonts w:ascii="Times New Roman" w:hAnsi="Times New Roman" w:cs="Times New Roman"/>
        </w:rPr>
        <w:t xml:space="preserve">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{"citationItems":[{"id":"ITEM-1","itemData":{"DOI":"10.1200/JCO.1998.16.1.139","ISSN":"0732183X","PMID":"9440735","abstract":"Purpose: To determine the significance to patients of changes in health- related quality-of-life (HLQ) scores assessed by the European Organization far Research and Treatment of Cancer (EORTC) Quality of Life Questionnaire (QLQ-C30). Patients and Methods: A subjective significance questionnaire (SSQ), which asks patients about perceived changes in physical, emotional, and social functioning and in global quality of life (global QL) and the QLQ- C30 were completed by patients who received chemotherapy for either breast cancer or small-cell lung cancer (SCLC). In the SSQ, patients rated their perception of change since the last time they completed the QLQ-C30 using a 7-category scale that ranged from 'much worse' through 'no change' to 'much better.' For each category of change in the SSQ, the corresponding differences were calculated in QLQ-C30 mean scores and effect sizes were determined. Results: For patients who indicated 'no change' in the SSQ, the mean change in scores in the corresponding QLQ-C30 domains was not significantly different from 0. For patients who indicated 'a little' change either for better or for worse, the mean change in scores was about 5 to 10; for 'moderate' change, about 10 to 20; and for 'very much' change, greater than 20. Effect sizes increased in concordance with increasing changes in SSQ ratings and QLQ-C30 scores. Conclusion: The significance of changes in QLQ- C30 scores can be interpreted in terms of small, moderate, or large changes in quality of life as reported by patients in the SSQ. The magnitude of these changes also can be used to calculate the sample sizes required to detect a specified change in clinical trials.","author":[{"dropping-particle":"","family":"Osoba","given":"David","non-dropping-particle":"","parse-names":false,"suffix":""},{"dropping-particle":"","family":"Rodrigues","given":"George","non-dropping-particle":"","parse-names":false,"suffix":""},{"dropping-particle":"","family":"Myles","given":"James","non-dropping-particle":"","parse-names":false,"suffix":""},{"dropping-particle":"","family":"Zee","given":"Benny","non-dropping-particle":"","parse-names":false,"suffix":""},{"dropping-particle":"","family":"Pater","given":"Joseph","non-dropping-particle":"","parse-names":false,"suffix":""}],"container-title":"Journal of Clinical Oncology","id":"ITEM-1","issued":{"date-parts":[["1998"]]},"title":"Interpreting the significance of changes in health-related quality-of- life scores","type":"article-journal"},"uris":["http://www.mendeley.com/documents/?uuid=c92be9ce-27ea-4a8c-9f2c-f0d7077c621a"]}],"mendeley":{"formattedCitation":"[25]","plainTextFormattedCitation":"[25]","previouslyFormattedCitation":"[25]"},"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[25]</w:t>
      </w:r>
      <w:r w:rsidR="00CB70C7">
        <w:rPr>
          <w:rFonts w:ascii="Times New Roman" w:hAnsi="Times New Roman" w:cs="Times New Roman"/>
        </w:rPr>
        <w:fldChar w:fldCharType="end"/>
      </w:r>
      <w:r w:rsidR="002D530C">
        <w:rPr>
          <w:rFonts w:ascii="Times New Roman" w:hAnsi="Times New Roman" w:cs="Times New Roman"/>
        </w:rPr>
        <w:t>.</w:t>
      </w:r>
      <w:r w:rsidR="009C7437">
        <w:rPr>
          <w:rFonts w:ascii="Times New Roman" w:hAnsi="Times New Roman" w:cs="Times New Roman"/>
        </w:rPr>
        <w:t xml:space="preserve"> Failure to reach the 0.70 ICC threshold for nausea and vomiting </w:t>
      </w:r>
      <w:r w:rsidR="000D6B4D">
        <w:rPr>
          <w:rFonts w:ascii="Times New Roman" w:hAnsi="Times New Roman" w:cs="Times New Roman"/>
        </w:rPr>
        <w:t>may also reflect the possibility of more ambiguity surrounding</w:t>
      </w:r>
      <w:r w:rsidR="0043791E">
        <w:rPr>
          <w:rFonts w:ascii="Times New Roman" w:hAnsi="Times New Roman" w:cs="Times New Roman"/>
        </w:rPr>
        <w:t xml:space="preserve"> the rating of</w:t>
      </w:r>
      <w:r w:rsidR="000D6B4D">
        <w:rPr>
          <w:rFonts w:ascii="Times New Roman" w:hAnsi="Times New Roman" w:cs="Times New Roman"/>
        </w:rPr>
        <w:t xml:space="preserve"> nausea. While vomiting is a more concrete occurrence, and it is unlikely that a patient’s recollection would change over a 2-day timeframe, nausea may be subject to broader interpretation.</w:t>
      </w:r>
      <w:r w:rsidR="00910BDC">
        <w:rPr>
          <w:rFonts w:ascii="Times New Roman" w:hAnsi="Times New Roman" w:cs="Times New Roman"/>
        </w:rPr>
        <w:t xml:space="preserve"> Moreover, medications are generally readily available to patients, which help to resolve these symptoms on a day-to-day bas</w:t>
      </w:r>
      <w:r w:rsidR="0060010A">
        <w:rPr>
          <w:rFonts w:ascii="Times New Roman" w:hAnsi="Times New Roman" w:cs="Times New Roman"/>
        </w:rPr>
        <w:t>i</w:t>
      </w:r>
      <w:r w:rsidR="00910BDC">
        <w:rPr>
          <w:rFonts w:ascii="Times New Roman" w:hAnsi="Times New Roman" w:cs="Times New Roman"/>
        </w:rPr>
        <w:t xml:space="preserve">s, thus </w:t>
      </w:r>
      <w:r w:rsidR="002C276F">
        <w:rPr>
          <w:rFonts w:ascii="Times New Roman" w:hAnsi="Times New Roman" w:cs="Times New Roman"/>
        </w:rPr>
        <w:t>indicating that those symptoms can change within a two-day period</w:t>
      </w:r>
      <w:r w:rsidR="00910BDC">
        <w:rPr>
          <w:rFonts w:ascii="Times New Roman" w:hAnsi="Times New Roman" w:cs="Times New Roman"/>
        </w:rPr>
        <w:t>.</w:t>
      </w:r>
      <w:r w:rsidR="00F7757D">
        <w:rPr>
          <w:rFonts w:ascii="Times New Roman" w:hAnsi="Times New Roman" w:cs="Times New Roman"/>
        </w:rPr>
        <w:t xml:space="preserve"> </w:t>
      </w:r>
      <w:r w:rsidR="003F6FEE">
        <w:rPr>
          <w:rFonts w:ascii="Times New Roman" w:hAnsi="Times New Roman" w:cs="Times New Roman"/>
        </w:rPr>
        <w:t xml:space="preserve">For financial difficulties, </w:t>
      </w:r>
      <w:r w:rsidR="00C473ED">
        <w:rPr>
          <w:rFonts w:ascii="Times New Roman" w:hAnsi="Times New Roman" w:cs="Times New Roman"/>
        </w:rPr>
        <w:t>the potential source of discrepancy is less clear. There may have been an issue that was not detectable based on the scope of this study, or it may simpl</w:t>
      </w:r>
      <w:r w:rsidR="00EC0D64">
        <w:rPr>
          <w:rFonts w:ascii="Times New Roman" w:hAnsi="Times New Roman" w:cs="Times New Roman"/>
        </w:rPr>
        <w:t>y</w:t>
      </w:r>
      <w:r w:rsidR="00C473ED">
        <w:rPr>
          <w:rFonts w:ascii="Times New Roman" w:hAnsi="Times New Roman" w:cs="Times New Roman"/>
        </w:rPr>
        <w:t xml:space="preserve"> be due to </w:t>
      </w:r>
      <w:r w:rsidR="00BD0B8F">
        <w:rPr>
          <w:rFonts w:ascii="Times New Roman" w:hAnsi="Times New Roman" w:cs="Times New Roman"/>
        </w:rPr>
        <w:t xml:space="preserve">random </w:t>
      </w:r>
      <w:r w:rsidR="00C473ED">
        <w:rPr>
          <w:rFonts w:ascii="Times New Roman" w:hAnsi="Times New Roman" w:cs="Times New Roman"/>
        </w:rPr>
        <w:t>error or noise.</w:t>
      </w:r>
    </w:p>
    <w:p w14:paraId="7E0E2B6B" w14:textId="4BD5F6C9" w:rsidR="00E4006E" w:rsidRDefault="00C473ED" w:rsidP="001D24B5">
      <w:pPr>
        <w:spacing w:line="480" w:lineRule="auto"/>
        <w:rPr>
          <w:rFonts w:ascii="Times New Roman" w:hAnsi="Times New Roman" w:cs="Times New Roman"/>
        </w:rPr>
      </w:pPr>
      <w:r>
        <w:rPr>
          <w:rFonts w:ascii="Times New Roman" w:hAnsi="Times New Roman" w:cs="Times New Roman"/>
        </w:rPr>
        <w:t>A</w:t>
      </w:r>
      <w:r w:rsidR="00F7757D">
        <w:rPr>
          <w:rFonts w:ascii="Times New Roman" w:hAnsi="Times New Roman" w:cs="Times New Roman"/>
        </w:rPr>
        <w:t xml:space="preserve"> more general limitation of using ICC to assess equivalence is that the absolute size of a given ICC is dependent on the variation observed within the sample. As such, minimal variation in nausea and vomiting </w:t>
      </w:r>
      <w:r>
        <w:rPr>
          <w:rFonts w:ascii="Times New Roman" w:hAnsi="Times New Roman" w:cs="Times New Roman"/>
        </w:rPr>
        <w:t xml:space="preserve">and financial difficulties </w:t>
      </w:r>
      <w:r w:rsidR="00F7757D">
        <w:rPr>
          <w:rFonts w:ascii="Times New Roman" w:hAnsi="Times New Roman" w:cs="Times New Roman"/>
        </w:rPr>
        <w:t>scores may have contributed to the lower ICC</w:t>
      </w:r>
      <w:r>
        <w:rPr>
          <w:rFonts w:ascii="Times New Roman" w:hAnsi="Times New Roman" w:cs="Times New Roman"/>
        </w:rPr>
        <w:t>s</w:t>
      </w:r>
      <w:r w:rsidR="00F7757D">
        <w:rPr>
          <w:rFonts w:ascii="Times New Roman" w:hAnsi="Times New Roman" w:cs="Times New Roman"/>
        </w:rPr>
        <w:t xml:space="preserve">. </w:t>
      </w:r>
      <w:r w:rsidR="00B07E2A">
        <w:rPr>
          <w:rFonts w:ascii="Times New Roman" w:hAnsi="Times New Roman" w:cs="Times New Roman"/>
        </w:rPr>
        <w:t xml:space="preserve">Still, </w:t>
      </w:r>
      <w:r w:rsidR="000D6B4D">
        <w:rPr>
          <w:rFonts w:ascii="Times New Roman" w:hAnsi="Times New Roman" w:cs="Times New Roman"/>
        </w:rPr>
        <w:t>the ICC</w:t>
      </w:r>
      <w:r w:rsidR="003F6FEE">
        <w:rPr>
          <w:rFonts w:ascii="Times New Roman" w:hAnsi="Times New Roman" w:cs="Times New Roman"/>
        </w:rPr>
        <w:t>s</w:t>
      </w:r>
      <w:r w:rsidR="000D6B4D">
        <w:rPr>
          <w:rFonts w:ascii="Times New Roman" w:hAnsi="Times New Roman" w:cs="Times New Roman"/>
        </w:rPr>
        <w:t xml:space="preserve"> for </w:t>
      </w:r>
      <w:r w:rsidR="000D6B4D">
        <w:rPr>
          <w:rFonts w:ascii="Times New Roman" w:hAnsi="Times New Roman" w:cs="Times New Roman"/>
        </w:rPr>
        <w:lastRenderedPageBreak/>
        <w:t>nausea and vomiting</w:t>
      </w:r>
      <w:r w:rsidR="003F6FEE">
        <w:rPr>
          <w:rFonts w:ascii="Times New Roman" w:hAnsi="Times New Roman" w:cs="Times New Roman"/>
        </w:rPr>
        <w:t xml:space="preserve"> and financial difficulties</w:t>
      </w:r>
      <w:r w:rsidR="000D6B4D">
        <w:rPr>
          <w:rFonts w:ascii="Times New Roman" w:hAnsi="Times New Roman" w:cs="Times New Roman"/>
        </w:rPr>
        <w:t xml:space="preserve"> </w:t>
      </w:r>
      <w:r w:rsidR="003F6FEE">
        <w:rPr>
          <w:rFonts w:ascii="Times New Roman" w:hAnsi="Times New Roman" w:cs="Times New Roman"/>
        </w:rPr>
        <w:t>were</w:t>
      </w:r>
      <w:r w:rsidR="000D6B4D">
        <w:rPr>
          <w:rFonts w:ascii="Times New Roman" w:hAnsi="Times New Roman" w:cs="Times New Roman"/>
        </w:rPr>
        <w:t xml:space="preserve"> well above 0.50 for paper administration first, indicat</w:t>
      </w:r>
      <w:r w:rsidR="00B07E2A">
        <w:rPr>
          <w:rFonts w:ascii="Times New Roman" w:hAnsi="Times New Roman" w:cs="Times New Roman"/>
        </w:rPr>
        <w:t>ing</w:t>
      </w:r>
      <w:r w:rsidR="000D6B4D">
        <w:rPr>
          <w:rFonts w:ascii="Times New Roman" w:hAnsi="Times New Roman" w:cs="Times New Roman"/>
        </w:rPr>
        <w:t xml:space="preserve"> that </w:t>
      </w:r>
      <w:r w:rsidR="001D34E2">
        <w:rPr>
          <w:rFonts w:ascii="Times New Roman" w:hAnsi="Times New Roman" w:cs="Times New Roman"/>
        </w:rPr>
        <w:t xml:space="preserve">they </w:t>
      </w:r>
      <w:r w:rsidR="00B07E2A">
        <w:rPr>
          <w:rFonts w:ascii="Times New Roman" w:hAnsi="Times New Roman" w:cs="Times New Roman"/>
        </w:rPr>
        <w:t xml:space="preserve">remain </w:t>
      </w:r>
      <w:r w:rsidR="002C276F">
        <w:rPr>
          <w:rFonts w:ascii="Times New Roman" w:hAnsi="Times New Roman" w:cs="Times New Roman"/>
        </w:rPr>
        <w:t xml:space="preserve">within the minimally </w:t>
      </w:r>
      <w:r w:rsidR="000D6B4D">
        <w:rPr>
          <w:rFonts w:ascii="Times New Roman" w:hAnsi="Times New Roman" w:cs="Times New Roman"/>
        </w:rPr>
        <w:t>acceptable</w:t>
      </w:r>
      <w:r w:rsidR="002C276F">
        <w:rPr>
          <w:rFonts w:ascii="Times New Roman" w:hAnsi="Times New Roman" w:cs="Times New Roman"/>
        </w:rPr>
        <w:t xml:space="preserve"> range</w:t>
      </w:r>
      <w:r w:rsidR="000D6B4D">
        <w:rPr>
          <w:rFonts w:ascii="Times New Roman" w:hAnsi="Times New Roman" w:cs="Times New Roman"/>
        </w:rPr>
        <w:t>, especially since the total ICC</w:t>
      </w:r>
      <w:r w:rsidR="003F6FEE">
        <w:rPr>
          <w:rFonts w:ascii="Times New Roman" w:hAnsi="Times New Roman" w:cs="Times New Roman"/>
        </w:rPr>
        <w:t xml:space="preserve"> scores</w:t>
      </w:r>
      <w:r w:rsidR="000D6B4D">
        <w:rPr>
          <w:rFonts w:ascii="Times New Roman" w:hAnsi="Times New Roman" w:cs="Times New Roman"/>
        </w:rPr>
        <w:t xml:space="preserve"> </w:t>
      </w:r>
      <w:r w:rsidR="003F6FEE">
        <w:rPr>
          <w:rFonts w:ascii="Times New Roman" w:hAnsi="Times New Roman" w:cs="Times New Roman"/>
        </w:rPr>
        <w:t xml:space="preserve">for both scales were </w:t>
      </w:r>
      <w:r w:rsidR="000D6B4D">
        <w:rPr>
          <w:rFonts w:ascii="Times New Roman" w:hAnsi="Times New Roman" w:cs="Times New Roman"/>
        </w:rPr>
        <w:t>over 0.70.</w:t>
      </w:r>
      <w:r w:rsidR="00E72DF5">
        <w:rPr>
          <w:rFonts w:ascii="Times New Roman" w:hAnsi="Times New Roman" w:cs="Times New Roman"/>
        </w:rPr>
        <w:t xml:space="preserve"> It is worth noting that the nausea and vomiting domain score has performed poorly in a previous test-retest study carried out by Hjermstad and colleagues </w:t>
      </w:r>
      <w:r w:rsidR="00E72DF5">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{"citationItems":[{"id":"ITEM-1","itemData":{"DOI":"10.1200/JCO.1995.13.5.1249","ISSN":"0732183X","abstract":"Purpose: The European Organization for Research and Treatment of Cancer Core Quality of Life Questionnaire (EORTC QLQ-C30) is a well-validated instrument that assesses health-related quality at life (HRQOL) in cancer patients. It is used in cancer clinical trials in Europe, Canada, and the United States, and has demonstrated high reliability and validity in different groups of cancer patients. Despite thorough testing of reliability and validity, we have not identified any reports on its test/retest reliability; thus, a test/retest study was performed at the Norwegian Radium Hospital (NRH). Materials and Methods: Cancer patients from the outpatient clinic who were off treatment for ≥ 3 months were eligible for the study. The EORTC QLQ-C30 was given to the patients when they presented for their visit. The second questionnaire was received by the patients 4 days later. Of 291 eligible patients, 270 (93%) agreed to participate and 190 (73%) completed both questionnaires. Results: The test/retest reliability measured by Pearson's correlation coefficient was high for all functional scales, with a range from .82 for cognitive and role function to .91 for physical function. The r value for global HRQOL was .85. For the symptom scales- nausea/vomiting, fatigue, and pain-the coefficients were .63, .83, and .86, respectively. The single-item coefficients ranged from .72 for diarrhea to .84 for financial impact. The Spearman rank correlation was in the same range for all dimensions. Conclusion: The EORTC QLQ-C30 seems to yield high test/retest reliability in patients with various cancer diagnoses whose condition is not expected to change during the time of measurement.","author":[{"dropping-particle":"","family":"Hjermstad","given":"Marianne Jensen","non-dropping-particle":"","parse-names":false,"suffix":""},{"dropping-particle":"","family":"Fossa","given":"Sophie D.","non-dropping-particle":"","parse-names":false,"suffix":""},{"dropping-particle":"","family":"Bjordal","given":"Kristin","non-dropping-particle":"","parse-names":false,"suffix":""},{"dropping-particle":"","family":"Kaasa","given":"Stein","non-dropping-particle":"","parse-names":false,"suffix":""}],"container-title":"Journal of Clinical Oncology","id":"ITEM-1","issued":{"date-parts":[["1995"]]},"title":"Test/retest study of the European Organization for Research and Treatment of Cancer Core Quality-of-Life Questionnaire","type":"article-journal"},"uris":["http://www.mendeley.com/documents/?uuid=cf7aa996-8d86-454c-9925-f908004cd84f"]}],"mendeley":{"formattedCitation":"[26]","plainTextFormattedCitation":"[26]","previouslyFormattedCitation":"[26]"},"properties":{"noteIndex":0},"schema":"https://github.com/citation-style-language/schema/raw/master/csl-citation.json"}</w:instrText>
      </w:r>
      <w:r w:rsidR="00E72DF5">
        <w:rPr>
          <w:rFonts w:ascii="Times New Roman" w:hAnsi="Times New Roman" w:cs="Times New Roman"/>
        </w:rPr>
        <w:fldChar w:fldCharType="separate"/>
      </w:r>
      <w:r w:rsidR="00CB70C7" w:rsidRPr="00CB70C7">
        <w:rPr>
          <w:rFonts w:ascii="Times New Roman" w:hAnsi="Times New Roman" w:cs="Times New Roman"/>
          <w:noProof/>
        </w:rPr>
        <w:t>[26]</w:t>
      </w:r>
      <w:r w:rsidR="00E72DF5">
        <w:rPr>
          <w:rFonts w:ascii="Times New Roman" w:hAnsi="Times New Roman" w:cs="Times New Roman"/>
        </w:rPr>
        <w:fldChar w:fldCharType="end"/>
      </w:r>
      <w:r w:rsidR="00E72DF5">
        <w:rPr>
          <w:rFonts w:ascii="Times New Roman" w:hAnsi="Times New Roman" w:cs="Times New Roman"/>
        </w:rPr>
        <w:t xml:space="preserve">, so there may be other factors influencing that scale, which were not identified in this study. </w:t>
      </w:r>
      <w:r w:rsidR="009546D2">
        <w:rPr>
          <w:rFonts w:ascii="Times New Roman" w:hAnsi="Times New Roman" w:cs="Times New Roman"/>
        </w:rPr>
        <w:t xml:space="preserve">Such factors could also </w:t>
      </w:r>
      <w:r w:rsidR="00E72DF5">
        <w:rPr>
          <w:rFonts w:ascii="Times New Roman" w:hAnsi="Times New Roman" w:cs="Times New Roman"/>
        </w:rPr>
        <w:t xml:space="preserve">account for the lower ICC score found for nausea and vomiting, when the </w:t>
      </w:r>
      <w:r w:rsidR="00E72DF5" w:rsidRPr="00EE712F">
        <w:rPr>
          <w:rFonts w:ascii="Times New Roman" w:hAnsi="Times New Roman" w:cs="Times New Roman"/>
        </w:rPr>
        <w:t xml:space="preserve">paper </w:t>
      </w:r>
      <w:r w:rsidR="00E72DF5">
        <w:rPr>
          <w:rFonts w:ascii="Times New Roman" w:hAnsi="Times New Roman" w:cs="Times New Roman"/>
        </w:rPr>
        <w:t>version was administered firs</w:t>
      </w:r>
      <w:r w:rsidR="0072311F">
        <w:rPr>
          <w:rFonts w:ascii="Times New Roman" w:hAnsi="Times New Roman" w:cs="Times New Roman"/>
        </w:rPr>
        <w:t>t.</w:t>
      </w:r>
    </w:p>
    <w:p w14:paraId="00A49E69" w14:textId="629D3948" w:rsidR="00E5648B" w:rsidRPr="006B4F28" w:rsidRDefault="0043791E" w:rsidP="001D24B5">
      <w:pPr>
        <w:spacing w:line="480" w:lineRule="auto"/>
        <w:rPr>
          <w:rFonts w:ascii="Times New Roman" w:hAnsi="Times New Roman" w:cs="Times New Roman"/>
        </w:rPr>
      </w:pPr>
      <w:r>
        <w:rPr>
          <w:rFonts w:ascii="Times New Roman" w:hAnsi="Times New Roman" w:cs="Times New Roman"/>
        </w:rPr>
        <w:t xml:space="preserve">Differences in mean scores at the </w:t>
      </w:r>
      <w:r w:rsidR="006D5B73">
        <w:rPr>
          <w:rFonts w:ascii="Times New Roman" w:hAnsi="Times New Roman" w:cs="Times New Roman"/>
        </w:rPr>
        <w:t>domain s</w:t>
      </w:r>
      <w:r w:rsidR="00E412CA">
        <w:rPr>
          <w:rFonts w:ascii="Times New Roman" w:hAnsi="Times New Roman" w:cs="Times New Roman"/>
        </w:rPr>
        <w:t xml:space="preserve">core level </w:t>
      </w:r>
      <w:r w:rsidR="006D5B73">
        <w:rPr>
          <w:rFonts w:ascii="Times New Roman" w:hAnsi="Times New Roman" w:cs="Times New Roman"/>
        </w:rPr>
        <w:t>were uniformly minimal, suggesting that</w:t>
      </w:r>
      <w:r w:rsidR="00E412CA">
        <w:rPr>
          <w:rFonts w:ascii="Times New Roman" w:hAnsi="Times New Roman" w:cs="Times New Roman"/>
        </w:rPr>
        <w:t>,</w:t>
      </w:r>
      <w:r w:rsidR="006D5B73">
        <w:rPr>
          <w:rFonts w:ascii="Times New Roman" w:hAnsi="Times New Roman" w:cs="Times New Roman"/>
        </w:rPr>
        <w:t xml:space="preserve"> overall, results from both administration modes were equivalent. The relatively short completion time of </w:t>
      </w:r>
      <w:r w:rsidR="006D5B73" w:rsidRPr="006D5B73">
        <w:rPr>
          <w:rFonts w:ascii="Times New Roman" w:hAnsi="Times New Roman" w:cs="Times New Roman"/>
        </w:rPr>
        <w:t>8.6 ± 1.9</w:t>
      </w:r>
      <w:r w:rsidR="006D5B73">
        <w:rPr>
          <w:rFonts w:ascii="Times New Roman" w:hAnsi="Times New Roman" w:cs="Times New Roman"/>
        </w:rPr>
        <w:t xml:space="preserve"> minutes for the voice script suggests that it can be integrated into a study protocol with relative ease and minimal patient burden.</w:t>
      </w:r>
    </w:p>
    <w:p w14:paraId="465DE368" w14:textId="699740AA" w:rsidR="006D5B73" w:rsidRDefault="00F12A51" w:rsidP="001D24B5">
      <w:pPr>
        <w:spacing w:line="480" w:lineRule="auto"/>
        <w:rPr>
          <w:rFonts w:ascii="Times New Roman" w:hAnsi="Times New Roman" w:cs="Times New Roman"/>
        </w:rPr>
      </w:pPr>
      <w:r w:rsidRPr="00F12A51">
        <w:rPr>
          <w:rFonts w:ascii="Times New Roman" w:hAnsi="Times New Roman" w:cs="Times New Roman"/>
        </w:rPr>
        <w:t>Following</w:t>
      </w:r>
      <w:r>
        <w:rPr>
          <w:rFonts w:ascii="Times New Roman" w:hAnsi="Times New Roman" w:cs="Times New Roman"/>
        </w:rPr>
        <w:t xml:space="preserve"> guidelines from</w:t>
      </w:r>
      <w:r w:rsidRPr="00F12A51">
        <w:rPr>
          <w:rFonts w:ascii="Times New Roman" w:hAnsi="Times New Roman" w:cs="Times New Roman"/>
        </w:rPr>
        <w:t xml:space="preserve"> ISPOR’s</w:t>
      </w:r>
      <w:r>
        <w:rPr>
          <w:rFonts w:ascii="Times New Roman" w:hAnsi="Times New Roman" w:cs="Times New Roman"/>
        </w:rPr>
        <w:t xml:space="preserve"> PRO</w:t>
      </w:r>
      <w:r w:rsidRPr="00F12A51">
        <w:rPr>
          <w:rFonts w:ascii="Times New Roman" w:hAnsi="Times New Roman" w:cs="Times New Roman"/>
        </w:rPr>
        <w:t xml:space="preserve"> </w:t>
      </w:r>
      <w:r>
        <w:rPr>
          <w:rFonts w:ascii="Times New Roman" w:hAnsi="Times New Roman" w:cs="Times New Roman"/>
        </w:rPr>
        <w:t xml:space="preserve">Mixed Modes Good Research Practices Task Force, and drawing on methodology used in similar PRO equivalence studies </w:t>
      </w:r>
      <w:r w:rsidR="00CB70C7">
        <w:rPr>
          <w:rFonts w:ascii="Times New Roman" w:hAnsi="Times New Roman" w:cs="Times New Roman"/>
        </w:rPr>
        <w:fldChar w:fldCharType="begin" w:fldLock="1"/>
      </w:r>
      <w:r w:rsidR="00CB70C7">
        <w:rPr>
          <w:rFonts w:ascii="Times New Roman" w:hAnsi="Times New Roman" w:cs="Times New Roman"/>
        </w:rPr>
        <w:instrText>ADDIN CSL_CITATION {"citationItems":[{"id":"ITEM-1","itemData":{"DOI":"10.1007/s11136-013-0454-1","ISSN":"09629343","abstract":"Purpose: The objective of this study was to evaluate the measurement equivalence of an interactive voice response system (IVRS) version and the original paper-based version of the EORTC QLQ-C30. Methods: The QLQ-C30 is a cancer-specific, health-related quality of life questionnaire consisting of nine multi-item scales (physical, role, emotional, cognitive and social functioning, fatigue, nausea/vomiting, pain, and quality of life) and six single item measures (dyspnea, insomnia, appetite loss, constipation, diarrhea, and financial problems). This study utilized a crossover design with subjects randomly assigned to one of two assessment orders: (1) paper then IVRS or (2) IVRS then paper. Equivalence between the two administration modes was established by comparing the 95 % lower confidence interval (CI) of the intraclass correlation coefficients (ICCs) for each scale, with a critical value of 0.70. Results: The ICCs for the nine multi-item scales were all above 0.79, ranging from 0.791 to 0.899 (ICC 95 % lower CI range 0.726-0.865) and significantly different from our threshold reliability of 0.70. The ICCs for the six single items ranged from 0.689 to 0.896 (ICC 95 % lower CI range 0.611-0.888). Two of the items, insomnia and appetite loss, were not statistically different from 0.70. When considered together, the per-protocol analysis results support the equivalence of the paper and IVRS versions of the QLQ-C30 for 13 of the 15 scores. Conclusion: This analysis provides evidence that the scores obtained from the IVRS version of the QLQ-C30 are equivalent to those obtained with the original paper version except for the insomnia and appetite loss items. © 2013 Springer Science+Business Media Dordrecht.","author":[{"dropping-particle":"","family":"Lundy","given":"J. Jason","non-dropping-particle":"","parse-names":false,"suffix":""},{"dropping-particle":"","family":"Coons","given":"Stephen Joel","non-dropping-particle":"","parse-names":false,"suffix":""},{"dropping-particle":"","family":"Aaronson","given":"Neil K.","non-dropping-particle":"","parse-names":false,"suffix":""}],"container-title":"Quality of Life Research","id":"ITEM-1","issued":{"date-parts":[["2014"]]},"title":"Testing the measurement equivalence of paper and interactive voice response system versions of the EORTC QLQ-C30","type":"article-journal"},"uris":["http://www.mendeley.com/documents/?uuid=5a3a9a27-e1c1-40b8-9295-0a0b05d1235c"]},{"id":"ITEM-2","itemData":{"DOI":"10.1186/s12955-016-0426-6","ISSN":"14777525","abstract":"Background: PRO-CTCAE is a library of items that measure cancer treatment-related symptomatic adverse events (NCI Contracts: HHSN261201000043C and HHSN 261201000063C). The objective of this study is to examine the equivalence and acceptability of the three data collection modes (Web-enabled touchscreen tablet computer, Interactive voice response system [IVRS], and paper) available within the US National Cancer Institute (NCI) Patient-Reported Outcomes version of the Common Terminology Criteria for Adverse Events (PRO-CTCAE) measurement system. Methods: Participants (n = 112; median age 56.5; 24% high school or less) receiving treatment for cancer at seven US sites completed 28 PRO-CTCAE items (scoring range 0-4) by three modes (order randomized) at a single study visit. Subjects completed one page (approx. 15 items) of the EORTC QLQ-C30 between each mode as a distractor. Item scores by mode were compared using intraclass correlation coefficients (ICC); differences in scores within the 3-mode crossover design were evaluated with mixed-effects models. Difficulties with each mode experienced by participants were also assessed. Results: 103 (92%) completed questionnaires by all three modes. The median ICC comparing tablet vs IVRS was 0.78 (range 0.55-0.90); tablet vs paper: 0.81 (0.62-0.96); IVRS vs paper: 0.78 (0.60-0.91); 89% of ICCs were ≥0.70. Item-level mean differences by mode were small (medians [ranges] for tablet vs. IVRS = -0.04 [-0.16-0.22]; tablet vs paper = -0.02 [-0.11-0.14]; IVRS vs paper = 0.02 [-0.07-0.19]), and 57/81 (70%) items had bootstrapped 95% CI around the effect sizes within +/-0.20. The median time to complete the questionnaire by tablet was 3.4min; IVRS: 5.8; paper: 4.0. The proportion of participants by mode who reported \"no problems\" responding to the questionnaire was 86% tablet, 72% IVRS, and 98% paper. Conclusions: Mode equivalence of items was moderate to high, and comparable to test-retest reliability (median ICC = 0.80). Each mode was acceptable to a majority of respondents. Although the study was powered to detect moderate or larger discrepancies between modes, the observed ICCs and very small mean differences between modes provide evidence to support study designs that are responsive to patient or investigator preference for mode of administration, and justify comparison of results and pooled analyses across studies that employ different PRO-CTCAE modes of administration. Trial registration: NCT Clinicaltrials.gov ident…","author":[{"dropping-particle":"V.","family":"Bennett","given":"Antonia","non-dropping-particle":"","parse-names":false,"suffix":""},{"dropping-particle":"","family":"Dueck","given":"Amylou C.","non-dropping-particle":"","parse-names":false,"suffix":""},{"dropping-particle":"","family":"Mitchell","given":"Sandra A.","non-dropping-particle":"","parse-names":false,"suffix":""},{"dropping-particle":"","family":"Mendoza","given":"Tito R.","non-dropping-particle":"","parse-names":false,"suffix":""},{"dropping-particle":"","family":"Reeve","given":"Bryce B.","non-dropping-particle":"","parse-names":false,"suffix":""},{"dropping-particle":"","family":"Atkinson","given":"Thomas M.","non-dropping-particle":"","parse-names":false,"suffix":""},{"dropping-particle":"","family":"Castro","given":"Kathleen M.","non-dropping-particle":"","parse-names":false,"suffix":""},{"dropping-particle":"","family":"Denicoff","given":"Andrea","non-dropping-particle":"","parse-names":false,"suffix":""},{"dropping-particle":"","family":"Rogak","given":"Lauren J.","non-dropping-particle":"","parse-names":false,"suffix":""},{"dropping-particle":"","family":"Harness","given":"Jay K.","non-dropping-particle":"","parse-names":false,"suffix":""},{"dropping-particle":"","family":"Bearden","given":"James D.","non-dropping-particle":"","parse-names":false,"suffix":""},{"dropping-particle":"","family":"Bryant","given":"Donna","non-dropping-particle":"","parse-names":false,"suffix":""},{"dropping-particle":"","family":"Siegel","given":"Robert D.","non-dropping-particle":"","parse-names":false,"suffix":""},{"dropping-particle":"","family":"Schrag","given":"Deborah","non-dropping-particle":"","parse-names":false,"suffix":""},{"dropping-particle":"","family":"Basch","given":"Ethan","non-dropping-particle":"","parse-names":false,"suffix":""},{"dropping-particle":"","family":"Heon","given":"Narre","non-dropping-particle":"","parse-names":false,"suffix":""},{"dropping-particle":"","family":"Shaw","given":"Mary","non-dropping-particle":"","parse-names":false,"suffix":""},{"dropping-particle":"","family":"Ryan","given":"Sean","non-dropping-particle":"","parse-names":false,"suffix":""},{"dropping-particle":"","family":"Stark","given":"Liora P.","non-dropping-particle":"","parse-names":false,"suffix":""},{"dropping-particle":"","family":"Malveaux","given":"Donna","non-dropping-particle":"","parse-names":false,"suffix":""},{"dropping-particle":"","family":"Pettus","given":"Wendy","non-dropping-particle":"","parse-names":false,"suffix":""},{"dropping-particle":"","family":"Gansauer","given":"Lucy","non-dropping-particle":"","parse-names":false,"suffix":""},{"dropping-particle":"","family":"Wind","given":"Jennifer","non-dropping-particle":"","parse-names":false,"suffix":""},{"dropping-particle":"","family":"Thomassie","given":"Amy","non-dropping-particle":"","parse-names":false,"suffix":""},{"dropping-particle":"","family":"Davila","given":"Gitana","non-dropping-particle":"","parse-names":false,"suffix":""},{"dropping-particle":"","family":"Alexander","given":"Kathy","non-dropping-particle":"","parse-names":false,"suffix":""}],"container-title":"Health and Quality of Life Outcomes","id":"ITEM-2","issue":"1","issued":{"date-parts":[["2016"]]},"page":"1-12","publisher":"Health and Quality of Life Outcomes","title":"Mode equivalence and acceptability of tablet computer-, interactive voice response system-, and paper-based administration of the U.S. National Cancer Institute's Patient-Reported Outcomes version of the Common Terminology Criteria for Adverse Events (PRO","type":"article-journal","volume":"14"},"uris":["http://www.mendeley.com/documents/?uuid=c0dca496-c969-4892-834d-205b3c4f3956"]}],"mendeley":{"formattedCitation":"[13, 15]","plainTextFormattedCitation":"[13, 15]","previouslyFormattedCitation":"[13, 15]"},"properties":{"noteIndex":0},"schema":"https://github.com/citation-style-language/schema/raw/master/csl-citation.json"}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[13, 15]</w:t>
      </w:r>
      <w:r w:rsidR="00CB70C7">
        <w:rPr>
          <w:rFonts w:ascii="Times New Roman" w:hAnsi="Times New Roman" w:cs="Times New Roman"/>
        </w:rPr>
        <w:fldChar w:fldCharType="end"/>
      </w:r>
      <w:r w:rsidR="00F60E79">
        <w:rPr>
          <w:rFonts w:ascii="Times New Roman" w:hAnsi="Times New Roman" w:cs="Times New Roman"/>
        </w:rPr>
        <w:t>,</w:t>
      </w:r>
      <w:r>
        <w:rPr>
          <w:rFonts w:ascii="Times New Roman" w:hAnsi="Times New Roman" w:cs="Times New Roman"/>
        </w:rPr>
        <w:t xml:space="preserve"> this st</w:t>
      </w:r>
      <w:r w:rsidR="00DB55BA">
        <w:rPr>
          <w:rFonts w:ascii="Times New Roman" w:hAnsi="Times New Roman" w:cs="Times New Roman"/>
        </w:rPr>
        <w:t>udy had a number of strengths. The randomized cross-over design helped to minimize the potential for bias in either one of the administration modes, and the inclusion criteria ensured that the voice script was evaluated and tested by patients for whom it would be relevant and feasible (i.e., those actively undergoing treatment, with the appropriate language level). The final sample of patients was diverse, and sufficiently well-balanced in terms of demographic and clinical characteristics, helping to ensure representativeness across patients and disease types.</w:t>
      </w:r>
      <w:r w:rsidR="005123C2">
        <w:rPr>
          <w:rFonts w:ascii="Times New Roman" w:hAnsi="Times New Roman" w:cs="Times New Roman"/>
        </w:rPr>
        <w:t xml:space="preserve"> Analyses were also strengthened by the fact that </w:t>
      </w:r>
      <w:r w:rsidR="002B2937">
        <w:rPr>
          <w:rFonts w:ascii="Times New Roman" w:hAnsi="Times New Roman" w:cs="Times New Roman"/>
        </w:rPr>
        <w:t xml:space="preserve">there were no </w:t>
      </w:r>
      <w:r w:rsidR="00621568">
        <w:rPr>
          <w:rFonts w:ascii="Times New Roman" w:hAnsi="Times New Roman" w:cs="Times New Roman"/>
        </w:rPr>
        <w:t xml:space="preserve">missing data </w:t>
      </w:r>
      <w:r w:rsidR="002B2937">
        <w:rPr>
          <w:rFonts w:ascii="Times New Roman" w:hAnsi="Times New Roman" w:cs="Times New Roman"/>
        </w:rPr>
        <w:t xml:space="preserve">in </w:t>
      </w:r>
      <w:r w:rsidR="00B07E2A">
        <w:rPr>
          <w:rFonts w:ascii="Times New Roman" w:hAnsi="Times New Roman" w:cs="Times New Roman"/>
        </w:rPr>
        <w:t>either</w:t>
      </w:r>
      <w:r w:rsidR="002B2937">
        <w:rPr>
          <w:rFonts w:ascii="Times New Roman" w:hAnsi="Times New Roman" w:cs="Times New Roman"/>
        </w:rPr>
        <w:t xml:space="preserve"> the paper </w:t>
      </w:r>
      <w:r w:rsidR="00B07E2A">
        <w:rPr>
          <w:rFonts w:ascii="Times New Roman" w:hAnsi="Times New Roman" w:cs="Times New Roman"/>
        </w:rPr>
        <w:t>or</w:t>
      </w:r>
      <w:r w:rsidR="002B2937">
        <w:rPr>
          <w:rFonts w:ascii="Times New Roman" w:hAnsi="Times New Roman" w:cs="Times New Roman"/>
        </w:rPr>
        <w:t xml:space="preserve"> phone administered versions of the questionnaire</w:t>
      </w:r>
      <w:r w:rsidR="005123C2">
        <w:rPr>
          <w:rFonts w:ascii="Times New Roman" w:hAnsi="Times New Roman" w:cs="Times New Roman"/>
        </w:rPr>
        <w:t>, making the results more easily interpretable.</w:t>
      </w:r>
    </w:p>
    <w:p w14:paraId="0E7C36D6" w14:textId="0038463A" w:rsidR="000D0045" w:rsidRDefault="00AF0008" w:rsidP="001D24B5">
      <w:pPr>
        <w:spacing w:line="480" w:lineRule="auto"/>
        <w:rPr>
          <w:rFonts w:ascii="Times New Roman" w:hAnsi="Times New Roman" w:cs="Times New Roman"/>
        </w:rPr>
      </w:pPr>
      <w:r w:rsidRPr="0087020D">
        <w:rPr>
          <w:rFonts w:ascii="Times New Roman" w:hAnsi="Times New Roman" w:cs="Times New Roman"/>
        </w:rPr>
        <w:t xml:space="preserve">The decision to decrease the initial ICC threshold from </w:t>
      </w:r>
      <w:r w:rsidRPr="0087020D">
        <w:rPr>
          <w:rFonts w:ascii="Times New Roman" w:hAnsi="Times New Roman" w:cs="Times New Roman"/>
          <w:u w:val="single"/>
        </w:rPr>
        <w:t>&gt;</w:t>
      </w:r>
      <w:r w:rsidRPr="0087020D">
        <w:rPr>
          <w:rFonts w:ascii="Times New Roman" w:hAnsi="Times New Roman" w:cs="Times New Roman"/>
        </w:rPr>
        <w:t xml:space="preserve">0.90 to </w:t>
      </w:r>
      <w:r w:rsidRPr="0087020D">
        <w:rPr>
          <w:rFonts w:ascii="Times New Roman" w:hAnsi="Times New Roman" w:cs="Times New Roman"/>
          <w:u w:val="single"/>
        </w:rPr>
        <w:t>&gt;</w:t>
      </w:r>
      <w:r w:rsidRPr="0087020D">
        <w:rPr>
          <w:rFonts w:ascii="Times New Roman" w:hAnsi="Times New Roman" w:cs="Times New Roman"/>
        </w:rPr>
        <w:t>0.70 following the study amendment</w:t>
      </w:r>
      <w:r w:rsidR="00E412CA">
        <w:rPr>
          <w:rFonts w:ascii="Times New Roman" w:hAnsi="Times New Roman" w:cs="Times New Roman"/>
        </w:rPr>
        <w:t xml:space="preserve"> to include a second wave of testing</w:t>
      </w:r>
      <w:r w:rsidRPr="0087020D">
        <w:rPr>
          <w:rFonts w:ascii="Times New Roman" w:hAnsi="Times New Roman" w:cs="Times New Roman"/>
        </w:rPr>
        <w:t xml:space="preserve">, is well-supported by robust evidence in the literature, for which an ICC of  </w:t>
      </w:r>
      <w:r w:rsidRPr="0087020D">
        <w:rPr>
          <w:rFonts w:ascii="Times New Roman" w:hAnsi="Times New Roman" w:cs="Times New Roman"/>
          <w:u w:val="single"/>
        </w:rPr>
        <w:t>&gt;</w:t>
      </w:r>
      <w:r w:rsidRPr="0087020D">
        <w:rPr>
          <w:rFonts w:ascii="Times New Roman" w:hAnsi="Times New Roman" w:cs="Times New Roman"/>
        </w:rPr>
        <w:t>0.70 has also been used to evaluate equivalence in similar studies</w:t>
      </w:r>
      <w:r w:rsidRPr="00AF0008">
        <w:rPr>
          <w:rFonts w:ascii="Times New Roman" w:hAnsi="Times New Roman" w:cs="Times New Roman"/>
        </w:rPr>
        <w:t xml:space="preserve"> </w:t>
      </w:r>
      <w:r w:rsidR="00CB70C7">
        <w:rPr>
          <w:rFonts w:ascii="Times New Roman" w:hAnsi="Times New Roman" w:cs="Times New Roman"/>
        </w:rPr>
        <w:fldChar w:fldCharType="begin" w:fldLock="1"/>
      </w:r>
      <w:r w:rsidR="00A050EA">
        <w:rPr>
          <w:rFonts w:ascii="Times New Roman" w:hAnsi="Times New Roman" w:cs="Times New Roman"/>
        </w:rPr>
        <w:instrText>ADDIN CSL_CITATION {"citationItems":[{"id":"ITEM-1","itemData":{"DOI":"10.1007/s11136-013-0454-1","ISSN":"09629343","abstract":"Purpose: The objective of this study was to evaluate the measurement equivalence of an interactive voice response system (IVRS) version and the original paper-based version of the EORTC QLQ-C30. Methods: The QLQ-C30 is a cancer-specific, health-related quality of life questionnaire consisting of nine multi-item scales (physical, role, emotional, cognitive and social functioning, fatigue, nausea/vomiting, pain, and quality of life) and six single item measures (dyspnea, insomnia, appetite loss, constipation, diarrhea, and financial problems). This study utilized a crossover design with subjects randomly assigned to one of two assessment orders: (1) paper then IVRS or (2) IVRS then paper. Equivalence between the two administration modes was established by comparing the 95 % lower confidence interval (CI) of the intraclass correlation coefficients (ICCs) for each scale, with a critical value of 0.70. Results: The ICCs for the nine multi-item scales were all above 0.79, ranging from 0.791 to 0.899 (ICC 95 % lower CI range 0.726-0.865) and significantly different from our threshold reliability of 0.70. The ICCs for the six single items ranged from 0.689 to 0.896 (ICC 95 % lower CI range 0.611-0.888). Two of the items, insomnia and appetite loss, were not statistically different from 0.70. When considered together, the per-protocol analysis results support the equivalence of the paper and IVRS versions of the QLQ-C30 for 13 of the 15 scores. Conclusion: This analysis provides evidence that the scores obtained from the IVRS version of the QLQ-C30 are equivalent to those obtained with the original paper version except for the insomnia and appetite loss items. © 2013 Springer Science+Business Media Dordrecht.","author":[{"dropping-particle":"","family":"Lundy","given":"J. Jason","non-dropping-particle":"","parse-names":false,"suffix":""},{"dropping-particle":"","family":"Coons","given":"Stephen Joel","non-dropping-particle":"","parse-names":false,"suffix":""},{"dropping-particle":"","family":"Aaronson","given":"Neil K.","non-dropping-particle":"","parse-names":false,"suffix":""}],"container-title":"Quality of Life Research","id":"ITEM-1","issued":{"date-parts":[["2014"]]},"title":"Testing the measurement equivalence of paper and interactive voice response system versions of the EORTC QLQ-C30","type":"article-journal"},"uris":["http://www.mendeley.com/documents/?uuid=5a3a9a27-e1c1-40b8-9295-0a0b05d1235c"]},{"id":"ITEM-2","itemData":{"DOI":"10.1007/s40271-014-0071-2","ISSN":"11781661","abstract":"Objective: The objective of this study was to assess the test–retest reliability of an interactive voice response (IVR) version of the European Organisation for Research and Treatment of Cancer (EORTC) QLQ-C30. Methods: A convenience sample of outpatient cancer clinic patients (n = 127) was asked to complete the IVR version of the QLQ-C30 twice, 2 days apart. The QLQ-C30 is a 30-item, cancer-specific questionnaire composed of single-item and multi-item scales. The instrument has five functional scales (physical, role, cognitive, emotional, and social), three symptom scales (fatigue, pain, and nausea/vomiting), and a global quality-of-life scale. The remaining single items assess dyspnea, appetite loss, insomnia, constipation, diarrhea, and financial problems. The analyses focused on intraclass correlation coefficients (ICCs), comparing the ICC 95 % lower confidence interval (CI) value with a critical value of 0.70. Results: The ICCs for the nine multi-item scales were all above 0.69, ranging from 0.698 to 0.926 (ICC 95 % lower CI value range 0.588–0.895). All of the scales were significantly different from our threshold reliability of 0.70, with the exception of the cognitive functioning scale. The ICCs for the six single items ranged from 0.741 to 0.883 (ICC 95 % lower CI value range 0.646–0.835), and three of the six were statistically different from 0.70. The evidence supports the stability of 11 of the 15 scores obtained on the IVR version of the QLQ-C30 upon repeated measurement. Conclusion: The measurement equivalence of the IVR and paper versions of the QLQ-C30 has been reported elsewhere. This analysis provides evidence demonstrating adequate test–retest reliability of the IVR version for 11 of the QLQ-C30’s 15 scores.","author":[{"dropping-particle":"","family":"Lundy","given":"J. Jason","non-dropping-particle":"","parse-names":false,"suffix":""},{"dropping-particle":"","family":"Coons","given":"Stephen Joel","non-dropping-particle":"","parse-names":false,"suffix":""},{"dropping-particle":"","family":"Aaronson","given":"Neil K.","non-dropping-particle":"","parse-names":false,"suffix":""}],"container-title":"Patient","id":"ITEM-2","issue":"2","issued":{"date-parts":[["2015"]]},"page":"165-170","title":"Test–Retest Reliability of an Interactive Voice Response (IVR) Version of the EORTC QLQ-C30","type":"article-journal","volume":"8"},"uris":["http://www.mendeley.com/documents/?uuid=b2cf40db-2dbf-4031-b485-aadfb6f46cdc"]},{"id":"ITEM-3","itemData":{"DOI":"10.1186/s12955-016-0426-6","ISSN":"14777525","abstract":"Background: PRO-CTCAE is a library of items that measure cancer treatment-related symptomatic adverse events (NCI Contracts: HHSN261201000043C and HHSN 261201000063C). The objective of this study is to examine the equivalence and acceptability of the three data collection modes (Web-enabled touchscreen tablet computer, Interactive voice response system [IVRS], and paper) available within the US National Cancer Institute (NCI) Patient-Reported Outcomes version of the Common Terminology Criteria for Adverse Events (PRO-CTCAE) measurement system. Methods: Participants (n = 112; median age 56.5; 24% high school or less) receiving treatment for cancer at seven US sites completed 28 PRO-CTCAE items (scoring range 0-4) by three modes (order randomized) at a single study visit. Subjects completed one page (approx. 15 items) of the EORTC QLQ-C30 between each mode as a distractor. Item scores by mode were compared using intraclass correlation coefficients (ICC); differences in scores within the 3-mode crossover design were evaluated with mixed-effects models. Difficulties with each mode experienced by participants were also assessed. Results: 103 (92%) completed questionnaires by all three modes. The median ICC comparing tablet vs IVRS was 0.78 (range 0.55-0.90); tablet vs paper: 0.81 (0.62-0.96); IVRS vs paper: 0.78 (0.60-0.91); 89% of ICCs were ≥0.70. Item-level mean differences by mode were small (medians [ranges] for tablet vs. IVRS = -0.04 [-0.16-0.22]; tablet vs paper = -0.02 [-0.11-0.14]; IVRS vs paper = 0.02 [-0.07-0.19]), and 57/81 (70%) items had bootstrapped 95% CI around the effect sizes within +/-0.20. The median time to complete the questionnaire by tablet was 3.4min; IVRS: 5.8; paper: 4.0. The proportion of participants by mode who reported \"no problems\" responding to the questionnaire was 86% tablet, 72% IVRS, and 98% paper. Conclusions: Mode equivalence of items was moderate to high, and comparable to test-retest reliability (median ICC = 0.80). Each mode was acceptable to a majority of respondents. Although the study was powered to detect moderate or larger discrepancies between modes, the observed ICCs and very small mean differences between modes provide evidence to support study designs that are responsive to patient or investigator preference for mode of administration, and justify comparison of results and pooled analyses across studies that employ different PRO-CTCAE modes of administration. Trial registration: NCT Clinicaltrials.gov ident…","author":[{"dropping-particle":"V.","family":"Bennett","given":"Antonia","non-dropping-particle":"","parse-names":false,"suffix":""},{"dropping-particle":"","family":"Dueck","given":"Amylou C.","non-dropping-particle":"","parse-names":false,"suffix":""},{"dropping-particle":"","family":"Mitchell","given":"Sandra A.","non-dropping-particle":"","parse-names":false,"suffix":""},{"dropping-particle":"","family":"Mendoza","given":"Tito R.","non-dropping-particle":"","parse-names":false,"suffix":""},{"dropping-particle":"","family":"Reeve","given":"Bryce B.","non-dropping-particle":"","parse-names":false,"suffix":""},{"dropping-particle":"","family":"Atkinson","given":"Thomas M.","non-dropping-particle":"","parse-names":false,"suffix":""},{"dropping-particle":"","family":"Castro","given":"Kathleen M.","non-dropping-particle":"","parse-names":false,"suffix":""},{"dropping-particle":"","family":"Denicoff","given":"Andrea","non-dropping-particle":"","parse-names":false,"suffix":""},{"dropping-particle":"","family":"Rogak","given":"Lauren J.","non-dropping-particle":"","parse-names":false,"suffix":""},{"dropping-particle":"","family":"Harness","given":"Jay K.","non-dropping-particle":"","parse-names":false,"suffix":""},{"dropping-particle":"","family":"Bearden","given":"James D.","non-dropping-particle":"","parse-names":false,"suffix":""},{"dropping-particle":"","family":"Bryant","given":"Donna","non-dropping-particle":"","parse-names":false,"suffix":""},{"dropping-particle":"","family":"Siegel","given":"Robert D.","non-dropping-particle":"","parse-names":false,"suffix":""},{"dropping-particle":"","family":"Schrag","given":"Deborah","non-dropping-particle":"","parse-names":false,"suffix":""},{"dropping-particle":"","family":"Basch","given":"Ethan","non-dropping-particle":"","parse-names":false,"suffix":""},{"dropping-particle":"","family":"Heon","given":"Narre","non-dropping-particle":"","parse-names":false,"suffix":""},{"dropping-particle":"","family":"Shaw","given":"Mary","non-dropping-particle":"","parse-names":false,"suffix":""},{"dropping-particle":"","family":"Ryan","given":"Sean","non-dropping-particle":"","parse-names":false,"suffix":""},{"dropping-particle":"","family":"Stark","given":"Liora P.","non-dropping-particle":"","parse-names":false,"suffix":""},{"dropping-particle":"","family":"Malveaux","given":"Donna","non-dropping-particle":"","parse-names":false,"suffix":""},{"dropping-particle":"","family":"Pettus","given":"Wendy","non-dropping-particle":"","parse-names":false,"suffix":""},{"dropping-particle":"","family":"Gansauer","given":"Lucy","non-dropping-particle":"","parse-names":false,"suffix":""},{"dropping-particle":"","family":"Wind","given":"Jennifer","non-dropping-particle":"","parse-names":false,"suffix":""},{"dropping-particle":"","family":"Thomassie","given":"Amy","non-dropping-particle":"","parse-names":false,"suffix":""},{"dropping-particle":"","family":"Davila","given":"Gitana","non-dropping-particle":"","parse-names":false,"suffix":""},{"dropping-particle":"","family":"Alexander","given":"Kathy","non-dropping-particle":"","parse-names":false,"suffix":""}],"container-title":"Health and Quality of Life Outcomes","id":"ITEM-3","issue":"1","issued":{"date-parts":[["2016"]]},"page":"1-12","publisher":"Health and Quality of Life Outcomes","title":"Mode equivalence and acceptability of tablet computer-, interactive voice response system-, and paper-based administration of the U.S. National Cancer Institute's Patient-Reported Outcomes version of the Common Terminology Criteria for Adverse Events (PRO","type":"article-journal","volume":"14"},"uris":["http://www.mendeley.com/documents/?uuid=c0dca496-c969-4892-834d-205b3c4f3956"]}],"mendeley":{"formattedCitation":"[13–15]","plainTextFormattedCitation":"[13–15]","previouslyFormattedCitation":"[13–15]"},"properties":{"noteIndex":0},"schema":"https://github.com/citation-style-language/schema/raw/master/csl-citation.json"}</w:instrText>
      </w:r>
      <w:r w:rsidR="00CB70C7">
        <w:rPr>
          <w:rFonts w:ascii="Times New Roman" w:hAnsi="Times New Roman" w:cs="Times New Roman"/>
        </w:rPr>
        <w:fldChar w:fldCharType="separate"/>
      </w:r>
      <w:r w:rsidR="00CB70C7" w:rsidRPr="00CB70C7">
        <w:rPr>
          <w:rFonts w:ascii="Times New Roman" w:hAnsi="Times New Roman" w:cs="Times New Roman"/>
          <w:noProof/>
        </w:rPr>
        <w:t>[13–15]</w:t>
      </w:r>
      <w:r w:rsidR="00CB70C7">
        <w:rPr>
          <w:rFonts w:ascii="Times New Roman" w:hAnsi="Times New Roman" w:cs="Times New Roman"/>
        </w:rPr>
        <w:fldChar w:fldCharType="end"/>
      </w:r>
      <w:r w:rsidRPr="00AF0008">
        <w:rPr>
          <w:rFonts w:ascii="Times New Roman" w:hAnsi="Times New Roman" w:cs="Times New Roman"/>
        </w:rPr>
        <w:t xml:space="preserve">. </w:t>
      </w:r>
    </w:p>
    <w:p w14:paraId="11865342" w14:textId="0D795908" w:rsidR="000E46FE" w:rsidRDefault="00B07E2A" w:rsidP="001D24B5">
      <w:pPr>
        <w:spacing w:line="480" w:lineRule="auto"/>
        <w:rPr>
          <w:rFonts w:ascii="Times New Roman" w:hAnsi="Times New Roman" w:cs="Times New Roman"/>
        </w:rPr>
      </w:pPr>
      <w:r>
        <w:rPr>
          <w:rFonts w:ascii="Times New Roman" w:hAnsi="Times New Roman" w:cs="Times New Roman"/>
        </w:rPr>
        <w:t>Moreover</w:t>
      </w:r>
      <w:r w:rsidR="000D0045">
        <w:rPr>
          <w:rFonts w:ascii="Times New Roman" w:hAnsi="Times New Roman" w:cs="Times New Roman"/>
        </w:rPr>
        <w:t xml:space="preserve">, </w:t>
      </w:r>
      <w:r w:rsidR="005123C2">
        <w:rPr>
          <w:rFonts w:ascii="Times New Roman" w:hAnsi="Times New Roman" w:cs="Times New Roman"/>
        </w:rPr>
        <w:t>the total ICCs for both waves were largely similar. Significant differences were only observed for nausea and vomiting</w:t>
      </w:r>
      <w:r w:rsidR="00132BB0">
        <w:rPr>
          <w:rFonts w:ascii="Times New Roman" w:hAnsi="Times New Roman" w:cs="Times New Roman"/>
        </w:rPr>
        <w:t xml:space="preserve">, </w:t>
      </w:r>
      <w:r w:rsidR="005123C2">
        <w:rPr>
          <w:rFonts w:ascii="Times New Roman" w:hAnsi="Times New Roman" w:cs="Times New Roman"/>
        </w:rPr>
        <w:t xml:space="preserve">which was lower in the first wave, and constipation, which was </w:t>
      </w:r>
      <w:r w:rsidR="005123C2">
        <w:rPr>
          <w:rFonts w:ascii="Times New Roman" w:hAnsi="Times New Roman" w:cs="Times New Roman"/>
        </w:rPr>
        <w:lastRenderedPageBreak/>
        <w:t>lower in the second wave of testing</w:t>
      </w:r>
      <w:r w:rsidR="00132BB0">
        <w:rPr>
          <w:rFonts w:ascii="Times New Roman" w:hAnsi="Times New Roman" w:cs="Times New Roman"/>
        </w:rPr>
        <w:t>.</w:t>
      </w:r>
      <w:r w:rsidR="000D0045">
        <w:rPr>
          <w:rFonts w:ascii="Times New Roman" w:hAnsi="Times New Roman" w:cs="Times New Roman"/>
        </w:rPr>
        <w:t xml:space="preserve"> Although </w:t>
      </w:r>
      <w:r w:rsidR="00132BB0">
        <w:rPr>
          <w:rFonts w:ascii="Times New Roman" w:hAnsi="Times New Roman" w:cs="Times New Roman"/>
        </w:rPr>
        <w:t>the same recruitment procedures and inclusion criteria were applied</w:t>
      </w:r>
      <w:r w:rsidR="00995B0F">
        <w:rPr>
          <w:rFonts w:ascii="Times New Roman" w:hAnsi="Times New Roman" w:cs="Times New Roman"/>
        </w:rPr>
        <w:t xml:space="preserve">, </w:t>
      </w:r>
      <w:r w:rsidR="00132BB0">
        <w:rPr>
          <w:rFonts w:ascii="Times New Roman" w:hAnsi="Times New Roman" w:cs="Times New Roman"/>
        </w:rPr>
        <w:t>and demographic and clinical characteristics were largely comparable between groups, differences in gender and age distribution</w:t>
      </w:r>
      <w:r w:rsidR="00995B0F">
        <w:rPr>
          <w:rFonts w:ascii="Times New Roman" w:hAnsi="Times New Roman" w:cs="Times New Roman"/>
        </w:rPr>
        <w:t xml:space="preserve"> were found between the two waves of testing. </w:t>
      </w:r>
      <w:r w:rsidR="00A109E5">
        <w:rPr>
          <w:rFonts w:ascii="Times New Roman" w:hAnsi="Times New Roman" w:cs="Times New Roman"/>
        </w:rPr>
        <w:t>In light of these differences, s</w:t>
      </w:r>
      <w:r w:rsidR="00132BB0">
        <w:rPr>
          <w:rFonts w:ascii="Times New Roman" w:hAnsi="Times New Roman" w:cs="Times New Roman"/>
        </w:rPr>
        <w:t xml:space="preserve">ensitivity analyses were carried out </w:t>
      </w:r>
      <w:r w:rsidR="00AF0008">
        <w:rPr>
          <w:rFonts w:ascii="Times New Roman" w:hAnsi="Times New Roman" w:cs="Times New Roman"/>
        </w:rPr>
        <w:t xml:space="preserve">across all participants </w:t>
      </w:r>
      <w:r w:rsidR="00132BB0">
        <w:rPr>
          <w:rFonts w:ascii="Times New Roman" w:hAnsi="Times New Roman" w:cs="Times New Roman"/>
        </w:rPr>
        <w:t xml:space="preserve">by age and gender. While most scores were similar across groups, </w:t>
      </w:r>
      <w:r w:rsidR="000E46FE">
        <w:rPr>
          <w:rFonts w:ascii="Times New Roman" w:hAnsi="Times New Roman" w:cs="Times New Roman"/>
        </w:rPr>
        <w:t>differences were found in</w:t>
      </w:r>
      <w:r w:rsidR="00132BB0">
        <w:rPr>
          <w:rFonts w:ascii="Times New Roman" w:hAnsi="Times New Roman" w:cs="Times New Roman"/>
        </w:rPr>
        <w:t xml:space="preserve"> ICC scores </w:t>
      </w:r>
      <w:r w:rsidR="000E46FE">
        <w:rPr>
          <w:rFonts w:ascii="Times New Roman" w:hAnsi="Times New Roman" w:cs="Times New Roman"/>
        </w:rPr>
        <w:t>for</w:t>
      </w:r>
      <w:r w:rsidR="00132BB0">
        <w:rPr>
          <w:rFonts w:ascii="Times New Roman" w:hAnsi="Times New Roman" w:cs="Times New Roman"/>
        </w:rPr>
        <w:t xml:space="preserve"> the nausea and vomiting and diarrhoea domain</w:t>
      </w:r>
      <w:r w:rsidR="000E46FE">
        <w:rPr>
          <w:rFonts w:ascii="Times New Roman" w:hAnsi="Times New Roman" w:cs="Times New Roman"/>
        </w:rPr>
        <w:t>s</w:t>
      </w:r>
      <w:r w:rsidR="00132BB0">
        <w:rPr>
          <w:rFonts w:ascii="Times New Roman" w:hAnsi="Times New Roman" w:cs="Times New Roman"/>
        </w:rPr>
        <w:t xml:space="preserve"> scores by group, with younger patients scoring lower on these domains compared to older patients. Males al</w:t>
      </w:r>
      <w:r w:rsidR="000E46FE">
        <w:rPr>
          <w:rFonts w:ascii="Times New Roman" w:hAnsi="Times New Roman" w:cs="Times New Roman"/>
        </w:rPr>
        <w:t xml:space="preserve">so scored lower than females on </w:t>
      </w:r>
      <w:r w:rsidR="00132BB0">
        <w:rPr>
          <w:rFonts w:ascii="Times New Roman" w:hAnsi="Times New Roman" w:cs="Times New Roman"/>
        </w:rPr>
        <w:t>both the nausea and vomiting and physical functioning scales</w:t>
      </w:r>
      <w:r w:rsidR="00A73D7D">
        <w:rPr>
          <w:rFonts w:ascii="Times New Roman" w:hAnsi="Times New Roman" w:cs="Times New Roman"/>
        </w:rPr>
        <w:t xml:space="preserve">. </w:t>
      </w:r>
    </w:p>
    <w:p w14:paraId="1AE9EEA4" w14:textId="7C194D6E" w:rsidR="005123C2" w:rsidRDefault="00A73D7D" w:rsidP="001D24B5">
      <w:pPr>
        <w:spacing w:line="480" w:lineRule="auto"/>
        <w:rPr>
          <w:rFonts w:ascii="Times New Roman" w:hAnsi="Times New Roman" w:cs="Times New Roman"/>
        </w:rPr>
      </w:pPr>
      <w:r>
        <w:rPr>
          <w:rFonts w:ascii="Times New Roman" w:hAnsi="Times New Roman" w:cs="Times New Roman"/>
        </w:rPr>
        <w:t xml:space="preserve">Despite these findings, when examining all other ICCs and comparing them across subgroups, no consistent pattern was identified which would support a potential correlation between lower or higher ICCs and the age or gender of patients. </w:t>
      </w:r>
      <w:r w:rsidR="000D0045">
        <w:rPr>
          <w:rFonts w:ascii="Times New Roman" w:hAnsi="Times New Roman" w:cs="Times New Roman"/>
        </w:rPr>
        <w:t>Moreover, t</w:t>
      </w:r>
      <w:r>
        <w:rPr>
          <w:rFonts w:ascii="Times New Roman" w:hAnsi="Times New Roman" w:cs="Times New Roman"/>
        </w:rPr>
        <w:t xml:space="preserve">he limited sample size makes it difficult to draw robust conclusions at the subgroup level. Factors other than age and gender may be related to the experience of disease and treatment, and may help to account for the differences observed; however, such interpretations are beyond the scope of this study, which is limited to the available demographic and clinical data. </w:t>
      </w:r>
    </w:p>
    <w:p w14:paraId="4DFF2F35" w14:textId="77777777" w:rsidR="00481737" w:rsidRDefault="00EE712F" w:rsidP="00481737">
      <w:pPr>
        <w:spacing w:line="480" w:lineRule="auto"/>
        <w:rPr>
          <w:rFonts w:ascii="Times New Roman" w:hAnsi="Times New Roman" w:cs="Times New Roman"/>
        </w:rPr>
      </w:pPr>
      <w:r>
        <w:rPr>
          <w:rFonts w:ascii="Times New Roman" w:hAnsi="Times New Roman" w:cs="Times New Roman"/>
        </w:rPr>
        <w:t xml:space="preserve">Overall, </w:t>
      </w:r>
      <w:r w:rsidR="00E72DF5">
        <w:rPr>
          <w:rFonts w:ascii="Times New Roman" w:hAnsi="Times New Roman" w:cs="Times New Roman"/>
        </w:rPr>
        <w:t xml:space="preserve">sensitivity analyses showed that </w:t>
      </w:r>
      <w:r>
        <w:rPr>
          <w:rFonts w:ascii="Times New Roman" w:hAnsi="Times New Roman" w:cs="Times New Roman"/>
        </w:rPr>
        <w:t>differences observed between</w:t>
      </w:r>
      <w:r w:rsidR="00E72DF5">
        <w:rPr>
          <w:rFonts w:ascii="Times New Roman" w:hAnsi="Times New Roman" w:cs="Times New Roman"/>
        </w:rPr>
        <w:t xml:space="preserve"> the two</w:t>
      </w:r>
      <w:r>
        <w:rPr>
          <w:rFonts w:ascii="Times New Roman" w:hAnsi="Times New Roman" w:cs="Times New Roman"/>
        </w:rPr>
        <w:t xml:space="preserve"> waves</w:t>
      </w:r>
      <w:r w:rsidR="00E72DF5">
        <w:rPr>
          <w:rFonts w:ascii="Times New Roman" w:hAnsi="Times New Roman" w:cs="Times New Roman"/>
        </w:rPr>
        <w:t xml:space="preserve"> of testing</w:t>
      </w:r>
      <w:r>
        <w:rPr>
          <w:rFonts w:ascii="Times New Roman" w:hAnsi="Times New Roman" w:cs="Times New Roman"/>
        </w:rPr>
        <w:t xml:space="preserve"> are minimal, thereby </w:t>
      </w:r>
      <w:r w:rsidR="00E72DF5">
        <w:rPr>
          <w:rFonts w:ascii="Times New Roman" w:hAnsi="Times New Roman" w:cs="Times New Roman"/>
        </w:rPr>
        <w:t xml:space="preserve">further </w:t>
      </w:r>
      <w:r>
        <w:rPr>
          <w:rFonts w:ascii="Times New Roman" w:hAnsi="Times New Roman" w:cs="Times New Roman"/>
        </w:rPr>
        <w:t xml:space="preserve">supporting the equivalence of </w:t>
      </w:r>
      <w:r w:rsidR="00E72DF5">
        <w:rPr>
          <w:rFonts w:ascii="Times New Roman" w:hAnsi="Times New Roman" w:cs="Times New Roman"/>
        </w:rPr>
        <w:t xml:space="preserve">paper-and-pen and phone </w:t>
      </w:r>
      <w:r>
        <w:rPr>
          <w:rFonts w:ascii="Times New Roman" w:hAnsi="Times New Roman" w:cs="Times New Roman"/>
        </w:rPr>
        <w:t>administration modes.</w:t>
      </w:r>
    </w:p>
    <w:p w14:paraId="6B85113A" w14:textId="08E995F5" w:rsidR="00DB5172" w:rsidRPr="00481737" w:rsidRDefault="00DB5172" w:rsidP="00481737">
      <w:pPr>
        <w:spacing w:line="480" w:lineRule="auto"/>
        <w:rPr>
          <w:rFonts w:ascii="Times New Roman" w:hAnsi="Times New Roman" w:cs="Times New Roman"/>
        </w:rPr>
      </w:pPr>
      <w:r>
        <w:rPr>
          <w:rFonts w:ascii="Times New Roman" w:hAnsi="Times New Roman" w:cs="Times New Roman"/>
          <w:b/>
        </w:rPr>
        <w:t>CONCLUSIONS</w:t>
      </w:r>
    </w:p>
    <w:p w14:paraId="6AF2C3AC" w14:textId="4E613239" w:rsidR="000D6D3C" w:rsidRDefault="000D6D3C" w:rsidP="00444732">
      <w:pPr>
        <w:spacing w:line="480" w:lineRule="auto"/>
        <w:rPr>
          <w:rFonts w:ascii="Times New Roman" w:hAnsi="Times New Roman" w:cs="Times New Roman"/>
        </w:rPr>
      </w:pPr>
      <w:r w:rsidRPr="000D6D3C">
        <w:rPr>
          <w:rFonts w:ascii="Times New Roman" w:hAnsi="Times New Roman" w:cs="Times New Roman"/>
        </w:rPr>
        <w:t>Result</w:t>
      </w:r>
      <w:r>
        <w:rPr>
          <w:rFonts w:ascii="Times New Roman" w:hAnsi="Times New Roman" w:cs="Times New Roman"/>
        </w:rPr>
        <w:t xml:space="preserve">s from this study support the equivalence of paper and phone administration modes </w:t>
      </w:r>
      <w:r w:rsidR="006D5B73">
        <w:rPr>
          <w:rFonts w:ascii="Times New Roman" w:hAnsi="Times New Roman" w:cs="Times New Roman"/>
        </w:rPr>
        <w:t>of the QLQ-C30</w:t>
      </w:r>
      <w:r w:rsidR="004216AB">
        <w:rPr>
          <w:rFonts w:ascii="Times New Roman" w:hAnsi="Times New Roman" w:cs="Times New Roman"/>
        </w:rPr>
        <w:t xml:space="preserve">. In addition to its initial source language (UK English) development, the QLQ-C30 voice script is now available in </w:t>
      </w:r>
      <w:r w:rsidR="0087020D" w:rsidRPr="0087020D">
        <w:rPr>
          <w:rFonts w:ascii="Times New Roman" w:hAnsi="Times New Roman" w:cs="Times New Roman"/>
        </w:rPr>
        <w:t>multiple</w:t>
      </w:r>
      <w:r w:rsidR="007A6B1D">
        <w:rPr>
          <w:rFonts w:ascii="Times New Roman" w:hAnsi="Times New Roman" w:cs="Times New Roman"/>
        </w:rPr>
        <w:t xml:space="preserve"> </w:t>
      </w:r>
      <w:r w:rsidR="004216AB">
        <w:rPr>
          <w:rFonts w:ascii="Times New Roman" w:hAnsi="Times New Roman" w:cs="Times New Roman"/>
        </w:rPr>
        <w:t>other languages, with more translations anticipated in the future. By providing an alternative means of questionnaire completion, the QLQ-C30 voice script helps to ensure that the questionnaire remains accessible in multiple formats across a wide range of patients.</w:t>
      </w:r>
    </w:p>
    <w:p w14:paraId="7E498302" w14:textId="5A478637" w:rsidR="00EE712F" w:rsidRDefault="008F4894" w:rsidP="00444732">
      <w:pPr>
        <w:spacing w:line="480" w:lineRule="auto"/>
        <w:rPr>
          <w:rFonts w:ascii="Times New Roman" w:hAnsi="Times New Roman" w:cs="Times New Roman"/>
          <w:b/>
        </w:rPr>
      </w:pPr>
      <w:r w:rsidRPr="007274DF">
        <w:rPr>
          <w:rFonts w:ascii="Times New Roman" w:hAnsi="Times New Roman" w:cs="Times New Roman"/>
          <w:b/>
        </w:rPr>
        <w:t>DECLARATIONS</w:t>
      </w:r>
    </w:p>
    <w:p w14:paraId="303387CE" w14:textId="00E01CDF" w:rsidR="008A7F56" w:rsidRPr="00E6739F" w:rsidRDefault="008A7F56" w:rsidP="00E6739F">
      <w:pPr>
        <w:spacing w:line="360" w:lineRule="auto"/>
        <w:rPr>
          <w:rFonts w:ascii="Times New Roman" w:hAnsi="Times New Roman" w:cs="Times New Roman"/>
          <w:bCs/>
        </w:rPr>
      </w:pPr>
      <w:r>
        <w:rPr>
          <w:rFonts w:ascii="Times New Roman" w:hAnsi="Times New Roman" w:cs="Times New Roman"/>
          <w:b/>
        </w:rPr>
        <w:lastRenderedPageBreak/>
        <w:t xml:space="preserve">Acknowledgements: </w:t>
      </w:r>
      <w:r>
        <w:rPr>
          <w:rFonts w:ascii="Times New Roman" w:hAnsi="Times New Roman" w:cs="Times New Roman"/>
          <w:bCs/>
        </w:rPr>
        <w:t>The authors</w:t>
      </w:r>
      <w:r w:rsidR="00E44629">
        <w:rPr>
          <w:rFonts w:ascii="Times New Roman" w:hAnsi="Times New Roman" w:cs="Times New Roman"/>
          <w:bCs/>
        </w:rPr>
        <w:t xml:space="preserve"> would like to</w:t>
      </w:r>
      <w:r>
        <w:rPr>
          <w:rFonts w:ascii="Times New Roman" w:hAnsi="Times New Roman" w:cs="Times New Roman"/>
          <w:bCs/>
        </w:rPr>
        <w:t xml:space="preserve"> acknowledge </w:t>
      </w:r>
      <w:r w:rsidR="00E44629">
        <w:rPr>
          <w:rFonts w:ascii="Times New Roman" w:hAnsi="Times New Roman" w:cs="Times New Roman"/>
          <w:bCs/>
        </w:rPr>
        <w:t xml:space="preserve">and thank </w:t>
      </w:r>
      <w:r>
        <w:rPr>
          <w:rFonts w:ascii="Times New Roman" w:hAnsi="Times New Roman" w:cs="Times New Roman"/>
          <w:bCs/>
        </w:rPr>
        <w:t xml:space="preserve">the </w:t>
      </w:r>
      <w:r w:rsidR="00171187">
        <w:rPr>
          <w:rFonts w:ascii="Times New Roman" w:hAnsi="Times New Roman" w:cs="Times New Roman"/>
          <w:bCs/>
        </w:rPr>
        <w:t xml:space="preserve">EORTC for their support of this work, Bristol-Meyers Squibb for their financial support, and Mapi/ICON plc for their scientific support, </w:t>
      </w:r>
      <w:r w:rsidR="00E861BA">
        <w:rPr>
          <w:rFonts w:ascii="Times New Roman" w:hAnsi="Times New Roman" w:cs="Times New Roman"/>
          <w:bCs/>
        </w:rPr>
        <w:t xml:space="preserve">involving </w:t>
      </w:r>
      <w:r w:rsidR="00171187">
        <w:rPr>
          <w:rFonts w:ascii="Times New Roman" w:hAnsi="Times New Roman" w:cs="Times New Roman"/>
          <w:bCs/>
        </w:rPr>
        <w:t>patient recruitment and data collection, management, and analysis.</w:t>
      </w:r>
    </w:p>
    <w:p w14:paraId="04F4D7F5" w14:textId="03CB7AD2" w:rsidR="008F4894" w:rsidRPr="008F4894" w:rsidRDefault="008F4894" w:rsidP="00444732">
      <w:pPr>
        <w:spacing w:line="480" w:lineRule="auto"/>
        <w:rPr>
          <w:rFonts w:ascii="Times New Roman" w:hAnsi="Times New Roman" w:cs="Times New Roman"/>
          <w:lang w:val="en-US"/>
        </w:rPr>
      </w:pPr>
      <w:r>
        <w:rPr>
          <w:rFonts w:ascii="Times New Roman" w:hAnsi="Times New Roman" w:cs="Times New Roman"/>
          <w:b/>
        </w:rPr>
        <w:t xml:space="preserve">Funding: </w:t>
      </w:r>
      <w:r w:rsidRPr="008F4894">
        <w:rPr>
          <w:rFonts w:ascii="Times New Roman" w:hAnsi="Times New Roman" w:cs="Times New Roman"/>
        </w:rPr>
        <w:t>This research was funded by Bristol-Meyers Squibb.</w:t>
      </w:r>
    </w:p>
    <w:p w14:paraId="0047E7E1" w14:textId="388A33AD" w:rsidR="00D7007E" w:rsidRDefault="008F4894" w:rsidP="008F4894">
      <w:pPr>
        <w:spacing w:line="360" w:lineRule="auto"/>
        <w:rPr>
          <w:rFonts w:ascii="Times New Roman" w:hAnsi="Times New Roman" w:cs="Times New Roman"/>
        </w:rPr>
      </w:pPr>
      <w:r>
        <w:rPr>
          <w:rFonts w:ascii="Times New Roman" w:hAnsi="Times New Roman" w:cs="Times New Roman"/>
          <w:b/>
        </w:rPr>
        <w:t xml:space="preserve">Conflicts of interest/Competing interests:  </w:t>
      </w:r>
      <w:r w:rsidRPr="008F4894">
        <w:rPr>
          <w:rFonts w:ascii="Times New Roman" w:hAnsi="Times New Roman" w:cs="Times New Roman"/>
        </w:rPr>
        <w:t>James W. Shaw is an employee and shareholder of Bristol-Myers Squibb. All other authors have no financial interests/personal relationships, which may be considered as potential competing interests, to dec</w:t>
      </w:r>
      <w:r w:rsidR="007A5C4E">
        <w:rPr>
          <w:rFonts w:ascii="Times New Roman" w:hAnsi="Times New Roman" w:cs="Times New Roman"/>
        </w:rPr>
        <w:t>lare.</w:t>
      </w:r>
    </w:p>
    <w:p w14:paraId="28ED3F74" w14:textId="6C86C863" w:rsidR="007274DF" w:rsidRDefault="007274DF" w:rsidP="008F4894">
      <w:pPr>
        <w:spacing w:line="360" w:lineRule="auto"/>
        <w:rPr>
          <w:rFonts w:ascii="Times New Roman" w:hAnsi="Times New Roman" w:cs="Times New Roman"/>
        </w:rPr>
      </w:pPr>
      <w:r w:rsidRPr="007274DF">
        <w:rPr>
          <w:rFonts w:ascii="Times New Roman" w:hAnsi="Times New Roman" w:cs="Times New Roman"/>
          <w:b/>
        </w:rPr>
        <w:t>Availability of data and material:</w:t>
      </w:r>
      <w:r>
        <w:rPr>
          <w:rFonts w:ascii="Times New Roman" w:hAnsi="Times New Roman" w:cs="Times New Roman"/>
        </w:rPr>
        <w:t xml:space="preserve"> N/A</w:t>
      </w:r>
    </w:p>
    <w:p w14:paraId="09C276FA" w14:textId="11FD6588" w:rsidR="007274DF" w:rsidRDefault="007274DF" w:rsidP="008F4894">
      <w:pPr>
        <w:spacing w:line="360" w:lineRule="auto"/>
        <w:rPr>
          <w:rFonts w:ascii="Times New Roman" w:hAnsi="Times New Roman" w:cs="Times New Roman"/>
        </w:rPr>
      </w:pPr>
      <w:r w:rsidRPr="007274DF">
        <w:rPr>
          <w:rFonts w:ascii="Times New Roman" w:hAnsi="Times New Roman" w:cs="Times New Roman"/>
          <w:b/>
        </w:rPr>
        <w:t>Code availability:</w:t>
      </w:r>
      <w:r>
        <w:rPr>
          <w:rFonts w:ascii="Times New Roman" w:hAnsi="Times New Roman" w:cs="Times New Roman"/>
        </w:rPr>
        <w:t xml:space="preserve"> N/A</w:t>
      </w:r>
    </w:p>
    <w:p w14:paraId="412CDB16" w14:textId="01D08350" w:rsidR="007274DF" w:rsidRDefault="007274DF" w:rsidP="008F4894">
      <w:pPr>
        <w:spacing w:line="360" w:lineRule="auto"/>
        <w:rPr>
          <w:rFonts w:ascii="Times New Roman" w:hAnsi="Times New Roman" w:cs="Times New Roman"/>
        </w:rPr>
      </w:pPr>
      <w:r w:rsidRPr="007274DF">
        <w:rPr>
          <w:rFonts w:ascii="Times New Roman" w:hAnsi="Times New Roman" w:cs="Times New Roman"/>
          <w:b/>
        </w:rPr>
        <w:t>Authors’ contributions:</w:t>
      </w:r>
      <w:r>
        <w:rPr>
          <w:rFonts w:ascii="Times New Roman" w:hAnsi="Times New Roman" w:cs="Times New Roman"/>
        </w:rPr>
        <w:t xml:space="preserve"> </w:t>
      </w:r>
    </w:p>
    <w:p w14:paraId="1F7092D0" w14:textId="77777777" w:rsidR="00AF5C95" w:rsidRPr="00AF5C95" w:rsidRDefault="00AF5C95" w:rsidP="00AF5C95">
      <w:pPr>
        <w:pStyle w:val="ListParagraph"/>
        <w:numPr>
          <w:ilvl w:val="0"/>
          <w:numId w:val="2"/>
        </w:numPr>
        <w:spacing w:line="360" w:lineRule="auto"/>
        <w:rPr>
          <w:rFonts w:ascii="Times New Roman" w:hAnsi="Times New Roman" w:cs="Times New Roman"/>
        </w:rPr>
      </w:pPr>
      <w:r w:rsidRPr="00AF5C95">
        <w:rPr>
          <w:rFonts w:ascii="Times New Roman" w:hAnsi="Times New Roman" w:cs="Times New Roman"/>
        </w:rPr>
        <w:t>Claire Piccinin: Methodology; Writing - original draft</w:t>
      </w:r>
    </w:p>
    <w:p w14:paraId="3CBCF088" w14:textId="77777777" w:rsidR="00AF5C95" w:rsidRPr="00AF5C95" w:rsidRDefault="00AF5C95" w:rsidP="00AF5C95">
      <w:pPr>
        <w:pStyle w:val="ListParagraph"/>
        <w:numPr>
          <w:ilvl w:val="0"/>
          <w:numId w:val="2"/>
        </w:numPr>
        <w:spacing w:line="360" w:lineRule="auto"/>
        <w:rPr>
          <w:rFonts w:ascii="Times New Roman" w:hAnsi="Times New Roman" w:cs="Times New Roman"/>
        </w:rPr>
      </w:pPr>
      <w:r w:rsidRPr="00AF5C95">
        <w:rPr>
          <w:rFonts w:ascii="Times New Roman" w:hAnsi="Times New Roman" w:cs="Times New Roman"/>
        </w:rPr>
        <w:t>Madeline Pe: Conceptualization; Methodology; Writing – review &amp; editing</w:t>
      </w:r>
    </w:p>
    <w:p w14:paraId="3764695F" w14:textId="77777777" w:rsidR="00AF5C95" w:rsidRPr="00AF5C95" w:rsidRDefault="00AF5C95" w:rsidP="00AF5C95">
      <w:pPr>
        <w:pStyle w:val="ListParagraph"/>
        <w:numPr>
          <w:ilvl w:val="0"/>
          <w:numId w:val="2"/>
        </w:numPr>
        <w:spacing w:line="360" w:lineRule="auto"/>
        <w:rPr>
          <w:rFonts w:ascii="Times New Roman" w:hAnsi="Times New Roman" w:cs="Times New Roman"/>
        </w:rPr>
      </w:pPr>
      <w:r w:rsidRPr="00AF5C95">
        <w:rPr>
          <w:rFonts w:ascii="Times New Roman" w:hAnsi="Times New Roman" w:cs="Times New Roman"/>
        </w:rPr>
        <w:t>Dagmara Kuliś: Conceptualization; Methodology; Project administration; Writing – review &amp; editing</w:t>
      </w:r>
    </w:p>
    <w:p w14:paraId="222B44CB" w14:textId="77777777" w:rsidR="00AF5C95" w:rsidRPr="00AF5C95" w:rsidRDefault="00AF5C95" w:rsidP="00AF5C95">
      <w:pPr>
        <w:pStyle w:val="ListParagraph"/>
        <w:numPr>
          <w:ilvl w:val="0"/>
          <w:numId w:val="2"/>
        </w:numPr>
        <w:spacing w:line="360" w:lineRule="auto"/>
        <w:rPr>
          <w:rFonts w:ascii="Times New Roman" w:hAnsi="Times New Roman" w:cs="Times New Roman"/>
        </w:rPr>
      </w:pPr>
      <w:r w:rsidRPr="00AF5C95">
        <w:rPr>
          <w:rFonts w:ascii="Times New Roman" w:hAnsi="Times New Roman" w:cs="Times New Roman"/>
        </w:rPr>
        <w:t>James W. Shaw: Conceptualization; Methodology; Supervision; Writing – review &amp; editing</w:t>
      </w:r>
    </w:p>
    <w:p w14:paraId="70FAED12" w14:textId="77777777" w:rsidR="00AF5C95" w:rsidRPr="00AF5C95" w:rsidRDefault="00AF5C95" w:rsidP="00AF5C95">
      <w:pPr>
        <w:pStyle w:val="ListParagraph"/>
        <w:numPr>
          <w:ilvl w:val="0"/>
          <w:numId w:val="2"/>
        </w:numPr>
        <w:spacing w:line="360" w:lineRule="auto"/>
        <w:rPr>
          <w:rFonts w:ascii="Times New Roman" w:hAnsi="Times New Roman" w:cs="Times New Roman"/>
        </w:rPr>
      </w:pPr>
      <w:r w:rsidRPr="00AF5C95">
        <w:rPr>
          <w:rFonts w:ascii="Times New Roman" w:hAnsi="Times New Roman" w:cs="Times New Roman"/>
        </w:rPr>
        <w:t>Sally J. Wheelwright: Conceptualization; Methodology; Supervision; Writing – review &amp; editing</w:t>
      </w:r>
    </w:p>
    <w:p w14:paraId="6565B6C2" w14:textId="77777777" w:rsidR="00AF5C95" w:rsidRPr="00AF5C95" w:rsidRDefault="00AF5C95" w:rsidP="00AF5C95">
      <w:pPr>
        <w:pStyle w:val="ListParagraph"/>
        <w:numPr>
          <w:ilvl w:val="0"/>
          <w:numId w:val="2"/>
        </w:numPr>
        <w:spacing w:line="360" w:lineRule="auto"/>
        <w:rPr>
          <w:rFonts w:ascii="Times New Roman" w:hAnsi="Times New Roman" w:cs="Times New Roman"/>
        </w:rPr>
      </w:pPr>
      <w:r w:rsidRPr="00AF5C95">
        <w:rPr>
          <w:rFonts w:ascii="Times New Roman" w:hAnsi="Times New Roman" w:cs="Times New Roman"/>
        </w:rPr>
        <w:t>Andrew Bottomley: Conceptualization; Methodology; Supervision; Writing – review &amp; editing</w:t>
      </w:r>
    </w:p>
    <w:p w14:paraId="18F512F1" w14:textId="0A212DFC" w:rsidR="00AF5C95" w:rsidRPr="00791385" w:rsidRDefault="00AF5C95" w:rsidP="00791385">
      <w:pPr>
        <w:pStyle w:val="ListParagraph"/>
        <w:numPr>
          <w:ilvl w:val="0"/>
          <w:numId w:val="2"/>
        </w:numPr>
        <w:spacing w:line="360" w:lineRule="auto"/>
        <w:rPr>
          <w:rFonts w:ascii="Times New Roman" w:hAnsi="Times New Roman" w:cs="Times New Roman"/>
          <w:i/>
          <w:iCs/>
        </w:rPr>
      </w:pPr>
      <w:r w:rsidRPr="00791385">
        <w:rPr>
          <w:rFonts w:ascii="Times New Roman" w:hAnsi="Times New Roman" w:cs="Times New Roman"/>
          <w:i/>
          <w:iCs/>
        </w:rPr>
        <w:t>*Data curation and Formal analysis subcontracted to Mapi/ICON plc</w:t>
      </w:r>
    </w:p>
    <w:p w14:paraId="4CB674BB" w14:textId="77777777" w:rsidR="00D7007E" w:rsidRDefault="00D7007E" w:rsidP="008F4894">
      <w:pPr>
        <w:spacing w:line="360" w:lineRule="auto"/>
        <w:rPr>
          <w:rFonts w:ascii="Times New Roman" w:hAnsi="Times New Roman" w:cs="Times New Roman"/>
          <w:b/>
        </w:rPr>
      </w:pPr>
      <w:r w:rsidRPr="00D7007E">
        <w:rPr>
          <w:rFonts w:ascii="Times New Roman" w:hAnsi="Times New Roman" w:cs="Times New Roman"/>
          <w:b/>
        </w:rPr>
        <w:t xml:space="preserve">Ethics approval: </w:t>
      </w:r>
      <w:bookmarkStart w:id="11" w:name="_Hlk70687980"/>
      <w:r w:rsidRPr="00D7007E">
        <w:rPr>
          <w:rFonts w:ascii="Times New Roman" w:hAnsi="Times New Roman" w:cs="Times New Roman"/>
        </w:rPr>
        <w:t>Study approval was obtained in the United Kingdom (UK) by the Quorum Review independent review board.</w:t>
      </w:r>
      <w:bookmarkEnd w:id="11"/>
    </w:p>
    <w:p w14:paraId="37FC6517" w14:textId="1C7C6E2C" w:rsidR="00D7007E" w:rsidRDefault="00D7007E" w:rsidP="008F4894">
      <w:pPr>
        <w:spacing w:line="360" w:lineRule="auto"/>
        <w:rPr>
          <w:rFonts w:ascii="Times New Roman" w:hAnsi="Times New Roman" w:cs="Times New Roman"/>
        </w:rPr>
      </w:pPr>
      <w:r>
        <w:rPr>
          <w:rFonts w:ascii="Times New Roman" w:hAnsi="Times New Roman" w:cs="Times New Roman"/>
          <w:b/>
        </w:rPr>
        <w:t xml:space="preserve">Consent to participate: </w:t>
      </w:r>
      <w:r w:rsidRPr="00D7007E">
        <w:rPr>
          <w:rFonts w:ascii="Times New Roman" w:hAnsi="Times New Roman" w:cs="Times New Roman"/>
        </w:rPr>
        <w:t>All patients provided written informed consent for their participation.</w:t>
      </w:r>
    </w:p>
    <w:p w14:paraId="6C9B48F4" w14:textId="3F044075" w:rsidR="007274DF" w:rsidRPr="007274DF" w:rsidRDefault="007274DF" w:rsidP="008F4894">
      <w:pPr>
        <w:spacing w:line="360" w:lineRule="auto"/>
        <w:rPr>
          <w:rFonts w:ascii="Times New Roman" w:hAnsi="Times New Roman" w:cs="Times New Roman"/>
        </w:rPr>
        <w:sectPr w:rsidR="007274DF" w:rsidRPr="007274DF" w:rsidSect="003E7481">
          <w:pgSz w:w="11906" w:h="16838"/>
          <w:pgMar w:top="1440" w:right="1440" w:bottom="1440" w:left="1440" w:header="708" w:footer="708" w:gutter="0"/>
          <w:cols w:space="708"/>
          <w:docGrid w:linePitch="360"/>
        </w:sectPr>
      </w:pPr>
      <w:r w:rsidRPr="007274DF">
        <w:rPr>
          <w:rFonts w:ascii="Times New Roman" w:hAnsi="Times New Roman" w:cs="Times New Roman"/>
          <w:b/>
        </w:rPr>
        <w:t xml:space="preserve">Consent for publication: </w:t>
      </w:r>
      <w:r>
        <w:rPr>
          <w:rFonts w:ascii="Times New Roman" w:hAnsi="Times New Roman" w:cs="Times New Roman"/>
          <w:b/>
        </w:rPr>
        <w:t xml:space="preserve"> </w:t>
      </w:r>
      <w:r>
        <w:rPr>
          <w:rFonts w:ascii="Times New Roman" w:hAnsi="Times New Roman" w:cs="Times New Roman"/>
        </w:rPr>
        <w:t>N/A</w:t>
      </w:r>
    </w:p>
    <w:p w14:paraId="5751F747" w14:textId="6365B20B" w:rsidR="008B1D3E" w:rsidRDefault="008B1D3E">
      <w:pPr>
        <w:rPr>
          <w:rFonts w:ascii="Times New Roman" w:hAnsi="Times New Roman" w:cs="Times New Roman"/>
          <w:b/>
        </w:rPr>
      </w:pPr>
      <w:r>
        <w:rPr>
          <w:rFonts w:ascii="Times New Roman" w:hAnsi="Times New Roman" w:cs="Times New Roman"/>
          <w:b/>
        </w:rPr>
        <w:lastRenderedPageBreak/>
        <w:t>REFERENCES</w:t>
      </w:r>
    </w:p>
    <w:p w14:paraId="5E51FF67" w14:textId="095B436A" w:rsidR="00A050EA" w:rsidRPr="00A050EA" w:rsidRDefault="008B1D3E" w:rsidP="00A050EA">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A050EA" w:rsidRPr="00A050EA">
        <w:rPr>
          <w:rFonts w:ascii="Times New Roman" w:hAnsi="Times New Roman" w:cs="Times New Roman"/>
          <w:noProof/>
          <w:szCs w:val="24"/>
        </w:rPr>
        <w:t xml:space="preserve">1. </w:t>
      </w:r>
      <w:r w:rsidR="00A050EA" w:rsidRPr="00A050EA">
        <w:rPr>
          <w:rFonts w:ascii="Times New Roman" w:hAnsi="Times New Roman" w:cs="Times New Roman"/>
          <w:noProof/>
          <w:szCs w:val="24"/>
        </w:rPr>
        <w:tab/>
        <w:t>Aaronson NK, Ahmedzai S, Bergman B, Bullinger M, Cull A, Duez NJ, Filiberti A, Flechtner H, Fleishman SB, Haes JCJMD, Kaasa S, Klee M, Osoba D, Razavi D, Rofe PB, Schraub S, Sneeuw K, Sullivan M, Takeda F (1993) The European organization for research and treatment of cancer QLQ-C30: A quality-of-life instrument for use in international clinical trials in oncology. J Natl Cancer Inst. https://doi.org/10.1093/jnci/85.5.365</w:t>
      </w:r>
    </w:p>
    <w:p w14:paraId="0ABFFE9E"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 </w:t>
      </w:r>
      <w:r w:rsidRPr="00A050EA">
        <w:rPr>
          <w:rFonts w:ascii="Times New Roman" w:hAnsi="Times New Roman" w:cs="Times New Roman"/>
          <w:noProof/>
          <w:szCs w:val="24"/>
        </w:rPr>
        <w:tab/>
        <w:t>Mierzynska J, Piccinin C, Pe M, Martinelli F, Gotay C, Coens C, Mauer M, Eggermont A, Groenvold M, Bjordal K, Reijneveld J, Velikova G, Bottomley A (2019) Prognostic value of patient-reported outcomes from international randomised clinical trials on cancer: a systematic review. Lancet Oncol 20:e685–e698 . https://doi.org/10.1016/S1470-2045(19)30656-4</w:t>
      </w:r>
    </w:p>
    <w:p w14:paraId="0297B1F8"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3. </w:t>
      </w:r>
      <w:r w:rsidRPr="00A050EA">
        <w:rPr>
          <w:rFonts w:ascii="Times New Roman" w:hAnsi="Times New Roman" w:cs="Times New Roman"/>
          <w:noProof/>
          <w:szCs w:val="24"/>
        </w:rPr>
        <w:tab/>
        <w:t>Aaronson NK, Bullinger M, Ahmedzai S (1988) A modular approach to quality-of-life assessment in cancer clinical trials. Recent Results Cancer Res 111:231–249 . https://doi.org/10.1007/978-3-642-83419-6_27</w:t>
      </w:r>
    </w:p>
    <w:p w14:paraId="10931DE9"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4. </w:t>
      </w:r>
      <w:r w:rsidRPr="00A050EA">
        <w:rPr>
          <w:rFonts w:ascii="Times New Roman" w:hAnsi="Times New Roman" w:cs="Times New Roman"/>
          <w:noProof/>
          <w:szCs w:val="24"/>
        </w:rPr>
        <w:tab/>
        <w:t>Reeve BB, Mitchell SA, Dueck AC, Basch E, Cella D, Reilly CM, Minasian LM, Denicoff AM, O’Mara AM, Fisch MJ, Chauhan C, Aaronson NK, Coens C, Bruner DW (2014) Recommended patient-reported core set of symptoms to measure in adult cancer treatment trials. J Natl Cancer Inst. https://doi.org/10.1093/jnci/dju129</w:t>
      </w:r>
    </w:p>
    <w:p w14:paraId="76EF2A91"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5. </w:t>
      </w:r>
      <w:r w:rsidRPr="00A050EA">
        <w:rPr>
          <w:rFonts w:ascii="Times New Roman" w:hAnsi="Times New Roman" w:cs="Times New Roman"/>
          <w:noProof/>
          <w:szCs w:val="24"/>
        </w:rPr>
        <w:tab/>
        <w:t>Gundy CM, Fayers PM, Groenvold M, Petersen MA, Scott NW, Sprangers MAG, Velikova G, Aaronson NK (2012) Comparing higher order models for the EORTC QLQ-C30. Qual Life Res. https://doi.org/10.1007/s11136-011-0082-6</w:t>
      </w:r>
    </w:p>
    <w:p w14:paraId="5040F2FD"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6. </w:t>
      </w:r>
      <w:r w:rsidRPr="00A050EA">
        <w:rPr>
          <w:rFonts w:ascii="Times New Roman" w:hAnsi="Times New Roman" w:cs="Times New Roman"/>
          <w:noProof/>
          <w:szCs w:val="24"/>
        </w:rPr>
        <w:tab/>
        <w:t>Scott NW, Fayers PM, Aaronson NK, Bottomley A, De Graeff A, Groenvold M, Koller M, Petersen MA, Sprangers MAG (2007) The use of differential item functioning analyses to identify cultural differences in responses to the EORTC QLQ-C30. Qual Life Res. https://doi.org/10.1007/s11136-006-9120-1</w:t>
      </w:r>
    </w:p>
    <w:p w14:paraId="66B6A68E"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7. </w:t>
      </w:r>
      <w:r w:rsidRPr="00A050EA">
        <w:rPr>
          <w:rFonts w:ascii="Times New Roman" w:hAnsi="Times New Roman" w:cs="Times New Roman"/>
          <w:noProof/>
          <w:szCs w:val="24"/>
        </w:rPr>
        <w:tab/>
        <w:t>Gotay CC, Kawamoto CT, Bottomley A, Efficace F (2008) The prognostic significance of patient-reported outcomes in cancer clinical trials. J. Clin. Oncol.</w:t>
      </w:r>
    </w:p>
    <w:p w14:paraId="08207CD7"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8. </w:t>
      </w:r>
      <w:r w:rsidRPr="00A050EA">
        <w:rPr>
          <w:rFonts w:ascii="Times New Roman" w:hAnsi="Times New Roman" w:cs="Times New Roman"/>
          <w:noProof/>
          <w:szCs w:val="24"/>
        </w:rPr>
        <w:tab/>
        <w:t>Wintner LM, Sztankay M, Aaronson N, Bottomley A, Giesinger JM, Groenvold M, Petersen MA, van de Poll-Franse L, Velikova G, Verdonck-de Leeuw I, Holzner B (2016) The use of EORTC measures in daily clinical practice—A synopsis of a newly developed manual. Eur. J. Cancer</w:t>
      </w:r>
    </w:p>
    <w:p w14:paraId="6162031E"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9. </w:t>
      </w:r>
      <w:r w:rsidRPr="00A050EA">
        <w:rPr>
          <w:rFonts w:ascii="Times New Roman" w:hAnsi="Times New Roman" w:cs="Times New Roman"/>
          <w:noProof/>
          <w:szCs w:val="24"/>
        </w:rPr>
        <w:tab/>
        <w:t>Quinten C, Coens C, Mauer M, Comte S, Sprangers MA, Cleeland C, Osoba D, Bjordal K, Bottomley A (2009) Baseline quality of life as a prognostic indicator of survival: a meta-analysis of individual patient data from EORTC clinical trials. Lancet Oncol. https://doi.org/10.1016/S1470-2045(09)70200-1</w:t>
      </w:r>
    </w:p>
    <w:p w14:paraId="081E8CE3"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10. </w:t>
      </w:r>
      <w:r w:rsidRPr="00A050EA">
        <w:rPr>
          <w:rFonts w:ascii="Times New Roman" w:hAnsi="Times New Roman" w:cs="Times New Roman"/>
          <w:noProof/>
          <w:szCs w:val="24"/>
        </w:rPr>
        <w:tab/>
        <w:t>Kuliś D, Holzner B, Koller M, Ruyskart P, Itani A, Williams P, Bottomley A (2018) Guidance on the implementation and management of EORTC quality of life instruments in electronic applications. EORTC, Brussels, Belgium</w:t>
      </w:r>
    </w:p>
    <w:p w14:paraId="170FA507"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11. </w:t>
      </w:r>
      <w:r w:rsidRPr="00A050EA">
        <w:rPr>
          <w:rFonts w:ascii="Times New Roman" w:hAnsi="Times New Roman" w:cs="Times New Roman"/>
          <w:noProof/>
          <w:szCs w:val="24"/>
        </w:rPr>
        <w:tab/>
        <w:t>Petersen MA, Aaronson NK, Arraras JI, Chie WC, Conroy T, Costantini A, Dirven L, Fayers P, Gamper EM, Giesinger JM, Habets EJJ, Hammerlid E, Helbostad J, Hjermstad MJ, Holzner B, Johnson C, Kemmler G, King MT, Kaasa S, Loge JH, Reijneveld JC, Singer S, Taphoorn MJB, Thamsborg LH, Tomaszewski KA, Velikova G, Verdonck-de Leeuw IM, Young T, Groenvold M (2018) The EORTC CAT Core—The computer adaptive version of the EORTC QLQ-C30 questionnaire. Eur J Cancer 100:8–16 . https://doi.org/10.1016/j.ejca.2018.04.016</w:t>
      </w:r>
    </w:p>
    <w:p w14:paraId="4E3AB8BC"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12. </w:t>
      </w:r>
      <w:r w:rsidRPr="00A050EA">
        <w:rPr>
          <w:rFonts w:ascii="Times New Roman" w:hAnsi="Times New Roman" w:cs="Times New Roman"/>
          <w:noProof/>
          <w:szCs w:val="24"/>
        </w:rPr>
        <w:tab/>
        <w:t xml:space="preserve">Coons SJ, Gwaltney CJ, Hays RD, Lundy JJ, Sloan JA, Revicki DA, Lenderking WR, Cella D, Basch E (2009) Recommendations on evidence needed to support measurement equivalence between electronic and paper-based patient-reported outcome (PRO) measures: ISPOR ePRO good research practices task force report. Value Heal 12:419–429 . </w:t>
      </w:r>
      <w:r w:rsidRPr="00A050EA">
        <w:rPr>
          <w:rFonts w:ascii="Times New Roman" w:hAnsi="Times New Roman" w:cs="Times New Roman"/>
          <w:noProof/>
          <w:szCs w:val="24"/>
        </w:rPr>
        <w:lastRenderedPageBreak/>
        <w:t>https://doi.org/10.1111/j.1524-4733.2008.00470.x</w:t>
      </w:r>
    </w:p>
    <w:p w14:paraId="3DCDF12B"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13. </w:t>
      </w:r>
      <w:r w:rsidRPr="00A050EA">
        <w:rPr>
          <w:rFonts w:ascii="Times New Roman" w:hAnsi="Times New Roman" w:cs="Times New Roman"/>
          <w:noProof/>
          <w:szCs w:val="24"/>
        </w:rPr>
        <w:tab/>
        <w:t>Lundy JJ, Coons SJ, Aaronson NK (2014) Testing the measurement equivalence of paper and interactive voice response system versions of the EORTC QLQ-C30. Qual Life Res. https://doi.org/10.1007/s11136-013-0454-1</w:t>
      </w:r>
    </w:p>
    <w:p w14:paraId="20A9D58A"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14. </w:t>
      </w:r>
      <w:r w:rsidRPr="00A050EA">
        <w:rPr>
          <w:rFonts w:ascii="Times New Roman" w:hAnsi="Times New Roman" w:cs="Times New Roman"/>
          <w:noProof/>
          <w:szCs w:val="24"/>
        </w:rPr>
        <w:tab/>
        <w:t>Lundy JJ, Coons SJ, Aaronson NK (2015) Test–Retest Reliability of an Interactive Voice Response (IVR) Version of the EORTC QLQ-C30. Patient 8:165–170 . https://doi.org/10.1007/s40271-014-0071-2</w:t>
      </w:r>
    </w:p>
    <w:p w14:paraId="2E71DD96"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15. </w:t>
      </w:r>
      <w:r w:rsidRPr="00A050EA">
        <w:rPr>
          <w:rFonts w:ascii="Times New Roman" w:hAnsi="Times New Roman" w:cs="Times New Roman"/>
          <w:noProof/>
          <w:szCs w:val="24"/>
        </w:rPr>
        <w:tab/>
        <w:t>Bennett A V., Dueck AC, Mitchell SA, Mendoza TR, Reeve BB, Atkinson TM, Castro KM, Denicoff A, Rogak LJ, Harness JK, Bearden JD, Bryant D, Siegel RD, Schrag D, Basch E, Heon N, Shaw M, Ryan S, Stark LP, Malveaux D, Pettus W, Gansauer L, Wind J, Thomassie A, Davila G, Alexander K (2016) Mode equivalence and acceptability of tablet computer-, interactive voice response system-, and paper-based administration of the U.S. National Cancer Institute’s Patient-Reported Outcomes version of the Common Terminology Criteria for Adverse Events (PRO. Health Qual Life Outcomes 14:1–12 . https://doi.org/10.1186/s12955-016-0426-6</w:t>
      </w:r>
    </w:p>
    <w:p w14:paraId="614E7DC9"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16. </w:t>
      </w:r>
      <w:r w:rsidRPr="00A050EA">
        <w:rPr>
          <w:rFonts w:ascii="Times New Roman" w:hAnsi="Times New Roman" w:cs="Times New Roman"/>
          <w:noProof/>
          <w:szCs w:val="24"/>
        </w:rPr>
        <w:tab/>
        <w:t>Gwaltney CJ, Shields AL, Shiffman S (2008) Equivalence of electronic and paper-and-pencil administration of patient-reported outcome measures: A meta-analytic review. Value Heal. https://doi.org/10.1111/j.1524-4733.2007.00231.x</w:t>
      </w:r>
    </w:p>
    <w:p w14:paraId="1B3C6E00"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17. </w:t>
      </w:r>
      <w:r w:rsidRPr="00A050EA">
        <w:rPr>
          <w:rFonts w:ascii="Times New Roman" w:hAnsi="Times New Roman" w:cs="Times New Roman"/>
          <w:noProof/>
          <w:szCs w:val="24"/>
        </w:rPr>
        <w:tab/>
        <w:t>Muehlhausen W, Doll H, Quadri N, Fordham B, O’Donohoe P, Dogar N, Wild DJ (2015) Equivalence of electronic and paper administration of patient-reported outcome measures: A systematic review and meta-analysis of studies conducted between 2007 and 2013. Health Qual Life Outcomes. https://doi.org/10.1186/s12955-015-0362-x</w:t>
      </w:r>
    </w:p>
    <w:p w14:paraId="7854B1A4"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18. </w:t>
      </w:r>
      <w:r w:rsidRPr="00A050EA">
        <w:rPr>
          <w:rFonts w:ascii="Times New Roman" w:hAnsi="Times New Roman" w:cs="Times New Roman"/>
          <w:noProof/>
          <w:szCs w:val="24"/>
        </w:rPr>
        <w:tab/>
        <w:t>Ramachandran S, Lundy JJ, Coons SJ (2008) Testing the measurement equivalence of paper and touch-screen versions of the EQ-5D visual analog scale (EQ VAS). Qual Life Res. https://doi.org/10.1007/s11136-008-9384-8</w:t>
      </w:r>
    </w:p>
    <w:p w14:paraId="642FD0E5"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19. </w:t>
      </w:r>
      <w:r w:rsidRPr="00A050EA">
        <w:rPr>
          <w:rFonts w:ascii="Times New Roman" w:hAnsi="Times New Roman" w:cs="Times New Roman"/>
          <w:noProof/>
          <w:szCs w:val="24"/>
        </w:rPr>
        <w:tab/>
        <w:t>Eremenco S, Coons SJ, Paty J, Coyne K, Bennett A V., McEntegart D (2014) PRO data collection in clinical trials using mixed modes: Report of the ISPOR PRO mixed modes good research practices task force. Value Heal 17:501–516 . https://doi.org/10.1016/j.jval.2014.06.005</w:t>
      </w:r>
    </w:p>
    <w:p w14:paraId="196DC5D3"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20. </w:t>
      </w:r>
      <w:r w:rsidRPr="00A050EA">
        <w:rPr>
          <w:rFonts w:ascii="Times New Roman" w:hAnsi="Times New Roman" w:cs="Times New Roman"/>
          <w:noProof/>
          <w:szCs w:val="24"/>
        </w:rPr>
        <w:tab/>
        <w:t>Shrout PE, Fleiss JL (1979) Intraclass correlations: Uses in assessing rater reliability. Psychol Bull 86:420–428 . https://doi.org/10.1037/0033-2909.86.2.420</w:t>
      </w:r>
    </w:p>
    <w:p w14:paraId="234AE0F5"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21. </w:t>
      </w:r>
      <w:r w:rsidRPr="00A050EA">
        <w:rPr>
          <w:rFonts w:ascii="Times New Roman" w:hAnsi="Times New Roman" w:cs="Times New Roman"/>
          <w:noProof/>
          <w:szCs w:val="24"/>
        </w:rPr>
        <w:tab/>
        <w:t>Nunnally J, Bernstein I (1994) Psychometric Methods, 3rd ed. McGraw-Hill, New York</w:t>
      </w:r>
    </w:p>
    <w:p w14:paraId="0AA4DE6A"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22. </w:t>
      </w:r>
      <w:r w:rsidRPr="00A050EA">
        <w:rPr>
          <w:rFonts w:ascii="Times New Roman" w:hAnsi="Times New Roman" w:cs="Times New Roman"/>
          <w:noProof/>
          <w:szCs w:val="24"/>
        </w:rPr>
        <w:tab/>
        <w:t>Portney L, Watkins M (2000) Foundations of Clinical Research: Applications to Practice. Pearson Prentice Hall, Upper Saddle River, New Jersey</w:t>
      </w:r>
    </w:p>
    <w:p w14:paraId="71F53FF4"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23. </w:t>
      </w:r>
      <w:r w:rsidRPr="00A050EA">
        <w:rPr>
          <w:rFonts w:ascii="Times New Roman" w:hAnsi="Times New Roman" w:cs="Times New Roman"/>
          <w:noProof/>
          <w:szCs w:val="24"/>
        </w:rPr>
        <w:tab/>
        <w:t>Cohen J (1968) Weighted kappa: Nominal scale agreement with provision for scaled disagreement or partial credit. Psychological Bulletin, 70, 213–220. Psychol Bull</w:t>
      </w:r>
    </w:p>
    <w:p w14:paraId="68A35D5D"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24. </w:t>
      </w:r>
      <w:r w:rsidRPr="00A050EA">
        <w:rPr>
          <w:rFonts w:ascii="Times New Roman" w:hAnsi="Times New Roman" w:cs="Times New Roman"/>
          <w:noProof/>
          <w:szCs w:val="24"/>
        </w:rPr>
        <w:tab/>
        <w:t>Fleiss JL, Cohen J (1973) The equivalence of weighted kappa and the intraclass correlation coefficient as measures of reliability. Educ Psychol Meas 33:613–619 . https://doi.org/10.1177/001316447303300309</w:t>
      </w:r>
    </w:p>
    <w:p w14:paraId="5E419E03"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szCs w:val="24"/>
        </w:rPr>
      </w:pPr>
      <w:r w:rsidRPr="00A050EA">
        <w:rPr>
          <w:rFonts w:ascii="Times New Roman" w:hAnsi="Times New Roman" w:cs="Times New Roman"/>
          <w:noProof/>
          <w:szCs w:val="24"/>
        </w:rPr>
        <w:t xml:space="preserve">25. </w:t>
      </w:r>
      <w:r w:rsidRPr="00A050EA">
        <w:rPr>
          <w:rFonts w:ascii="Times New Roman" w:hAnsi="Times New Roman" w:cs="Times New Roman"/>
          <w:noProof/>
          <w:szCs w:val="24"/>
        </w:rPr>
        <w:tab/>
        <w:t>Osoba D, Rodrigues G, Myles J, Zee B, Pater J (1998) Interpreting the significance of changes in health-related quality-of- life scores. J Clin Oncol. https://doi.org/10.1200/JCO.1998.16.1.139</w:t>
      </w:r>
    </w:p>
    <w:p w14:paraId="1657C224" w14:textId="77777777" w:rsidR="00A050EA" w:rsidRPr="00A050EA" w:rsidRDefault="00A050EA" w:rsidP="00A050EA">
      <w:pPr>
        <w:widowControl w:val="0"/>
        <w:autoSpaceDE w:val="0"/>
        <w:autoSpaceDN w:val="0"/>
        <w:adjustRightInd w:val="0"/>
        <w:spacing w:line="240" w:lineRule="auto"/>
        <w:ind w:left="640" w:hanging="640"/>
        <w:rPr>
          <w:rFonts w:ascii="Times New Roman" w:hAnsi="Times New Roman" w:cs="Times New Roman"/>
          <w:noProof/>
        </w:rPr>
      </w:pPr>
      <w:r w:rsidRPr="00A050EA">
        <w:rPr>
          <w:rFonts w:ascii="Times New Roman" w:hAnsi="Times New Roman" w:cs="Times New Roman"/>
          <w:noProof/>
          <w:szCs w:val="24"/>
        </w:rPr>
        <w:t xml:space="preserve">26. </w:t>
      </w:r>
      <w:r w:rsidRPr="00A050EA">
        <w:rPr>
          <w:rFonts w:ascii="Times New Roman" w:hAnsi="Times New Roman" w:cs="Times New Roman"/>
          <w:noProof/>
          <w:szCs w:val="24"/>
        </w:rPr>
        <w:tab/>
        <w:t>Hjermstad MJ, Fossa SD, Bjordal K, Kaasa S (1995) Test/retest study of the European Organization for Research and Treatment of Cancer Core Quality-of-Life Questionnaire. J Clin Oncol. https://doi.org/10.1200/JCO.1995.13.5.1249</w:t>
      </w:r>
    </w:p>
    <w:p w14:paraId="6C3F7406" w14:textId="409A7FA5" w:rsidR="007A5C4E" w:rsidRDefault="008B1D3E">
      <w:pPr>
        <w:rPr>
          <w:rFonts w:ascii="Times New Roman" w:hAnsi="Times New Roman" w:cs="Times New Roman"/>
          <w:b/>
        </w:rPr>
        <w:sectPr w:rsidR="007A5C4E" w:rsidSect="00EC414E">
          <w:pgSz w:w="11906" w:h="16838"/>
          <w:pgMar w:top="1440" w:right="1440" w:bottom="1440" w:left="1440" w:header="708" w:footer="708" w:gutter="0"/>
          <w:cols w:space="708"/>
          <w:docGrid w:linePitch="360"/>
        </w:sectPr>
      </w:pPr>
      <w:r>
        <w:rPr>
          <w:rFonts w:ascii="Times New Roman" w:hAnsi="Times New Roman" w:cs="Times New Roman"/>
          <w:b/>
        </w:rPr>
        <w:fldChar w:fldCharType="end"/>
      </w:r>
    </w:p>
    <w:p w14:paraId="1192D39A" w14:textId="72EBBD11" w:rsidR="00185041" w:rsidRDefault="00185041">
      <w:pPr>
        <w:rPr>
          <w:rFonts w:ascii="Times New Roman" w:hAnsi="Times New Roman" w:cs="Times New Roman"/>
          <w:b/>
        </w:rPr>
      </w:pPr>
      <w:r>
        <w:rPr>
          <w:rFonts w:ascii="Times New Roman" w:hAnsi="Times New Roman" w:cs="Times New Roman"/>
          <w:b/>
        </w:rPr>
        <w:lastRenderedPageBreak/>
        <w:t>APPENDIX A</w:t>
      </w:r>
    </w:p>
    <w:p w14:paraId="28BEC78D" w14:textId="2C4C75C5" w:rsidR="004321F2" w:rsidRPr="00CD1B74" w:rsidRDefault="004321F2" w:rsidP="00E412CA">
      <w:pPr>
        <w:spacing w:after="0" w:line="360" w:lineRule="auto"/>
        <w:jc w:val="both"/>
        <w:rPr>
          <w:rFonts w:ascii="Times New Roman" w:eastAsia="Arial" w:hAnsi="Times New Roman" w:cs="Times New Roman"/>
        </w:rPr>
      </w:pPr>
      <w:r>
        <w:rPr>
          <w:rFonts w:ascii="Times New Roman" w:eastAsia="Arial" w:hAnsi="Times New Roman" w:cs="Times New Roman"/>
        </w:rPr>
        <w:t>A1</w:t>
      </w:r>
      <w:r w:rsidRPr="00CD1B74">
        <w:rPr>
          <w:rFonts w:ascii="Times New Roman" w:eastAsia="Arial" w:hAnsi="Times New Roman" w:cs="Times New Roman"/>
        </w:rPr>
        <w:t>. Equivalence testing for single items</w:t>
      </w:r>
    </w:p>
    <w:tbl>
      <w:tblPr>
        <w:tblStyle w:val="ListTable3-Accent1"/>
        <w:tblW w:w="0" w:type="auto"/>
        <w:tblLook w:val="04A0" w:firstRow="1" w:lastRow="0" w:firstColumn="1" w:lastColumn="0" w:noHBand="0" w:noVBand="1"/>
      </w:tblPr>
      <w:tblGrid>
        <w:gridCol w:w="3477"/>
        <w:gridCol w:w="1846"/>
        <w:gridCol w:w="1846"/>
        <w:gridCol w:w="1847"/>
      </w:tblGrid>
      <w:tr w:rsidR="004321F2" w:rsidRPr="00CD1B74" w14:paraId="7B073B09" w14:textId="77777777" w:rsidTr="004F3A7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tcBorders>
              <w:top w:val="single" w:sz="4" w:space="0" w:color="auto"/>
              <w:left w:val="single" w:sz="4" w:space="0" w:color="auto"/>
              <w:bottom w:val="nil"/>
            </w:tcBorders>
            <w:shd w:val="clear" w:color="auto" w:fill="auto"/>
          </w:tcPr>
          <w:p w14:paraId="39FA28EA" w14:textId="77777777" w:rsidR="004321F2" w:rsidRPr="00CD1B74" w:rsidRDefault="004321F2" w:rsidP="00CD652E">
            <w:pPr>
              <w:jc w:val="both"/>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QLQ-C30 items</w:t>
            </w:r>
          </w:p>
        </w:tc>
        <w:tc>
          <w:tcPr>
            <w:tcW w:w="4058" w:type="dxa"/>
            <w:gridSpan w:val="2"/>
            <w:tcBorders>
              <w:top w:val="single" w:sz="4" w:space="0" w:color="auto"/>
              <w:left w:val="nil"/>
              <w:bottom w:val="nil"/>
              <w:right w:val="nil"/>
            </w:tcBorders>
            <w:shd w:val="clear" w:color="auto" w:fill="auto"/>
          </w:tcPr>
          <w:p w14:paraId="4D0077CB" w14:textId="77777777" w:rsidR="004321F2" w:rsidRPr="00CD1B74" w:rsidRDefault="004321F2" w:rsidP="00CD652E">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All patients</w:t>
            </w:r>
          </w:p>
        </w:tc>
        <w:tc>
          <w:tcPr>
            <w:tcW w:w="2030" w:type="dxa"/>
            <w:tcBorders>
              <w:top w:val="single" w:sz="4" w:space="0" w:color="auto"/>
              <w:left w:val="nil"/>
              <w:bottom w:val="nil"/>
            </w:tcBorders>
            <w:shd w:val="clear" w:color="auto" w:fill="auto"/>
          </w:tcPr>
          <w:p w14:paraId="260077F8"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p>
        </w:tc>
      </w:tr>
      <w:tr w:rsidR="004321F2" w:rsidRPr="00CD1B74" w14:paraId="38B0C294" w14:textId="77777777" w:rsidTr="00CD652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tcBorders>
              <w:top w:val="nil"/>
              <w:left w:val="single" w:sz="4" w:space="0" w:color="auto"/>
              <w:bottom w:val="single" w:sz="6" w:space="0" w:color="auto"/>
            </w:tcBorders>
            <w:shd w:val="clear" w:color="auto" w:fill="auto"/>
          </w:tcPr>
          <w:p w14:paraId="5F70AF38" w14:textId="77777777" w:rsidR="004321F2" w:rsidRPr="00CD1B74" w:rsidRDefault="004321F2" w:rsidP="00CD652E">
            <w:pPr>
              <w:jc w:val="both"/>
              <w:rPr>
                <w:rFonts w:ascii="Times New Roman" w:eastAsia="Arial" w:hAnsi="Times New Roman" w:cs="Times New Roman"/>
                <w:color w:val="auto"/>
                <w:sz w:val="18"/>
                <w:szCs w:val="18"/>
              </w:rPr>
            </w:pPr>
          </w:p>
        </w:tc>
        <w:tc>
          <w:tcPr>
            <w:tcW w:w="2029" w:type="dxa"/>
            <w:tcBorders>
              <w:top w:val="nil"/>
              <w:left w:val="nil"/>
              <w:bottom w:val="single" w:sz="6" w:space="0" w:color="auto"/>
              <w:right w:val="nil"/>
            </w:tcBorders>
            <w:shd w:val="clear" w:color="auto" w:fill="auto"/>
          </w:tcPr>
          <w:p w14:paraId="00FEE75E"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Paper first</w:t>
            </w:r>
          </w:p>
          <w:p w14:paraId="4DFEA377"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(n=31)</w:t>
            </w:r>
          </w:p>
        </w:tc>
        <w:tc>
          <w:tcPr>
            <w:tcW w:w="2029" w:type="dxa"/>
            <w:tcBorders>
              <w:top w:val="nil"/>
              <w:left w:val="nil"/>
              <w:bottom w:val="single" w:sz="6" w:space="0" w:color="auto"/>
              <w:right w:val="nil"/>
            </w:tcBorders>
            <w:shd w:val="clear" w:color="auto" w:fill="auto"/>
          </w:tcPr>
          <w:p w14:paraId="3CD1ED6A"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Phone first</w:t>
            </w:r>
          </w:p>
          <w:p w14:paraId="5C8DD100"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(n=32)</w:t>
            </w:r>
          </w:p>
        </w:tc>
        <w:tc>
          <w:tcPr>
            <w:tcW w:w="2030" w:type="dxa"/>
            <w:tcBorders>
              <w:top w:val="nil"/>
              <w:left w:val="nil"/>
              <w:bottom w:val="single" w:sz="6" w:space="0" w:color="auto"/>
              <w:right w:val="single" w:sz="4" w:space="0" w:color="auto"/>
            </w:tcBorders>
            <w:shd w:val="clear" w:color="auto" w:fill="auto"/>
          </w:tcPr>
          <w:p w14:paraId="4797D081"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Total</w:t>
            </w:r>
          </w:p>
          <w:p w14:paraId="2626C719" w14:textId="77777777" w:rsidR="004321F2" w:rsidRPr="00CD1B74" w:rsidRDefault="004321F2" w:rsidP="00CD652E">
            <w:pPr>
              <w:jc w:val="both"/>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CD1B74">
              <w:rPr>
                <w:rFonts w:ascii="Times New Roman" w:eastAsia="Arial" w:hAnsi="Times New Roman" w:cs="Times New Roman"/>
                <w:color w:val="auto"/>
                <w:sz w:val="18"/>
                <w:szCs w:val="18"/>
              </w:rPr>
              <w:t>(n=63)</w:t>
            </w:r>
          </w:p>
        </w:tc>
      </w:tr>
      <w:tr w:rsidR="004321F2" w:rsidRPr="00CD1B74" w14:paraId="593CDF87"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70257FF4"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 (Strenuous activity)</w:t>
            </w:r>
          </w:p>
          <w:p w14:paraId="69AAABD3"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538EA4F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225BF72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D25F920"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0.50</w:t>
            </w:r>
          </w:p>
          <w:p w14:paraId="74D3058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0.21-0.79</w:t>
            </w:r>
          </w:p>
        </w:tc>
        <w:tc>
          <w:tcPr>
            <w:tcW w:w="2029" w:type="dxa"/>
            <w:tcBorders>
              <w:top w:val="single" w:sz="6" w:space="0" w:color="auto"/>
              <w:left w:val="single" w:sz="6" w:space="0" w:color="auto"/>
              <w:bottom w:val="single" w:sz="6" w:space="0" w:color="auto"/>
              <w:right w:val="single" w:sz="6" w:space="0" w:color="auto"/>
            </w:tcBorders>
          </w:tcPr>
          <w:p w14:paraId="5E891CF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D29C7E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w:t>
            </w:r>
          </w:p>
          <w:p w14:paraId="56E62F3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0.55-0.91</w:t>
            </w:r>
          </w:p>
        </w:tc>
        <w:tc>
          <w:tcPr>
            <w:tcW w:w="2030" w:type="dxa"/>
            <w:tcBorders>
              <w:top w:val="single" w:sz="6" w:space="0" w:color="auto"/>
              <w:left w:val="single" w:sz="6" w:space="0" w:color="auto"/>
              <w:bottom w:val="single" w:sz="6" w:space="0" w:color="auto"/>
              <w:right w:val="single" w:sz="4" w:space="0" w:color="auto"/>
            </w:tcBorders>
          </w:tcPr>
          <w:p w14:paraId="57AE7CC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BF63E7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10C7BA2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0.50-0.81</w:t>
            </w:r>
          </w:p>
        </w:tc>
      </w:tr>
      <w:tr w:rsidR="004321F2" w:rsidRPr="00CD1B74" w14:paraId="720F4EA8"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0F581FD4"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 (Long walk)</w:t>
            </w:r>
          </w:p>
          <w:p w14:paraId="42C9BD11"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5066FFBB"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1A6D7883"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4B4E95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w:t>
            </w:r>
          </w:p>
          <w:p w14:paraId="5B67BD5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0.41-0.87</w:t>
            </w:r>
          </w:p>
        </w:tc>
        <w:tc>
          <w:tcPr>
            <w:tcW w:w="2029" w:type="dxa"/>
            <w:tcBorders>
              <w:top w:val="single" w:sz="6" w:space="0" w:color="auto"/>
              <w:left w:val="single" w:sz="6" w:space="0" w:color="auto"/>
              <w:bottom w:val="single" w:sz="6" w:space="0" w:color="auto"/>
              <w:right w:val="single" w:sz="6" w:space="0" w:color="auto"/>
            </w:tcBorders>
          </w:tcPr>
          <w:p w14:paraId="35D68DB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3067ACC"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0.85</w:t>
            </w:r>
          </w:p>
          <w:p w14:paraId="2AA1A02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0.71-0.99</w:t>
            </w:r>
          </w:p>
        </w:tc>
        <w:tc>
          <w:tcPr>
            <w:tcW w:w="2030" w:type="dxa"/>
            <w:tcBorders>
              <w:top w:val="single" w:sz="6" w:space="0" w:color="auto"/>
              <w:left w:val="single" w:sz="6" w:space="0" w:color="auto"/>
              <w:bottom w:val="single" w:sz="6" w:space="0" w:color="auto"/>
              <w:right w:val="single" w:sz="4" w:space="0" w:color="auto"/>
            </w:tcBorders>
          </w:tcPr>
          <w:p w14:paraId="1588D86D"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DE38E3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0.77</w:t>
            </w:r>
          </w:p>
          <w:p w14:paraId="5DD290F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0.64-0.89</w:t>
            </w:r>
          </w:p>
        </w:tc>
      </w:tr>
      <w:tr w:rsidR="004321F2" w:rsidRPr="00CD1B74" w14:paraId="27939C17"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50496C74"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3 (Short walk)</w:t>
            </w:r>
          </w:p>
          <w:p w14:paraId="2BD28DDC"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47990418"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43ED80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9F226B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0.85</w:t>
            </w:r>
          </w:p>
          <w:p w14:paraId="29C3E75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0.65-1.00</w:t>
            </w:r>
          </w:p>
        </w:tc>
        <w:tc>
          <w:tcPr>
            <w:tcW w:w="2029" w:type="dxa"/>
            <w:tcBorders>
              <w:top w:val="single" w:sz="6" w:space="0" w:color="auto"/>
              <w:left w:val="single" w:sz="6" w:space="0" w:color="auto"/>
              <w:bottom w:val="single" w:sz="6" w:space="0" w:color="auto"/>
              <w:right w:val="single" w:sz="6" w:space="0" w:color="auto"/>
            </w:tcBorders>
          </w:tcPr>
          <w:p w14:paraId="5B8FAD0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1EEDCD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0.83</w:t>
            </w:r>
          </w:p>
          <w:p w14:paraId="339BB78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0.62-1.00</w:t>
            </w:r>
          </w:p>
        </w:tc>
        <w:tc>
          <w:tcPr>
            <w:tcW w:w="2030" w:type="dxa"/>
            <w:tcBorders>
              <w:top w:val="single" w:sz="6" w:space="0" w:color="auto"/>
              <w:left w:val="single" w:sz="6" w:space="0" w:color="auto"/>
              <w:bottom w:val="single" w:sz="6" w:space="0" w:color="auto"/>
              <w:right w:val="single" w:sz="4" w:space="0" w:color="auto"/>
            </w:tcBorders>
          </w:tcPr>
          <w:p w14:paraId="77DD1E3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8DE2D0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0.84</w:t>
            </w:r>
          </w:p>
          <w:p w14:paraId="7E7347B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0.69-0.99</w:t>
            </w:r>
          </w:p>
        </w:tc>
      </w:tr>
      <w:tr w:rsidR="004321F2" w:rsidRPr="00CD1B74" w14:paraId="3752B38F"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64D7D906"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4 (Stay in bed or chair)</w:t>
            </w:r>
          </w:p>
          <w:p w14:paraId="47AD9DA3"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6A85439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157FD03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364140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0.51</w:t>
            </w:r>
          </w:p>
          <w:p w14:paraId="1160BA3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0.26-0.77</w:t>
            </w:r>
          </w:p>
        </w:tc>
        <w:tc>
          <w:tcPr>
            <w:tcW w:w="2029" w:type="dxa"/>
            <w:tcBorders>
              <w:top w:val="single" w:sz="6" w:space="0" w:color="auto"/>
              <w:left w:val="single" w:sz="6" w:space="0" w:color="auto"/>
              <w:bottom w:val="single" w:sz="6" w:space="0" w:color="auto"/>
              <w:right w:val="single" w:sz="6" w:space="0" w:color="auto"/>
            </w:tcBorders>
          </w:tcPr>
          <w:p w14:paraId="46D4A4E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6C5F77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w:t>
            </w:r>
          </w:p>
          <w:p w14:paraId="53B49FF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0.55-0.91</w:t>
            </w:r>
          </w:p>
        </w:tc>
        <w:tc>
          <w:tcPr>
            <w:tcW w:w="2030" w:type="dxa"/>
            <w:tcBorders>
              <w:top w:val="single" w:sz="6" w:space="0" w:color="auto"/>
              <w:left w:val="single" w:sz="6" w:space="0" w:color="auto"/>
              <w:bottom w:val="single" w:sz="6" w:space="0" w:color="auto"/>
              <w:right w:val="single" w:sz="4" w:space="0" w:color="auto"/>
            </w:tcBorders>
          </w:tcPr>
          <w:p w14:paraId="5369EF5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20EEAC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3152249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0.50-0.81</w:t>
            </w:r>
          </w:p>
        </w:tc>
      </w:tr>
      <w:tr w:rsidR="004321F2" w:rsidRPr="00CD1B74" w14:paraId="6E8C3A05"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7ABF54B4"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5 (Assistance)</w:t>
            </w:r>
          </w:p>
          <w:p w14:paraId="192182D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5A538E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1E853570"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75FC7A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0.83</w:t>
            </w:r>
          </w:p>
          <w:p w14:paraId="307B33D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0.53-1.00</w:t>
            </w:r>
          </w:p>
        </w:tc>
        <w:tc>
          <w:tcPr>
            <w:tcW w:w="2029" w:type="dxa"/>
            <w:tcBorders>
              <w:top w:val="single" w:sz="6" w:space="0" w:color="auto"/>
              <w:left w:val="single" w:sz="6" w:space="0" w:color="auto"/>
              <w:bottom w:val="single" w:sz="6" w:space="0" w:color="auto"/>
              <w:right w:val="single" w:sz="6" w:space="0" w:color="auto"/>
            </w:tcBorders>
          </w:tcPr>
          <w:p w14:paraId="017FFDB2"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634598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0.72</w:t>
            </w:r>
          </w:p>
          <w:p w14:paraId="415C3F6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0.44-1.00</w:t>
            </w:r>
          </w:p>
        </w:tc>
        <w:tc>
          <w:tcPr>
            <w:tcW w:w="2030" w:type="dxa"/>
            <w:tcBorders>
              <w:top w:val="single" w:sz="6" w:space="0" w:color="auto"/>
              <w:left w:val="single" w:sz="6" w:space="0" w:color="auto"/>
              <w:bottom w:val="single" w:sz="6" w:space="0" w:color="auto"/>
              <w:right w:val="single" w:sz="4" w:space="0" w:color="auto"/>
            </w:tcBorders>
          </w:tcPr>
          <w:p w14:paraId="0AFA2FB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B04A1D2"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0.77</w:t>
            </w:r>
          </w:p>
          <w:p w14:paraId="3BC0CD2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0.56-0.98</w:t>
            </w:r>
          </w:p>
        </w:tc>
      </w:tr>
      <w:tr w:rsidR="004321F2" w:rsidRPr="00CD1B74" w14:paraId="5F749D61"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49AC9A1"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6 (Work or daily activities)</w:t>
            </w:r>
          </w:p>
          <w:p w14:paraId="1135EA0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5C60AFE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044990E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547DEA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w:t>
            </w:r>
          </w:p>
          <w:p w14:paraId="0135A17C"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0.44-0.83</w:t>
            </w:r>
          </w:p>
        </w:tc>
        <w:tc>
          <w:tcPr>
            <w:tcW w:w="2029" w:type="dxa"/>
            <w:tcBorders>
              <w:top w:val="single" w:sz="6" w:space="0" w:color="auto"/>
              <w:left w:val="single" w:sz="6" w:space="0" w:color="auto"/>
              <w:bottom w:val="single" w:sz="6" w:space="0" w:color="auto"/>
              <w:right w:val="single" w:sz="6" w:space="0" w:color="auto"/>
            </w:tcBorders>
          </w:tcPr>
          <w:p w14:paraId="0180CC5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52C0B96"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45C540A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0.43-0.83</w:t>
            </w:r>
          </w:p>
        </w:tc>
        <w:tc>
          <w:tcPr>
            <w:tcW w:w="2030" w:type="dxa"/>
            <w:tcBorders>
              <w:top w:val="single" w:sz="6" w:space="0" w:color="auto"/>
              <w:left w:val="single" w:sz="6" w:space="0" w:color="auto"/>
              <w:bottom w:val="single" w:sz="6" w:space="0" w:color="auto"/>
              <w:right w:val="single" w:sz="4" w:space="0" w:color="auto"/>
            </w:tcBorders>
          </w:tcPr>
          <w:p w14:paraId="3B4D6EDA"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4A27F8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w:t>
            </w:r>
          </w:p>
          <w:p w14:paraId="0903522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0.50-0.78</w:t>
            </w:r>
          </w:p>
        </w:tc>
      </w:tr>
      <w:tr w:rsidR="004321F2" w:rsidRPr="00CD1B74" w14:paraId="7A45BFA4"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7C676F2"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7 (Hobbies)</w:t>
            </w:r>
          </w:p>
          <w:p w14:paraId="33CDDA30"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7B3826B8"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3432656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C68939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22F378D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0.47-0.82</w:t>
            </w:r>
          </w:p>
        </w:tc>
        <w:tc>
          <w:tcPr>
            <w:tcW w:w="2029" w:type="dxa"/>
            <w:tcBorders>
              <w:top w:val="single" w:sz="6" w:space="0" w:color="auto"/>
              <w:left w:val="single" w:sz="6" w:space="0" w:color="auto"/>
              <w:bottom w:val="single" w:sz="6" w:space="0" w:color="auto"/>
              <w:right w:val="single" w:sz="6" w:space="0" w:color="auto"/>
            </w:tcBorders>
          </w:tcPr>
          <w:p w14:paraId="716F167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DBE791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0.68</w:t>
            </w:r>
          </w:p>
          <w:p w14:paraId="1F389D3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0.52-0.84</w:t>
            </w:r>
          </w:p>
        </w:tc>
        <w:tc>
          <w:tcPr>
            <w:tcW w:w="2030" w:type="dxa"/>
            <w:tcBorders>
              <w:top w:val="single" w:sz="6" w:space="0" w:color="auto"/>
              <w:left w:val="single" w:sz="6" w:space="0" w:color="auto"/>
              <w:bottom w:val="single" w:sz="6" w:space="0" w:color="auto"/>
              <w:right w:val="single" w:sz="4" w:space="0" w:color="auto"/>
            </w:tcBorders>
          </w:tcPr>
          <w:p w14:paraId="59F3CE0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93398D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0.67</w:t>
            </w:r>
          </w:p>
          <w:p w14:paraId="4B7C4A9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0.55-0.79</w:t>
            </w:r>
          </w:p>
        </w:tc>
      </w:tr>
      <w:tr w:rsidR="004321F2" w:rsidRPr="00CD1B74" w14:paraId="2889CFBA"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60D5F96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8 (Short of breath)</w:t>
            </w:r>
          </w:p>
          <w:p w14:paraId="0BCDC3F4"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6FE331D1"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79FB186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0E3526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w:t>
            </w:r>
          </w:p>
          <w:p w14:paraId="1BDC0093"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0.51-0.96</w:t>
            </w:r>
          </w:p>
        </w:tc>
        <w:tc>
          <w:tcPr>
            <w:tcW w:w="2029" w:type="dxa"/>
            <w:tcBorders>
              <w:top w:val="single" w:sz="6" w:space="0" w:color="auto"/>
              <w:left w:val="single" w:sz="6" w:space="0" w:color="auto"/>
              <w:bottom w:val="single" w:sz="6" w:space="0" w:color="auto"/>
              <w:right w:val="single" w:sz="6" w:space="0" w:color="auto"/>
            </w:tcBorders>
          </w:tcPr>
          <w:p w14:paraId="620EB6C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986028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551BA48C"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0.43-0.86</w:t>
            </w:r>
          </w:p>
        </w:tc>
        <w:tc>
          <w:tcPr>
            <w:tcW w:w="2030" w:type="dxa"/>
            <w:tcBorders>
              <w:top w:val="single" w:sz="6" w:space="0" w:color="auto"/>
              <w:left w:val="single" w:sz="6" w:space="0" w:color="auto"/>
              <w:bottom w:val="single" w:sz="6" w:space="0" w:color="auto"/>
              <w:right w:val="single" w:sz="4" w:space="0" w:color="auto"/>
            </w:tcBorders>
          </w:tcPr>
          <w:p w14:paraId="20846ED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39D221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0.69</w:t>
            </w:r>
          </w:p>
          <w:p w14:paraId="0E31D37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0.53-0.85</w:t>
            </w:r>
          </w:p>
        </w:tc>
      </w:tr>
      <w:tr w:rsidR="004321F2" w:rsidRPr="00CD1B74" w14:paraId="72F40C6E"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49F2CA18"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9 (Pain)</w:t>
            </w:r>
          </w:p>
          <w:p w14:paraId="023FC50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63773E64"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70A164C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AA4576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0.78</w:t>
            </w:r>
          </w:p>
          <w:p w14:paraId="0DBAB35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0.61-0.96</w:t>
            </w:r>
          </w:p>
        </w:tc>
        <w:tc>
          <w:tcPr>
            <w:tcW w:w="2029" w:type="dxa"/>
            <w:tcBorders>
              <w:top w:val="single" w:sz="6" w:space="0" w:color="auto"/>
              <w:left w:val="single" w:sz="6" w:space="0" w:color="auto"/>
              <w:bottom w:val="single" w:sz="6" w:space="0" w:color="auto"/>
              <w:right w:val="single" w:sz="6" w:space="0" w:color="auto"/>
            </w:tcBorders>
          </w:tcPr>
          <w:p w14:paraId="4E7FA44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1CDA85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0.82</w:t>
            </w:r>
          </w:p>
          <w:p w14:paraId="19C09B3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0.68-0.95</w:t>
            </w:r>
          </w:p>
        </w:tc>
        <w:tc>
          <w:tcPr>
            <w:tcW w:w="2030" w:type="dxa"/>
            <w:tcBorders>
              <w:top w:val="single" w:sz="6" w:space="0" w:color="auto"/>
              <w:left w:val="single" w:sz="6" w:space="0" w:color="auto"/>
              <w:bottom w:val="single" w:sz="6" w:space="0" w:color="auto"/>
              <w:right w:val="single" w:sz="4" w:space="0" w:color="auto"/>
            </w:tcBorders>
          </w:tcPr>
          <w:p w14:paraId="0D0FD6B1"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3ABF6E1"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0.80</w:t>
            </w:r>
          </w:p>
          <w:p w14:paraId="672AE08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0.70-0.91</w:t>
            </w:r>
          </w:p>
        </w:tc>
      </w:tr>
      <w:tr w:rsidR="004321F2" w:rsidRPr="00CD1B74" w14:paraId="44B6CB75"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78DC80E"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10 (Rest)</w:t>
            </w:r>
          </w:p>
          <w:p w14:paraId="354090BC"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08FD595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7A59E8D3"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645CEA7"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1F15BB0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0.40-0.86</w:t>
            </w:r>
          </w:p>
        </w:tc>
        <w:tc>
          <w:tcPr>
            <w:tcW w:w="2029" w:type="dxa"/>
            <w:tcBorders>
              <w:top w:val="single" w:sz="6" w:space="0" w:color="auto"/>
              <w:left w:val="single" w:sz="6" w:space="0" w:color="auto"/>
              <w:bottom w:val="single" w:sz="6" w:space="0" w:color="auto"/>
              <w:right w:val="single" w:sz="6" w:space="0" w:color="auto"/>
            </w:tcBorders>
          </w:tcPr>
          <w:p w14:paraId="1FB3E32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31DA46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0.55</w:t>
            </w:r>
          </w:p>
          <w:p w14:paraId="3338284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0.33-0.76</w:t>
            </w:r>
          </w:p>
        </w:tc>
        <w:tc>
          <w:tcPr>
            <w:tcW w:w="2030" w:type="dxa"/>
            <w:tcBorders>
              <w:top w:val="single" w:sz="6" w:space="0" w:color="auto"/>
              <w:left w:val="single" w:sz="6" w:space="0" w:color="auto"/>
              <w:bottom w:val="single" w:sz="6" w:space="0" w:color="auto"/>
              <w:right w:val="single" w:sz="4" w:space="0" w:color="auto"/>
            </w:tcBorders>
          </w:tcPr>
          <w:p w14:paraId="0C6F16F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CD111B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0.59</w:t>
            </w:r>
          </w:p>
          <w:p w14:paraId="1BA28436"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0.43-0.74</w:t>
            </w:r>
          </w:p>
        </w:tc>
      </w:tr>
      <w:tr w:rsidR="004321F2" w:rsidRPr="00CD1B74" w14:paraId="065E4E00"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33A8180E"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11 (Trouble sleeping)</w:t>
            </w:r>
          </w:p>
          <w:p w14:paraId="52AF8EA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401688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3513C92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3199DC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0.77</w:t>
            </w:r>
          </w:p>
          <w:p w14:paraId="18C70B1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0.62-0.93</w:t>
            </w:r>
          </w:p>
        </w:tc>
        <w:tc>
          <w:tcPr>
            <w:tcW w:w="2029" w:type="dxa"/>
            <w:tcBorders>
              <w:top w:val="single" w:sz="6" w:space="0" w:color="auto"/>
              <w:left w:val="single" w:sz="6" w:space="0" w:color="auto"/>
              <w:bottom w:val="single" w:sz="6" w:space="0" w:color="auto"/>
              <w:right w:val="single" w:sz="6" w:space="0" w:color="auto"/>
            </w:tcBorders>
          </w:tcPr>
          <w:p w14:paraId="2700B6B0"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16D4F28"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0.71</w:t>
            </w:r>
          </w:p>
          <w:p w14:paraId="3982ADD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0.55-0.87</w:t>
            </w:r>
          </w:p>
        </w:tc>
        <w:tc>
          <w:tcPr>
            <w:tcW w:w="2030" w:type="dxa"/>
            <w:tcBorders>
              <w:top w:val="single" w:sz="6" w:space="0" w:color="auto"/>
              <w:left w:val="single" w:sz="6" w:space="0" w:color="auto"/>
              <w:bottom w:val="single" w:sz="6" w:space="0" w:color="auto"/>
              <w:right w:val="single" w:sz="4" w:space="0" w:color="auto"/>
            </w:tcBorders>
          </w:tcPr>
          <w:p w14:paraId="6553D1B1"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BA0632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0.74</w:t>
            </w:r>
          </w:p>
          <w:p w14:paraId="330949B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0.63-0.85</w:t>
            </w:r>
          </w:p>
        </w:tc>
      </w:tr>
      <w:tr w:rsidR="004321F2" w:rsidRPr="00CD1B74" w14:paraId="3C777D86"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6AE2F8E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12 (Weak)</w:t>
            </w:r>
          </w:p>
          <w:p w14:paraId="20741B93"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2152A5E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7AB35E0A"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E2B9EA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0.60</w:t>
            </w:r>
          </w:p>
          <w:p w14:paraId="7A71E0E7"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0.38-0.81</w:t>
            </w:r>
          </w:p>
        </w:tc>
        <w:tc>
          <w:tcPr>
            <w:tcW w:w="2029" w:type="dxa"/>
            <w:tcBorders>
              <w:top w:val="single" w:sz="6" w:space="0" w:color="auto"/>
              <w:left w:val="single" w:sz="6" w:space="0" w:color="auto"/>
              <w:bottom w:val="single" w:sz="6" w:space="0" w:color="auto"/>
              <w:right w:val="single" w:sz="6" w:space="0" w:color="auto"/>
            </w:tcBorders>
          </w:tcPr>
          <w:p w14:paraId="7DCDEA43"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FA0FF5A"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0.41</w:t>
            </w:r>
          </w:p>
          <w:p w14:paraId="3E71190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0.19-0.63</w:t>
            </w:r>
          </w:p>
        </w:tc>
        <w:tc>
          <w:tcPr>
            <w:tcW w:w="2030" w:type="dxa"/>
            <w:tcBorders>
              <w:top w:val="single" w:sz="6" w:space="0" w:color="auto"/>
              <w:left w:val="single" w:sz="6" w:space="0" w:color="auto"/>
              <w:bottom w:val="single" w:sz="6" w:space="0" w:color="auto"/>
              <w:right w:val="single" w:sz="4" w:space="0" w:color="auto"/>
            </w:tcBorders>
          </w:tcPr>
          <w:p w14:paraId="13D9182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A7F5886"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0.52</w:t>
            </w:r>
          </w:p>
          <w:p w14:paraId="5273B87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0.36-0.68</w:t>
            </w:r>
          </w:p>
        </w:tc>
      </w:tr>
      <w:tr w:rsidR="004321F2" w:rsidRPr="00CD1B74" w14:paraId="782840AD"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4F17598B"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13 (Lack appetite)</w:t>
            </w:r>
          </w:p>
          <w:p w14:paraId="4DD2F77F"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16DA059"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5AD4EA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4AFFC3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0.85</w:t>
            </w:r>
          </w:p>
          <w:p w14:paraId="1E6CB59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0.68-1.00</w:t>
            </w:r>
          </w:p>
        </w:tc>
        <w:tc>
          <w:tcPr>
            <w:tcW w:w="2029" w:type="dxa"/>
            <w:tcBorders>
              <w:top w:val="single" w:sz="6" w:space="0" w:color="auto"/>
              <w:left w:val="single" w:sz="6" w:space="0" w:color="auto"/>
              <w:bottom w:val="single" w:sz="6" w:space="0" w:color="auto"/>
              <w:right w:val="single" w:sz="6" w:space="0" w:color="auto"/>
            </w:tcBorders>
          </w:tcPr>
          <w:p w14:paraId="4B7FE87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506831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0.74</w:t>
            </w:r>
          </w:p>
          <w:p w14:paraId="65E0AD80"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0.58-0.89</w:t>
            </w:r>
          </w:p>
        </w:tc>
        <w:tc>
          <w:tcPr>
            <w:tcW w:w="2030" w:type="dxa"/>
            <w:tcBorders>
              <w:top w:val="single" w:sz="6" w:space="0" w:color="auto"/>
              <w:left w:val="single" w:sz="6" w:space="0" w:color="auto"/>
              <w:bottom w:val="single" w:sz="6" w:space="0" w:color="auto"/>
              <w:right w:val="single" w:sz="4" w:space="0" w:color="auto"/>
            </w:tcBorders>
          </w:tcPr>
          <w:p w14:paraId="776CE9A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84CA9E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0.79</w:t>
            </w:r>
          </w:p>
          <w:p w14:paraId="201F9F20"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0.67-0.91</w:t>
            </w:r>
          </w:p>
        </w:tc>
      </w:tr>
      <w:tr w:rsidR="004321F2" w:rsidRPr="00CD1B74" w14:paraId="7B129362"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3B461393" w14:textId="77777777" w:rsidR="004321F2" w:rsidRPr="00F53684" w:rsidRDefault="004321F2" w:rsidP="00CD652E">
            <w:pPr>
              <w:jc w:val="both"/>
              <w:rPr>
                <w:rFonts w:ascii="Times New Roman" w:eastAsia="Arial" w:hAnsi="Times New Roman" w:cs="Times New Roman"/>
                <w:sz w:val="18"/>
                <w:szCs w:val="18"/>
                <w:lang w:val="pl-PL"/>
              </w:rPr>
            </w:pPr>
            <w:r w:rsidRPr="00F53684">
              <w:rPr>
                <w:rFonts w:ascii="Times New Roman" w:eastAsia="Arial" w:hAnsi="Times New Roman" w:cs="Times New Roman"/>
                <w:sz w:val="18"/>
                <w:szCs w:val="18"/>
                <w:lang w:val="pl-PL"/>
              </w:rPr>
              <w:t>Item 14 (Nausea)</w:t>
            </w:r>
          </w:p>
          <w:p w14:paraId="0A69C972" w14:textId="77777777" w:rsidR="004321F2" w:rsidRPr="00F53684" w:rsidRDefault="004321F2" w:rsidP="00CD652E">
            <w:pPr>
              <w:jc w:val="both"/>
              <w:rPr>
                <w:rFonts w:ascii="Times New Roman" w:eastAsia="Arial" w:hAnsi="Times New Roman" w:cs="Times New Roman"/>
                <w:sz w:val="18"/>
                <w:szCs w:val="18"/>
                <w:lang w:val="pl-PL"/>
              </w:rPr>
            </w:pPr>
            <w:r w:rsidRPr="00F53684">
              <w:rPr>
                <w:rFonts w:ascii="Times New Roman" w:eastAsia="Arial" w:hAnsi="Times New Roman" w:cs="Times New Roman"/>
                <w:sz w:val="18"/>
                <w:szCs w:val="18"/>
                <w:lang w:val="pl-PL"/>
              </w:rPr>
              <w:t>Weighted Kappa</w:t>
            </w:r>
          </w:p>
          <w:p w14:paraId="1761C221" w14:textId="77777777" w:rsidR="004321F2" w:rsidRPr="00F53684" w:rsidRDefault="004321F2" w:rsidP="00CD652E">
            <w:pPr>
              <w:jc w:val="both"/>
              <w:rPr>
                <w:rFonts w:ascii="Times New Roman" w:eastAsia="Arial" w:hAnsi="Times New Roman" w:cs="Times New Roman"/>
                <w:sz w:val="18"/>
                <w:szCs w:val="18"/>
                <w:lang w:val="pl-PL"/>
              </w:rPr>
            </w:pPr>
            <w:r w:rsidRPr="00F53684">
              <w:rPr>
                <w:rFonts w:ascii="Times New Roman" w:eastAsia="Arial" w:hAnsi="Times New Roman" w:cs="Times New Roman"/>
                <w:sz w:val="18"/>
                <w:szCs w:val="18"/>
                <w:lang w:val="pl-PL"/>
              </w:rPr>
              <w:t>95% CI</w:t>
            </w:r>
          </w:p>
        </w:tc>
        <w:tc>
          <w:tcPr>
            <w:tcW w:w="2029" w:type="dxa"/>
            <w:tcBorders>
              <w:top w:val="single" w:sz="6" w:space="0" w:color="auto"/>
              <w:left w:val="single" w:sz="6" w:space="0" w:color="auto"/>
              <w:bottom w:val="single" w:sz="6" w:space="0" w:color="auto"/>
              <w:right w:val="single" w:sz="6" w:space="0" w:color="auto"/>
            </w:tcBorders>
          </w:tcPr>
          <w:p w14:paraId="1C6129CE" w14:textId="77777777" w:rsidR="004321F2" w:rsidRPr="00F5368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pl-PL"/>
              </w:rPr>
            </w:pPr>
          </w:p>
          <w:p w14:paraId="568D980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0.68</w:t>
            </w:r>
          </w:p>
          <w:p w14:paraId="110F313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0.43-0.92</w:t>
            </w:r>
          </w:p>
        </w:tc>
        <w:tc>
          <w:tcPr>
            <w:tcW w:w="2029" w:type="dxa"/>
            <w:tcBorders>
              <w:top w:val="single" w:sz="6" w:space="0" w:color="auto"/>
              <w:left w:val="single" w:sz="6" w:space="0" w:color="auto"/>
              <w:bottom w:val="single" w:sz="6" w:space="0" w:color="auto"/>
              <w:right w:val="single" w:sz="6" w:space="0" w:color="auto"/>
            </w:tcBorders>
          </w:tcPr>
          <w:p w14:paraId="0EE00CE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45BF8C6"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0.87</w:t>
            </w:r>
          </w:p>
          <w:p w14:paraId="17638B4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0.73-1.00</w:t>
            </w:r>
          </w:p>
        </w:tc>
        <w:tc>
          <w:tcPr>
            <w:tcW w:w="2030" w:type="dxa"/>
            <w:tcBorders>
              <w:top w:val="single" w:sz="6" w:space="0" w:color="auto"/>
              <w:left w:val="single" w:sz="6" w:space="0" w:color="auto"/>
              <w:bottom w:val="single" w:sz="6" w:space="0" w:color="auto"/>
              <w:right w:val="single" w:sz="4" w:space="0" w:color="auto"/>
            </w:tcBorders>
          </w:tcPr>
          <w:p w14:paraId="60E2602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790B28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0.78</w:t>
            </w:r>
          </w:p>
          <w:p w14:paraId="351ED65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0.64-0.93</w:t>
            </w:r>
          </w:p>
        </w:tc>
      </w:tr>
      <w:tr w:rsidR="004321F2" w:rsidRPr="00CD1B74" w14:paraId="5B65D596"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2AD227F"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15 (Vomiting)</w:t>
            </w:r>
          </w:p>
          <w:p w14:paraId="17111A69"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062EF16F"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1F0E72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1E05CA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w:t>
            </w:r>
          </w:p>
          <w:p w14:paraId="374EF67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0.09-1.00</w:t>
            </w:r>
          </w:p>
        </w:tc>
        <w:tc>
          <w:tcPr>
            <w:tcW w:w="2029" w:type="dxa"/>
            <w:tcBorders>
              <w:top w:val="single" w:sz="6" w:space="0" w:color="auto"/>
              <w:left w:val="single" w:sz="6" w:space="0" w:color="auto"/>
              <w:bottom w:val="single" w:sz="6" w:space="0" w:color="auto"/>
              <w:right w:val="single" w:sz="6" w:space="0" w:color="auto"/>
            </w:tcBorders>
          </w:tcPr>
          <w:p w14:paraId="6B52FD5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9CEBE7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0.79</w:t>
            </w:r>
          </w:p>
          <w:p w14:paraId="3B6DA170"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0.33-1.00</w:t>
            </w:r>
          </w:p>
        </w:tc>
        <w:tc>
          <w:tcPr>
            <w:tcW w:w="2030" w:type="dxa"/>
            <w:tcBorders>
              <w:top w:val="single" w:sz="6" w:space="0" w:color="auto"/>
              <w:left w:val="single" w:sz="6" w:space="0" w:color="auto"/>
              <w:bottom w:val="single" w:sz="6" w:space="0" w:color="auto"/>
              <w:right w:val="single" w:sz="4" w:space="0" w:color="auto"/>
            </w:tcBorders>
          </w:tcPr>
          <w:p w14:paraId="77D7271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403A2A8"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0.71</w:t>
            </w:r>
          </w:p>
          <w:p w14:paraId="6A83BFE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0.32-1.00</w:t>
            </w:r>
          </w:p>
        </w:tc>
      </w:tr>
      <w:tr w:rsidR="004321F2" w:rsidRPr="00CD1B74" w14:paraId="3AC9E78F"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6CBFBF12"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16 (Constipation)</w:t>
            </w:r>
          </w:p>
          <w:p w14:paraId="1311FEBE"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4667366"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965E89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599EA1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0.87</w:t>
            </w:r>
          </w:p>
          <w:p w14:paraId="6CB53A8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0.73-1.00</w:t>
            </w:r>
          </w:p>
        </w:tc>
        <w:tc>
          <w:tcPr>
            <w:tcW w:w="2029" w:type="dxa"/>
            <w:tcBorders>
              <w:top w:val="single" w:sz="6" w:space="0" w:color="auto"/>
              <w:left w:val="single" w:sz="6" w:space="0" w:color="auto"/>
              <w:bottom w:val="single" w:sz="6" w:space="0" w:color="auto"/>
              <w:right w:val="single" w:sz="6" w:space="0" w:color="auto"/>
            </w:tcBorders>
          </w:tcPr>
          <w:p w14:paraId="7F93619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415187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0.79</w:t>
            </w:r>
          </w:p>
          <w:p w14:paraId="4858188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0.65-0.93</w:t>
            </w:r>
          </w:p>
        </w:tc>
        <w:tc>
          <w:tcPr>
            <w:tcW w:w="2030" w:type="dxa"/>
            <w:tcBorders>
              <w:top w:val="single" w:sz="6" w:space="0" w:color="auto"/>
              <w:left w:val="single" w:sz="6" w:space="0" w:color="auto"/>
              <w:bottom w:val="single" w:sz="6" w:space="0" w:color="auto"/>
              <w:right w:val="single" w:sz="4" w:space="0" w:color="auto"/>
            </w:tcBorders>
          </w:tcPr>
          <w:p w14:paraId="76B276B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782469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0.82</w:t>
            </w:r>
          </w:p>
          <w:p w14:paraId="1BDAFA8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0.73-0.92</w:t>
            </w:r>
          </w:p>
        </w:tc>
      </w:tr>
      <w:tr w:rsidR="004321F2" w:rsidRPr="00CD1B74" w14:paraId="5E221DC9"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6EC51C9B"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17 (Diarrhoea)</w:t>
            </w:r>
          </w:p>
          <w:p w14:paraId="1AE76756"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A741FF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13FC0D4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795DA2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0.79</w:t>
            </w:r>
          </w:p>
          <w:p w14:paraId="5ADF961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0.53-1.00</w:t>
            </w:r>
          </w:p>
        </w:tc>
        <w:tc>
          <w:tcPr>
            <w:tcW w:w="2029" w:type="dxa"/>
            <w:tcBorders>
              <w:top w:val="single" w:sz="6" w:space="0" w:color="auto"/>
              <w:left w:val="single" w:sz="6" w:space="0" w:color="auto"/>
              <w:bottom w:val="single" w:sz="6" w:space="0" w:color="auto"/>
              <w:right w:val="single" w:sz="6" w:space="0" w:color="auto"/>
            </w:tcBorders>
          </w:tcPr>
          <w:p w14:paraId="4E8E9EF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076428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0.75</w:t>
            </w:r>
          </w:p>
          <w:p w14:paraId="63E3F19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0.60-0.90</w:t>
            </w:r>
          </w:p>
        </w:tc>
        <w:tc>
          <w:tcPr>
            <w:tcW w:w="2030" w:type="dxa"/>
            <w:tcBorders>
              <w:top w:val="single" w:sz="6" w:space="0" w:color="auto"/>
              <w:left w:val="single" w:sz="6" w:space="0" w:color="auto"/>
              <w:bottom w:val="single" w:sz="6" w:space="0" w:color="auto"/>
              <w:right w:val="single" w:sz="4" w:space="0" w:color="auto"/>
            </w:tcBorders>
          </w:tcPr>
          <w:p w14:paraId="3AB8FE6F"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605BF7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0.77</w:t>
            </w:r>
          </w:p>
          <w:p w14:paraId="058F1B9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0.63-0.92</w:t>
            </w:r>
          </w:p>
        </w:tc>
      </w:tr>
      <w:tr w:rsidR="004321F2" w:rsidRPr="00CD1B74" w14:paraId="7AD4AAF4"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5DDD8F1F"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18 (Tired)</w:t>
            </w:r>
          </w:p>
          <w:p w14:paraId="17C86FB5"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7F722541"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90C18C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01FBFB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0.61</w:t>
            </w:r>
          </w:p>
          <w:p w14:paraId="1D09DFFD"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0.37-0.84</w:t>
            </w:r>
          </w:p>
        </w:tc>
        <w:tc>
          <w:tcPr>
            <w:tcW w:w="2029" w:type="dxa"/>
            <w:tcBorders>
              <w:top w:val="single" w:sz="6" w:space="0" w:color="auto"/>
              <w:left w:val="single" w:sz="6" w:space="0" w:color="auto"/>
              <w:bottom w:val="single" w:sz="6" w:space="0" w:color="auto"/>
              <w:right w:val="single" w:sz="6" w:space="0" w:color="auto"/>
            </w:tcBorders>
          </w:tcPr>
          <w:p w14:paraId="1EE2BBF6"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B51980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0.66</w:t>
            </w:r>
          </w:p>
          <w:p w14:paraId="0442C95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0.46-0.85</w:t>
            </w:r>
          </w:p>
        </w:tc>
        <w:tc>
          <w:tcPr>
            <w:tcW w:w="2030" w:type="dxa"/>
            <w:tcBorders>
              <w:top w:val="single" w:sz="6" w:space="0" w:color="auto"/>
              <w:left w:val="single" w:sz="6" w:space="0" w:color="auto"/>
              <w:bottom w:val="single" w:sz="6" w:space="0" w:color="auto"/>
              <w:right w:val="single" w:sz="4" w:space="0" w:color="auto"/>
            </w:tcBorders>
          </w:tcPr>
          <w:p w14:paraId="1134003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2F98C3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0A83BC1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0.48-0.79</w:t>
            </w:r>
          </w:p>
        </w:tc>
      </w:tr>
      <w:tr w:rsidR="004321F2" w:rsidRPr="00CD1B74" w14:paraId="62137904"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4BAF4D99"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19 (Pain and activity)</w:t>
            </w:r>
          </w:p>
          <w:p w14:paraId="1F40C345"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128FFBFF"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38C3158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F1D456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0.70</w:t>
            </w:r>
          </w:p>
          <w:p w14:paraId="10FCD2E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0.51-0.89</w:t>
            </w:r>
          </w:p>
        </w:tc>
        <w:tc>
          <w:tcPr>
            <w:tcW w:w="2029" w:type="dxa"/>
            <w:tcBorders>
              <w:top w:val="single" w:sz="6" w:space="0" w:color="auto"/>
              <w:left w:val="single" w:sz="6" w:space="0" w:color="auto"/>
              <w:bottom w:val="single" w:sz="6" w:space="0" w:color="auto"/>
              <w:right w:val="single" w:sz="6" w:space="0" w:color="auto"/>
            </w:tcBorders>
          </w:tcPr>
          <w:p w14:paraId="4E33576F"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2AE18A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0.68</w:t>
            </w:r>
          </w:p>
          <w:p w14:paraId="0BF4F55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0.51-0.85</w:t>
            </w:r>
          </w:p>
        </w:tc>
        <w:tc>
          <w:tcPr>
            <w:tcW w:w="2030" w:type="dxa"/>
            <w:tcBorders>
              <w:top w:val="single" w:sz="6" w:space="0" w:color="auto"/>
              <w:left w:val="single" w:sz="6" w:space="0" w:color="auto"/>
              <w:bottom w:val="single" w:sz="6" w:space="0" w:color="auto"/>
              <w:right w:val="single" w:sz="4" w:space="0" w:color="auto"/>
            </w:tcBorders>
          </w:tcPr>
          <w:p w14:paraId="4F7504A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740C37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0.69</w:t>
            </w:r>
          </w:p>
          <w:p w14:paraId="6A97F15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0.56-0.81</w:t>
            </w:r>
          </w:p>
        </w:tc>
      </w:tr>
      <w:tr w:rsidR="004321F2" w:rsidRPr="00CD1B74" w14:paraId="358821CF"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20166E70"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20 (Difficulty concentrating)</w:t>
            </w:r>
          </w:p>
          <w:p w14:paraId="17978C51"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lastRenderedPageBreak/>
              <w:t>Weighted Kappa</w:t>
            </w:r>
          </w:p>
          <w:p w14:paraId="2BEEB9CC"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005A8DB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CFA9D3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lastRenderedPageBreak/>
              <w:t>0.75</w:t>
            </w:r>
          </w:p>
          <w:p w14:paraId="256D04C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0.58-0.92</w:t>
            </w:r>
          </w:p>
        </w:tc>
        <w:tc>
          <w:tcPr>
            <w:tcW w:w="2029" w:type="dxa"/>
            <w:tcBorders>
              <w:top w:val="single" w:sz="6" w:space="0" w:color="auto"/>
              <w:left w:val="single" w:sz="6" w:space="0" w:color="auto"/>
              <w:bottom w:val="single" w:sz="6" w:space="0" w:color="auto"/>
              <w:right w:val="single" w:sz="6" w:space="0" w:color="auto"/>
            </w:tcBorders>
          </w:tcPr>
          <w:p w14:paraId="625CC29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BA32B6D"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lastRenderedPageBreak/>
              <w:t>0.65</w:t>
            </w:r>
          </w:p>
          <w:p w14:paraId="5DC5AA0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0.45-0.86</w:t>
            </w:r>
          </w:p>
        </w:tc>
        <w:tc>
          <w:tcPr>
            <w:tcW w:w="2030" w:type="dxa"/>
            <w:tcBorders>
              <w:top w:val="single" w:sz="6" w:space="0" w:color="auto"/>
              <w:left w:val="single" w:sz="6" w:space="0" w:color="auto"/>
              <w:bottom w:val="single" w:sz="6" w:space="0" w:color="auto"/>
              <w:right w:val="single" w:sz="4" w:space="0" w:color="auto"/>
            </w:tcBorders>
          </w:tcPr>
          <w:p w14:paraId="03186F37"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B6F4BF3"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lastRenderedPageBreak/>
              <w:t>0.70</w:t>
            </w:r>
          </w:p>
          <w:p w14:paraId="57C1813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0.57-0.84</w:t>
            </w:r>
          </w:p>
        </w:tc>
      </w:tr>
      <w:tr w:rsidR="004321F2" w:rsidRPr="00CD1B74" w14:paraId="3151B275" w14:textId="77777777" w:rsidTr="00CD652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4285C676"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lastRenderedPageBreak/>
              <w:t>Item 21 (Tense)</w:t>
            </w:r>
          </w:p>
          <w:p w14:paraId="211B628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2A0923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5161D6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C72AE9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66A0BD3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0.42-0.84</w:t>
            </w:r>
          </w:p>
        </w:tc>
        <w:tc>
          <w:tcPr>
            <w:tcW w:w="2029" w:type="dxa"/>
            <w:tcBorders>
              <w:top w:val="single" w:sz="6" w:space="0" w:color="auto"/>
              <w:left w:val="single" w:sz="6" w:space="0" w:color="auto"/>
              <w:bottom w:val="single" w:sz="6" w:space="0" w:color="auto"/>
              <w:right w:val="single" w:sz="6" w:space="0" w:color="auto"/>
            </w:tcBorders>
          </w:tcPr>
          <w:p w14:paraId="3F8778B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4B2FC65F"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0.62</w:t>
            </w:r>
          </w:p>
          <w:p w14:paraId="02DA10F1"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0.42-0.81</w:t>
            </w:r>
          </w:p>
        </w:tc>
        <w:tc>
          <w:tcPr>
            <w:tcW w:w="2030" w:type="dxa"/>
            <w:tcBorders>
              <w:top w:val="single" w:sz="6" w:space="0" w:color="auto"/>
              <w:left w:val="single" w:sz="6" w:space="0" w:color="auto"/>
              <w:bottom w:val="single" w:sz="6" w:space="0" w:color="auto"/>
              <w:right w:val="single" w:sz="4" w:space="0" w:color="auto"/>
            </w:tcBorders>
          </w:tcPr>
          <w:p w14:paraId="02C8ACA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793E72B"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30185A6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0.49-0.78</w:t>
            </w:r>
          </w:p>
        </w:tc>
      </w:tr>
      <w:tr w:rsidR="004321F2" w:rsidRPr="00CD1B74" w14:paraId="7A3B909E"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26380873"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22 (Worry)</w:t>
            </w:r>
          </w:p>
          <w:p w14:paraId="4EA8E45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404DB3A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7FF1EEC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F620B5A"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0.41</w:t>
            </w:r>
          </w:p>
          <w:p w14:paraId="6F5A6B6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0.17-0.65</w:t>
            </w:r>
          </w:p>
        </w:tc>
        <w:tc>
          <w:tcPr>
            <w:tcW w:w="2029" w:type="dxa"/>
            <w:tcBorders>
              <w:top w:val="single" w:sz="6" w:space="0" w:color="auto"/>
              <w:left w:val="single" w:sz="6" w:space="0" w:color="auto"/>
              <w:bottom w:val="single" w:sz="6" w:space="0" w:color="auto"/>
              <w:right w:val="single" w:sz="6" w:space="0" w:color="auto"/>
            </w:tcBorders>
          </w:tcPr>
          <w:p w14:paraId="7AD794C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B728276"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0.58</w:t>
            </w:r>
          </w:p>
          <w:p w14:paraId="3303B45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0.38-0.79</w:t>
            </w:r>
          </w:p>
        </w:tc>
        <w:tc>
          <w:tcPr>
            <w:tcW w:w="2030" w:type="dxa"/>
            <w:tcBorders>
              <w:top w:val="single" w:sz="6" w:space="0" w:color="auto"/>
              <w:left w:val="single" w:sz="6" w:space="0" w:color="auto"/>
              <w:bottom w:val="single" w:sz="6" w:space="0" w:color="auto"/>
              <w:right w:val="single" w:sz="4" w:space="0" w:color="auto"/>
            </w:tcBorders>
          </w:tcPr>
          <w:p w14:paraId="3029844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3C3A2F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0.52</w:t>
            </w:r>
          </w:p>
          <w:p w14:paraId="43504A3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0.37-0.68</w:t>
            </w:r>
          </w:p>
        </w:tc>
      </w:tr>
      <w:tr w:rsidR="004321F2" w:rsidRPr="00CD1B74" w14:paraId="77807F5C"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5A27F488"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23 (Irritable)</w:t>
            </w:r>
          </w:p>
          <w:p w14:paraId="49DCFE6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3E190FC2"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627E6AD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6D6242F"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0036E3A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0.43-0.82</w:t>
            </w:r>
          </w:p>
        </w:tc>
        <w:tc>
          <w:tcPr>
            <w:tcW w:w="2029" w:type="dxa"/>
            <w:tcBorders>
              <w:top w:val="single" w:sz="6" w:space="0" w:color="auto"/>
              <w:left w:val="single" w:sz="6" w:space="0" w:color="auto"/>
              <w:bottom w:val="single" w:sz="6" w:space="0" w:color="auto"/>
              <w:right w:val="single" w:sz="6" w:space="0" w:color="auto"/>
            </w:tcBorders>
          </w:tcPr>
          <w:p w14:paraId="54C79F68"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093B45A8"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0.67</w:t>
            </w:r>
          </w:p>
          <w:p w14:paraId="41EBFCF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0.51-0.83</w:t>
            </w:r>
          </w:p>
        </w:tc>
        <w:tc>
          <w:tcPr>
            <w:tcW w:w="2030" w:type="dxa"/>
            <w:tcBorders>
              <w:top w:val="single" w:sz="6" w:space="0" w:color="auto"/>
              <w:left w:val="single" w:sz="6" w:space="0" w:color="auto"/>
              <w:bottom w:val="single" w:sz="6" w:space="0" w:color="auto"/>
              <w:right w:val="single" w:sz="4" w:space="0" w:color="auto"/>
            </w:tcBorders>
          </w:tcPr>
          <w:p w14:paraId="1554A61D"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B756F3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1338722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0.52-0.77</w:t>
            </w:r>
          </w:p>
        </w:tc>
      </w:tr>
      <w:tr w:rsidR="004321F2" w:rsidRPr="00CD1B74" w14:paraId="7EE505FF"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7A2DEE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24 (Depressed)</w:t>
            </w:r>
          </w:p>
          <w:p w14:paraId="5E4E7F76"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047CC483"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418B859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091E8CD"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189CB14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0.48-0.82</w:t>
            </w:r>
          </w:p>
        </w:tc>
        <w:tc>
          <w:tcPr>
            <w:tcW w:w="2029" w:type="dxa"/>
            <w:tcBorders>
              <w:top w:val="single" w:sz="6" w:space="0" w:color="auto"/>
              <w:left w:val="single" w:sz="6" w:space="0" w:color="auto"/>
              <w:bottom w:val="single" w:sz="6" w:space="0" w:color="auto"/>
              <w:right w:val="single" w:sz="6" w:space="0" w:color="auto"/>
            </w:tcBorders>
          </w:tcPr>
          <w:p w14:paraId="4E48C79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91E599A"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0.90</w:t>
            </w:r>
          </w:p>
          <w:p w14:paraId="7C60500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0.79-1.00</w:t>
            </w:r>
          </w:p>
        </w:tc>
        <w:tc>
          <w:tcPr>
            <w:tcW w:w="2030" w:type="dxa"/>
            <w:tcBorders>
              <w:top w:val="single" w:sz="6" w:space="0" w:color="auto"/>
              <w:left w:val="single" w:sz="6" w:space="0" w:color="auto"/>
              <w:bottom w:val="single" w:sz="6" w:space="0" w:color="auto"/>
              <w:right w:val="single" w:sz="4" w:space="0" w:color="auto"/>
            </w:tcBorders>
          </w:tcPr>
          <w:p w14:paraId="15EBB3C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E5D986A"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0.79</w:t>
            </w:r>
          </w:p>
          <w:p w14:paraId="37ACE54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0.69-0.89</w:t>
            </w:r>
          </w:p>
        </w:tc>
      </w:tr>
      <w:tr w:rsidR="004321F2" w:rsidRPr="00CD1B74" w14:paraId="3A147864"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3323F7BB"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25 (Difficulty remembering)</w:t>
            </w:r>
          </w:p>
          <w:p w14:paraId="05E39096"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062E8132"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411EFF3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D3155E4"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w:t>
            </w:r>
          </w:p>
          <w:p w14:paraId="48B8EA2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0.53-0.93</w:t>
            </w:r>
          </w:p>
        </w:tc>
        <w:tc>
          <w:tcPr>
            <w:tcW w:w="2029" w:type="dxa"/>
            <w:tcBorders>
              <w:top w:val="single" w:sz="6" w:space="0" w:color="auto"/>
              <w:left w:val="single" w:sz="6" w:space="0" w:color="auto"/>
              <w:bottom w:val="single" w:sz="6" w:space="0" w:color="auto"/>
              <w:right w:val="single" w:sz="6" w:space="0" w:color="auto"/>
            </w:tcBorders>
          </w:tcPr>
          <w:p w14:paraId="78FC1B08"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AA5F092"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0.56</w:t>
            </w:r>
          </w:p>
          <w:p w14:paraId="4B0B1C2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0.39-0.74</w:t>
            </w:r>
          </w:p>
        </w:tc>
        <w:tc>
          <w:tcPr>
            <w:tcW w:w="2030" w:type="dxa"/>
            <w:tcBorders>
              <w:top w:val="single" w:sz="6" w:space="0" w:color="auto"/>
              <w:left w:val="single" w:sz="6" w:space="0" w:color="auto"/>
              <w:bottom w:val="single" w:sz="6" w:space="0" w:color="auto"/>
              <w:right w:val="single" w:sz="4" w:space="0" w:color="auto"/>
            </w:tcBorders>
          </w:tcPr>
          <w:p w14:paraId="0444F66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4AD207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0.64</w:t>
            </w:r>
          </w:p>
          <w:p w14:paraId="60C3294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0.51-0.78</w:t>
            </w:r>
          </w:p>
        </w:tc>
      </w:tr>
      <w:tr w:rsidR="004321F2" w:rsidRPr="00CD1B74" w14:paraId="762234FE"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3E5B731D"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26 (Family life)</w:t>
            </w:r>
          </w:p>
          <w:p w14:paraId="555BF0C2"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4330186B"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2725A7D3"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6AA41328"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0.56</w:t>
            </w:r>
          </w:p>
          <w:p w14:paraId="337FC6A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0.34-0.78</w:t>
            </w:r>
          </w:p>
        </w:tc>
        <w:tc>
          <w:tcPr>
            <w:tcW w:w="2029" w:type="dxa"/>
            <w:tcBorders>
              <w:top w:val="single" w:sz="6" w:space="0" w:color="auto"/>
              <w:left w:val="single" w:sz="6" w:space="0" w:color="auto"/>
              <w:bottom w:val="single" w:sz="6" w:space="0" w:color="auto"/>
              <w:right w:val="single" w:sz="6" w:space="0" w:color="auto"/>
            </w:tcBorders>
          </w:tcPr>
          <w:p w14:paraId="47F444A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0FA10DD"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1465942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0.44-0.86</w:t>
            </w:r>
          </w:p>
        </w:tc>
        <w:tc>
          <w:tcPr>
            <w:tcW w:w="2030" w:type="dxa"/>
            <w:tcBorders>
              <w:top w:val="single" w:sz="6" w:space="0" w:color="auto"/>
              <w:left w:val="single" w:sz="6" w:space="0" w:color="auto"/>
              <w:bottom w:val="single" w:sz="6" w:space="0" w:color="auto"/>
              <w:right w:val="single" w:sz="4" w:space="0" w:color="auto"/>
            </w:tcBorders>
          </w:tcPr>
          <w:p w14:paraId="17F05F0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B7B4960"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0.60</w:t>
            </w:r>
          </w:p>
          <w:p w14:paraId="43BAF3A7"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0.44-0.76</w:t>
            </w:r>
          </w:p>
        </w:tc>
      </w:tr>
      <w:tr w:rsidR="004321F2" w:rsidRPr="00CD1B74" w14:paraId="24BB8824"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957E09F"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27 (Social)</w:t>
            </w:r>
          </w:p>
          <w:p w14:paraId="5B510069"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4D89B561"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37002008"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AD9ABE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0.55</w:t>
            </w:r>
          </w:p>
          <w:p w14:paraId="2BA54E7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0.34-0.76</w:t>
            </w:r>
          </w:p>
        </w:tc>
        <w:tc>
          <w:tcPr>
            <w:tcW w:w="2029" w:type="dxa"/>
            <w:tcBorders>
              <w:top w:val="single" w:sz="6" w:space="0" w:color="auto"/>
              <w:left w:val="single" w:sz="6" w:space="0" w:color="auto"/>
              <w:bottom w:val="single" w:sz="6" w:space="0" w:color="auto"/>
              <w:right w:val="single" w:sz="6" w:space="0" w:color="auto"/>
            </w:tcBorders>
          </w:tcPr>
          <w:p w14:paraId="7FC0A50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C88611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0.65</w:t>
            </w:r>
          </w:p>
          <w:p w14:paraId="3701EEA6"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0.48-0.82</w:t>
            </w:r>
          </w:p>
        </w:tc>
        <w:tc>
          <w:tcPr>
            <w:tcW w:w="2030" w:type="dxa"/>
            <w:tcBorders>
              <w:top w:val="single" w:sz="6" w:space="0" w:color="auto"/>
              <w:left w:val="single" w:sz="6" w:space="0" w:color="auto"/>
              <w:bottom w:val="single" w:sz="6" w:space="0" w:color="auto"/>
              <w:right w:val="single" w:sz="4" w:space="0" w:color="auto"/>
            </w:tcBorders>
          </w:tcPr>
          <w:p w14:paraId="602D25BA"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F0D3F17"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0.60</w:t>
            </w:r>
          </w:p>
          <w:p w14:paraId="7A3A2C1F"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0.47-0.74</w:t>
            </w:r>
          </w:p>
        </w:tc>
      </w:tr>
      <w:tr w:rsidR="004321F2" w:rsidRPr="00CD1B74" w14:paraId="4E39886A"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49628FB0"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28 (Financial)</w:t>
            </w:r>
          </w:p>
          <w:p w14:paraId="652F3F22"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6095E04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70C9F75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F22552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0.49</w:t>
            </w:r>
          </w:p>
          <w:p w14:paraId="332A0BA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0.25-0.72</w:t>
            </w:r>
          </w:p>
        </w:tc>
        <w:tc>
          <w:tcPr>
            <w:tcW w:w="2029" w:type="dxa"/>
            <w:tcBorders>
              <w:top w:val="single" w:sz="6" w:space="0" w:color="auto"/>
              <w:left w:val="single" w:sz="6" w:space="0" w:color="auto"/>
              <w:bottom w:val="single" w:sz="6" w:space="0" w:color="auto"/>
              <w:right w:val="single" w:sz="6" w:space="0" w:color="auto"/>
            </w:tcBorders>
          </w:tcPr>
          <w:p w14:paraId="6F0D752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255676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0.78</w:t>
            </w:r>
          </w:p>
          <w:p w14:paraId="516D112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0.60-0.96</w:t>
            </w:r>
          </w:p>
        </w:tc>
        <w:tc>
          <w:tcPr>
            <w:tcW w:w="2030" w:type="dxa"/>
            <w:tcBorders>
              <w:top w:val="single" w:sz="6" w:space="0" w:color="auto"/>
              <w:left w:val="single" w:sz="6" w:space="0" w:color="auto"/>
              <w:bottom w:val="single" w:sz="6" w:space="0" w:color="auto"/>
              <w:right w:val="single" w:sz="4" w:space="0" w:color="auto"/>
            </w:tcBorders>
          </w:tcPr>
          <w:p w14:paraId="6038795C"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19496FC"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w:t>
            </w:r>
          </w:p>
          <w:p w14:paraId="6C71363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0.48-0.78</w:t>
            </w:r>
          </w:p>
        </w:tc>
      </w:tr>
      <w:tr w:rsidR="004321F2" w:rsidRPr="00CD1B74" w14:paraId="7FCCE2B3" w14:textId="77777777" w:rsidTr="00CD6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6" w:space="0" w:color="auto"/>
              <w:right w:val="single" w:sz="6" w:space="0" w:color="auto"/>
            </w:tcBorders>
          </w:tcPr>
          <w:p w14:paraId="10331969"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29 (Overall health)</w:t>
            </w:r>
          </w:p>
          <w:p w14:paraId="13628EE3"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471067B7"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6" w:space="0" w:color="auto"/>
              <w:right w:val="single" w:sz="6" w:space="0" w:color="auto"/>
            </w:tcBorders>
          </w:tcPr>
          <w:p w14:paraId="5B67BBB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3599F67C"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0.73</w:t>
            </w:r>
          </w:p>
          <w:p w14:paraId="6E91CF0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0.58-0.89</w:t>
            </w:r>
          </w:p>
        </w:tc>
        <w:tc>
          <w:tcPr>
            <w:tcW w:w="2029" w:type="dxa"/>
            <w:tcBorders>
              <w:top w:val="single" w:sz="6" w:space="0" w:color="auto"/>
              <w:left w:val="single" w:sz="6" w:space="0" w:color="auto"/>
              <w:bottom w:val="single" w:sz="6" w:space="0" w:color="auto"/>
              <w:right w:val="single" w:sz="6" w:space="0" w:color="auto"/>
            </w:tcBorders>
          </w:tcPr>
          <w:p w14:paraId="6AC14E62"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14E9010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0.70</w:t>
            </w:r>
          </w:p>
          <w:p w14:paraId="49D889C9"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0.54-0.86</w:t>
            </w:r>
          </w:p>
        </w:tc>
        <w:tc>
          <w:tcPr>
            <w:tcW w:w="2030" w:type="dxa"/>
            <w:tcBorders>
              <w:top w:val="single" w:sz="6" w:space="0" w:color="auto"/>
              <w:left w:val="single" w:sz="6" w:space="0" w:color="auto"/>
              <w:bottom w:val="single" w:sz="6" w:space="0" w:color="auto"/>
              <w:right w:val="single" w:sz="4" w:space="0" w:color="auto"/>
            </w:tcBorders>
          </w:tcPr>
          <w:p w14:paraId="132AB89E"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8F93BA5"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0.72</w:t>
            </w:r>
          </w:p>
          <w:p w14:paraId="3C721643" w14:textId="77777777" w:rsidR="004321F2" w:rsidRPr="00CD1B74" w:rsidRDefault="004321F2" w:rsidP="00CD652E">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0.61-0.83</w:t>
            </w:r>
          </w:p>
        </w:tc>
      </w:tr>
      <w:tr w:rsidR="004321F2" w:rsidRPr="00CD1B74" w14:paraId="5612B72B" w14:textId="77777777" w:rsidTr="00CD652E">
        <w:tc>
          <w:tcPr>
            <w:cnfStyle w:val="001000000000" w:firstRow="0" w:lastRow="0" w:firstColumn="1" w:lastColumn="0" w:oddVBand="0" w:evenVBand="0" w:oddHBand="0" w:evenHBand="0" w:firstRowFirstColumn="0" w:firstRowLastColumn="0" w:lastRowFirstColumn="0" w:lastRowLastColumn="0"/>
            <w:tcW w:w="3823" w:type="dxa"/>
            <w:tcBorders>
              <w:top w:val="single" w:sz="6" w:space="0" w:color="auto"/>
              <w:left w:val="single" w:sz="4" w:space="0" w:color="auto"/>
              <w:bottom w:val="single" w:sz="4" w:space="0" w:color="auto"/>
              <w:right w:val="single" w:sz="6" w:space="0" w:color="auto"/>
            </w:tcBorders>
          </w:tcPr>
          <w:p w14:paraId="7221EF7A"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Item 30 (Overall QoL)</w:t>
            </w:r>
          </w:p>
          <w:p w14:paraId="1AECFE4E"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Weighted Kappa</w:t>
            </w:r>
          </w:p>
          <w:p w14:paraId="10E4A7DE" w14:textId="77777777" w:rsidR="004321F2" w:rsidRPr="00CD1B74" w:rsidRDefault="004321F2" w:rsidP="00CD652E">
            <w:pPr>
              <w:jc w:val="both"/>
              <w:rPr>
                <w:rFonts w:ascii="Times New Roman" w:eastAsia="Arial" w:hAnsi="Times New Roman" w:cs="Times New Roman"/>
                <w:sz w:val="18"/>
                <w:szCs w:val="18"/>
              </w:rPr>
            </w:pPr>
            <w:r w:rsidRPr="00CD1B74">
              <w:rPr>
                <w:rFonts w:ascii="Times New Roman" w:eastAsia="Arial" w:hAnsi="Times New Roman" w:cs="Times New Roman"/>
                <w:sz w:val="18"/>
                <w:szCs w:val="18"/>
              </w:rPr>
              <w:t>95% CI</w:t>
            </w:r>
          </w:p>
        </w:tc>
        <w:tc>
          <w:tcPr>
            <w:tcW w:w="2029" w:type="dxa"/>
            <w:tcBorders>
              <w:top w:val="single" w:sz="6" w:space="0" w:color="auto"/>
              <w:left w:val="single" w:sz="6" w:space="0" w:color="auto"/>
              <w:bottom w:val="single" w:sz="4" w:space="0" w:color="auto"/>
              <w:right w:val="single" w:sz="6" w:space="0" w:color="auto"/>
            </w:tcBorders>
          </w:tcPr>
          <w:p w14:paraId="2F08A599"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9C5B007"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0.69</w:t>
            </w:r>
          </w:p>
          <w:p w14:paraId="2FFEE764"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0.56-0.83</w:t>
            </w:r>
          </w:p>
        </w:tc>
        <w:tc>
          <w:tcPr>
            <w:tcW w:w="2029" w:type="dxa"/>
            <w:tcBorders>
              <w:top w:val="single" w:sz="6" w:space="0" w:color="auto"/>
              <w:left w:val="single" w:sz="6" w:space="0" w:color="auto"/>
              <w:bottom w:val="single" w:sz="4" w:space="0" w:color="auto"/>
              <w:right w:val="single" w:sz="6" w:space="0" w:color="auto"/>
            </w:tcBorders>
          </w:tcPr>
          <w:p w14:paraId="60FFC211"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EC4DEBE"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0.77</w:t>
            </w:r>
          </w:p>
          <w:p w14:paraId="71A1ED52"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0.61-0.94</w:t>
            </w:r>
          </w:p>
        </w:tc>
        <w:tc>
          <w:tcPr>
            <w:tcW w:w="2030" w:type="dxa"/>
            <w:tcBorders>
              <w:top w:val="single" w:sz="6" w:space="0" w:color="auto"/>
              <w:left w:val="single" w:sz="6" w:space="0" w:color="auto"/>
              <w:bottom w:val="single" w:sz="4" w:space="0" w:color="auto"/>
              <w:right w:val="single" w:sz="4" w:space="0" w:color="auto"/>
            </w:tcBorders>
          </w:tcPr>
          <w:p w14:paraId="6C1A5BDF"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4A43683B"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0.74</w:t>
            </w:r>
          </w:p>
          <w:p w14:paraId="170280C5" w14:textId="77777777" w:rsidR="004321F2" w:rsidRPr="00CD1B74" w:rsidRDefault="004321F2" w:rsidP="00CD652E">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CD1B74">
              <w:rPr>
                <w:rFonts w:ascii="Times New Roman" w:eastAsia="Arial" w:hAnsi="Times New Roman" w:cs="Times New Roman"/>
                <w:sz w:val="18"/>
                <w:szCs w:val="18"/>
              </w:rPr>
              <w:t>0.63-0.85</w:t>
            </w:r>
          </w:p>
        </w:tc>
      </w:tr>
    </w:tbl>
    <w:p w14:paraId="6884978E" w14:textId="255C13C7" w:rsidR="004321F2" w:rsidRDefault="004321F2">
      <w:pPr>
        <w:rPr>
          <w:rFonts w:ascii="Times New Roman" w:hAnsi="Times New Roman" w:cs="Times New Roman"/>
          <w:b/>
        </w:rPr>
      </w:pPr>
    </w:p>
    <w:p w14:paraId="68533631" w14:textId="77777777" w:rsidR="004F3A76" w:rsidRDefault="004F3A76">
      <w:pPr>
        <w:rPr>
          <w:rFonts w:ascii="Times New Roman" w:hAnsi="Times New Roman" w:cs="Times New Roman"/>
          <w:b/>
        </w:rPr>
      </w:pPr>
    </w:p>
    <w:p w14:paraId="56460E3A" w14:textId="77777777" w:rsidR="004F3A76" w:rsidRDefault="004F3A76">
      <w:pPr>
        <w:rPr>
          <w:rFonts w:ascii="Times New Roman" w:hAnsi="Times New Roman" w:cs="Times New Roman"/>
          <w:b/>
        </w:rPr>
      </w:pPr>
    </w:p>
    <w:p w14:paraId="78239029" w14:textId="77777777" w:rsidR="004F3A76" w:rsidRDefault="004F3A76">
      <w:pPr>
        <w:rPr>
          <w:rFonts w:ascii="Times New Roman" w:hAnsi="Times New Roman" w:cs="Times New Roman"/>
          <w:b/>
        </w:rPr>
      </w:pPr>
    </w:p>
    <w:p w14:paraId="08C543C0" w14:textId="77777777" w:rsidR="004F3A76" w:rsidRDefault="004F3A76">
      <w:pPr>
        <w:rPr>
          <w:rFonts w:ascii="Times New Roman" w:hAnsi="Times New Roman" w:cs="Times New Roman"/>
          <w:b/>
        </w:rPr>
      </w:pPr>
    </w:p>
    <w:p w14:paraId="7EED6383" w14:textId="77777777" w:rsidR="004F3A76" w:rsidRDefault="004F3A76">
      <w:pPr>
        <w:rPr>
          <w:rFonts w:ascii="Times New Roman" w:hAnsi="Times New Roman" w:cs="Times New Roman"/>
          <w:b/>
        </w:rPr>
      </w:pPr>
    </w:p>
    <w:p w14:paraId="332DC16A" w14:textId="77777777" w:rsidR="004F3A76" w:rsidRDefault="004F3A76">
      <w:pPr>
        <w:rPr>
          <w:rFonts w:ascii="Times New Roman" w:hAnsi="Times New Roman" w:cs="Times New Roman"/>
          <w:b/>
        </w:rPr>
      </w:pPr>
    </w:p>
    <w:p w14:paraId="55D60FF7" w14:textId="77777777" w:rsidR="004F3A76" w:rsidRDefault="004F3A76">
      <w:pPr>
        <w:rPr>
          <w:rFonts w:ascii="Times New Roman" w:hAnsi="Times New Roman" w:cs="Times New Roman"/>
          <w:b/>
        </w:rPr>
      </w:pPr>
    </w:p>
    <w:p w14:paraId="0E05C7F0" w14:textId="77777777" w:rsidR="004F3A76" w:rsidRDefault="004F3A76">
      <w:pPr>
        <w:rPr>
          <w:rFonts w:ascii="Times New Roman" w:hAnsi="Times New Roman" w:cs="Times New Roman"/>
          <w:b/>
        </w:rPr>
      </w:pPr>
    </w:p>
    <w:p w14:paraId="30324D1F" w14:textId="77777777" w:rsidR="004F3A76" w:rsidRDefault="004F3A76">
      <w:pPr>
        <w:rPr>
          <w:rFonts w:ascii="Times New Roman" w:hAnsi="Times New Roman" w:cs="Times New Roman"/>
          <w:b/>
        </w:rPr>
      </w:pPr>
    </w:p>
    <w:p w14:paraId="79D5431D" w14:textId="77777777" w:rsidR="004F3A76" w:rsidRDefault="004F3A76">
      <w:pPr>
        <w:rPr>
          <w:rFonts w:ascii="Times New Roman" w:hAnsi="Times New Roman" w:cs="Times New Roman"/>
          <w:b/>
        </w:rPr>
      </w:pPr>
    </w:p>
    <w:p w14:paraId="06DC53E1" w14:textId="77777777" w:rsidR="004F3A76" w:rsidRDefault="004F3A76">
      <w:pPr>
        <w:rPr>
          <w:rFonts w:ascii="Times New Roman" w:hAnsi="Times New Roman" w:cs="Times New Roman"/>
          <w:b/>
        </w:rPr>
      </w:pPr>
    </w:p>
    <w:p w14:paraId="607DC9E4" w14:textId="77777777" w:rsidR="004F3A76" w:rsidRDefault="004F3A76">
      <w:pPr>
        <w:rPr>
          <w:rFonts w:ascii="Times New Roman" w:hAnsi="Times New Roman" w:cs="Times New Roman"/>
          <w:b/>
        </w:rPr>
      </w:pPr>
    </w:p>
    <w:p w14:paraId="002EE3FD" w14:textId="77777777" w:rsidR="004F3A76" w:rsidRDefault="004F3A76">
      <w:pPr>
        <w:rPr>
          <w:rFonts w:ascii="Times New Roman" w:hAnsi="Times New Roman" w:cs="Times New Roman"/>
          <w:b/>
        </w:rPr>
      </w:pPr>
    </w:p>
    <w:p w14:paraId="61BA7CAA" w14:textId="77777777" w:rsidR="00E412CA" w:rsidRDefault="00E412CA">
      <w:pPr>
        <w:rPr>
          <w:rFonts w:ascii="Times New Roman" w:hAnsi="Times New Roman" w:cs="Times New Roman"/>
          <w:b/>
        </w:rPr>
      </w:pPr>
    </w:p>
    <w:p w14:paraId="586F78C2" w14:textId="3DD2F980" w:rsidR="004321F2" w:rsidRDefault="004321F2">
      <w:pPr>
        <w:rPr>
          <w:rFonts w:ascii="Times New Roman" w:hAnsi="Times New Roman" w:cs="Times New Roman"/>
          <w:b/>
        </w:rPr>
      </w:pPr>
      <w:r>
        <w:rPr>
          <w:rFonts w:ascii="Times New Roman" w:hAnsi="Times New Roman" w:cs="Times New Roman"/>
          <w:b/>
        </w:rPr>
        <w:lastRenderedPageBreak/>
        <w:t>APPENDIX B</w:t>
      </w:r>
    </w:p>
    <w:p w14:paraId="7E092D1A" w14:textId="058B2899" w:rsidR="001B2A63" w:rsidRPr="00662FC4" w:rsidRDefault="001B2A63" w:rsidP="001B2A63">
      <w:pPr>
        <w:spacing w:line="240" w:lineRule="auto"/>
        <w:rPr>
          <w:rFonts w:ascii="Times New Roman" w:hAnsi="Times New Roman" w:cs="Times New Roman"/>
        </w:rPr>
      </w:pPr>
      <w:r>
        <w:rPr>
          <w:rFonts w:ascii="Times New Roman" w:hAnsi="Times New Roman" w:cs="Times New Roman"/>
        </w:rPr>
        <w:t>B1</w:t>
      </w:r>
      <w:r w:rsidRPr="00662FC4">
        <w:rPr>
          <w:rFonts w:ascii="Times New Roman" w:hAnsi="Times New Roman" w:cs="Times New Roman"/>
        </w:rPr>
        <w:t>. Mean differences in single item scores between paper</w:t>
      </w:r>
      <w:r>
        <w:rPr>
          <w:rFonts w:ascii="Times New Roman" w:hAnsi="Times New Roman" w:cs="Times New Roman"/>
        </w:rPr>
        <w:t>-</w:t>
      </w:r>
      <w:r w:rsidRPr="00662FC4">
        <w:rPr>
          <w:rFonts w:ascii="Times New Roman" w:hAnsi="Times New Roman" w:cs="Times New Roman"/>
        </w:rPr>
        <w:t xml:space="preserve"> and </w:t>
      </w:r>
      <w:r>
        <w:rPr>
          <w:rFonts w:ascii="Times New Roman" w:hAnsi="Times New Roman" w:cs="Times New Roman"/>
        </w:rPr>
        <w:t>phone-administered</w:t>
      </w:r>
      <w:r w:rsidRPr="00662FC4">
        <w:rPr>
          <w:rFonts w:ascii="Times New Roman" w:hAnsi="Times New Roman" w:cs="Times New Roman"/>
        </w:rPr>
        <w:t xml:space="preserve"> versions.</w:t>
      </w:r>
    </w:p>
    <w:tbl>
      <w:tblPr>
        <w:tblStyle w:val="ListTable3-Accent16"/>
        <w:tblW w:w="65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114"/>
        <w:gridCol w:w="1701"/>
        <w:gridCol w:w="1701"/>
      </w:tblGrid>
      <w:tr w:rsidR="00907F49" w:rsidRPr="00907F49" w14:paraId="4CD11A59" w14:textId="77777777" w:rsidTr="004052A2">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100" w:firstRow="0" w:lastRow="0" w:firstColumn="1" w:lastColumn="0" w:oddVBand="0" w:evenVBand="0" w:oddHBand="0" w:evenHBand="0" w:firstRowFirstColumn="1" w:firstRowLastColumn="0" w:lastRowFirstColumn="0" w:lastRowLastColumn="0"/>
            <w:tcW w:w="3114" w:type="dxa"/>
            <w:vMerge w:val="restart"/>
            <w:tcBorders>
              <w:top w:val="single" w:sz="4" w:space="0" w:color="auto"/>
              <w:bottom w:val="single" w:sz="4" w:space="0" w:color="auto"/>
            </w:tcBorders>
            <w:shd w:val="clear" w:color="auto" w:fill="auto"/>
          </w:tcPr>
          <w:p w14:paraId="570EF495" w14:textId="77777777" w:rsidR="00907F49" w:rsidRPr="00907F49" w:rsidRDefault="00907F49" w:rsidP="00907F49">
            <w:pPr>
              <w:rPr>
                <w:rFonts w:ascii="Times New Roman" w:eastAsia="Arial" w:hAnsi="Times New Roman" w:cs="Times New Roman"/>
                <w:b w:val="0"/>
                <w:bCs w:val="0"/>
                <w:sz w:val="18"/>
                <w:szCs w:val="18"/>
              </w:rPr>
            </w:pPr>
            <w:r w:rsidRPr="00907F49">
              <w:rPr>
                <w:rFonts w:ascii="Times New Roman" w:eastAsia="Arial" w:hAnsi="Times New Roman" w:cs="Times New Roman"/>
                <w:color w:val="auto"/>
                <w:sz w:val="18"/>
                <w:szCs w:val="18"/>
              </w:rPr>
              <w:t>QLQ-C30 items</w:t>
            </w:r>
          </w:p>
          <w:p w14:paraId="73C9DF9A" w14:textId="77777777" w:rsidR="00907F49" w:rsidRPr="00907F49" w:rsidRDefault="00907F49" w:rsidP="00907F49">
            <w:pPr>
              <w:rPr>
                <w:rFonts w:ascii="Times New Roman" w:eastAsia="Arial" w:hAnsi="Times New Roman" w:cs="Times New Roman"/>
                <w:b w:val="0"/>
                <w:bCs w:val="0"/>
                <w:sz w:val="18"/>
                <w:szCs w:val="18"/>
              </w:rPr>
            </w:pPr>
          </w:p>
          <w:p w14:paraId="2294113B" w14:textId="77777777" w:rsidR="00907F49" w:rsidRPr="00907F49" w:rsidRDefault="00907F49" w:rsidP="00907F49">
            <w:pPr>
              <w:rPr>
                <w:rFonts w:ascii="Times New Roman" w:eastAsia="Arial" w:hAnsi="Times New Roman" w:cs="Times New Roman"/>
                <w:sz w:val="18"/>
                <w:szCs w:val="18"/>
              </w:rPr>
            </w:pPr>
          </w:p>
        </w:tc>
        <w:tc>
          <w:tcPr>
            <w:tcW w:w="3402" w:type="dxa"/>
            <w:gridSpan w:val="2"/>
            <w:tcBorders>
              <w:top w:val="single" w:sz="4" w:space="0" w:color="auto"/>
              <w:left w:val="nil"/>
              <w:bottom w:val="nil"/>
              <w:right w:val="single" w:sz="4" w:space="0" w:color="auto"/>
            </w:tcBorders>
            <w:shd w:val="clear" w:color="auto" w:fill="auto"/>
          </w:tcPr>
          <w:p w14:paraId="2565C8B2" w14:textId="77777777" w:rsidR="00907F49" w:rsidRPr="00907F49" w:rsidRDefault="00907F49" w:rsidP="00907F49">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18"/>
                <w:szCs w:val="18"/>
              </w:rPr>
            </w:pPr>
            <w:r w:rsidRPr="00907F49">
              <w:rPr>
                <w:rFonts w:ascii="Times New Roman" w:eastAsia="Arial" w:hAnsi="Times New Roman" w:cs="Times New Roman"/>
                <w:color w:val="auto"/>
                <w:sz w:val="18"/>
                <w:szCs w:val="18"/>
              </w:rPr>
              <w:t>All patients</w:t>
            </w:r>
          </w:p>
        </w:tc>
      </w:tr>
      <w:tr w:rsidR="00907F49" w:rsidRPr="00907F49" w14:paraId="3086E330" w14:textId="77777777" w:rsidTr="004052A2">
        <w:trPr>
          <w:cnfStyle w:val="100000000000" w:firstRow="1" w:lastRow="0" w:firstColumn="0" w:lastColumn="0" w:oddVBand="0" w:evenVBand="0" w:oddHBand="0" w:evenHBand="0" w:firstRowFirstColumn="0" w:firstRowLastColumn="0" w:lastRowFirstColumn="0" w:lastRowLastColumn="0"/>
          <w:trHeight w:val="407"/>
          <w:tblHeader/>
        </w:trPr>
        <w:tc>
          <w:tcPr>
            <w:cnfStyle w:val="001000000100" w:firstRow="0" w:lastRow="0" w:firstColumn="1" w:lastColumn="0" w:oddVBand="0" w:evenVBand="0" w:oddHBand="0" w:evenHBand="0" w:firstRowFirstColumn="1" w:firstRowLastColumn="0" w:lastRowFirstColumn="0" w:lastRowLastColumn="0"/>
            <w:tcW w:w="3114" w:type="dxa"/>
            <w:vMerge/>
            <w:tcBorders>
              <w:top w:val="single" w:sz="4" w:space="0" w:color="auto"/>
              <w:bottom w:val="single" w:sz="4" w:space="0" w:color="auto"/>
            </w:tcBorders>
            <w:shd w:val="clear" w:color="auto" w:fill="auto"/>
          </w:tcPr>
          <w:p w14:paraId="0CEC9F54" w14:textId="77777777" w:rsidR="00907F49" w:rsidRPr="00907F49" w:rsidRDefault="00907F49" w:rsidP="00907F49">
            <w:pPr>
              <w:jc w:val="both"/>
              <w:rPr>
                <w:rFonts w:ascii="Times New Roman" w:eastAsia="Arial" w:hAnsi="Times New Roman" w:cs="Times New Roman"/>
                <w:sz w:val="18"/>
                <w:szCs w:val="18"/>
              </w:rPr>
            </w:pPr>
          </w:p>
        </w:tc>
        <w:tc>
          <w:tcPr>
            <w:tcW w:w="1701" w:type="dxa"/>
            <w:tcBorders>
              <w:top w:val="nil"/>
              <w:left w:val="nil"/>
              <w:bottom w:val="single" w:sz="4" w:space="0" w:color="auto"/>
              <w:right w:val="nil"/>
            </w:tcBorders>
            <w:shd w:val="clear" w:color="auto" w:fill="auto"/>
          </w:tcPr>
          <w:p w14:paraId="6CA90891" w14:textId="77777777" w:rsidR="00907F49" w:rsidRPr="00907F49" w:rsidRDefault="00907F49" w:rsidP="00907F49">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907F49">
              <w:rPr>
                <w:rFonts w:ascii="Times New Roman" w:hAnsi="Times New Roman" w:cs="Times New Roman"/>
                <w:color w:val="auto"/>
                <w:sz w:val="18"/>
              </w:rPr>
              <w:t>Paper first</w:t>
            </w:r>
          </w:p>
          <w:p w14:paraId="2BBAA594" w14:textId="77777777" w:rsidR="00907F49" w:rsidRPr="00907F49" w:rsidRDefault="00907F49" w:rsidP="00907F49">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907F49">
              <w:rPr>
                <w:rFonts w:ascii="Times New Roman" w:hAnsi="Times New Roman" w:cs="Times New Roman"/>
                <w:color w:val="auto"/>
                <w:sz w:val="18"/>
              </w:rPr>
              <w:t>(N=31)</w:t>
            </w:r>
          </w:p>
        </w:tc>
        <w:tc>
          <w:tcPr>
            <w:tcW w:w="1701" w:type="dxa"/>
            <w:tcBorders>
              <w:top w:val="nil"/>
              <w:left w:val="nil"/>
              <w:bottom w:val="single" w:sz="4" w:space="0" w:color="auto"/>
              <w:right w:val="single" w:sz="4" w:space="0" w:color="auto"/>
            </w:tcBorders>
            <w:shd w:val="clear" w:color="auto" w:fill="auto"/>
          </w:tcPr>
          <w:p w14:paraId="326EDED5" w14:textId="77777777" w:rsidR="00907F49" w:rsidRPr="00907F49" w:rsidRDefault="00907F49" w:rsidP="00907F49">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907F49">
              <w:rPr>
                <w:rFonts w:ascii="Times New Roman" w:hAnsi="Times New Roman" w:cs="Times New Roman"/>
                <w:color w:val="auto"/>
                <w:sz w:val="18"/>
              </w:rPr>
              <w:t>Phone first</w:t>
            </w:r>
          </w:p>
          <w:p w14:paraId="62675077" w14:textId="77777777" w:rsidR="00907F49" w:rsidRPr="00907F49" w:rsidRDefault="00907F49" w:rsidP="00907F49">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907F49">
              <w:rPr>
                <w:rFonts w:ascii="Times New Roman" w:hAnsi="Times New Roman" w:cs="Times New Roman"/>
                <w:color w:val="auto"/>
                <w:sz w:val="18"/>
              </w:rPr>
              <w:t>(N=32)</w:t>
            </w:r>
          </w:p>
        </w:tc>
      </w:tr>
      <w:tr w:rsidR="00907F49" w:rsidRPr="00907F49" w14:paraId="441924B1" w14:textId="77777777" w:rsidTr="004052A2">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41C668E0"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 (Strenuous activity)</w:t>
            </w:r>
          </w:p>
          <w:p w14:paraId="73B23B4E"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179A08B0" w14:textId="77777777" w:rsidR="00907F49" w:rsidRPr="00907F49" w:rsidRDefault="00907F49" w:rsidP="00907F49">
            <w:pPr>
              <w:jc w:val="both"/>
              <w:rPr>
                <w:rFonts w:ascii="Times New Roman"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0B4C0A6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F37C95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(0.66)</w:t>
            </w:r>
          </w:p>
          <w:p w14:paraId="1A32EF3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-2.00 - 1.00</w:t>
            </w:r>
          </w:p>
        </w:tc>
        <w:tc>
          <w:tcPr>
            <w:tcW w:w="1701" w:type="dxa"/>
            <w:tcBorders>
              <w:top w:val="single" w:sz="4" w:space="0" w:color="auto"/>
              <w:bottom w:val="single" w:sz="4" w:space="0" w:color="auto"/>
            </w:tcBorders>
          </w:tcPr>
          <w:p w14:paraId="2F109D4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B6F57E9"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-0.13 (0.66)</w:t>
            </w:r>
          </w:p>
          <w:p w14:paraId="698C3D5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-2.00 - 2.00</w:t>
            </w:r>
          </w:p>
        </w:tc>
      </w:tr>
      <w:tr w:rsidR="00907F49" w:rsidRPr="00907F49" w14:paraId="47703B99" w14:textId="77777777" w:rsidTr="004052A2">
        <w:trPr>
          <w:trHeight w:val="693"/>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13A1731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 (Long walk)</w:t>
            </w:r>
          </w:p>
          <w:p w14:paraId="33C91C90"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455986AC" w14:textId="77777777" w:rsidR="00907F49" w:rsidRPr="00907F49" w:rsidRDefault="00907F49" w:rsidP="00907F49">
            <w:pPr>
              <w:jc w:val="both"/>
              <w:rPr>
                <w:rFonts w:ascii="Times New Roman"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16903D78"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3692D4EC"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0.10 (0.60)</w:t>
            </w:r>
          </w:p>
          <w:p w14:paraId="39FF41A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c>
          <w:tcPr>
            <w:tcW w:w="1701" w:type="dxa"/>
            <w:tcBorders>
              <w:top w:val="single" w:sz="4" w:space="0" w:color="auto"/>
              <w:bottom w:val="single" w:sz="4" w:space="0" w:color="auto"/>
            </w:tcBorders>
          </w:tcPr>
          <w:p w14:paraId="10861D9A"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042A5B7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0.09 (0.47)</w:t>
            </w:r>
          </w:p>
          <w:p w14:paraId="68029DE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r>
      <w:tr w:rsidR="00907F49" w:rsidRPr="00907F49" w14:paraId="45AF2F1B" w14:textId="77777777" w:rsidTr="004052A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37AB3B8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3 (Short walk)</w:t>
            </w:r>
          </w:p>
          <w:p w14:paraId="3F17161D"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73B8243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7A52F97F"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5C3A65F6"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0.06 (0.25)</w:t>
            </w:r>
          </w:p>
          <w:p w14:paraId="47666CB4"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0.00 - 1.00</w:t>
            </w:r>
          </w:p>
        </w:tc>
        <w:tc>
          <w:tcPr>
            <w:tcW w:w="1701" w:type="dxa"/>
            <w:tcBorders>
              <w:top w:val="single" w:sz="4" w:space="0" w:color="auto"/>
              <w:bottom w:val="single" w:sz="4" w:space="0" w:color="auto"/>
            </w:tcBorders>
          </w:tcPr>
          <w:p w14:paraId="3F65032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213750E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(0.40)</w:t>
            </w:r>
          </w:p>
          <w:p w14:paraId="622878C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-2.00 - 1.00</w:t>
            </w:r>
          </w:p>
        </w:tc>
      </w:tr>
      <w:tr w:rsidR="00907F49" w:rsidRPr="00907F49" w14:paraId="1E0B82F8" w14:textId="77777777" w:rsidTr="004052A2">
        <w:trPr>
          <w:trHeight w:val="68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6CAF0875"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4 (Stay in bed or chair)</w:t>
            </w:r>
          </w:p>
          <w:p w14:paraId="11E44EB1"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7EAB9C36"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1894C180"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DD004F9"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0.19 (0.48)</w:t>
            </w:r>
          </w:p>
          <w:p w14:paraId="505B842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single" w:sz="4" w:space="0" w:color="auto"/>
              <w:bottom w:val="single" w:sz="4" w:space="0" w:color="auto"/>
            </w:tcBorders>
          </w:tcPr>
          <w:p w14:paraId="61E9686A"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25796B4"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-0.16 (0.45)</w:t>
            </w:r>
          </w:p>
          <w:p w14:paraId="053D5C5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2180E4F0" w14:textId="77777777" w:rsidTr="004052A2">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3AAC1B0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5 (Assistance)</w:t>
            </w:r>
          </w:p>
          <w:p w14:paraId="779547C2"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34EEDF7A"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4B002AD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6078DDB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(0.18)</w:t>
            </w:r>
          </w:p>
          <w:p w14:paraId="17DF6EC2"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0.00 - 1.00</w:t>
            </w:r>
          </w:p>
        </w:tc>
        <w:tc>
          <w:tcPr>
            <w:tcW w:w="1701" w:type="dxa"/>
            <w:tcBorders>
              <w:top w:val="single" w:sz="4" w:space="0" w:color="auto"/>
              <w:bottom w:val="single" w:sz="4" w:space="0" w:color="auto"/>
            </w:tcBorders>
          </w:tcPr>
          <w:p w14:paraId="71A8CCCF"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p w14:paraId="73C61436"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0.06 (0.25)</w:t>
            </w:r>
          </w:p>
          <w:p w14:paraId="110254E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0.00 - 1.00</w:t>
            </w:r>
          </w:p>
        </w:tc>
      </w:tr>
      <w:tr w:rsidR="00907F49" w:rsidRPr="00907F49" w14:paraId="477CC586" w14:textId="77777777" w:rsidTr="004052A2">
        <w:trPr>
          <w:trHeight w:val="705"/>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68DB80AF"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6 (Work or daily activities)</w:t>
            </w:r>
          </w:p>
          <w:p w14:paraId="47E4ADF0"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2AF1AD66"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1495FA6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8B3D47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(0.52)</w:t>
            </w:r>
          </w:p>
          <w:p w14:paraId="05EA1EDD"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single" w:sz="4" w:space="0" w:color="auto"/>
              <w:bottom w:val="single" w:sz="4" w:space="0" w:color="auto"/>
            </w:tcBorders>
          </w:tcPr>
          <w:p w14:paraId="01AECB0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9AF444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-0.19 (0.59)</w:t>
            </w:r>
          </w:p>
          <w:p w14:paraId="43DB19E2"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60DF1AF7" w14:textId="77777777" w:rsidTr="004052A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18B2780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7 (Hobbies)</w:t>
            </w:r>
          </w:p>
          <w:p w14:paraId="11B36FED"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2BD9803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52194CE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2FA8CC62"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(0.55)</w:t>
            </w:r>
          </w:p>
          <w:p w14:paraId="79B58C7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c>
          <w:tcPr>
            <w:tcW w:w="1701" w:type="dxa"/>
            <w:tcBorders>
              <w:top w:val="single" w:sz="4" w:space="0" w:color="auto"/>
              <w:bottom w:val="single" w:sz="4" w:space="0" w:color="auto"/>
            </w:tcBorders>
          </w:tcPr>
          <w:p w14:paraId="44DB7CCA"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334F2215"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-0.16 (0.57)</w:t>
            </w:r>
          </w:p>
          <w:p w14:paraId="7DDB4B2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r>
      <w:tr w:rsidR="00907F49" w:rsidRPr="00907F49" w14:paraId="28D02AFB" w14:textId="77777777" w:rsidTr="004052A2">
        <w:trPr>
          <w:trHeight w:val="696"/>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6A1A630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8 (Short of breath)</w:t>
            </w:r>
          </w:p>
          <w:p w14:paraId="1156C41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48AD5C1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3DB24E2C"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7C6DBED4"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0.06 (0.51)</w:t>
            </w:r>
          </w:p>
          <w:p w14:paraId="193ECAD9"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c>
          <w:tcPr>
            <w:tcW w:w="1701" w:type="dxa"/>
            <w:tcBorders>
              <w:top w:val="single" w:sz="4" w:space="0" w:color="auto"/>
              <w:bottom w:val="single" w:sz="4" w:space="0" w:color="auto"/>
            </w:tcBorders>
          </w:tcPr>
          <w:p w14:paraId="18F895D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13982222"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-0.25 (0.44)</w:t>
            </w:r>
          </w:p>
          <w:p w14:paraId="4E62367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-1.00 - 0.00</w:t>
            </w:r>
          </w:p>
        </w:tc>
      </w:tr>
      <w:tr w:rsidR="00907F49" w:rsidRPr="00907F49" w14:paraId="47A7CB6D" w14:textId="77777777" w:rsidTr="004052A2">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550D980E"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9 (Pain)</w:t>
            </w:r>
          </w:p>
          <w:p w14:paraId="058F25C2"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5FA840B1"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54C6AF8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65479C3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0.10 (0.54)</w:t>
            </w:r>
          </w:p>
          <w:p w14:paraId="0741A8B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-1.00 - 2.00</w:t>
            </w:r>
          </w:p>
        </w:tc>
        <w:tc>
          <w:tcPr>
            <w:tcW w:w="1701" w:type="dxa"/>
            <w:tcBorders>
              <w:top w:val="single" w:sz="4" w:space="0" w:color="auto"/>
              <w:bottom w:val="single" w:sz="4" w:space="0" w:color="auto"/>
            </w:tcBorders>
          </w:tcPr>
          <w:p w14:paraId="7CF2B5D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p w14:paraId="0637FEB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0.00 (0.44)</w:t>
            </w:r>
          </w:p>
          <w:p w14:paraId="2D343A28"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r>
      <w:tr w:rsidR="00907F49" w:rsidRPr="00907F49" w14:paraId="7943CD7A"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0B33E599"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10 (Rest)</w:t>
            </w:r>
          </w:p>
          <w:p w14:paraId="60FBDF9E"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p w14:paraId="39BEA3B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single" w:sz="4" w:space="0" w:color="auto"/>
              <w:bottom w:val="single" w:sz="4" w:space="0" w:color="auto"/>
            </w:tcBorders>
          </w:tcPr>
          <w:p w14:paraId="619B6BDC"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2285C299"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(0.60)</w:t>
            </w:r>
          </w:p>
          <w:p w14:paraId="00871BBC"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-2.00 - 1.00</w:t>
            </w:r>
          </w:p>
        </w:tc>
        <w:tc>
          <w:tcPr>
            <w:tcW w:w="1701" w:type="dxa"/>
            <w:tcBorders>
              <w:top w:val="single" w:sz="4" w:space="0" w:color="auto"/>
              <w:bottom w:val="single" w:sz="4" w:space="0" w:color="auto"/>
            </w:tcBorders>
          </w:tcPr>
          <w:p w14:paraId="5A3FBEF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p w14:paraId="5A8D97AB"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-0.31 (0.69)</w:t>
            </w:r>
          </w:p>
          <w:p w14:paraId="05005830"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-2.00 - 1.00</w:t>
            </w:r>
          </w:p>
        </w:tc>
      </w:tr>
      <w:tr w:rsidR="00907F49" w:rsidRPr="00907F49" w14:paraId="1B7081BA"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392EA952"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11 (Trouble sleeping)</w:t>
            </w:r>
          </w:p>
        </w:tc>
        <w:tc>
          <w:tcPr>
            <w:tcW w:w="1701" w:type="dxa"/>
            <w:tcBorders>
              <w:top w:val="single" w:sz="4" w:space="0" w:color="auto"/>
              <w:bottom w:val="nil"/>
            </w:tcBorders>
          </w:tcPr>
          <w:p w14:paraId="4E228D2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18"/>
                <w:szCs w:val="18"/>
              </w:rPr>
            </w:pPr>
          </w:p>
        </w:tc>
        <w:tc>
          <w:tcPr>
            <w:tcW w:w="1701" w:type="dxa"/>
            <w:tcBorders>
              <w:top w:val="single" w:sz="4" w:space="0" w:color="auto"/>
              <w:bottom w:val="nil"/>
            </w:tcBorders>
          </w:tcPr>
          <w:p w14:paraId="1E8CD26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18"/>
                <w:szCs w:val="18"/>
              </w:rPr>
            </w:pPr>
          </w:p>
        </w:tc>
      </w:tr>
      <w:tr w:rsidR="00907F49" w:rsidRPr="00907F49" w14:paraId="7CB7393B"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62D7AE9"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59D11B4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(0.48)</w:t>
            </w:r>
          </w:p>
        </w:tc>
        <w:tc>
          <w:tcPr>
            <w:tcW w:w="1701" w:type="dxa"/>
            <w:tcBorders>
              <w:top w:val="nil"/>
              <w:bottom w:val="nil"/>
            </w:tcBorders>
          </w:tcPr>
          <w:p w14:paraId="46105C7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-0.22 (0.61)</w:t>
            </w:r>
          </w:p>
        </w:tc>
      </w:tr>
      <w:tr w:rsidR="00907F49" w:rsidRPr="00907F49" w14:paraId="171F043E" w14:textId="77777777" w:rsidTr="004052A2">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1C1B9900"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69C9658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c>
          <w:tcPr>
            <w:tcW w:w="1701" w:type="dxa"/>
            <w:tcBorders>
              <w:top w:val="nil"/>
              <w:bottom w:val="single" w:sz="4" w:space="0" w:color="auto"/>
            </w:tcBorders>
          </w:tcPr>
          <w:p w14:paraId="6E498FD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-2.00 - 1.00</w:t>
            </w:r>
          </w:p>
        </w:tc>
      </w:tr>
      <w:tr w:rsidR="00907F49" w:rsidRPr="00907F49" w14:paraId="797FC84A"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BF284B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12 (Weak)</w:t>
            </w:r>
          </w:p>
        </w:tc>
        <w:tc>
          <w:tcPr>
            <w:tcW w:w="1701" w:type="dxa"/>
            <w:tcBorders>
              <w:top w:val="single" w:sz="4" w:space="0" w:color="auto"/>
              <w:bottom w:val="nil"/>
            </w:tcBorders>
          </w:tcPr>
          <w:p w14:paraId="41DADB5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041D778B"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907F49" w:rsidRPr="00907F49" w14:paraId="3196D013"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3633B2F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7864D5B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0.06 (0.73)</w:t>
            </w:r>
          </w:p>
        </w:tc>
        <w:tc>
          <w:tcPr>
            <w:tcW w:w="1701" w:type="dxa"/>
            <w:tcBorders>
              <w:top w:val="nil"/>
              <w:bottom w:val="nil"/>
            </w:tcBorders>
          </w:tcPr>
          <w:p w14:paraId="4F66B0B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-0.09 (0.73)</w:t>
            </w:r>
          </w:p>
        </w:tc>
      </w:tr>
      <w:tr w:rsidR="00907F49" w:rsidRPr="00907F49" w14:paraId="50500DD3" w14:textId="77777777" w:rsidTr="004052A2">
        <w:trPr>
          <w:trHeight w:val="215"/>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01B9301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387684E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-2.00 - 2.00</w:t>
            </w:r>
          </w:p>
        </w:tc>
        <w:tc>
          <w:tcPr>
            <w:tcW w:w="1701" w:type="dxa"/>
            <w:tcBorders>
              <w:top w:val="nil"/>
              <w:bottom w:val="single" w:sz="4" w:space="0" w:color="auto"/>
            </w:tcBorders>
          </w:tcPr>
          <w:p w14:paraId="35D53B48"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r>
      <w:tr w:rsidR="00907F49" w:rsidRPr="00907F49" w14:paraId="675E5D7E"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2A2F3B3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13 (Lack appetite)</w:t>
            </w:r>
          </w:p>
        </w:tc>
        <w:tc>
          <w:tcPr>
            <w:tcW w:w="1701" w:type="dxa"/>
            <w:tcBorders>
              <w:top w:val="single" w:sz="4" w:space="0" w:color="auto"/>
              <w:bottom w:val="nil"/>
            </w:tcBorders>
          </w:tcPr>
          <w:p w14:paraId="71002FA1"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18"/>
                <w:szCs w:val="18"/>
              </w:rPr>
            </w:pPr>
          </w:p>
        </w:tc>
        <w:tc>
          <w:tcPr>
            <w:tcW w:w="1701" w:type="dxa"/>
            <w:tcBorders>
              <w:top w:val="single" w:sz="4" w:space="0" w:color="auto"/>
              <w:bottom w:val="nil"/>
            </w:tcBorders>
          </w:tcPr>
          <w:p w14:paraId="2F30349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sz w:val="18"/>
                <w:szCs w:val="18"/>
              </w:rPr>
            </w:pPr>
          </w:p>
        </w:tc>
      </w:tr>
      <w:tr w:rsidR="00907F49" w:rsidRPr="00907F49" w14:paraId="71ABC61D"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2A35A66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673DB26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0.10 (0.30)</w:t>
            </w:r>
          </w:p>
        </w:tc>
        <w:tc>
          <w:tcPr>
            <w:tcW w:w="1701" w:type="dxa"/>
            <w:tcBorders>
              <w:top w:val="nil"/>
              <w:bottom w:val="nil"/>
            </w:tcBorders>
          </w:tcPr>
          <w:p w14:paraId="44F121D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(0.44)</w:t>
            </w:r>
          </w:p>
        </w:tc>
      </w:tr>
      <w:tr w:rsidR="00907F49" w:rsidRPr="00907F49" w14:paraId="60EAF962" w14:textId="77777777" w:rsidTr="004052A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65DC294A"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4A28E54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0.00 - 1.00</w:t>
            </w:r>
          </w:p>
        </w:tc>
        <w:tc>
          <w:tcPr>
            <w:tcW w:w="1701" w:type="dxa"/>
            <w:tcBorders>
              <w:top w:val="nil"/>
              <w:bottom w:val="single" w:sz="4" w:space="0" w:color="auto"/>
            </w:tcBorders>
          </w:tcPr>
          <w:p w14:paraId="1DF1D0F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r>
      <w:tr w:rsidR="00907F49" w:rsidRPr="00907F49" w14:paraId="0D6F5771"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316E1A6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14 (Nausea)</w:t>
            </w:r>
          </w:p>
        </w:tc>
        <w:tc>
          <w:tcPr>
            <w:tcW w:w="1701" w:type="dxa"/>
            <w:tcBorders>
              <w:top w:val="single" w:sz="4" w:space="0" w:color="auto"/>
              <w:bottom w:val="nil"/>
            </w:tcBorders>
          </w:tcPr>
          <w:p w14:paraId="67F7367B"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11F209D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907F49" w:rsidRPr="00907F49" w14:paraId="08D1DFFF"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037A4C9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05D8FBB9"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0.19 (0.48)</w:t>
            </w:r>
          </w:p>
        </w:tc>
        <w:tc>
          <w:tcPr>
            <w:tcW w:w="1701" w:type="dxa"/>
            <w:tcBorders>
              <w:top w:val="nil"/>
              <w:bottom w:val="nil"/>
            </w:tcBorders>
          </w:tcPr>
          <w:p w14:paraId="703DAAE4"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-0.09 (0.30)</w:t>
            </w:r>
          </w:p>
        </w:tc>
      </w:tr>
      <w:tr w:rsidR="00907F49" w:rsidRPr="00907F49" w14:paraId="310EF83A" w14:textId="77777777" w:rsidTr="004052A2">
        <w:trPr>
          <w:trHeight w:val="138"/>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768AF42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4BC5770D"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0.00 - 2.00</w:t>
            </w:r>
          </w:p>
        </w:tc>
        <w:tc>
          <w:tcPr>
            <w:tcW w:w="1701" w:type="dxa"/>
            <w:tcBorders>
              <w:top w:val="nil"/>
              <w:bottom w:val="single" w:sz="4" w:space="0" w:color="auto"/>
            </w:tcBorders>
          </w:tcPr>
          <w:p w14:paraId="7175035D"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-1.00 - 0.00</w:t>
            </w:r>
          </w:p>
        </w:tc>
      </w:tr>
      <w:tr w:rsidR="00907F49" w:rsidRPr="00907F49" w14:paraId="3C5BB2F6"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2655A336"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15 (Vomiting)</w:t>
            </w:r>
          </w:p>
        </w:tc>
        <w:tc>
          <w:tcPr>
            <w:tcW w:w="1701" w:type="dxa"/>
            <w:tcBorders>
              <w:top w:val="single" w:sz="4" w:space="0" w:color="auto"/>
              <w:bottom w:val="nil"/>
            </w:tcBorders>
          </w:tcPr>
          <w:p w14:paraId="3E6315C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7A482260"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5DFB2536"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24ED6B66"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433DEE5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0.06 (0.36)</w:t>
            </w:r>
          </w:p>
        </w:tc>
        <w:tc>
          <w:tcPr>
            <w:tcW w:w="1701" w:type="dxa"/>
            <w:tcBorders>
              <w:top w:val="nil"/>
              <w:bottom w:val="nil"/>
            </w:tcBorders>
          </w:tcPr>
          <w:p w14:paraId="39ED419E"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(0.18)</w:t>
            </w:r>
          </w:p>
        </w:tc>
      </w:tr>
      <w:tr w:rsidR="00907F49" w:rsidRPr="00907F49" w14:paraId="1A3C5F4C" w14:textId="77777777" w:rsidTr="004052A2">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06CF682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5DDB6A58"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0.00 - 2.00</w:t>
            </w:r>
          </w:p>
        </w:tc>
        <w:tc>
          <w:tcPr>
            <w:tcW w:w="1701" w:type="dxa"/>
            <w:tcBorders>
              <w:top w:val="nil"/>
              <w:bottom w:val="single" w:sz="4" w:space="0" w:color="auto"/>
            </w:tcBorders>
          </w:tcPr>
          <w:p w14:paraId="458BAB6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-1.00 - 0.00</w:t>
            </w:r>
          </w:p>
        </w:tc>
      </w:tr>
      <w:tr w:rsidR="00907F49" w:rsidRPr="00907F49" w14:paraId="287CB229"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920B34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16 (Constipation)</w:t>
            </w:r>
          </w:p>
        </w:tc>
        <w:tc>
          <w:tcPr>
            <w:tcW w:w="1701" w:type="dxa"/>
            <w:tcBorders>
              <w:top w:val="single" w:sz="4" w:space="0" w:color="auto"/>
              <w:bottom w:val="nil"/>
            </w:tcBorders>
          </w:tcPr>
          <w:p w14:paraId="1689E43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4304C169"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907F49" w:rsidRPr="00907F49" w14:paraId="0EBC9160"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2CBA0A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68DE93EF"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(0.31)</w:t>
            </w:r>
          </w:p>
        </w:tc>
        <w:tc>
          <w:tcPr>
            <w:tcW w:w="1701" w:type="dxa"/>
            <w:tcBorders>
              <w:top w:val="nil"/>
              <w:bottom w:val="nil"/>
            </w:tcBorders>
          </w:tcPr>
          <w:p w14:paraId="3DDE284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-0.06 (0.44)</w:t>
            </w:r>
          </w:p>
        </w:tc>
      </w:tr>
      <w:tr w:rsidR="00907F49" w:rsidRPr="00907F49" w14:paraId="4D1FD4F3" w14:textId="77777777" w:rsidTr="004052A2">
        <w:trPr>
          <w:trHeight w:val="215"/>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7321D85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7475012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nil"/>
              <w:bottom w:val="single" w:sz="4" w:space="0" w:color="auto"/>
            </w:tcBorders>
          </w:tcPr>
          <w:p w14:paraId="47BA321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7E907970"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59394425"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17 (Diarrhoea)</w:t>
            </w:r>
          </w:p>
        </w:tc>
        <w:tc>
          <w:tcPr>
            <w:tcW w:w="1701" w:type="dxa"/>
            <w:tcBorders>
              <w:top w:val="single" w:sz="4" w:space="0" w:color="auto"/>
              <w:bottom w:val="nil"/>
            </w:tcBorders>
          </w:tcPr>
          <w:p w14:paraId="04F81F6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3DDA6639"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083260BA"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078FAAA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single" w:sz="4" w:space="0" w:color="auto"/>
            </w:tcBorders>
          </w:tcPr>
          <w:p w14:paraId="2D91E6E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(0.60)</w:t>
            </w:r>
          </w:p>
        </w:tc>
        <w:tc>
          <w:tcPr>
            <w:tcW w:w="1701" w:type="dxa"/>
            <w:tcBorders>
              <w:top w:val="nil"/>
              <w:bottom w:val="single" w:sz="4" w:space="0" w:color="auto"/>
            </w:tcBorders>
          </w:tcPr>
          <w:p w14:paraId="51536ABB"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-0.13 (0.42)</w:t>
            </w:r>
          </w:p>
        </w:tc>
      </w:tr>
      <w:tr w:rsidR="00907F49" w:rsidRPr="00907F49" w14:paraId="65C1042E" w14:textId="77777777" w:rsidTr="004052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tcPr>
          <w:p w14:paraId="0FB57C6A"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lastRenderedPageBreak/>
              <w:t>Min - Max</w:t>
            </w:r>
          </w:p>
        </w:tc>
        <w:tc>
          <w:tcPr>
            <w:tcW w:w="1701" w:type="dxa"/>
            <w:tcBorders>
              <w:top w:val="single" w:sz="4" w:space="0" w:color="auto"/>
              <w:bottom w:val="single" w:sz="4" w:space="0" w:color="auto"/>
            </w:tcBorders>
          </w:tcPr>
          <w:p w14:paraId="4072B4D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-3.00 - 1.00</w:t>
            </w:r>
          </w:p>
        </w:tc>
        <w:tc>
          <w:tcPr>
            <w:tcW w:w="1701" w:type="dxa"/>
            <w:tcBorders>
              <w:top w:val="single" w:sz="4" w:space="0" w:color="auto"/>
              <w:bottom w:val="single" w:sz="4" w:space="0" w:color="auto"/>
            </w:tcBorders>
          </w:tcPr>
          <w:p w14:paraId="0B9171A2"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3AFAC0C7"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38CA389F"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18 (Tired)</w:t>
            </w:r>
          </w:p>
        </w:tc>
        <w:tc>
          <w:tcPr>
            <w:tcW w:w="1701" w:type="dxa"/>
            <w:tcBorders>
              <w:top w:val="single" w:sz="4" w:space="0" w:color="auto"/>
              <w:bottom w:val="nil"/>
            </w:tcBorders>
          </w:tcPr>
          <w:p w14:paraId="40EAF26B"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1062D7BA"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p>
        </w:tc>
      </w:tr>
      <w:tr w:rsidR="00907F49" w:rsidRPr="00907F49" w14:paraId="03958CE6"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0C273B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7EDD78F5"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(0.55)</w:t>
            </w:r>
          </w:p>
        </w:tc>
        <w:tc>
          <w:tcPr>
            <w:tcW w:w="1701" w:type="dxa"/>
            <w:tcBorders>
              <w:top w:val="nil"/>
              <w:bottom w:val="nil"/>
            </w:tcBorders>
          </w:tcPr>
          <w:p w14:paraId="11765488"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-0.16 (0.51)</w:t>
            </w:r>
          </w:p>
        </w:tc>
      </w:tr>
      <w:tr w:rsidR="00907F49" w:rsidRPr="00907F49" w14:paraId="56B2722A"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1B4AFC7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26C441D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nil"/>
              <w:bottom w:val="single" w:sz="4" w:space="0" w:color="auto"/>
            </w:tcBorders>
          </w:tcPr>
          <w:p w14:paraId="521DA792"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32A0FAE8"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6D2A53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19 (Pain and activity)</w:t>
            </w:r>
          </w:p>
        </w:tc>
        <w:tc>
          <w:tcPr>
            <w:tcW w:w="1701" w:type="dxa"/>
            <w:tcBorders>
              <w:top w:val="single" w:sz="4" w:space="0" w:color="auto"/>
              <w:bottom w:val="nil"/>
            </w:tcBorders>
          </w:tcPr>
          <w:p w14:paraId="2A187D9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08976241"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3FEEE5C6"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64C65EF6"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2935E48D"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(0.55)</w:t>
            </w:r>
          </w:p>
        </w:tc>
        <w:tc>
          <w:tcPr>
            <w:tcW w:w="1701" w:type="dxa"/>
            <w:tcBorders>
              <w:top w:val="nil"/>
              <w:bottom w:val="nil"/>
            </w:tcBorders>
          </w:tcPr>
          <w:p w14:paraId="138DBF4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0.09 (0.64)</w:t>
            </w:r>
          </w:p>
        </w:tc>
      </w:tr>
      <w:tr w:rsidR="00907F49" w:rsidRPr="00907F49" w14:paraId="3C4B418F" w14:textId="77777777" w:rsidTr="004052A2">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4AF1A982"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3400AC21"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nil"/>
              <w:bottom w:val="single" w:sz="4" w:space="0" w:color="auto"/>
            </w:tcBorders>
          </w:tcPr>
          <w:p w14:paraId="18D847E8"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r>
      <w:tr w:rsidR="00907F49" w:rsidRPr="00907F49" w14:paraId="20D4672E"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2E1EE03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20 (Difficulty concentrating)</w:t>
            </w:r>
          </w:p>
        </w:tc>
        <w:tc>
          <w:tcPr>
            <w:tcW w:w="1701" w:type="dxa"/>
            <w:tcBorders>
              <w:top w:val="single" w:sz="4" w:space="0" w:color="auto"/>
              <w:bottom w:val="nil"/>
            </w:tcBorders>
          </w:tcPr>
          <w:p w14:paraId="718C92F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38EE162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075713AC"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0F870C1B"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4AE82AB8"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-0.16 (0.45)</w:t>
            </w:r>
          </w:p>
        </w:tc>
        <w:tc>
          <w:tcPr>
            <w:tcW w:w="1701" w:type="dxa"/>
            <w:tcBorders>
              <w:top w:val="nil"/>
              <w:bottom w:val="nil"/>
            </w:tcBorders>
          </w:tcPr>
          <w:p w14:paraId="47BBB68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-0.19 (0.59)</w:t>
            </w:r>
          </w:p>
        </w:tc>
      </w:tr>
      <w:tr w:rsidR="00907F49" w:rsidRPr="00907F49" w14:paraId="7648A231" w14:textId="77777777" w:rsidTr="004052A2">
        <w:trPr>
          <w:trHeight w:val="132"/>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329A55C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65DA424E"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c>
          <w:tcPr>
            <w:tcW w:w="1701" w:type="dxa"/>
            <w:tcBorders>
              <w:top w:val="nil"/>
              <w:bottom w:val="single" w:sz="4" w:space="0" w:color="auto"/>
            </w:tcBorders>
          </w:tcPr>
          <w:p w14:paraId="012EAA5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-2.00 - 1.00</w:t>
            </w:r>
          </w:p>
        </w:tc>
      </w:tr>
      <w:tr w:rsidR="00907F49" w:rsidRPr="00907F49" w14:paraId="2BC21935"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5B83178E"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21 (Tense)</w:t>
            </w:r>
          </w:p>
        </w:tc>
        <w:tc>
          <w:tcPr>
            <w:tcW w:w="1701" w:type="dxa"/>
            <w:tcBorders>
              <w:top w:val="single" w:sz="4" w:space="0" w:color="auto"/>
              <w:bottom w:val="nil"/>
            </w:tcBorders>
          </w:tcPr>
          <w:p w14:paraId="4F2B7B3A"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5223355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0B7FBC6C"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04DCE7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53F748C8"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-0.06 (0.51)</w:t>
            </w:r>
          </w:p>
        </w:tc>
        <w:tc>
          <w:tcPr>
            <w:tcW w:w="1701" w:type="dxa"/>
            <w:tcBorders>
              <w:top w:val="nil"/>
              <w:bottom w:val="nil"/>
            </w:tcBorders>
          </w:tcPr>
          <w:p w14:paraId="50B00369"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-0.13 (0.75)</w:t>
            </w:r>
          </w:p>
        </w:tc>
      </w:tr>
      <w:tr w:rsidR="00907F49" w:rsidRPr="00907F49" w14:paraId="75173A71" w14:textId="77777777" w:rsidTr="004052A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3E6C3694"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5876A035"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nil"/>
              <w:bottom w:val="single" w:sz="4" w:space="0" w:color="auto"/>
            </w:tcBorders>
          </w:tcPr>
          <w:p w14:paraId="59ED064A"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-2.00 - 2.00</w:t>
            </w:r>
          </w:p>
        </w:tc>
      </w:tr>
      <w:tr w:rsidR="00907F49" w:rsidRPr="00907F49" w14:paraId="25A81943"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72A010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22 (Worry)</w:t>
            </w:r>
          </w:p>
        </w:tc>
        <w:tc>
          <w:tcPr>
            <w:tcW w:w="1701" w:type="dxa"/>
            <w:tcBorders>
              <w:top w:val="single" w:sz="4" w:space="0" w:color="auto"/>
              <w:bottom w:val="nil"/>
            </w:tcBorders>
          </w:tcPr>
          <w:p w14:paraId="41764CAC"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7268483C"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6262A02B"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3CDDF5B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2A28F155"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(0.75)</w:t>
            </w:r>
          </w:p>
        </w:tc>
        <w:tc>
          <w:tcPr>
            <w:tcW w:w="1701" w:type="dxa"/>
            <w:tcBorders>
              <w:top w:val="nil"/>
              <w:bottom w:val="nil"/>
            </w:tcBorders>
          </w:tcPr>
          <w:p w14:paraId="7FBF2104"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-0.22 (0.75)</w:t>
            </w:r>
          </w:p>
        </w:tc>
      </w:tr>
      <w:tr w:rsidR="00907F49" w:rsidRPr="00907F49" w14:paraId="56D81DDD" w14:textId="77777777" w:rsidTr="004052A2">
        <w:trPr>
          <w:trHeight w:val="167"/>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7CA78C6D"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42C326A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-1.00 - 2.00</w:t>
            </w:r>
          </w:p>
        </w:tc>
        <w:tc>
          <w:tcPr>
            <w:tcW w:w="1701" w:type="dxa"/>
            <w:tcBorders>
              <w:top w:val="nil"/>
              <w:bottom w:val="single" w:sz="4" w:space="0" w:color="auto"/>
            </w:tcBorders>
          </w:tcPr>
          <w:p w14:paraId="53AE0A90"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-2.00 - 1.00</w:t>
            </w:r>
          </w:p>
        </w:tc>
      </w:tr>
      <w:tr w:rsidR="00907F49" w:rsidRPr="00907F49" w14:paraId="72932410"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3BFE822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23 (Irritable)</w:t>
            </w:r>
          </w:p>
        </w:tc>
        <w:tc>
          <w:tcPr>
            <w:tcW w:w="1701" w:type="dxa"/>
            <w:tcBorders>
              <w:top w:val="single" w:sz="4" w:space="0" w:color="auto"/>
              <w:bottom w:val="nil"/>
            </w:tcBorders>
          </w:tcPr>
          <w:p w14:paraId="2DD4B87D"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54B65978"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08CB83D9"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11DB60FE"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2824A86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-0.13 (0.56)</w:t>
            </w:r>
          </w:p>
        </w:tc>
        <w:tc>
          <w:tcPr>
            <w:tcW w:w="1701" w:type="dxa"/>
            <w:tcBorders>
              <w:top w:val="nil"/>
              <w:bottom w:val="nil"/>
            </w:tcBorders>
          </w:tcPr>
          <w:p w14:paraId="215D0668"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-0.16 (0.51)</w:t>
            </w:r>
          </w:p>
        </w:tc>
      </w:tr>
      <w:tr w:rsidR="00907F49" w:rsidRPr="00907F49" w14:paraId="3E39A693" w14:textId="77777777" w:rsidTr="004052A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028DDAED"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17146754"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c>
          <w:tcPr>
            <w:tcW w:w="1701" w:type="dxa"/>
            <w:tcBorders>
              <w:top w:val="nil"/>
              <w:bottom w:val="single" w:sz="4" w:space="0" w:color="auto"/>
            </w:tcBorders>
          </w:tcPr>
          <w:p w14:paraId="04CCC1F6"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066B8941"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44B835AF"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24 (Depressed)</w:t>
            </w:r>
          </w:p>
        </w:tc>
        <w:tc>
          <w:tcPr>
            <w:tcW w:w="1701" w:type="dxa"/>
            <w:tcBorders>
              <w:top w:val="single" w:sz="4" w:space="0" w:color="auto"/>
              <w:bottom w:val="nil"/>
            </w:tcBorders>
          </w:tcPr>
          <w:p w14:paraId="69F06412"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463BFD2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17E446F5"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667D2C0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6B0FB35B"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0.10 (0.54)</w:t>
            </w:r>
          </w:p>
        </w:tc>
        <w:tc>
          <w:tcPr>
            <w:tcW w:w="1701" w:type="dxa"/>
            <w:tcBorders>
              <w:top w:val="nil"/>
              <w:bottom w:val="nil"/>
            </w:tcBorders>
          </w:tcPr>
          <w:p w14:paraId="54609295"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(0.31)</w:t>
            </w:r>
          </w:p>
        </w:tc>
      </w:tr>
      <w:tr w:rsidR="00907F49" w:rsidRPr="00907F49" w14:paraId="5CD309F7" w14:textId="77777777" w:rsidTr="004052A2">
        <w:trPr>
          <w:trHeight w:val="9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2B82DCE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566150B9"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c>
          <w:tcPr>
            <w:tcW w:w="1701" w:type="dxa"/>
            <w:tcBorders>
              <w:top w:val="nil"/>
              <w:bottom w:val="single" w:sz="4" w:space="0" w:color="auto"/>
            </w:tcBorders>
          </w:tcPr>
          <w:p w14:paraId="6E62BBFF"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-1.00 - 1.00</w:t>
            </w:r>
          </w:p>
        </w:tc>
      </w:tr>
      <w:tr w:rsidR="00907F49" w:rsidRPr="00907F49" w14:paraId="0CE30F2A"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27322AF7"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25 (Difficulty remembering)</w:t>
            </w:r>
          </w:p>
        </w:tc>
        <w:tc>
          <w:tcPr>
            <w:tcW w:w="1701" w:type="dxa"/>
            <w:tcBorders>
              <w:top w:val="single" w:sz="4" w:space="0" w:color="auto"/>
              <w:bottom w:val="nil"/>
            </w:tcBorders>
          </w:tcPr>
          <w:p w14:paraId="4AA6FE3A"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0373CF44"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0B997884"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7DC97F3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362273B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(0.55)</w:t>
            </w:r>
          </w:p>
        </w:tc>
        <w:tc>
          <w:tcPr>
            <w:tcW w:w="1701" w:type="dxa"/>
            <w:tcBorders>
              <w:top w:val="nil"/>
              <w:bottom w:val="nil"/>
            </w:tcBorders>
          </w:tcPr>
          <w:p w14:paraId="62BD19F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(0.65)</w:t>
            </w:r>
          </w:p>
        </w:tc>
      </w:tr>
      <w:tr w:rsidR="00907F49" w:rsidRPr="00907F49" w14:paraId="2761A1CD" w14:textId="77777777" w:rsidTr="004052A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19B10F6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38A7FB9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c>
          <w:tcPr>
            <w:tcW w:w="1701" w:type="dxa"/>
            <w:tcBorders>
              <w:top w:val="nil"/>
              <w:bottom w:val="single" w:sz="4" w:space="0" w:color="auto"/>
            </w:tcBorders>
          </w:tcPr>
          <w:p w14:paraId="1F6CAE26"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-1.00 - 1.00</w:t>
            </w:r>
          </w:p>
        </w:tc>
      </w:tr>
      <w:tr w:rsidR="00907F49" w:rsidRPr="00907F49" w14:paraId="1A273D96"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6788FF9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26 (Family life)</w:t>
            </w:r>
          </w:p>
        </w:tc>
        <w:tc>
          <w:tcPr>
            <w:tcW w:w="1701" w:type="dxa"/>
            <w:tcBorders>
              <w:top w:val="single" w:sz="4" w:space="0" w:color="auto"/>
              <w:bottom w:val="nil"/>
            </w:tcBorders>
          </w:tcPr>
          <w:p w14:paraId="0DC19CE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57ACC5A5"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090C451F"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6E725385"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32FAFFB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0.39 (0.76)</w:t>
            </w:r>
          </w:p>
        </w:tc>
        <w:tc>
          <w:tcPr>
            <w:tcW w:w="1701" w:type="dxa"/>
            <w:tcBorders>
              <w:top w:val="nil"/>
              <w:bottom w:val="nil"/>
            </w:tcBorders>
          </w:tcPr>
          <w:p w14:paraId="6230E69F"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0.00 (0.62)</w:t>
            </w:r>
          </w:p>
        </w:tc>
      </w:tr>
      <w:tr w:rsidR="00907F49" w:rsidRPr="00907F49" w14:paraId="6956C549" w14:textId="77777777" w:rsidTr="004052A2">
        <w:trPr>
          <w:trHeight w:val="167"/>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36C46432"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274492E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-1.00 - 3.00</w:t>
            </w:r>
          </w:p>
        </w:tc>
        <w:tc>
          <w:tcPr>
            <w:tcW w:w="1701" w:type="dxa"/>
            <w:tcBorders>
              <w:top w:val="nil"/>
              <w:bottom w:val="single" w:sz="4" w:space="0" w:color="auto"/>
            </w:tcBorders>
          </w:tcPr>
          <w:p w14:paraId="0CC47F5D"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-2.00 - 1.00</w:t>
            </w:r>
          </w:p>
        </w:tc>
      </w:tr>
      <w:tr w:rsidR="00907F49" w:rsidRPr="00907F49" w14:paraId="65A63099"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40DB6BB1"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27 (Social)</w:t>
            </w:r>
          </w:p>
        </w:tc>
        <w:tc>
          <w:tcPr>
            <w:tcW w:w="1701" w:type="dxa"/>
            <w:tcBorders>
              <w:top w:val="single" w:sz="4" w:space="0" w:color="auto"/>
              <w:bottom w:val="nil"/>
            </w:tcBorders>
          </w:tcPr>
          <w:p w14:paraId="3CBF4DE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121C604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32795131" w14:textId="77777777" w:rsidTr="004052A2">
        <w:trPr>
          <w:trHeight w:val="8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33A34F40"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1B2412C8"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0.19 (0.70)</w:t>
            </w:r>
          </w:p>
        </w:tc>
        <w:tc>
          <w:tcPr>
            <w:tcW w:w="1701" w:type="dxa"/>
            <w:tcBorders>
              <w:top w:val="nil"/>
              <w:bottom w:val="nil"/>
            </w:tcBorders>
          </w:tcPr>
          <w:p w14:paraId="51F155E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-0.06 (0.67)</w:t>
            </w:r>
          </w:p>
        </w:tc>
      </w:tr>
      <w:tr w:rsidR="00907F49" w:rsidRPr="00907F49" w14:paraId="33E6DAD0"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732C8935"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0E98B03E"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-2.00 - 1.00</w:t>
            </w:r>
          </w:p>
        </w:tc>
        <w:tc>
          <w:tcPr>
            <w:tcW w:w="1701" w:type="dxa"/>
            <w:tcBorders>
              <w:top w:val="nil"/>
              <w:bottom w:val="single" w:sz="4" w:space="0" w:color="auto"/>
            </w:tcBorders>
          </w:tcPr>
          <w:p w14:paraId="12ADE2EA"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-2.00 - 1.00</w:t>
            </w:r>
          </w:p>
        </w:tc>
      </w:tr>
      <w:tr w:rsidR="00907F49" w:rsidRPr="00907F49" w14:paraId="4C0A9CDA"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3A65330E"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28 (Financial)</w:t>
            </w:r>
          </w:p>
        </w:tc>
        <w:tc>
          <w:tcPr>
            <w:tcW w:w="1701" w:type="dxa"/>
            <w:tcBorders>
              <w:top w:val="single" w:sz="4" w:space="0" w:color="auto"/>
              <w:bottom w:val="nil"/>
            </w:tcBorders>
          </w:tcPr>
          <w:p w14:paraId="57648397"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46191A1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11495451"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E302F6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2996BACA"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0.32 (0.91)</w:t>
            </w:r>
          </w:p>
        </w:tc>
        <w:tc>
          <w:tcPr>
            <w:tcW w:w="1701" w:type="dxa"/>
            <w:tcBorders>
              <w:top w:val="nil"/>
              <w:bottom w:val="nil"/>
            </w:tcBorders>
          </w:tcPr>
          <w:p w14:paraId="16889859"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0.16 (0.37)</w:t>
            </w:r>
          </w:p>
        </w:tc>
      </w:tr>
      <w:tr w:rsidR="00907F49" w:rsidRPr="00907F49" w14:paraId="252D1DD6" w14:textId="77777777" w:rsidTr="004052A2">
        <w:trPr>
          <w:trHeight w:val="89"/>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453473ED"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08503666"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-2.00 - 2.00</w:t>
            </w:r>
          </w:p>
        </w:tc>
        <w:tc>
          <w:tcPr>
            <w:tcW w:w="1701" w:type="dxa"/>
            <w:tcBorders>
              <w:top w:val="nil"/>
              <w:bottom w:val="single" w:sz="4" w:space="0" w:color="auto"/>
            </w:tcBorders>
          </w:tcPr>
          <w:p w14:paraId="08439EBB"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0.00 - 1.00</w:t>
            </w:r>
          </w:p>
        </w:tc>
      </w:tr>
      <w:tr w:rsidR="00907F49" w:rsidRPr="00907F49" w14:paraId="103C87AD"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4EDE7388"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29 (Overall health)</w:t>
            </w:r>
          </w:p>
        </w:tc>
        <w:tc>
          <w:tcPr>
            <w:tcW w:w="1701" w:type="dxa"/>
            <w:tcBorders>
              <w:top w:val="single" w:sz="4" w:space="0" w:color="auto"/>
              <w:bottom w:val="nil"/>
            </w:tcBorders>
          </w:tcPr>
          <w:p w14:paraId="47030B9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c>
          <w:tcPr>
            <w:tcW w:w="1701" w:type="dxa"/>
            <w:tcBorders>
              <w:top w:val="single" w:sz="4" w:space="0" w:color="auto"/>
              <w:bottom w:val="nil"/>
            </w:tcBorders>
          </w:tcPr>
          <w:p w14:paraId="5AE14C64"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p>
        </w:tc>
      </w:tr>
      <w:tr w:rsidR="00907F49" w:rsidRPr="00907F49" w14:paraId="04CE43B5"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7D2DA82C"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5B99A641"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-0.02 (0.64)</w:t>
            </w:r>
          </w:p>
        </w:tc>
        <w:tc>
          <w:tcPr>
            <w:tcW w:w="1701" w:type="dxa"/>
            <w:tcBorders>
              <w:top w:val="nil"/>
              <w:bottom w:val="nil"/>
            </w:tcBorders>
          </w:tcPr>
          <w:p w14:paraId="308BF8A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-0.03 (0.78)</w:t>
            </w:r>
          </w:p>
        </w:tc>
      </w:tr>
      <w:tr w:rsidR="00907F49" w:rsidRPr="00907F49" w14:paraId="5A7B7985" w14:textId="77777777" w:rsidTr="004052A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78083CF5"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6F178AC5"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-1.00 - 2.00</w:t>
            </w:r>
          </w:p>
        </w:tc>
        <w:tc>
          <w:tcPr>
            <w:tcW w:w="1701" w:type="dxa"/>
            <w:tcBorders>
              <w:top w:val="nil"/>
              <w:bottom w:val="single" w:sz="4" w:space="0" w:color="auto"/>
            </w:tcBorders>
          </w:tcPr>
          <w:p w14:paraId="7533ACDC"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-2.00 - 2.00</w:t>
            </w:r>
          </w:p>
        </w:tc>
      </w:tr>
      <w:tr w:rsidR="00907F49" w:rsidRPr="00907F49" w14:paraId="1F5FDF98" w14:textId="77777777" w:rsidTr="004052A2">
        <w:trPr>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4DF1B80F"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Item 30 (Overall QoL)</w:t>
            </w:r>
          </w:p>
        </w:tc>
        <w:tc>
          <w:tcPr>
            <w:tcW w:w="1701" w:type="dxa"/>
            <w:tcBorders>
              <w:top w:val="single" w:sz="4" w:space="0" w:color="auto"/>
              <w:bottom w:val="nil"/>
            </w:tcBorders>
          </w:tcPr>
          <w:p w14:paraId="4D2F01FF"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c>
          <w:tcPr>
            <w:tcW w:w="1701" w:type="dxa"/>
            <w:tcBorders>
              <w:top w:val="single" w:sz="4" w:space="0" w:color="auto"/>
              <w:bottom w:val="nil"/>
            </w:tcBorders>
          </w:tcPr>
          <w:p w14:paraId="1F6C78B8"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p>
        </w:tc>
      </w:tr>
      <w:tr w:rsidR="00907F49" w:rsidRPr="00907F49" w14:paraId="63FA1AEA" w14:textId="77777777" w:rsidTr="004052A2">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3C119F43"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Mean (SD)</w:t>
            </w:r>
          </w:p>
        </w:tc>
        <w:tc>
          <w:tcPr>
            <w:tcW w:w="1701" w:type="dxa"/>
            <w:tcBorders>
              <w:top w:val="nil"/>
              <w:bottom w:val="nil"/>
            </w:tcBorders>
          </w:tcPr>
          <w:p w14:paraId="0B17AD6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-0.06 (0.73)</w:t>
            </w:r>
          </w:p>
        </w:tc>
        <w:tc>
          <w:tcPr>
            <w:tcW w:w="1701" w:type="dxa"/>
            <w:tcBorders>
              <w:top w:val="nil"/>
              <w:bottom w:val="nil"/>
            </w:tcBorders>
          </w:tcPr>
          <w:p w14:paraId="2663F6A7" w14:textId="77777777" w:rsidR="00907F49" w:rsidRPr="00907F49" w:rsidRDefault="00907F49" w:rsidP="00907F49">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rPr>
            </w:pPr>
            <w:r w:rsidRPr="00907F49">
              <w:rPr>
                <w:rFonts w:ascii="Times New Roman" w:eastAsia="Arial" w:hAnsi="Times New Roman" w:cs="Times New Roman"/>
                <w:sz w:val="18"/>
                <w:szCs w:val="18"/>
              </w:rPr>
              <w:t>-0.03 (0.82)</w:t>
            </w:r>
          </w:p>
        </w:tc>
      </w:tr>
      <w:tr w:rsidR="00907F49" w:rsidRPr="00907F49" w14:paraId="6398088E" w14:textId="77777777" w:rsidTr="004052A2">
        <w:trPr>
          <w:trHeight w:val="153"/>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tcPr>
          <w:p w14:paraId="0CE77055" w14:textId="77777777" w:rsidR="00907F49" w:rsidRPr="00907F49" w:rsidRDefault="00907F49" w:rsidP="00907F49">
            <w:pPr>
              <w:jc w:val="both"/>
              <w:rPr>
                <w:rFonts w:ascii="Times New Roman" w:eastAsia="Arial" w:hAnsi="Times New Roman" w:cs="Times New Roman"/>
                <w:sz w:val="18"/>
                <w:szCs w:val="18"/>
              </w:rPr>
            </w:pPr>
            <w:r w:rsidRPr="00907F49">
              <w:rPr>
                <w:rFonts w:ascii="Times New Roman" w:eastAsia="Arial" w:hAnsi="Times New Roman" w:cs="Times New Roman"/>
                <w:sz w:val="18"/>
                <w:szCs w:val="18"/>
              </w:rPr>
              <w:t>Min - Max</w:t>
            </w:r>
          </w:p>
        </w:tc>
        <w:tc>
          <w:tcPr>
            <w:tcW w:w="1701" w:type="dxa"/>
            <w:tcBorders>
              <w:top w:val="nil"/>
              <w:bottom w:val="single" w:sz="4" w:space="0" w:color="auto"/>
            </w:tcBorders>
          </w:tcPr>
          <w:p w14:paraId="25CD20E2"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-1.00 - 2.00</w:t>
            </w:r>
          </w:p>
        </w:tc>
        <w:tc>
          <w:tcPr>
            <w:tcW w:w="1701" w:type="dxa"/>
            <w:tcBorders>
              <w:top w:val="nil"/>
              <w:bottom w:val="single" w:sz="4" w:space="0" w:color="auto"/>
            </w:tcBorders>
          </w:tcPr>
          <w:p w14:paraId="497333D3" w14:textId="77777777" w:rsidR="00907F49" w:rsidRPr="00907F49" w:rsidRDefault="00907F49" w:rsidP="00907F49">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18"/>
                <w:szCs w:val="18"/>
              </w:rPr>
            </w:pPr>
            <w:r w:rsidRPr="00907F49">
              <w:rPr>
                <w:rFonts w:ascii="Times New Roman" w:eastAsia="Arial" w:hAnsi="Times New Roman" w:cs="Times New Roman"/>
                <w:bCs/>
                <w:sz w:val="18"/>
                <w:szCs w:val="18"/>
              </w:rPr>
              <w:t>-3.00 - 2.00</w:t>
            </w:r>
          </w:p>
        </w:tc>
      </w:tr>
    </w:tbl>
    <w:p w14:paraId="35C4A380" w14:textId="77777777" w:rsidR="001B2A63" w:rsidRDefault="001B2A63" w:rsidP="001B2A63">
      <w:pPr>
        <w:rPr>
          <w:rFonts w:ascii="Times New Roman" w:hAnsi="Times New Roman" w:cs="Times New Roman"/>
          <w:b/>
        </w:rPr>
      </w:pPr>
      <w:r>
        <w:rPr>
          <w:rFonts w:ascii="Times New Roman" w:hAnsi="Times New Roman" w:cs="Times New Roman"/>
          <w:b/>
        </w:rPr>
        <w:br w:type="textWrapping" w:clear="all"/>
      </w:r>
    </w:p>
    <w:p w14:paraId="0C609DB3" w14:textId="77777777" w:rsidR="004321F2" w:rsidRPr="00DB5172" w:rsidRDefault="004321F2">
      <w:pPr>
        <w:rPr>
          <w:rFonts w:ascii="Times New Roman" w:hAnsi="Times New Roman" w:cs="Times New Roman"/>
          <w:b/>
        </w:rPr>
      </w:pPr>
    </w:p>
    <w:sectPr w:rsidR="004321F2" w:rsidRPr="00DB5172" w:rsidSect="003E74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BED49" w14:textId="77777777" w:rsidR="00E44629" w:rsidRDefault="00E44629" w:rsidP="00C62E3F">
      <w:pPr>
        <w:spacing w:after="0" w:line="240" w:lineRule="auto"/>
      </w:pPr>
      <w:r>
        <w:separator/>
      </w:r>
    </w:p>
  </w:endnote>
  <w:endnote w:type="continuationSeparator" w:id="0">
    <w:p w14:paraId="362C1533" w14:textId="77777777" w:rsidR="00E44629" w:rsidRDefault="00E44629" w:rsidP="00C6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879728"/>
      <w:docPartObj>
        <w:docPartGallery w:val="Page Numbers (Bottom of Page)"/>
        <w:docPartUnique/>
      </w:docPartObj>
    </w:sdtPr>
    <w:sdtEndPr>
      <w:rPr>
        <w:noProof/>
      </w:rPr>
    </w:sdtEndPr>
    <w:sdtContent>
      <w:p w14:paraId="38E00788" w14:textId="26D3C39C" w:rsidR="00E44629" w:rsidRDefault="00E44629">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58DBFF5" w14:textId="77777777" w:rsidR="00E44629" w:rsidRDefault="00E44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65BBD" w14:textId="77777777" w:rsidR="00E44629" w:rsidRDefault="00E44629" w:rsidP="00C62E3F">
      <w:pPr>
        <w:spacing w:after="0" w:line="240" w:lineRule="auto"/>
      </w:pPr>
      <w:r>
        <w:separator/>
      </w:r>
    </w:p>
  </w:footnote>
  <w:footnote w:type="continuationSeparator" w:id="0">
    <w:p w14:paraId="1908C122" w14:textId="77777777" w:rsidR="00E44629" w:rsidRDefault="00E44629" w:rsidP="00C62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4312D"/>
    <w:multiLevelType w:val="hybridMultilevel"/>
    <w:tmpl w:val="B482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AC5CCF"/>
    <w:multiLevelType w:val="hybridMultilevel"/>
    <w:tmpl w:val="81540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5F"/>
    <w:rsid w:val="000064CA"/>
    <w:rsid w:val="00012366"/>
    <w:rsid w:val="0001369D"/>
    <w:rsid w:val="00014687"/>
    <w:rsid w:val="0001752C"/>
    <w:rsid w:val="000178A3"/>
    <w:rsid w:val="0002505F"/>
    <w:rsid w:val="00036450"/>
    <w:rsid w:val="000429ED"/>
    <w:rsid w:val="00054955"/>
    <w:rsid w:val="0007150B"/>
    <w:rsid w:val="0007156D"/>
    <w:rsid w:val="00071F9D"/>
    <w:rsid w:val="00080BC1"/>
    <w:rsid w:val="00082721"/>
    <w:rsid w:val="00083DF6"/>
    <w:rsid w:val="00083F99"/>
    <w:rsid w:val="000933C5"/>
    <w:rsid w:val="00095ADA"/>
    <w:rsid w:val="000B6ABA"/>
    <w:rsid w:val="000C6BCF"/>
    <w:rsid w:val="000D0045"/>
    <w:rsid w:val="000D6B4D"/>
    <w:rsid w:val="000D6D3C"/>
    <w:rsid w:val="000E3F9C"/>
    <w:rsid w:val="000E46FE"/>
    <w:rsid w:val="000E53D8"/>
    <w:rsid w:val="000E6C59"/>
    <w:rsid w:val="00101A27"/>
    <w:rsid w:val="001022B3"/>
    <w:rsid w:val="00106B42"/>
    <w:rsid w:val="00114188"/>
    <w:rsid w:val="00120204"/>
    <w:rsid w:val="00125925"/>
    <w:rsid w:val="00132BB0"/>
    <w:rsid w:val="00141E79"/>
    <w:rsid w:val="00144EE9"/>
    <w:rsid w:val="001469B2"/>
    <w:rsid w:val="00171187"/>
    <w:rsid w:val="001745B2"/>
    <w:rsid w:val="00182A1B"/>
    <w:rsid w:val="00185041"/>
    <w:rsid w:val="00190E02"/>
    <w:rsid w:val="00190EED"/>
    <w:rsid w:val="00192AA6"/>
    <w:rsid w:val="001A1E15"/>
    <w:rsid w:val="001A1E8B"/>
    <w:rsid w:val="001B2A63"/>
    <w:rsid w:val="001D084E"/>
    <w:rsid w:val="001D24B5"/>
    <w:rsid w:val="001D34E2"/>
    <w:rsid w:val="001D7BAD"/>
    <w:rsid w:val="001E03AD"/>
    <w:rsid w:val="001E4C2C"/>
    <w:rsid w:val="001F21FC"/>
    <w:rsid w:val="001F4076"/>
    <w:rsid w:val="001F6592"/>
    <w:rsid w:val="001F671F"/>
    <w:rsid w:val="00202B2A"/>
    <w:rsid w:val="002078A3"/>
    <w:rsid w:val="00207C33"/>
    <w:rsid w:val="00210989"/>
    <w:rsid w:val="002147DA"/>
    <w:rsid w:val="00224081"/>
    <w:rsid w:val="00226A9A"/>
    <w:rsid w:val="002321E8"/>
    <w:rsid w:val="00237CD9"/>
    <w:rsid w:val="002411B3"/>
    <w:rsid w:val="0026543A"/>
    <w:rsid w:val="002659F4"/>
    <w:rsid w:val="0027665A"/>
    <w:rsid w:val="00286293"/>
    <w:rsid w:val="00286D05"/>
    <w:rsid w:val="002964F2"/>
    <w:rsid w:val="00297B75"/>
    <w:rsid w:val="002B2937"/>
    <w:rsid w:val="002C276F"/>
    <w:rsid w:val="002D530C"/>
    <w:rsid w:val="002E0324"/>
    <w:rsid w:val="002E0A08"/>
    <w:rsid w:val="002E1D5A"/>
    <w:rsid w:val="002E2E69"/>
    <w:rsid w:val="002E5578"/>
    <w:rsid w:val="002E5F92"/>
    <w:rsid w:val="0031337D"/>
    <w:rsid w:val="00313667"/>
    <w:rsid w:val="00333CF8"/>
    <w:rsid w:val="00335CA9"/>
    <w:rsid w:val="00343667"/>
    <w:rsid w:val="00347DE6"/>
    <w:rsid w:val="00354613"/>
    <w:rsid w:val="00364848"/>
    <w:rsid w:val="00393719"/>
    <w:rsid w:val="00394E40"/>
    <w:rsid w:val="003D2C5A"/>
    <w:rsid w:val="003D3E42"/>
    <w:rsid w:val="003E7481"/>
    <w:rsid w:val="003F2695"/>
    <w:rsid w:val="003F6FEE"/>
    <w:rsid w:val="0040064F"/>
    <w:rsid w:val="0040397B"/>
    <w:rsid w:val="004052A2"/>
    <w:rsid w:val="00406592"/>
    <w:rsid w:val="0041195C"/>
    <w:rsid w:val="004212EB"/>
    <w:rsid w:val="004215CE"/>
    <w:rsid w:val="004216AB"/>
    <w:rsid w:val="004257F7"/>
    <w:rsid w:val="00426068"/>
    <w:rsid w:val="004321F2"/>
    <w:rsid w:val="0043791E"/>
    <w:rsid w:val="00443673"/>
    <w:rsid w:val="00444732"/>
    <w:rsid w:val="00447FD0"/>
    <w:rsid w:val="00454EEB"/>
    <w:rsid w:val="00472460"/>
    <w:rsid w:val="00481737"/>
    <w:rsid w:val="004859CD"/>
    <w:rsid w:val="00487935"/>
    <w:rsid w:val="0049241A"/>
    <w:rsid w:val="004952BA"/>
    <w:rsid w:val="00496EA0"/>
    <w:rsid w:val="004A06A7"/>
    <w:rsid w:val="004A121A"/>
    <w:rsid w:val="004A2EDF"/>
    <w:rsid w:val="004A3F6B"/>
    <w:rsid w:val="004B1975"/>
    <w:rsid w:val="004D0D4C"/>
    <w:rsid w:val="004D2688"/>
    <w:rsid w:val="004F3A76"/>
    <w:rsid w:val="00501FC3"/>
    <w:rsid w:val="005123C2"/>
    <w:rsid w:val="005146D7"/>
    <w:rsid w:val="005279DC"/>
    <w:rsid w:val="005404D7"/>
    <w:rsid w:val="00541A88"/>
    <w:rsid w:val="0055436F"/>
    <w:rsid w:val="005767A8"/>
    <w:rsid w:val="00592429"/>
    <w:rsid w:val="00597FD4"/>
    <w:rsid w:val="005A2879"/>
    <w:rsid w:val="005D0B93"/>
    <w:rsid w:val="005D40B6"/>
    <w:rsid w:val="005E6350"/>
    <w:rsid w:val="005E6E31"/>
    <w:rsid w:val="005F04CB"/>
    <w:rsid w:val="0060010A"/>
    <w:rsid w:val="006058AF"/>
    <w:rsid w:val="00614299"/>
    <w:rsid w:val="00620EDF"/>
    <w:rsid w:val="00621568"/>
    <w:rsid w:val="00654E2E"/>
    <w:rsid w:val="00662FC4"/>
    <w:rsid w:val="006823E4"/>
    <w:rsid w:val="006903D7"/>
    <w:rsid w:val="00690494"/>
    <w:rsid w:val="006A23D1"/>
    <w:rsid w:val="006A5CE4"/>
    <w:rsid w:val="006B4F28"/>
    <w:rsid w:val="006B57DE"/>
    <w:rsid w:val="006C3D74"/>
    <w:rsid w:val="006C7BFC"/>
    <w:rsid w:val="006D5585"/>
    <w:rsid w:val="006D5B73"/>
    <w:rsid w:val="006E2D4C"/>
    <w:rsid w:val="006E5A8D"/>
    <w:rsid w:val="006F4892"/>
    <w:rsid w:val="00700746"/>
    <w:rsid w:val="00704C0B"/>
    <w:rsid w:val="00711A57"/>
    <w:rsid w:val="00712973"/>
    <w:rsid w:val="007144DA"/>
    <w:rsid w:val="0072311F"/>
    <w:rsid w:val="007274DF"/>
    <w:rsid w:val="00731C19"/>
    <w:rsid w:val="0073728F"/>
    <w:rsid w:val="00743652"/>
    <w:rsid w:val="007444AF"/>
    <w:rsid w:val="0075134C"/>
    <w:rsid w:val="0075457A"/>
    <w:rsid w:val="00755BA1"/>
    <w:rsid w:val="0076558C"/>
    <w:rsid w:val="0077149B"/>
    <w:rsid w:val="0078034F"/>
    <w:rsid w:val="00791385"/>
    <w:rsid w:val="0079704C"/>
    <w:rsid w:val="007A379C"/>
    <w:rsid w:val="007A59DD"/>
    <w:rsid w:val="007A5C4E"/>
    <w:rsid w:val="007A6B1D"/>
    <w:rsid w:val="007E20E9"/>
    <w:rsid w:val="007E59C6"/>
    <w:rsid w:val="007F64E4"/>
    <w:rsid w:val="00800A3C"/>
    <w:rsid w:val="0080498C"/>
    <w:rsid w:val="0080660A"/>
    <w:rsid w:val="00807C11"/>
    <w:rsid w:val="00826942"/>
    <w:rsid w:val="00827C13"/>
    <w:rsid w:val="0083266D"/>
    <w:rsid w:val="00843E52"/>
    <w:rsid w:val="00843F87"/>
    <w:rsid w:val="00861A77"/>
    <w:rsid w:val="0087020D"/>
    <w:rsid w:val="00876CFD"/>
    <w:rsid w:val="00882532"/>
    <w:rsid w:val="00883703"/>
    <w:rsid w:val="00883BF8"/>
    <w:rsid w:val="00890DFD"/>
    <w:rsid w:val="0089173D"/>
    <w:rsid w:val="00892D24"/>
    <w:rsid w:val="008A7F56"/>
    <w:rsid w:val="008B19F1"/>
    <w:rsid w:val="008B1D3E"/>
    <w:rsid w:val="008B3ECD"/>
    <w:rsid w:val="008C2A4E"/>
    <w:rsid w:val="008D2851"/>
    <w:rsid w:val="008E130D"/>
    <w:rsid w:val="008E1FF3"/>
    <w:rsid w:val="008F20DE"/>
    <w:rsid w:val="008F4894"/>
    <w:rsid w:val="00907F49"/>
    <w:rsid w:val="00910BDC"/>
    <w:rsid w:val="00937F30"/>
    <w:rsid w:val="00940793"/>
    <w:rsid w:val="00953C90"/>
    <w:rsid w:val="009546D2"/>
    <w:rsid w:val="00957E90"/>
    <w:rsid w:val="00976ACE"/>
    <w:rsid w:val="00990261"/>
    <w:rsid w:val="00995B0F"/>
    <w:rsid w:val="00997A91"/>
    <w:rsid w:val="009A43E5"/>
    <w:rsid w:val="009A6157"/>
    <w:rsid w:val="009B298A"/>
    <w:rsid w:val="009B69B5"/>
    <w:rsid w:val="009C26B9"/>
    <w:rsid w:val="009C7437"/>
    <w:rsid w:val="009F2685"/>
    <w:rsid w:val="00A00D8C"/>
    <w:rsid w:val="00A050EA"/>
    <w:rsid w:val="00A05155"/>
    <w:rsid w:val="00A109E5"/>
    <w:rsid w:val="00A13985"/>
    <w:rsid w:val="00A31773"/>
    <w:rsid w:val="00A369B5"/>
    <w:rsid w:val="00A44CF5"/>
    <w:rsid w:val="00A50510"/>
    <w:rsid w:val="00A53EFE"/>
    <w:rsid w:val="00A56D8A"/>
    <w:rsid w:val="00A67031"/>
    <w:rsid w:val="00A7136B"/>
    <w:rsid w:val="00A729A8"/>
    <w:rsid w:val="00A73D7D"/>
    <w:rsid w:val="00A92747"/>
    <w:rsid w:val="00AA018E"/>
    <w:rsid w:val="00AA01C8"/>
    <w:rsid w:val="00AA64A0"/>
    <w:rsid w:val="00AA7072"/>
    <w:rsid w:val="00AA7DE2"/>
    <w:rsid w:val="00AC0E49"/>
    <w:rsid w:val="00AD28A4"/>
    <w:rsid w:val="00AD4A79"/>
    <w:rsid w:val="00AD4E56"/>
    <w:rsid w:val="00AE7801"/>
    <w:rsid w:val="00AF0008"/>
    <w:rsid w:val="00AF1054"/>
    <w:rsid w:val="00AF5B17"/>
    <w:rsid w:val="00AF5C95"/>
    <w:rsid w:val="00B07E2A"/>
    <w:rsid w:val="00B23141"/>
    <w:rsid w:val="00B33549"/>
    <w:rsid w:val="00B37C52"/>
    <w:rsid w:val="00B42A11"/>
    <w:rsid w:val="00B4636C"/>
    <w:rsid w:val="00B77396"/>
    <w:rsid w:val="00B90AD7"/>
    <w:rsid w:val="00B957A4"/>
    <w:rsid w:val="00BA58DA"/>
    <w:rsid w:val="00BB5719"/>
    <w:rsid w:val="00BC0368"/>
    <w:rsid w:val="00BD0B8F"/>
    <w:rsid w:val="00BF324D"/>
    <w:rsid w:val="00BF7B1B"/>
    <w:rsid w:val="00C0717F"/>
    <w:rsid w:val="00C12BE6"/>
    <w:rsid w:val="00C1555A"/>
    <w:rsid w:val="00C26B03"/>
    <w:rsid w:val="00C417FE"/>
    <w:rsid w:val="00C41CE8"/>
    <w:rsid w:val="00C4287F"/>
    <w:rsid w:val="00C473ED"/>
    <w:rsid w:val="00C53AC9"/>
    <w:rsid w:val="00C62E3F"/>
    <w:rsid w:val="00C75C1B"/>
    <w:rsid w:val="00C7775D"/>
    <w:rsid w:val="00C940A5"/>
    <w:rsid w:val="00CB0433"/>
    <w:rsid w:val="00CB70C7"/>
    <w:rsid w:val="00CB7191"/>
    <w:rsid w:val="00CC2FB5"/>
    <w:rsid w:val="00CD1B74"/>
    <w:rsid w:val="00CD5F19"/>
    <w:rsid w:val="00CD652E"/>
    <w:rsid w:val="00CE249E"/>
    <w:rsid w:val="00D016AD"/>
    <w:rsid w:val="00D109F7"/>
    <w:rsid w:val="00D25C1B"/>
    <w:rsid w:val="00D36197"/>
    <w:rsid w:val="00D41784"/>
    <w:rsid w:val="00D41CE5"/>
    <w:rsid w:val="00D60242"/>
    <w:rsid w:val="00D62F25"/>
    <w:rsid w:val="00D640F5"/>
    <w:rsid w:val="00D7007E"/>
    <w:rsid w:val="00D817F4"/>
    <w:rsid w:val="00D97780"/>
    <w:rsid w:val="00DA1B74"/>
    <w:rsid w:val="00DA2A49"/>
    <w:rsid w:val="00DA40E8"/>
    <w:rsid w:val="00DA52F2"/>
    <w:rsid w:val="00DB27ED"/>
    <w:rsid w:val="00DB5172"/>
    <w:rsid w:val="00DB55BA"/>
    <w:rsid w:val="00DC0705"/>
    <w:rsid w:val="00DD0B5D"/>
    <w:rsid w:val="00DF6CDD"/>
    <w:rsid w:val="00E0376D"/>
    <w:rsid w:val="00E37402"/>
    <w:rsid w:val="00E4006E"/>
    <w:rsid w:val="00E412CA"/>
    <w:rsid w:val="00E43DB6"/>
    <w:rsid w:val="00E44629"/>
    <w:rsid w:val="00E4482E"/>
    <w:rsid w:val="00E47AA4"/>
    <w:rsid w:val="00E51319"/>
    <w:rsid w:val="00E5648B"/>
    <w:rsid w:val="00E6739F"/>
    <w:rsid w:val="00E72DF5"/>
    <w:rsid w:val="00E83072"/>
    <w:rsid w:val="00E861BA"/>
    <w:rsid w:val="00E8639D"/>
    <w:rsid w:val="00E867B2"/>
    <w:rsid w:val="00E92F3A"/>
    <w:rsid w:val="00EA5084"/>
    <w:rsid w:val="00EB73EC"/>
    <w:rsid w:val="00EC04FE"/>
    <w:rsid w:val="00EC0D64"/>
    <w:rsid w:val="00EC1385"/>
    <w:rsid w:val="00EC414E"/>
    <w:rsid w:val="00ED7797"/>
    <w:rsid w:val="00EE0415"/>
    <w:rsid w:val="00EE712F"/>
    <w:rsid w:val="00F02208"/>
    <w:rsid w:val="00F06AB2"/>
    <w:rsid w:val="00F1093F"/>
    <w:rsid w:val="00F12A51"/>
    <w:rsid w:val="00F139D2"/>
    <w:rsid w:val="00F20F06"/>
    <w:rsid w:val="00F319E7"/>
    <w:rsid w:val="00F36AB2"/>
    <w:rsid w:val="00F42F52"/>
    <w:rsid w:val="00F43A6E"/>
    <w:rsid w:val="00F44343"/>
    <w:rsid w:val="00F45A6A"/>
    <w:rsid w:val="00F508F7"/>
    <w:rsid w:val="00F52303"/>
    <w:rsid w:val="00F53684"/>
    <w:rsid w:val="00F60E79"/>
    <w:rsid w:val="00F65AB2"/>
    <w:rsid w:val="00F7757D"/>
    <w:rsid w:val="00F77C96"/>
    <w:rsid w:val="00F82986"/>
    <w:rsid w:val="00F85B5F"/>
    <w:rsid w:val="00F92F4B"/>
    <w:rsid w:val="00F96D3C"/>
    <w:rsid w:val="00FA61C8"/>
    <w:rsid w:val="00FC0A53"/>
    <w:rsid w:val="00FC4BF1"/>
    <w:rsid w:val="00FC784C"/>
    <w:rsid w:val="00FD0875"/>
    <w:rsid w:val="00FD7830"/>
    <w:rsid w:val="00FE5320"/>
    <w:rsid w:val="00FE77C0"/>
    <w:rsid w:val="00FE7CB4"/>
    <w:rsid w:val="00FF0B66"/>
    <w:rsid w:val="00FF4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66FD622"/>
  <w15:chartTrackingRefBased/>
  <w15:docId w15:val="{90C96F20-EEA0-423A-B3C8-AB8549AB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47DE6"/>
  </w:style>
  <w:style w:type="table" w:styleId="TableGrid">
    <w:name w:val="Table Grid"/>
    <w:basedOn w:val="TableNormal"/>
    <w:uiPriority w:val="39"/>
    <w:rsid w:val="0084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800A3C"/>
    <w:pPr>
      <w:spacing w:before="180" w:after="0" w:line="240" w:lineRule="auto"/>
    </w:pPr>
    <w:rPr>
      <w:rFonts w:cs="System"/>
      <w:color w:val="575756"/>
      <w:sz w:val="21"/>
      <w:szCs w:val="21"/>
    </w:rPr>
    <w:tblPr>
      <w:tblStyleRowBandSize w:val="1"/>
      <w:tblStyleColBandSize w:val="1"/>
      <w:tblBorders>
        <w:top w:val="single" w:sz="4" w:space="0" w:color="128474"/>
        <w:left w:val="single" w:sz="4" w:space="0" w:color="128474"/>
        <w:bottom w:val="single" w:sz="4" w:space="0" w:color="128474"/>
        <w:right w:val="single" w:sz="4" w:space="0" w:color="128474"/>
      </w:tblBorders>
    </w:tblPr>
    <w:tblStylePr w:type="firstRow">
      <w:rPr>
        <w:b/>
        <w:bCs/>
        <w:color w:val="FFFFFF"/>
      </w:rPr>
      <w:tblPr/>
      <w:tcPr>
        <w:shd w:val="clear" w:color="auto" w:fill="128474"/>
      </w:tcPr>
    </w:tblStylePr>
    <w:tblStylePr w:type="lastRow">
      <w:rPr>
        <w:b/>
        <w:bCs/>
      </w:rPr>
      <w:tblPr/>
      <w:tcPr>
        <w:tcBorders>
          <w:top w:val="double" w:sz="4" w:space="0" w:color="12847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28474"/>
          <w:right w:val="single" w:sz="4" w:space="0" w:color="128474"/>
        </w:tcBorders>
      </w:tcPr>
    </w:tblStylePr>
    <w:tblStylePr w:type="band1Horz">
      <w:tblPr/>
      <w:tcPr>
        <w:tcBorders>
          <w:top w:val="single" w:sz="4" w:space="0" w:color="128474"/>
          <w:bottom w:val="single" w:sz="4" w:space="0" w:color="12847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8474"/>
          <w:left w:val="nil"/>
        </w:tcBorders>
      </w:tcPr>
    </w:tblStylePr>
    <w:tblStylePr w:type="swCell">
      <w:tblPr/>
      <w:tcPr>
        <w:tcBorders>
          <w:top w:val="double" w:sz="4" w:space="0" w:color="128474"/>
          <w:right w:val="nil"/>
        </w:tcBorders>
      </w:tcPr>
    </w:tblStylePr>
  </w:style>
  <w:style w:type="table" w:styleId="ListTable3-Accent1">
    <w:name w:val="List Table 3 Accent 1"/>
    <w:basedOn w:val="TableNormal"/>
    <w:uiPriority w:val="48"/>
    <w:rsid w:val="00800A3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Caption">
    <w:name w:val="caption"/>
    <w:aliases w:val="~Caption"/>
    <w:basedOn w:val="Normal"/>
    <w:next w:val="Normal"/>
    <w:link w:val="CaptionChar"/>
    <w:qFormat/>
    <w:rsid w:val="00890DFD"/>
    <w:pPr>
      <w:keepNext/>
      <w:tabs>
        <w:tab w:val="left" w:pos="1134"/>
      </w:tabs>
      <w:spacing w:after="60" w:line="276" w:lineRule="auto"/>
      <w:ind w:left="1134" w:hanging="1134"/>
      <w:jc w:val="both"/>
    </w:pPr>
    <w:rPr>
      <w:rFonts w:ascii="Verdana" w:eastAsia="Calibri" w:hAnsi="Verdana" w:cs="System"/>
      <w:i/>
      <w:color w:val="44546A" w:themeColor="text2"/>
      <w:sz w:val="20"/>
      <w:szCs w:val="21"/>
    </w:rPr>
  </w:style>
  <w:style w:type="character" w:customStyle="1" w:styleId="CaptionChar">
    <w:name w:val="Caption Char"/>
    <w:aliases w:val="~Caption Char"/>
    <w:basedOn w:val="DefaultParagraphFont"/>
    <w:link w:val="Caption"/>
    <w:rsid w:val="00890DFD"/>
    <w:rPr>
      <w:rFonts w:ascii="Verdana" w:eastAsia="Calibri" w:hAnsi="Verdana" w:cs="System"/>
      <w:i/>
      <w:color w:val="44546A" w:themeColor="text2"/>
      <w:sz w:val="20"/>
      <w:szCs w:val="21"/>
    </w:rPr>
  </w:style>
  <w:style w:type="paragraph" w:styleId="Header">
    <w:name w:val="header"/>
    <w:basedOn w:val="Normal"/>
    <w:link w:val="HeaderChar"/>
    <w:uiPriority w:val="99"/>
    <w:unhideWhenUsed/>
    <w:rsid w:val="00C62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E3F"/>
  </w:style>
  <w:style w:type="paragraph" w:styleId="Footer">
    <w:name w:val="footer"/>
    <w:basedOn w:val="Normal"/>
    <w:link w:val="FooterChar"/>
    <w:uiPriority w:val="99"/>
    <w:unhideWhenUsed/>
    <w:rsid w:val="00C62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E3F"/>
  </w:style>
  <w:style w:type="paragraph" w:styleId="ListParagraph">
    <w:name w:val="List Paragraph"/>
    <w:basedOn w:val="Normal"/>
    <w:uiPriority w:val="34"/>
    <w:qFormat/>
    <w:rsid w:val="00731C19"/>
    <w:pPr>
      <w:ind w:left="720"/>
      <w:contextualSpacing/>
    </w:pPr>
  </w:style>
  <w:style w:type="character" w:styleId="CommentReference">
    <w:name w:val="annotation reference"/>
    <w:basedOn w:val="DefaultParagraphFont"/>
    <w:uiPriority w:val="99"/>
    <w:semiHidden/>
    <w:unhideWhenUsed/>
    <w:rsid w:val="00F53684"/>
    <w:rPr>
      <w:sz w:val="16"/>
      <w:szCs w:val="16"/>
    </w:rPr>
  </w:style>
  <w:style w:type="paragraph" w:styleId="CommentText">
    <w:name w:val="annotation text"/>
    <w:basedOn w:val="Normal"/>
    <w:link w:val="CommentTextChar"/>
    <w:uiPriority w:val="99"/>
    <w:semiHidden/>
    <w:unhideWhenUsed/>
    <w:rsid w:val="00F53684"/>
    <w:pPr>
      <w:spacing w:line="240" w:lineRule="auto"/>
    </w:pPr>
    <w:rPr>
      <w:sz w:val="20"/>
      <w:szCs w:val="20"/>
    </w:rPr>
  </w:style>
  <w:style w:type="character" w:customStyle="1" w:styleId="CommentTextChar">
    <w:name w:val="Comment Text Char"/>
    <w:basedOn w:val="DefaultParagraphFont"/>
    <w:link w:val="CommentText"/>
    <w:uiPriority w:val="99"/>
    <w:semiHidden/>
    <w:rsid w:val="00F53684"/>
    <w:rPr>
      <w:sz w:val="20"/>
      <w:szCs w:val="20"/>
    </w:rPr>
  </w:style>
  <w:style w:type="paragraph" w:styleId="CommentSubject">
    <w:name w:val="annotation subject"/>
    <w:basedOn w:val="CommentText"/>
    <w:next w:val="CommentText"/>
    <w:link w:val="CommentSubjectChar"/>
    <w:uiPriority w:val="99"/>
    <w:semiHidden/>
    <w:unhideWhenUsed/>
    <w:rsid w:val="00F53684"/>
    <w:rPr>
      <w:b/>
      <w:bCs/>
    </w:rPr>
  </w:style>
  <w:style w:type="character" w:customStyle="1" w:styleId="CommentSubjectChar">
    <w:name w:val="Comment Subject Char"/>
    <w:basedOn w:val="CommentTextChar"/>
    <w:link w:val="CommentSubject"/>
    <w:uiPriority w:val="99"/>
    <w:semiHidden/>
    <w:rsid w:val="00F53684"/>
    <w:rPr>
      <w:b/>
      <w:bCs/>
      <w:sz w:val="20"/>
      <w:szCs w:val="20"/>
    </w:rPr>
  </w:style>
  <w:style w:type="paragraph" w:styleId="BalloonText">
    <w:name w:val="Balloon Text"/>
    <w:basedOn w:val="Normal"/>
    <w:link w:val="BalloonTextChar"/>
    <w:uiPriority w:val="99"/>
    <w:semiHidden/>
    <w:unhideWhenUsed/>
    <w:rsid w:val="00F5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684"/>
    <w:rPr>
      <w:rFonts w:ascii="Segoe UI" w:hAnsi="Segoe UI" w:cs="Segoe UI"/>
      <w:sz w:val="18"/>
      <w:szCs w:val="18"/>
    </w:rPr>
  </w:style>
  <w:style w:type="character" w:styleId="Hyperlink">
    <w:name w:val="Hyperlink"/>
    <w:basedOn w:val="DefaultParagraphFont"/>
    <w:uiPriority w:val="99"/>
    <w:unhideWhenUsed/>
    <w:rsid w:val="00CD652E"/>
    <w:rPr>
      <w:color w:val="0563C1" w:themeColor="hyperlink"/>
      <w:u w:val="single"/>
    </w:rPr>
  </w:style>
  <w:style w:type="table" w:customStyle="1" w:styleId="ListTable3-Accent12">
    <w:name w:val="List Table 3 - Accent 12"/>
    <w:basedOn w:val="TableNormal"/>
    <w:next w:val="ListTable3-Accent1"/>
    <w:uiPriority w:val="48"/>
    <w:rsid w:val="0031366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13">
    <w:name w:val="List Table 3 - Accent 13"/>
    <w:basedOn w:val="TableNormal"/>
    <w:next w:val="ListTable3-Accent1"/>
    <w:uiPriority w:val="48"/>
    <w:rsid w:val="0031366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14">
    <w:name w:val="List Table 3 - Accent 14"/>
    <w:basedOn w:val="TableNormal"/>
    <w:next w:val="ListTable3-Accent1"/>
    <w:uiPriority w:val="48"/>
    <w:rsid w:val="0075134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15">
    <w:name w:val="List Table 3 - Accent 15"/>
    <w:basedOn w:val="TableNormal"/>
    <w:next w:val="ListTable3-Accent1"/>
    <w:uiPriority w:val="48"/>
    <w:rsid w:val="003E748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16">
    <w:name w:val="List Table 3 - Accent 16"/>
    <w:basedOn w:val="TableNormal"/>
    <w:next w:val="ListTable3-Accent1"/>
    <w:uiPriority w:val="48"/>
    <w:rsid w:val="00907F4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UnresolvedMention">
    <w:name w:val="Unresolved Mention"/>
    <w:basedOn w:val="DefaultParagraphFont"/>
    <w:uiPriority w:val="99"/>
    <w:semiHidden/>
    <w:unhideWhenUsed/>
    <w:rsid w:val="0083266D"/>
    <w:rPr>
      <w:color w:val="605E5C"/>
      <w:shd w:val="clear" w:color="auto" w:fill="E1DFDD"/>
    </w:rPr>
  </w:style>
  <w:style w:type="paragraph" w:styleId="Revision">
    <w:name w:val="Revision"/>
    <w:hidden/>
    <w:uiPriority w:val="99"/>
    <w:semiHidden/>
    <w:rsid w:val="00454EEB"/>
    <w:pPr>
      <w:spacing w:after="0" w:line="240" w:lineRule="auto"/>
    </w:pPr>
  </w:style>
  <w:style w:type="paragraph" w:styleId="PlainText">
    <w:name w:val="Plain Text"/>
    <w:basedOn w:val="Normal"/>
    <w:link w:val="PlainTextChar"/>
    <w:uiPriority w:val="99"/>
    <w:semiHidden/>
    <w:unhideWhenUsed/>
    <w:rsid w:val="00E513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319"/>
    <w:rPr>
      <w:rFonts w:ascii="Consolas" w:hAnsi="Consolas"/>
      <w:sz w:val="21"/>
      <w:szCs w:val="21"/>
    </w:rPr>
  </w:style>
  <w:style w:type="character" w:styleId="FollowedHyperlink">
    <w:name w:val="FollowedHyperlink"/>
    <w:basedOn w:val="DefaultParagraphFont"/>
    <w:uiPriority w:val="99"/>
    <w:semiHidden/>
    <w:unhideWhenUsed/>
    <w:rsid w:val="009A6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3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ire.piccinin@eort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D8C011F-A751-4DA3-B82B-696A7A4C3B52}"/>
</file>

<file path=customXml/itemProps2.xml><?xml version="1.0" encoding="utf-8"?>
<ds:datastoreItem xmlns:ds="http://schemas.openxmlformats.org/officeDocument/2006/customXml" ds:itemID="{0542EEE1-53AE-452D-BFDF-2EBCE6DC077F}">
  <ds:schemaRefs>
    <ds:schemaRef ds:uri="http://www.w3.org/XML/1998/namespace"/>
    <ds:schemaRef ds:uri="70fc5ba5-7582-43ae-8211-aef921d04dc1"/>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08490B9-8E8E-49BD-B3B0-550823046212}">
  <ds:schemaRefs>
    <ds:schemaRef ds:uri="http://schemas.microsoft.com/sharepoint/v3/contenttype/forms"/>
  </ds:schemaRefs>
</ds:datastoreItem>
</file>

<file path=customXml/itemProps4.xml><?xml version="1.0" encoding="utf-8"?>
<ds:datastoreItem xmlns:ds="http://schemas.openxmlformats.org/officeDocument/2006/customXml" ds:itemID="{3FA095CD-7780-4421-897B-9B585CDE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26</Pages>
  <Words>27918</Words>
  <Characters>159138</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EORTC HQ</Company>
  <LinksUpToDate>false</LinksUpToDate>
  <CharactersWithSpaces>186683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Piccinin</dc:creator>
  <cp:keywords/>
  <dc:description/>
  <cp:lastModifiedBy>Claire Piccinin</cp:lastModifiedBy>
  <cp:revision>56</cp:revision>
  <dcterms:created xsi:type="dcterms:W3CDTF">2020-04-07T12:05:00Z</dcterms:created>
  <dcterms:modified xsi:type="dcterms:W3CDTF">2021-07-12T16:01:00Z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d9c00a0d-8365-3eb3-932f-2bf7f47eb126</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http://www.zotero.org/styles/springer-basic-brackets-no-et-al</vt:lpwstr>
  </property>
  <property fmtid="{D5CDD505-2E9C-101B-9397-08002B2CF9AE}" pid="21" name="Mendeley Recent Style Name 8_1">
    <vt:lpwstr>Springer - Basic (numeric, brackets, no "et al.")</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http://www.zotero.org/styles/springer-basic-brackets-no-et-al</vt:lpwstr>
  </property>
  <property fmtid="{D5CDD505-2E9C-101B-9397-08002B2CF9AE}" pid="25" name="ContentTypeId">
    <vt:lpwstr>0x0101009FB0911783C1D442BD1CF19F4570B3A4</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_ExtendedDescription">
    <vt:lpwstr/>
  </property>
</Properties>
</file>