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A6C88" w14:textId="34022A43" w:rsidR="006237C8" w:rsidRDefault="006237C8" w:rsidP="007415CD">
      <w:pPr>
        <w:jc w:val="center"/>
        <w:rPr>
          <w:b/>
        </w:rPr>
      </w:pPr>
      <w:r>
        <w:rPr>
          <w:b/>
        </w:rPr>
        <w:tab/>
      </w:r>
      <w:r>
        <w:rPr>
          <w:b/>
        </w:rPr>
        <w:tab/>
      </w:r>
      <w:r>
        <w:rPr>
          <w:b/>
        </w:rPr>
        <w:tab/>
      </w:r>
      <w:r w:rsidR="00275848">
        <w:rPr>
          <w:b/>
        </w:rPr>
        <w:tab/>
      </w:r>
      <w:r w:rsidR="00275848">
        <w:rPr>
          <w:b/>
        </w:rPr>
        <w:tab/>
      </w:r>
      <w:r w:rsidR="00275848">
        <w:rPr>
          <w:b/>
        </w:rPr>
        <w:tab/>
      </w:r>
      <w:r>
        <w:rPr>
          <w:b/>
        </w:rPr>
        <w:t>Word Count:</w:t>
      </w:r>
      <w:r w:rsidR="00275848">
        <w:rPr>
          <w:b/>
        </w:rPr>
        <w:t xml:space="preserve"> 3</w:t>
      </w:r>
      <w:r w:rsidR="00A43887">
        <w:rPr>
          <w:b/>
        </w:rPr>
        <w:t>417</w:t>
      </w:r>
    </w:p>
    <w:p w14:paraId="452B5F6C" w14:textId="77777777" w:rsidR="006237C8" w:rsidRDefault="006237C8" w:rsidP="007415CD">
      <w:pPr>
        <w:jc w:val="center"/>
        <w:rPr>
          <w:b/>
        </w:rPr>
      </w:pPr>
    </w:p>
    <w:p w14:paraId="5FFA4212" w14:textId="338D0CA8" w:rsidR="007415CD" w:rsidRPr="00E840C9" w:rsidRDefault="005B39FC" w:rsidP="007415CD">
      <w:pPr>
        <w:jc w:val="center"/>
      </w:pPr>
      <w:r>
        <w:rPr>
          <w:b/>
        </w:rPr>
        <w:t>Reward Processing in</w:t>
      </w:r>
      <w:r w:rsidR="00A156FE">
        <w:rPr>
          <w:b/>
        </w:rPr>
        <w:t xml:space="preserve"> Trichotillomania and Skin Picking Disorder</w:t>
      </w:r>
      <w:r w:rsidR="007A25CA">
        <w:rPr>
          <w:b/>
        </w:rPr>
        <w:t xml:space="preserve"> </w:t>
      </w:r>
    </w:p>
    <w:p w14:paraId="1EC5A759" w14:textId="77777777" w:rsidR="00173DFC" w:rsidRPr="00E840C9" w:rsidRDefault="00173DFC" w:rsidP="007415CD">
      <w:pPr>
        <w:jc w:val="center"/>
        <w:rPr>
          <w:b/>
          <w:lang w:val="pt-BR"/>
        </w:rPr>
      </w:pPr>
    </w:p>
    <w:p w14:paraId="52C8C30B" w14:textId="77777777" w:rsidR="002C25B3" w:rsidRDefault="002C25B3" w:rsidP="002C25B3"/>
    <w:p w14:paraId="6B4833CA" w14:textId="77777777" w:rsidR="003D7CBF" w:rsidRDefault="003D7CBF" w:rsidP="0058599D">
      <w:pPr>
        <w:spacing w:line="480" w:lineRule="auto"/>
        <w:rPr>
          <w:b/>
        </w:rPr>
      </w:pPr>
    </w:p>
    <w:p w14:paraId="39596EE9" w14:textId="2071BEDE" w:rsidR="00ED4ABE" w:rsidRDefault="00ED4ABE" w:rsidP="00ED4ABE">
      <w:pPr>
        <w:ind w:left="720" w:hanging="720"/>
        <w:jc w:val="center"/>
      </w:pPr>
      <w:r>
        <w:t xml:space="preserve">Jon E. Grant, M.D., </w:t>
      </w:r>
      <w:r w:rsidR="001F39A2">
        <w:t>J</w:t>
      </w:r>
      <w:r>
        <w:t>.D., M.P.H.,</w:t>
      </w:r>
      <w:r w:rsidRPr="00AF1F2F">
        <w:rPr>
          <w:vertAlign w:val="superscript"/>
        </w:rPr>
        <w:t>a</w:t>
      </w:r>
      <w:r>
        <w:t>* Tara S. Peris, Ph.D.,</w:t>
      </w:r>
      <w:r w:rsidRPr="00321910">
        <w:rPr>
          <w:vertAlign w:val="superscript"/>
        </w:rPr>
        <w:t>b</w:t>
      </w:r>
      <w:r>
        <w:t xml:space="preserve"> Emily J. Ricketts, Ph.D.,</w:t>
      </w:r>
      <w:r w:rsidRPr="00AF1F2F">
        <w:rPr>
          <w:vertAlign w:val="superscript"/>
        </w:rPr>
        <w:t>b</w:t>
      </w:r>
      <w:r>
        <w:t xml:space="preserve"> </w:t>
      </w:r>
    </w:p>
    <w:p w14:paraId="3700B46A" w14:textId="7BA53BD8" w:rsidR="00ED4ABE" w:rsidRDefault="00ED4ABE" w:rsidP="00ED4ABE">
      <w:pPr>
        <w:ind w:left="720" w:hanging="720"/>
        <w:jc w:val="center"/>
      </w:pPr>
      <w:r>
        <w:t xml:space="preserve">Richard </w:t>
      </w:r>
      <w:r w:rsidR="008C67E3">
        <w:t xml:space="preserve">A.I. </w:t>
      </w:r>
      <w:r>
        <w:t>Bethlehem, Ph.D.</w:t>
      </w:r>
      <w:r>
        <w:rPr>
          <w:vertAlign w:val="superscript"/>
        </w:rPr>
        <w:t xml:space="preserve">c </w:t>
      </w:r>
      <w:r>
        <w:t xml:space="preserve">Samuel R. </w:t>
      </w:r>
      <w:r w:rsidRPr="006B6F22">
        <w:t>Chamberlain</w:t>
      </w:r>
      <w:r>
        <w:t>, Ph</w:t>
      </w:r>
      <w:r w:rsidR="001F39A2">
        <w:t>.</w:t>
      </w:r>
      <w:r>
        <w:t>D,</w:t>
      </w:r>
      <w:r w:rsidR="008C67E3">
        <w:rPr>
          <w:vertAlign w:val="superscript"/>
        </w:rPr>
        <w:t>d</w:t>
      </w:r>
      <w:r w:rsidR="008C67E3">
        <w:t xml:space="preserve"> </w:t>
      </w:r>
    </w:p>
    <w:p w14:paraId="5639ACD1" w14:textId="1BD1E155" w:rsidR="000325AE" w:rsidRDefault="000325AE" w:rsidP="00ED4ABE">
      <w:pPr>
        <w:ind w:left="720" w:hanging="720"/>
        <w:jc w:val="center"/>
        <w:rPr>
          <w:vertAlign w:val="superscript"/>
        </w:rPr>
      </w:pPr>
      <w:r>
        <w:t>Joseph O’Neill, PhD</w:t>
      </w:r>
      <w:r>
        <w:rPr>
          <w:vertAlign w:val="superscript"/>
        </w:rPr>
        <w:t>b</w:t>
      </w:r>
      <w:r>
        <w:t xml:space="preserve">, </w:t>
      </w:r>
      <w:r w:rsidR="00ED4ABE">
        <w:t>J</w:t>
      </w:r>
      <w:r w:rsidR="00ED4ABE" w:rsidRPr="006B6F22">
        <w:t>eremiah</w:t>
      </w:r>
      <w:r w:rsidR="00ED4ABE">
        <w:t xml:space="preserve"> M.</w:t>
      </w:r>
      <w:r w:rsidR="00ED4ABE" w:rsidRPr="006B6F22">
        <w:t xml:space="preserve"> </w:t>
      </w:r>
      <w:r w:rsidR="00ED4ABE">
        <w:t>Scharf, M.D., Ph.D.,</w:t>
      </w:r>
      <w:r w:rsidR="008C67E3">
        <w:rPr>
          <w:vertAlign w:val="superscript"/>
        </w:rPr>
        <w:t xml:space="preserve">e </w:t>
      </w:r>
    </w:p>
    <w:p w14:paraId="31162332" w14:textId="7DC3A90F" w:rsidR="00ED4ABE" w:rsidRPr="00927E43" w:rsidRDefault="00ED4ABE" w:rsidP="00ED4ABE">
      <w:pPr>
        <w:ind w:left="720" w:hanging="720"/>
        <w:jc w:val="center"/>
        <w:rPr>
          <w:vertAlign w:val="superscript"/>
        </w:rPr>
      </w:pPr>
      <w:r>
        <w:t>Darin D. Dougherty, M.D.,</w:t>
      </w:r>
      <w:r w:rsidR="008C67E3">
        <w:rPr>
          <w:vertAlign w:val="superscript"/>
        </w:rPr>
        <w:t>e</w:t>
      </w:r>
      <w:r w:rsidR="008C67E3">
        <w:t xml:space="preserve"> </w:t>
      </w:r>
      <w:r w:rsidR="00927E43">
        <w:t xml:space="preserve">Thilo </w:t>
      </w:r>
      <w:r w:rsidR="008C67E3">
        <w:t>Deckersbach</w:t>
      </w:r>
      <w:r w:rsidR="008C67E3">
        <w:rPr>
          <w:vertAlign w:val="superscript"/>
        </w:rPr>
        <w:t>e</w:t>
      </w:r>
    </w:p>
    <w:p w14:paraId="39510317" w14:textId="37DACCF9" w:rsidR="00ED4ABE" w:rsidRDefault="00ED4ABE" w:rsidP="00ED4ABE">
      <w:pPr>
        <w:ind w:left="720" w:hanging="720"/>
        <w:jc w:val="center"/>
      </w:pPr>
      <w:r>
        <w:t>Douglas W. Woods, Ph.D.,</w:t>
      </w:r>
      <w:r w:rsidR="008C67E3">
        <w:rPr>
          <w:vertAlign w:val="superscript"/>
        </w:rPr>
        <w:t>f</w:t>
      </w:r>
      <w:r w:rsidR="008C67E3">
        <w:t xml:space="preserve"> </w:t>
      </w:r>
      <w:r>
        <w:t>John Piacentini, Ph.D.,</w:t>
      </w:r>
      <w:r w:rsidRPr="00AF1F2F">
        <w:rPr>
          <w:vertAlign w:val="superscript"/>
        </w:rPr>
        <w:t>b</w:t>
      </w:r>
      <w:r>
        <w:t>** and Nancy J. Keuthen, Ph.D.</w:t>
      </w:r>
      <w:r w:rsidR="008C67E3">
        <w:rPr>
          <w:vertAlign w:val="superscript"/>
        </w:rPr>
        <w:t>e</w:t>
      </w:r>
      <w:r>
        <w:t>**</w:t>
      </w:r>
    </w:p>
    <w:p w14:paraId="73F05F98" w14:textId="77777777" w:rsidR="00ED4ABE" w:rsidRDefault="00ED4ABE" w:rsidP="00ED4ABE">
      <w:pPr>
        <w:ind w:left="720" w:hanging="720"/>
      </w:pPr>
    </w:p>
    <w:p w14:paraId="67904D0B" w14:textId="77777777" w:rsidR="00ED4ABE" w:rsidRDefault="00ED4ABE" w:rsidP="00ED4ABE">
      <w:pPr>
        <w:ind w:left="720" w:hanging="720"/>
      </w:pPr>
    </w:p>
    <w:p w14:paraId="25E87E88" w14:textId="77777777" w:rsidR="00ED4ABE" w:rsidRDefault="00ED4ABE" w:rsidP="00ED4ABE">
      <w:pPr>
        <w:ind w:left="720" w:hanging="720"/>
      </w:pPr>
      <w:r w:rsidRPr="00AF1F2F">
        <w:rPr>
          <w:vertAlign w:val="superscript"/>
        </w:rPr>
        <w:t>a</w:t>
      </w:r>
      <w:r>
        <w:t>Department of Psychiatry &amp; Behavioral Neuroscience University of Chicago, Chicago,</w:t>
      </w:r>
    </w:p>
    <w:p w14:paraId="634AF195" w14:textId="77777777" w:rsidR="00ED4ABE" w:rsidRDefault="00ED4ABE" w:rsidP="00ED4ABE">
      <w:pPr>
        <w:ind w:left="720" w:hanging="720"/>
      </w:pPr>
      <w:r>
        <w:t>IL, USA</w:t>
      </w:r>
    </w:p>
    <w:p w14:paraId="4D22DA96" w14:textId="77777777" w:rsidR="00ED4ABE" w:rsidRDefault="00ED4ABE" w:rsidP="00ED4ABE">
      <w:pPr>
        <w:ind w:left="720" w:hanging="720"/>
      </w:pPr>
      <w:r w:rsidRPr="00AF1F2F">
        <w:rPr>
          <w:vertAlign w:val="superscript"/>
        </w:rPr>
        <w:t>b</w:t>
      </w:r>
      <w:r>
        <w:t xml:space="preserve">Department of Psychiatry and Biobehavioral Sciences, University of California, Los </w:t>
      </w:r>
    </w:p>
    <w:p w14:paraId="4D289731" w14:textId="764B219D" w:rsidR="00ED4ABE" w:rsidRDefault="00ED4ABE" w:rsidP="00ED4ABE">
      <w:pPr>
        <w:ind w:left="720" w:hanging="720"/>
      </w:pPr>
      <w:r>
        <w:t>Angeles, CA, USA</w:t>
      </w:r>
    </w:p>
    <w:p w14:paraId="3B557507" w14:textId="24A7A384" w:rsidR="008C67E3" w:rsidRDefault="008C67E3" w:rsidP="00ED4ABE">
      <w:pPr>
        <w:ind w:left="720" w:hanging="720"/>
      </w:pPr>
      <w:r w:rsidRPr="00AF1F2F">
        <w:rPr>
          <w:vertAlign w:val="superscript"/>
        </w:rPr>
        <w:t>c</w:t>
      </w:r>
      <w:r>
        <w:t>Department of Psychiatry, University of Cambridge, UK</w:t>
      </w:r>
    </w:p>
    <w:p w14:paraId="777F511C" w14:textId="06A5DB44" w:rsidR="00927E43" w:rsidRDefault="008C67E3" w:rsidP="00ED4ABE">
      <w:pPr>
        <w:ind w:left="720" w:hanging="720"/>
      </w:pPr>
      <w:r>
        <w:rPr>
          <w:vertAlign w:val="superscript"/>
        </w:rPr>
        <w:t>d</w:t>
      </w:r>
      <w:r>
        <w:t xml:space="preserve">Department </w:t>
      </w:r>
      <w:r w:rsidR="00ED4ABE">
        <w:t xml:space="preserve">of Psychiatry, </w:t>
      </w:r>
      <w:r w:rsidR="000A3814">
        <w:t>Faculty of Medicine, University of Southampton, UK; and</w:t>
      </w:r>
    </w:p>
    <w:p w14:paraId="293CFF74" w14:textId="6EF1A7EB" w:rsidR="00ED4ABE" w:rsidRDefault="000A3814" w:rsidP="00ED4ABE">
      <w:pPr>
        <w:ind w:left="720" w:hanging="720"/>
      </w:pPr>
      <w:r>
        <w:t xml:space="preserve">Southern Health NHS Foundation Trust, UK. </w:t>
      </w:r>
    </w:p>
    <w:p w14:paraId="2420D803" w14:textId="6A0767A7" w:rsidR="00ED4ABE" w:rsidRDefault="008C67E3" w:rsidP="00ED4ABE">
      <w:pPr>
        <w:ind w:left="720" w:hanging="720"/>
      </w:pPr>
      <w:r>
        <w:rPr>
          <w:vertAlign w:val="superscript"/>
        </w:rPr>
        <w:t>e</w:t>
      </w:r>
      <w:r>
        <w:t xml:space="preserve">Department </w:t>
      </w:r>
      <w:r w:rsidR="00ED4ABE">
        <w:t xml:space="preserve">of Psychiatry, Massachusetts General Hospital and Harvard Medical School, </w:t>
      </w:r>
    </w:p>
    <w:p w14:paraId="1B0BC0E3" w14:textId="77777777" w:rsidR="00ED4ABE" w:rsidRDefault="00ED4ABE" w:rsidP="00ED4ABE">
      <w:pPr>
        <w:ind w:left="720" w:hanging="720"/>
      </w:pPr>
      <w:r>
        <w:t>Boston, USA</w:t>
      </w:r>
    </w:p>
    <w:p w14:paraId="2CF3771E" w14:textId="2C670D91" w:rsidR="00ED4ABE" w:rsidRDefault="008C67E3" w:rsidP="00ED4ABE">
      <w:pPr>
        <w:ind w:left="720" w:hanging="720"/>
      </w:pPr>
      <w:r>
        <w:rPr>
          <w:vertAlign w:val="superscript"/>
        </w:rPr>
        <w:t>f</w:t>
      </w:r>
      <w:r>
        <w:t xml:space="preserve">Department </w:t>
      </w:r>
      <w:r w:rsidR="00ED4ABE">
        <w:t>of Psychology, Marquette University, Milwaukee, WI, USA</w:t>
      </w:r>
    </w:p>
    <w:p w14:paraId="132D8BA6" w14:textId="77777777" w:rsidR="00ED4ABE" w:rsidRDefault="00ED4ABE" w:rsidP="00ED4ABE">
      <w:pPr>
        <w:ind w:left="720" w:hanging="720"/>
      </w:pPr>
    </w:p>
    <w:p w14:paraId="5553194C" w14:textId="77777777" w:rsidR="00ED4ABE" w:rsidRDefault="00ED4ABE" w:rsidP="00ED4ABE">
      <w:pPr>
        <w:ind w:left="720" w:hanging="720"/>
      </w:pPr>
      <w:r>
        <w:t xml:space="preserve">*Address correspondence to: </w:t>
      </w:r>
    </w:p>
    <w:p w14:paraId="6FFE6913" w14:textId="77777777" w:rsidR="00ED4ABE" w:rsidRDefault="00ED4ABE" w:rsidP="00ED4ABE">
      <w:pPr>
        <w:ind w:left="720" w:hanging="720"/>
      </w:pPr>
      <w:r>
        <w:t>Jon E. Grant, JD, MD, MPH</w:t>
      </w:r>
    </w:p>
    <w:p w14:paraId="0E11F065" w14:textId="77777777" w:rsidR="00ED4ABE" w:rsidRDefault="00ED4ABE" w:rsidP="00ED4ABE">
      <w:pPr>
        <w:ind w:left="720" w:hanging="720"/>
      </w:pPr>
      <w:r>
        <w:t>Professor, Department of Psychiatry &amp; Behavioral Neuroscience</w:t>
      </w:r>
    </w:p>
    <w:p w14:paraId="61401B25" w14:textId="77777777" w:rsidR="00ED4ABE" w:rsidRDefault="00ED4ABE" w:rsidP="00ED4ABE">
      <w:pPr>
        <w:ind w:left="720" w:hanging="720"/>
      </w:pPr>
      <w:r>
        <w:t>University of Chicago, 5841 S. Maryland Avenue, MC 3077, Chicago, IL 60637</w:t>
      </w:r>
    </w:p>
    <w:p w14:paraId="735E4D14" w14:textId="77777777" w:rsidR="00ED4ABE" w:rsidRDefault="00ED4ABE" w:rsidP="00ED4ABE">
      <w:pPr>
        <w:ind w:left="720" w:hanging="720"/>
      </w:pPr>
      <w:r>
        <w:t>Phone: 773-834-1325; Fax: 773-834-6761; Email: jongrant@uchicago.edu</w:t>
      </w:r>
    </w:p>
    <w:p w14:paraId="03BFF506" w14:textId="77777777" w:rsidR="00ED4ABE" w:rsidRDefault="00ED4ABE" w:rsidP="00ED4ABE">
      <w:pPr>
        <w:ind w:left="720" w:hanging="720"/>
      </w:pPr>
    </w:p>
    <w:p w14:paraId="7627AB49" w14:textId="77777777" w:rsidR="00ED4ABE" w:rsidRDefault="00ED4ABE" w:rsidP="00ED4ABE">
      <w:pPr>
        <w:ind w:left="720" w:hanging="720"/>
      </w:pPr>
      <w:r>
        <w:t>**Co-Senior Authors</w:t>
      </w:r>
    </w:p>
    <w:p w14:paraId="6AE313FE" w14:textId="77777777" w:rsidR="00ED4ABE" w:rsidRDefault="00ED4ABE" w:rsidP="00ED4ABE">
      <w:pPr>
        <w:ind w:left="720" w:hanging="720"/>
      </w:pPr>
    </w:p>
    <w:p w14:paraId="2482D682" w14:textId="77777777" w:rsidR="00ED4ABE" w:rsidRDefault="00ED4ABE" w:rsidP="00ED4ABE">
      <w:pPr>
        <w:ind w:left="720" w:hanging="720"/>
      </w:pPr>
    </w:p>
    <w:p w14:paraId="4A6C0DF8" w14:textId="77777777" w:rsidR="00ED4ABE" w:rsidRDefault="00ED4ABE" w:rsidP="00ED4ABE">
      <w:pPr>
        <w:rPr>
          <w:b/>
        </w:rPr>
      </w:pPr>
    </w:p>
    <w:p w14:paraId="2E60CDA5" w14:textId="77777777" w:rsidR="00ED4ABE" w:rsidRDefault="00ED4ABE" w:rsidP="00ED4ABE">
      <w:r w:rsidRPr="00C00554">
        <w:rPr>
          <w:b/>
        </w:rPr>
        <w:t xml:space="preserve">Running title: </w:t>
      </w:r>
      <w:r w:rsidRPr="002C25B3">
        <w:t>Reward processing in</w:t>
      </w:r>
      <w:r w:rsidRPr="00C00554">
        <w:t xml:space="preserve"> BFRBs</w:t>
      </w:r>
    </w:p>
    <w:p w14:paraId="4C2CF2D5" w14:textId="77777777" w:rsidR="00FA1119" w:rsidRDefault="00FA1119" w:rsidP="00FA1119">
      <w:pPr>
        <w:pStyle w:val="CommentText"/>
        <w:rPr>
          <w:b/>
          <w:sz w:val="24"/>
          <w:szCs w:val="24"/>
        </w:rPr>
      </w:pPr>
    </w:p>
    <w:p w14:paraId="79C54BA2" w14:textId="1E60F7F5" w:rsidR="00FA1119" w:rsidRPr="003A272B" w:rsidRDefault="00FA1119" w:rsidP="00FA1119">
      <w:pPr>
        <w:pStyle w:val="CommentText"/>
        <w:rPr>
          <w:sz w:val="24"/>
          <w:szCs w:val="24"/>
        </w:rPr>
      </w:pPr>
      <w:r w:rsidRPr="003A272B">
        <w:rPr>
          <w:b/>
          <w:sz w:val="24"/>
          <w:szCs w:val="24"/>
        </w:rPr>
        <w:t>Keywords</w:t>
      </w:r>
      <w:r w:rsidRPr="003A272B">
        <w:rPr>
          <w:sz w:val="24"/>
          <w:szCs w:val="24"/>
        </w:rPr>
        <w:t>: trichotillomania</w:t>
      </w:r>
      <w:r>
        <w:rPr>
          <w:sz w:val="24"/>
          <w:szCs w:val="24"/>
        </w:rPr>
        <w:t>;</w:t>
      </w:r>
      <w:r w:rsidRPr="003A272B">
        <w:rPr>
          <w:sz w:val="24"/>
          <w:szCs w:val="24"/>
        </w:rPr>
        <w:t xml:space="preserve"> skin picking disorder</w:t>
      </w:r>
      <w:r>
        <w:rPr>
          <w:sz w:val="24"/>
          <w:szCs w:val="24"/>
        </w:rPr>
        <w:t>;</w:t>
      </w:r>
      <w:r w:rsidRPr="003A272B">
        <w:rPr>
          <w:sz w:val="24"/>
          <w:szCs w:val="24"/>
        </w:rPr>
        <w:t xml:space="preserve"> </w:t>
      </w:r>
      <w:r>
        <w:rPr>
          <w:sz w:val="24"/>
          <w:szCs w:val="24"/>
        </w:rPr>
        <w:t>imaging; reward; fMRI; neurobiology</w:t>
      </w:r>
    </w:p>
    <w:p w14:paraId="7884090F" w14:textId="77777777" w:rsidR="002C25B3" w:rsidRDefault="002C25B3" w:rsidP="0058599D">
      <w:pPr>
        <w:spacing w:line="480" w:lineRule="auto"/>
        <w:ind w:firstLine="720"/>
        <w:rPr>
          <w:shd w:val="clear" w:color="auto" w:fill="FFFFFF"/>
        </w:rPr>
      </w:pPr>
    </w:p>
    <w:p w14:paraId="2E3E5672" w14:textId="77777777" w:rsidR="002C25B3" w:rsidRDefault="002C25B3" w:rsidP="0058599D">
      <w:pPr>
        <w:spacing w:line="480" w:lineRule="auto"/>
        <w:ind w:firstLine="720"/>
        <w:rPr>
          <w:shd w:val="clear" w:color="auto" w:fill="FFFFFF"/>
        </w:rPr>
      </w:pPr>
    </w:p>
    <w:p w14:paraId="16038F9F" w14:textId="77777777" w:rsidR="002C25B3" w:rsidRDefault="002C25B3" w:rsidP="0058599D">
      <w:pPr>
        <w:spacing w:line="480" w:lineRule="auto"/>
        <w:ind w:firstLine="720"/>
        <w:rPr>
          <w:shd w:val="clear" w:color="auto" w:fill="FFFFFF"/>
        </w:rPr>
      </w:pPr>
    </w:p>
    <w:p w14:paraId="09C418C7" w14:textId="77777777" w:rsidR="002C25B3" w:rsidRDefault="002C25B3" w:rsidP="0058599D">
      <w:pPr>
        <w:spacing w:line="480" w:lineRule="auto"/>
        <w:ind w:firstLine="720"/>
        <w:rPr>
          <w:shd w:val="clear" w:color="auto" w:fill="FFFFFF"/>
        </w:rPr>
      </w:pPr>
    </w:p>
    <w:p w14:paraId="52F5C48C" w14:textId="77777777" w:rsidR="002C25B3" w:rsidRDefault="002C25B3" w:rsidP="0058599D">
      <w:pPr>
        <w:spacing w:line="480" w:lineRule="auto"/>
        <w:ind w:firstLine="720"/>
        <w:rPr>
          <w:shd w:val="clear" w:color="auto" w:fill="FFFFFF"/>
        </w:rPr>
      </w:pPr>
    </w:p>
    <w:p w14:paraId="6B5089A3" w14:textId="77777777" w:rsidR="002C25B3" w:rsidRDefault="002C25B3" w:rsidP="0058599D">
      <w:pPr>
        <w:spacing w:line="480" w:lineRule="auto"/>
        <w:ind w:firstLine="720"/>
        <w:rPr>
          <w:shd w:val="clear" w:color="auto" w:fill="FFFFFF"/>
        </w:rPr>
      </w:pPr>
    </w:p>
    <w:p w14:paraId="67828BCE" w14:textId="15ABF792" w:rsidR="00D11269" w:rsidRDefault="00D11269" w:rsidP="00D11269">
      <w:pPr>
        <w:rPr>
          <w:b/>
        </w:rPr>
      </w:pPr>
      <w:r>
        <w:rPr>
          <w:shd w:val="clear" w:color="auto" w:fill="FFFFFF"/>
        </w:rPr>
        <w:br w:type="page"/>
      </w:r>
      <w:r>
        <w:rPr>
          <w:b/>
        </w:rPr>
        <w:lastRenderedPageBreak/>
        <w:t>ABSTRACT</w:t>
      </w:r>
    </w:p>
    <w:p w14:paraId="163A5AE5" w14:textId="77777777" w:rsidR="00D11269" w:rsidRDefault="00D11269" w:rsidP="00D11269"/>
    <w:p w14:paraId="57BDBCBC" w14:textId="13AD38E0" w:rsidR="00D11269" w:rsidRPr="00913A25" w:rsidRDefault="00FA1119" w:rsidP="00B67AB6">
      <w:pPr>
        <w:spacing w:line="480" w:lineRule="auto"/>
        <w:rPr>
          <w:shd w:val="clear" w:color="auto" w:fill="FFFFFF"/>
        </w:rPr>
      </w:pPr>
      <w:r>
        <w:rPr>
          <w:shd w:val="clear" w:color="auto" w:fill="FFFFFF"/>
        </w:rPr>
        <w:t>Background</w:t>
      </w:r>
      <w:r w:rsidR="00D11269" w:rsidRPr="00913A25">
        <w:rPr>
          <w:shd w:val="clear" w:color="auto" w:fill="FFFFFF"/>
        </w:rPr>
        <w:t xml:space="preserve">: Trichotillomania </w:t>
      </w:r>
      <w:r w:rsidR="00751177">
        <w:rPr>
          <w:shd w:val="clear" w:color="auto" w:fill="FFFFFF"/>
        </w:rPr>
        <w:t xml:space="preserve">(hair pulling disorder) </w:t>
      </w:r>
      <w:r w:rsidR="00D11269" w:rsidRPr="00913A25">
        <w:rPr>
          <w:shd w:val="clear" w:color="auto" w:fill="FFFFFF"/>
        </w:rPr>
        <w:t xml:space="preserve">and </w:t>
      </w:r>
      <w:r w:rsidR="00570849">
        <w:rPr>
          <w:shd w:val="clear" w:color="auto" w:fill="FFFFFF"/>
        </w:rPr>
        <w:t>s</w:t>
      </w:r>
      <w:r w:rsidR="00D11269" w:rsidRPr="00913A25">
        <w:rPr>
          <w:shd w:val="clear" w:color="auto" w:fill="FFFFFF"/>
        </w:rPr>
        <w:t xml:space="preserve">kin </w:t>
      </w:r>
      <w:r w:rsidR="00570849">
        <w:rPr>
          <w:shd w:val="clear" w:color="auto" w:fill="FFFFFF"/>
        </w:rPr>
        <w:t>p</w:t>
      </w:r>
      <w:r w:rsidR="00D11269" w:rsidRPr="00913A25">
        <w:rPr>
          <w:shd w:val="clear" w:color="auto" w:fill="FFFFFF"/>
        </w:rPr>
        <w:t xml:space="preserve">icking </w:t>
      </w:r>
      <w:r w:rsidR="00570849">
        <w:rPr>
          <w:shd w:val="clear" w:color="auto" w:fill="FFFFFF"/>
        </w:rPr>
        <w:t>d</w:t>
      </w:r>
      <w:r w:rsidR="00D11269" w:rsidRPr="00913A25">
        <w:rPr>
          <w:shd w:val="clear" w:color="auto" w:fill="FFFFFF"/>
        </w:rPr>
        <w:t xml:space="preserve">isorder are </w:t>
      </w:r>
      <w:r w:rsidR="00570849">
        <w:rPr>
          <w:shd w:val="clear" w:color="auto" w:fill="FFFFFF"/>
        </w:rPr>
        <w:t>common and often debilitating mental health conditions, grouped under the umbrella term of body focused repetitive behaviors (BFRBs)</w:t>
      </w:r>
      <w:r w:rsidR="00D11269" w:rsidRPr="00913A25">
        <w:rPr>
          <w:shd w:val="clear" w:color="auto" w:fill="FFFFFF"/>
        </w:rPr>
        <w:t xml:space="preserve">. </w:t>
      </w:r>
      <w:r w:rsidR="00570849">
        <w:rPr>
          <w:shd w:val="clear" w:color="auto" w:fill="FFFFFF"/>
        </w:rPr>
        <w:t xml:space="preserve"> Although the pathophysiology of BFRBs is incompletely understood, r</w:t>
      </w:r>
      <w:r w:rsidR="00D11269" w:rsidRPr="00913A25">
        <w:rPr>
          <w:shd w:val="clear" w:color="auto" w:fill="FFFFFF"/>
        </w:rPr>
        <w:t xml:space="preserve">eward processing </w:t>
      </w:r>
      <w:r w:rsidR="00751177">
        <w:rPr>
          <w:shd w:val="clear" w:color="auto" w:fill="FFFFFF"/>
        </w:rPr>
        <w:t xml:space="preserve">dysfunction </w:t>
      </w:r>
      <w:r w:rsidR="00D11269" w:rsidRPr="00913A25">
        <w:rPr>
          <w:color w:val="212121"/>
          <w:shd w:val="clear" w:color="auto" w:fill="FFFFFF"/>
        </w:rPr>
        <w:t xml:space="preserve">has been implicated </w:t>
      </w:r>
      <w:r w:rsidR="00570849">
        <w:rPr>
          <w:color w:val="212121"/>
          <w:shd w:val="clear" w:color="auto" w:fill="FFFFFF"/>
        </w:rPr>
        <w:t xml:space="preserve">in the etiology and </w:t>
      </w:r>
      <w:r w:rsidR="00751177">
        <w:rPr>
          <w:color w:val="212121"/>
          <w:shd w:val="clear" w:color="auto" w:fill="FFFFFF"/>
        </w:rPr>
        <w:t>sustention</w:t>
      </w:r>
      <w:r w:rsidR="00570849">
        <w:rPr>
          <w:color w:val="212121"/>
          <w:shd w:val="clear" w:color="auto" w:fill="FFFFFF"/>
        </w:rPr>
        <w:t xml:space="preserve"> of these disorders</w:t>
      </w:r>
      <w:r w:rsidR="00D11269" w:rsidRPr="00913A25">
        <w:rPr>
          <w:color w:val="212121"/>
          <w:shd w:val="clear" w:color="auto" w:fill="FFFFFF"/>
        </w:rPr>
        <w:t xml:space="preserve">. The purpose of this study was to probe reward processing in </w:t>
      </w:r>
      <w:r w:rsidR="00E12E2B">
        <w:rPr>
          <w:color w:val="212121"/>
          <w:shd w:val="clear" w:color="auto" w:fill="FFFFFF"/>
        </w:rPr>
        <w:t>BFRBs</w:t>
      </w:r>
      <w:r w:rsidR="00D11269" w:rsidRPr="00913A25">
        <w:rPr>
          <w:color w:val="212121"/>
          <w:shd w:val="clear" w:color="auto" w:fill="FFFFFF"/>
        </w:rPr>
        <w:t>.</w:t>
      </w:r>
    </w:p>
    <w:p w14:paraId="24FE6552" w14:textId="3BBFF1E7" w:rsidR="00D11269" w:rsidRDefault="00D11269">
      <w:pPr>
        <w:spacing w:line="480" w:lineRule="auto"/>
        <w:rPr>
          <w:color w:val="000000"/>
        </w:rPr>
      </w:pPr>
      <w:r w:rsidRPr="00913A25">
        <w:rPr>
          <w:shd w:val="clear" w:color="auto" w:fill="FFFFFF"/>
        </w:rPr>
        <w:t xml:space="preserve">Methods: </w:t>
      </w:r>
      <w:r w:rsidRPr="00393C2F">
        <w:t xml:space="preserve">159 adults </w:t>
      </w:r>
      <w:r w:rsidR="00570849" w:rsidRPr="003D7CBF">
        <w:t xml:space="preserve">(125 with a BFRB </w:t>
      </w:r>
      <w:r w:rsidR="00FA1119">
        <w:t>[</w:t>
      </w:r>
      <w:r w:rsidR="00FA1119" w:rsidRPr="003D7CBF">
        <w:t>83.2% (n=104) female</w:t>
      </w:r>
      <w:r w:rsidR="00FA1119">
        <w:t>] and</w:t>
      </w:r>
      <w:r w:rsidR="00FA1119" w:rsidRPr="003D7CBF">
        <w:t xml:space="preserve"> 34 healthy controls</w:t>
      </w:r>
      <w:r w:rsidR="00FA1119">
        <w:t xml:space="preserve"> [</w:t>
      </w:r>
      <w:r w:rsidR="00FA1119" w:rsidRPr="003D7CBF">
        <w:t>73.5% (n=25) female</w:t>
      </w:r>
      <w:r w:rsidR="00FA1119">
        <w:t>]</w:t>
      </w:r>
      <w:r w:rsidR="00570849" w:rsidRPr="003D7CBF">
        <w:t xml:space="preserve">) </w:t>
      </w:r>
      <w:r>
        <w:t xml:space="preserve">were </w:t>
      </w:r>
      <w:r w:rsidRPr="00393C2F">
        <w:t xml:space="preserve">recruited from the community </w:t>
      </w:r>
      <w:r w:rsidRPr="00913A25">
        <w:t>for a</w:t>
      </w:r>
      <w:r w:rsidRPr="00913A25">
        <w:rPr>
          <w:bCs/>
          <w:color w:val="212121"/>
        </w:rPr>
        <w:t xml:space="preserve"> multi-center </w:t>
      </w:r>
      <w:r w:rsidRPr="00913A25">
        <w:t>b</w:t>
      </w:r>
      <w:r w:rsidRPr="00913A25">
        <w:rPr>
          <w:color w:val="212121"/>
        </w:rPr>
        <w:t xml:space="preserve">etween-group comparison using </w:t>
      </w:r>
      <w:r>
        <w:rPr>
          <w:color w:val="212121"/>
        </w:rPr>
        <w:t xml:space="preserve">a </w:t>
      </w:r>
      <w:r w:rsidR="001C1085">
        <w:rPr>
          <w:color w:val="212121"/>
        </w:rPr>
        <w:t xml:space="preserve">functional imaging (fMRI) </w:t>
      </w:r>
      <w:r w:rsidRPr="003C5506">
        <w:rPr>
          <w:color w:val="000000"/>
        </w:rPr>
        <w:t>monetary reward task</w:t>
      </w:r>
      <w:r>
        <w:rPr>
          <w:color w:val="000000"/>
        </w:rPr>
        <w:t xml:space="preserve">. </w:t>
      </w:r>
      <w:r w:rsidR="001C1085">
        <w:rPr>
          <w:color w:val="000000"/>
        </w:rPr>
        <w:t xml:space="preserve">Differences in brain activation during reward anticipation and punishment anticipation were compared between BFRB patients and controls, with stringent correction for multiple comparisons. </w:t>
      </w:r>
      <w:r w:rsidR="00E12E2B" w:rsidRPr="00850D59">
        <w:rPr>
          <w:color w:val="000000"/>
        </w:rPr>
        <w:t xml:space="preserve">All group level analyses </w:t>
      </w:r>
      <w:r w:rsidR="001C1085">
        <w:rPr>
          <w:color w:val="000000"/>
        </w:rPr>
        <w:t>controlled for</w:t>
      </w:r>
      <w:r w:rsidR="001C1085" w:rsidRPr="00850D59">
        <w:rPr>
          <w:color w:val="000000"/>
        </w:rPr>
        <w:t xml:space="preserve"> </w:t>
      </w:r>
      <w:r w:rsidR="00E12E2B" w:rsidRPr="00850D59">
        <w:rPr>
          <w:color w:val="000000"/>
        </w:rPr>
        <w:t xml:space="preserve">age, sex and scanning site. </w:t>
      </w:r>
    </w:p>
    <w:p w14:paraId="4E81B947" w14:textId="2E442867" w:rsidR="00D11269" w:rsidRPr="00E72602" w:rsidRDefault="00D11269" w:rsidP="00B67AB6">
      <w:pPr>
        <w:spacing w:line="480" w:lineRule="auto"/>
      </w:pPr>
      <w:r>
        <w:rPr>
          <w:color w:val="000000"/>
        </w:rPr>
        <w:t>Results:</w:t>
      </w:r>
      <w:r w:rsidRPr="00913A25">
        <w:t xml:space="preserve"> </w:t>
      </w:r>
      <w:r w:rsidRPr="00CA319F">
        <w:t xml:space="preserve">Compared to controls, </w:t>
      </w:r>
      <w:r w:rsidR="001F39A2">
        <w:t xml:space="preserve">BFRB </w:t>
      </w:r>
      <w:r w:rsidRPr="00CA319F">
        <w:t>participants</w:t>
      </w:r>
      <w:r>
        <w:t xml:space="preserve"> </w:t>
      </w:r>
      <w:r w:rsidRPr="00CA319F">
        <w:t xml:space="preserve">showed </w:t>
      </w:r>
      <w:r w:rsidR="00E12E2B">
        <w:rPr>
          <w:color w:val="000000"/>
          <w:shd w:val="clear" w:color="auto" w:fill="FFFFFF"/>
        </w:rPr>
        <w:t>marked hyperactivation of the bilateral inferior frontal gyrus (pars opercularis and pars triangularis) compared to controls</w:t>
      </w:r>
      <w:r>
        <w:rPr>
          <w:bCs/>
          <w:color w:val="000000"/>
        </w:rPr>
        <w:t xml:space="preserve">. In addition, </w:t>
      </w:r>
      <w:r w:rsidR="006237C8">
        <w:rPr>
          <w:bCs/>
          <w:color w:val="000000"/>
        </w:rPr>
        <w:t xml:space="preserve">BFRB </w:t>
      </w:r>
      <w:r w:rsidRPr="00CA319F">
        <w:t xml:space="preserve">participants </w:t>
      </w:r>
      <w:r w:rsidR="006237C8">
        <w:t>exhibited</w:t>
      </w:r>
      <w:r w:rsidRPr="00CA319F">
        <w:t xml:space="preserve"> increased activation in </w:t>
      </w:r>
      <w:r w:rsidR="00B67AB6">
        <w:t>multiple areas</w:t>
      </w:r>
      <w:r w:rsidRPr="00CA319F">
        <w:t xml:space="preserve"> during the anticipation</w:t>
      </w:r>
      <w:r>
        <w:t xml:space="preserve"> of loss </w:t>
      </w:r>
      <w:r>
        <w:rPr>
          <w:color w:val="000000"/>
        </w:rPr>
        <w:t>(right fusiform gyrus, parahippocampal gyrus, cerebellum</w:t>
      </w:r>
      <w:r w:rsidR="00B67AB6">
        <w:rPr>
          <w:color w:val="000000"/>
        </w:rPr>
        <w:t>,</w:t>
      </w:r>
      <w:r>
        <w:rPr>
          <w:color w:val="000000"/>
        </w:rPr>
        <w:t xml:space="preserve"> right inferior parietal lobule; left inferior frontal gyrus</w:t>
      </w:r>
      <w:r w:rsidR="00B67AB6">
        <w:rPr>
          <w:color w:val="000000"/>
        </w:rPr>
        <w:t xml:space="preserve">). </w:t>
      </w:r>
      <w:r w:rsidRPr="00E72602">
        <w:rPr>
          <w:color w:val="000000"/>
        </w:rPr>
        <w:t>There were no significant differences in the win-lose contrast between the two groups.</w:t>
      </w:r>
      <w:r w:rsidR="00B67AB6">
        <w:rPr>
          <w:color w:val="000000"/>
        </w:rPr>
        <w:t xml:space="preserve"> </w:t>
      </w:r>
    </w:p>
    <w:p w14:paraId="61ADC55D" w14:textId="7930DBA4" w:rsidR="00D11269" w:rsidRPr="00913A25" w:rsidRDefault="00FA1119" w:rsidP="00B67AB6">
      <w:pPr>
        <w:spacing w:line="480" w:lineRule="auto"/>
      </w:pPr>
      <w:r>
        <w:rPr>
          <w:color w:val="000000"/>
        </w:rPr>
        <w:t>Conclusions</w:t>
      </w:r>
      <w:r w:rsidR="00D11269">
        <w:rPr>
          <w:color w:val="000000"/>
        </w:rPr>
        <w:t xml:space="preserve">: </w:t>
      </w:r>
      <w:r w:rsidR="00D11269" w:rsidRPr="00913A25">
        <w:t xml:space="preserve">These </w:t>
      </w:r>
      <w:r w:rsidR="00D11269">
        <w:t xml:space="preserve">data indicate the existence of </w:t>
      </w:r>
      <w:r w:rsidR="00D11269" w:rsidRPr="00586BBF">
        <w:rPr>
          <w:color w:val="2E2E2E"/>
        </w:rPr>
        <w:t>dysregulated reward circuitry in</w:t>
      </w:r>
      <w:r w:rsidR="00D11269" w:rsidRPr="00913A25">
        <w:t xml:space="preserve"> </w:t>
      </w:r>
      <w:r w:rsidR="006237C8">
        <w:t>BFRBs</w:t>
      </w:r>
      <w:r w:rsidR="00D11269">
        <w:t xml:space="preserve">. </w:t>
      </w:r>
      <w:r w:rsidR="00D11269" w:rsidRPr="00913A25">
        <w:t xml:space="preserve">The identified </w:t>
      </w:r>
      <w:r w:rsidR="00D11269">
        <w:t>pathophysiology of reward dysfunction may</w:t>
      </w:r>
      <w:r w:rsidR="00D11269" w:rsidRPr="00913A25">
        <w:t xml:space="preserve"> be useful to tailor future treatments</w:t>
      </w:r>
      <w:r w:rsidR="00D11269">
        <w:t>.</w:t>
      </w:r>
      <w:r w:rsidR="00D11269" w:rsidRPr="00913A25">
        <w:t xml:space="preserve"> </w:t>
      </w:r>
    </w:p>
    <w:p w14:paraId="62796231" w14:textId="77777777" w:rsidR="00D11269" w:rsidRPr="00913A25" w:rsidRDefault="00D11269" w:rsidP="00D11269">
      <w:pPr>
        <w:pStyle w:val="CommentText"/>
        <w:rPr>
          <w:b/>
          <w:sz w:val="24"/>
          <w:szCs w:val="24"/>
        </w:rPr>
      </w:pPr>
    </w:p>
    <w:p w14:paraId="7315684E" w14:textId="77777777" w:rsidR="00FA1119" w:rsidRDefault="00FA1119" w:rsidP="006237C8">
      <w:pPr>
        <w:spacing w:line="480" w:lineRule="auto"/>
        <w:rPr>
          <w:b/>
          <w:shd w:val="clear" w:color="auto" w:fill="FFFFFF"/>
        </w:rPr>
      </w:pPr>
    </w:p>
    <w:p w14:paraId="74053B3D" w14:textId="42D4A6F2" w:rsidR="006237C8" w:rsidRPr="006237C8" w:rsidRDefault="006237C8" w:rsidP="006237C8">
      <w:pPr>
        <w:spacing w:line="480" w:lineRule="auto"/>
        <w:rPr>
          <w:b/>
          <w:shd w:val="clear" w:color="auto" w:fill="FFFFFF"/>
        </w:rPr>
      </w:pPr>
      <w:r w:rsidRPr="006237C8">
        <w:rPr>
          <w:b/>
          <w:shd w:val="clear" w:color="auto" w:fill="FFFFFF"/>
        </w:rPr>
        <w:lastRenderedPageBreak/>
        <w:t>Introduction</w:t>
      </w:r>
    </w:p>
    <w:p w14:paraId="2A40B05C" w14:textId="3CA002BC" w:rsidR="00F96098" w:rsidRPr="00E840C9" w:rsidRDefault="004B54F8" w:rsidP="0058599D">
      <w:pPr>
        <w:spacing w:line="480" w:lineRule="auto"/>
        <w:ind w:firstLine="720"/>
        <w:rPr>
          <w:shd w:val="clear" w:color="auto" w:fill="FFFFFF"/>
        </w:rPr>
      </w:pPr>
      <w:r>
        <w:rPr>
          <w:shd w:val="clear" w:color="auto" w:fill="FFFFFF"/>
        </w:rPr>
        <w:t>Trichotillomania</w:t>
      </w:r>
      <w:r w:rsidR="00901F70">
        <w:rPr>
          <w:shd w:val="clear" w:color="auto" w:fill="FFFFFF"/>
        </w:rPr>
        <w:t xml:space="preserve"> </w:t>
      </w:r>
      <w:r w:rsidR="00390FFF" w:rsidRPr="00E840C9">
        <w:rPr>
          <w:shd w:val="clear" w:color="auto" w:fill="FFFFFF"/>
        </w:rPr>
        <w:t>(</w:t>
      </w:r>
      <w:r w:rsidR="00901F70">
        <w:rPr>
          <w:shd w:val="clear" w:color="auto" w:fill="FFFFFF"/>
        </w:rPr>
        <w:t>TTM</w:t>
      </w:r>
      <w:r w:rsidR="00CA629D">
        <w:rPr>
          <w:shd w:val="clear" w:color="auto" w:fill="FFFFFF"/>
        </w:rPr>
        <w:t>; also known as Hair Pulling Disorder</w:t>
      </w:r>
      <w:r w:rsidR="00390FFF" w:rsidRPr="00E840C9">
        <w:rPr>
          <w:shd w:val="clear" w:color="auto" w:fill="FFFFFF"/>
        </w:rPr>
        <w:t xml:space="preserve">) </w:t>
      </w:r>
      <w:r w:rsidR="004628C8" w:rsidRPr="00E840C9">
        <w:rPr>
          <w:shd w:val="clear" w:color="auto" w:fill="FFFFFF"/>
        </w:rPr>
        <w:t>and Skin Picking Disorder</w:t>
      </w:r>
      <w:r w:rsidR="00390FFF" w:rsidRPr="00E840C9">
        <w:rPr>
          <w:shd w:val="clear" w:color="auto" w:fill="FFFFFF"/>
        </w:rPr>
        <w:t xml:space="preserve"> (SPD)</w:t>
      </w:r>
      <w:r w:rsidR="004628C8" w:rsidRPr="00E840C9">
        <w:rPr>
          <w:shd w:val="clear" w:color="auto" w:fill="FFFFFF"/>
        </w:rPr>
        <w:t>, are characterized by repeated pulling out of hair resulting in hair loss</w:t>
      </w:r>
      <w:r w:rsidR="007A21D7">
        <w:rPr>
          <w:shd w:val="clear" w:color="auto" w:fill="FFFFFF"/>
        </w:rPr>
        <w:t xml:space="preserve"> or</w:t>
      </w:r>
      <w:r w:rsidR="004628C8" w:rsidRPr="00E840C9">
        <w:rPr>
          <w:shd w:val="clear" w:color="auto" w:fill="FFFFFF"/>
        </w:rPr>
        <w:t xml:space="preserve"> picking at skin resulting in tissue damage, respectively</w:t>
      </w:r>
      <w:r w:rsidR="000446F7">
        <w:rPr>
          <w:shd w:val="clear" w:color="auto" w:fill="FFFFFF"/>
        </w:rPr>
        <w:t>.  These disorders</w:t>
      </w:r>
      <w:r w:rsidR="00A156FE">
        <w:rPr>
          <w:shd w:val="clear" w:color="auto" w:fill="FFFFFF"/>
        </w:rPr>
        <w:t xml:space="preserve"> have been conceptualized </w:t>
      </w:r>
      <w:r w:rsidR="000446F7">
        <w:rPr>
          <w:shd w:val="clear" w:color="auto" w:fill="FFFFFF"/>
        </w:rPr>
        <w:t>under the larger umbrella of</w:t>
      </w:r>
      <w:r w:rsidR="00A156FE">
        <w:rPr>
          <w:shd w:val="clear" w:color="auto" w:fill="FFFFFF"/>
        </w:rPr>
        <w:t xml:space="preserve"> body focused repetitive behavior disorders (BFRBs)</w:t>
      </w:r>
      <w:r w:rsidR="000446F7">
        <w:rPr>
          <w:shd w:val="clear" w:color="auto" w:fill="FFFFFF"/>
        </w:rPr>
        <w:t xml:space="preserve"> and</w:t>
      </w:r>
      <w:r w:rsidR="004628C8" w:rsidRPr="00E840C9">
        <w:rPr>
          <w:shd w:val="clear" w:color="auto" w:fill="FFFFFF"/>
        </w:rPr>
        <w:t xml:space="preserve"> </w:t>
      </w:r>
      <w:r>
        <w:rPr>
          <w:shd w:val="clear" w:color="auto" w:fill="FFFFFF"/>
        </w:rPr>
        <w:t xml:space="preserve">often </w:t>
      </w:r>
      <w:r w:rsidR="004628C8" w:rsidRPr="00E840C9">
        <w:rPr>
          <w:shd w:val="clear" w:color="auto" w:fill="FFFFFF"/>
        </w:rPr>
        <w:t xml:space="preserve">result in </w:t>
      </w:r>
      <w:r w:rsidR="000446F7">
        <w:rPr>
          <w:shd w:val="clear" w:color="auto" w:fill="FFFFFF"/>
        </w:rPr>
        <w:t>significant psychosocial</w:t>
      </w:r>
      <w:r w:rsidR="004628C8" w:rsidRPr="00E840C9">
        <w:rPr>
          <w:shd w:val="clear" w:color="auto" w:fill="FFFFFF"/>
        </w:rPr>
        <w:t xml:space="preserve"> impairmen</w:t>
      </w:r>
      <w:r w:rsidR="00417C1C" w:rsidRPr="00E840C9">
        <w:rPr>
          <w:shd w:val="clear" w:color="auto" w:fill="FFFFFF"/>
        </w:rPr>
        <w:t>t (</w:t>
      </w:r>
      <w:r w:rsidR="0094590A">
        <w:rPr>
          <w:shd w:val="clear" w:color="auto" w:fill="FFFFFF"/>
        </w:rPr>
        <w:t>Tucker et al., 201</w:t>
      </w:r>
      <w:r w:rsidR="006237C8">
        <w:rPr>
          <w:shd w:val="clear" w:color="auto" w:fill="FFFFFF"/>
        </w:rPr>
        <w:t>1</w:t>
      </w:r>
      <w:r w:rsidR="00417C1C" w:rsidRPr="00E840C9">
        <w:rPr>
          <w:shd w:val="clear" w:color="auto" w:fill="FFFFFF"/>
        </w:rPr>
        <w:t>)</w:t>
      </w:r>
      <w:r w:rsidR="00EA54AF" w:rsidRPr="00E840C9">
        <w:rPr>
          <w:shd w:val="clear" w:color="auto" w:fill="FFFFFF"/>
        </w:rPr>
        <w:t xml:space="preserve">. </w:t>
      </w:r>
      <w:r w:rsidR="00A156FE">
        <w:rPr>
          <w:shd w:val="clear" w:color="auto" w:fill="FFFFFF"/>
        </w:rPr>
        <w:t xml:space="preserve"> </w:t>
      </w:r>
      <w:r w:rsidR="00B11EC7" w:rsidRPr="00E840C9">
        <w:rPr>
          <w:shd w:val="clear" w:color="auto" w:fill="FFFFFF"/>
        </w:rPr>
        <w:t>Although both psychosocial and psychopharmacological treatments have demonstrated some degree of efficacy</w:t>
      </w:r>
      <w:r w:rsidR="00877E29">
        <w:rPr>
          <w:shd w:val="clear" w:color="auto" w:fill="FFFFFF"/>
        </w:rPr>
        <w:t xml:space="preserve"> for BFRBs</w:t>
      </w:r>
      <w:r w:rsidR="00B11EC7" w:rsidRPr="00E840C9">
        <w:rPr>
          <w:shd w:val="clear" w:color="auto" w:fill="FFFFFF"/>
        </w:rPr>
        <w:t>, many people fail to respond or exhibit only partial response</w:t>
      </w:r>
      <w:r w:rsidR="00877E29">
        <w:rPr>
          <w:shd w:val="clear" w:color="auto" w:fill="FFFFFF"/>
        </w:rPr>
        <w:t>s</w:t>
      </w:r>
      <w:r w:rsidR="00F96098" w:rsidRPr="00E840C9">
        <w:rPr>
          <w:shd w:val="clear" w:color="auto" w:fill="FFFFFF"/>
        </w:rPr>
        <w:t xml:space="preserve"> to these interventions</w:t>
      </w:r>
      <w:r>
        <w:rPr>
          <w:shd w:val="clear" w:color="auto" w:fill="FFFFFF"/>
        </w:rPr>
        <w:t xml:space="preserve"> (</w:t>
      </w:r>
      <w:r w:rsidR="0094590A">
        <w:rPr>
          <w:shd w:val="clear" w:color="auto" w:fill="FFFFFF"/>
        </w:rPr>
        <w:t>Sani et al., 2019</w:t>
      </w:r>
      <w:r w:rsidR="00B80661">
        <w:rPr>
          <w:shd w:val="clear" w:color="auto" w:fill="FFFFFF"/>
        </w:rPr>
        <w:t>)</w:t>
      </w:r>
      <w:r w:rsidR="00B11EC7" w:rsidRPr="00E840C9">
        <w:rPr>
          <w:shd w:val="clear" w:color="auto" w:fill="FFFFFF"/>
        </w:rPr>
        <w:t xml:space="preserve">. </w:t>
      </w:r>
    </w:p>
    <w:p w14:paraId="2884DB91" w14:textId="7C030564" w:rsidR="00A83848" w:rsidRDefault="00B80661" w:rsidP="005B39FC">
      <w:pPr>
        <w:spacing w:line="480" w:lineRule="auto"/>
        <w:ind w:firstLine="720"/>
        <w:rPr>
          <w:shd w:val="clear" w:color="auto" w:fill="FFFFFF"/>
        </w:rPr>
      </w:pPr>
      <w:r w:rsidRPr="00B80661">
        <w:rPr>
          <w:shd w:val="clear" w:color="auto" w:fill="FFFFFF"/>
        </w:rPr>
        <w:t>One issue that has hampered treatment development to date</w:t>
      </w:r>
      <w:r w:rsidR="00B33144">
        <w:rPr>
          <w:shd w:val="clear" w:color="auto" w:fill="FFFFFF"/>
        </w:rPr>
        <w:t>, and the formulation of brain-based disease models,</w:t>
      </w:r>
      <w:r w:rsidRPr="00B80661">
        <w:rPr>
          <w:shd w:val="clear" w:color="auto" w:fill="FFFFFF"/>
        </w:rPr>
        <w:t xml:space="preserve"> is that the understanding of the </w:t>
      </w:r>
      <w:r w:rsidR="005B39FC">
        <w:rPr>
          <w:shd w:val="clear" w:color="auto" w:fill="FFFFFF"/>
        </w:rPr>
        <w:t xml:space="preserve">neurobiology </w:t>
      </w:r>
      <w:r w:rsidRPr="00B80661">
        <w:rPr>
          <w:shd w:val="clear" w:color="auto" w:fill="FFFFFF"/>
        </w:rPr>
        <w:t>of BFRBs remains limited</w:t>
      </w:r>
      <w:r>
        <w:rPr>
          <w:shd w:val="clear" w:color="auto" w:fill="FFFFFF"/>
        </w:rPr>
        <w:t xml:space="preserve">.  </w:t>
      </w:r>
      <w:r w:rsidR="00901F70">
        <w:rPr>
          <w:shd w:val="clear" w:color="auto" w:fill="FFFFFF"/>
        </w:rPr>
        <w:t>BFRB</w:t>
      </w:r>
      <w:r w:rsidR="00882834" w:rsidRPr="00E840C9">
        <w:rPr>
          <w:shd w:val="clear" w:color="auto" w:fill="FFFFFF"/>
        </w:rPr>
        <w:t xml:space="preserve"> </w:t>
      </w:r>
      <w:r w:rsidR="000446F7">
        <w:rPr>
          <w:shd w:val="clear" w:color="auto" w:fill="FFFFFF"/>
        </w:rPr>
        <w:t xml:space="preserve">neuroimaging </w:t>
      </w:r>
      <w:r w:rsidR="00882834" w:rsidRPr="00E840C9">
        <w:rPr>
          <w:shd w:val="clear" w:color="auto" w:fill="FFFFFF"/>
        </w:rPr>
        <w:t xml:space="preserve">research </w:t>
      </w:r>
      <w:r w:rsidR="00A607A8">
        <w:rPr>
          <w:shd w:val="clear" w:color="auto" w:fill="FFFFFF"/>
        </w:rPr>
        <w:t xml:space="preserve">comparing patients to matched controls </w:t>
      </w:r>
      <w:r w:rsidR="00882834" w:rsidRPr="00E840C9">
        <w:rPr>
          <w:shd w:val="clear" w:color="auto" w:fill="FFFFFF"/>
        </w:rPr>
        <w:t xml:space="preserve">has </w:t>
      </w:r>
      <w:r w:rsidR="00A607A8">
        <w:rPr>
          <w:shd w:val="clear" w:color="auto" w:fill="FFFFFF"/>
        </w:rPr>
        <w:t>identified</w:t>
      </w:r>
      <w:r w:rsidR="005B39FC">
        <w:rPr>
          <w:shd w:val="clear" w:color="auto" w:fill="FFFFFF"/>
        </w:rPr>
        <w:t>, i</w:t>
      </w:r>
      <w:r w:rsidR="00901F70">
        <w:rPr>
          <w:shd w:val="clear" w:color="auto" w:fill="FFFFFF"/>
        </w:rPr>
        <w:t>n small</w:t>
      </w:r>
      <w:r w:rsidR="000446F7">
        <w:rPr>
          <w:shd w:val="clear" w:color="auto" w:fill="FFFFFF"/>
        </w:rPr>
        <w:t>, single-site</w:t>
      </w:r>
      <w:r w:rsidR="00901F70">
        <w:rPr>
          <w:shd w:val="clear" w:color="auto" w:fill="FFFFFF"/>
        </w:rPr>
        <w:t xml:space="preserve"> samples (Ns ranging from 10-</w:t>
      </w:r>
      <w:r w:rsidR="005D6B51">
        <w:rPr>
          <w:shd w:val="clear" w:color="auto" w:fill="FFFFFF"/>
        </w:rPr>
        <w:t>76</w:t>
      </w:r>
      <w:r w:rsidR="004A5758">
        <w:rPr>
          <w:shd w:val="clear" w:color="auto" w:fill="FFFFFF"/>
        </w:rPr>
        <w:t>) of</w:t>
      </w:r>
      <w:r w:rsidR="00901F70">
        <w:rPr>
          <w:shd w:val="clear" w:color="auto" w:fill="FFFFFF"/>
        </w:rPr>
        <w:t xml:space="preserve"> participants, </w:t>
      </w:r>
      <w:r w:rsidR="0060332A" w:rsidRPr="0060332A">
        <w:rPr>
          <w:shd w:val="clear" w:color="auto" w:fill="FFFFFF"/>
        </w:rPr>
        <w:t xml:space="preserve">evidence </w:t>
      </w:r>
      <w:r w:rsidR="00CD5E71">
        <w:rPr>
          <w:shd w:val="clear" w:color="auto" w:fill="FFFFFF"/>
        </w:rPr>
        <w:t>of</w:t>
      </w:r>
      <w:r w:rsidR="0060332A" w:rsidRPr="0060332A">
        <w:rPr>
          <w:shd w:val="clear" w:color="auto" w:fill="FFFFFF"/>
        </w:rPr>
        <w:t xml:space="preserve"> abnormalities in </w:t>
      </w:r>
      <w:r w:rsidR="00CD5E71">
        <w:rPr>
          <w:shd w:val="clear" w:color="auto" w:fill="FFFFFF"/>
        </w:rPr>
        <w:t>several regions of the brain which  have included areas</w:t>
      </w:r>
      <w:r w:rsidR="0060332A" w:rsidRPr="0060332A">
        <w:rPr>
          <w:shd w:val="clear" w:color="auto" w:fill="FFFFFF"/>
        </w:rPr>
        <w:t xml:space="preserve"> involved in habit </w:t>
      </w:r>
      <w:r w:rsidR="00CD5E71">
        <w:rPr>
          <w:shd w:val="clear" w:color="auto" w:fill="FFFFFF"/>
        </w:rPr>
        <w:t>formation</w:t>
      </w:r>
      <w:r w:rsidR="0060332A" w:rsidRPr="0060332A">
        <w:rPr>
          <w:shd w:val="clear" w:color="auto" w:fill="FFFFFF"/>
        </w:rPr>
        <w:t xml:space="preserve"> (e.g., </w:t>
      </w:r>
      <w:r w:rsidR="00CD5E71">
        <w:rPr>
          <w:shd w:val="clear" w:color="auto" w:fill="FFFFFF"/>
        </w:rPr>
        <w:t xml:space="preserve">dorsal </w:t>
      </w:r>
      <w:r w:rsidR="0060332A" w:rsidRPr="0060332A">
        <w:rPr>
          <w:shd w:val="clear" w:color="auto" w:fill="FFFFFF"/>
        </w:rPr>
        <w:t>striat</w:t>
      </w:r>
      <w:r w:rsidR="00CD5E71">
        <w:rPr>
          <w:shd w:val="clear" w:color="auto" w:fill="FFFFFF"/>
        </w:rPr>
        <w:t>al areas</w:t>
      </w:r>
      <w:r w:rsidR="0060332A" w:rsidRPr="0060332A">
        <w:rPr>
          <w:shd w:val="clear" w:color="auto" w:fill="FFFFFF"/>
        </w:rPr>
        <w:t>), emotion</w:t>
      </w:r>
      <w:r w:rsidR="00CD5E71">
        <w:rPr>
          <w:shd w:val="clear" w:color="auto" w:fill="FFFFFF"/>
        </w:rPr>
        <w:t>al</w:t>
      </w:r>
      <w:r w:rsidR="0060332A" w:rsidRPr="0060332A">
        <w:rPr>
          <w:shd w:val="clear" w:color="auto" w:fill="FFFFFF"/>
        </w:rPr>
        <w:t xml:space="preserve"> regulation (e.g., amygdal</w:t>
      </w:r>
      <w:r w:rsidR="00CD5E71">
        <w:rPr>
          <w:shd w:val="clear" w:color="auto" w:fill="FFFFFF"/>
        </w:rPr>
        <w:t>a and hippocampal areas</w:t>
      </w:r>
      <w:r w:rsidR="0060332A" w:rsidRPr="0060332A">
        <w:rPr>
          <w:shd w:val="clear" w:color="auto" w:fill="FFFFFF"/>
        </w:rPr>
        <w:t>)</w:t>
      </w:r>
      <w:r w:rsidR="0060332A">
        <w:rPr>
          <w:shd w:val="clear" w:color="auto" w:fill="FFFFFF"/>
        </w:rPr>
        <w:t xml:space="preserve">, </w:t>
      </w:r>
      <w:r w:rsidR="0060332A" w:rsidRPr="0060332A">
        <w:rPr>
          <w:shd w:val="clear" w:color="auto" w:fill="FFFFFF"/>
        </w:rPr>
        <w:t xml:space="preserve">memory processing </w:t>
      </w:r>
      <w:r w:rsidR="0060332A">
        <w:rPr>
          <w:shd w:val="clear" w:color="auto" w:fill="FFFFFF"/>
        </w:rPr>
        <w:t xml:space="preserve">(e.g., </w:t>
      </w:r>
      <w:r w:rsidR="0060332A" w:rsidRPr="0060332A">
        <w:rPr>
          <w:shd w:val="clear" w:color="auto" w:fill="FFFFFF"/>
        </w:rPr>
        <w:t>temporal lobe</w:t>
      </w:r>
      <w:r w:rsidR="0060332A">
        <w:rPr>
          <w:shd w:val="clear" w:color="auto" w:fill="FFFFFF"/>
        </w:rPr>
        <w:t>),</w:t>
      </w:r>
      <w:r w:rsidR="0060332A" w:rsidRPr="0060332A">
        <w:rPr>
          <w:shd w:val="clear" w:color="auto" w:fill="FFFFFF"/>
        </w:rPr>
        <w:t xml:space="preserve"> self-monitoring and awareness </w:t>
      </w:r>
      <w:r w:rsidR="0060332A">
        <w:rPr>
          <w:shd w:val="clear" w:color="auto" w:fill="FFFFFF"/>
        </w:rPr>
        <w:t>(e.g.,</w:t>
      </w:r>
      <w:r w:rsidR="0060332A" w:rsidRPr="0060332A">
        <w:rPr>
          <w:shd w:val="clear" w:color="auto" w:fill="FFFFFF"/>
        </w:rPr>
        <w:t xml:space="preserve"> precuneus</w:t>
      </w:r>
      <w:r w:rsidR="0060332A">
        <w:rPr>
          <w:shd w:val="clear" w:color="auto" w:fill="FFFFFF"/>
        </w:rPr>
        <w:t xml:space="preserve">), </w:t>
      </w:r>
      <w:r w:rsidR="00A07575" w:rsidRPr="00A07575">
        <w:rPr>
          <w:shd w:val="clear" w:color="auto" w:fill="FFFFFF"/>
        </w:rPr>
        <w:t xml:space="preserve">reward processing </w:t>
      </w:r>
      <w:r w:rsidR="00A07575">
        <w:rPr>
          <w:shd w:val="clear" w:color="auto" w:fill="FFFFFF"/>
        </w:rPr>
        <w:t>(e.g.,</w:t>
      </w:r>
      <w:r w:rsidR="00A07575" w:rsidRPr="00A07575">
        <w:rPr>
          <w:shd w:val="clear" w:color="auto" w:fill="FFFFFF"/>
        </w:rPr>
        <w:t xml:space="preserve"> ventral striatum, frontal hemisphere, bilateral cuneus</w:t>
      </w:r>
      <w:r w:rsidR="00A07575">
        <w:rPr>
          <w:shd w:val="clear" w:color="auto" w:fill="FFFFFF"/>
        </w:rPr>
        <w:t>),</w:t>
      </w:r>
      <w:r w:rsidR="00A07575" w:rsidRPr="00A07575">
        <w:rPr>
          <w:shd w:val="clear" w:color="auto" w:fill="FFFFFF"/>
        </w:rPr>
        <w:t xml:space="preserve"> </w:t>
      </w:r>
      <w:r w:rsidR="0060332A">
        <w:rPr>
          <w:shd w:val="clear" w:color="auto" w:fill="FFFFFF"/>
        </w:rPr>
        <w:t>visual processing</w:t>
      </w:r>
      <w:r w:rsidR="00A07575">
        <w:rPr>
          <w:shd w:val="clear" w:color="auto" w:fill="FFFFFF"/>
        </w:rPr>
        <w:t xml:space="preserve"> of disgust (e.g., </w:t>
      </w:r>
      <w:r w:rsidR="00A07575" w:rsidRPr="00A07575">
        <w:rPr>
          <w:shd w:val="clear" w:color="auto" w:fill="FFFFFF"/>
        </w:rPr>
        <w:t>insula and putamen</w:t>
      </w:r>
      <w:r w:rsidR="00A07575">
        <w:rPr>
          <w:shd w:val="clear" w:color="auto" w:fill="FFFFFF"/>
        </w:rPr>
        <w:t>)</w:t>
      </w:r>
      <w:r w:rsidR="0060332A">
        <w:rPr>
          <w:shd w:val="clear" w:color="auto" w:fill="FFFFFF"/>
        </w:rPr>
        <w:t>,</w:t>
      </w:r>
      <w:r w:rsidR="0060332A" w:rsidRPr="0060332A">
        <w:rPr>
          <w:shd w:val="clear" w:color="auto" w:fill="FFFFFF"/>
        </w:rPr>
        <w:t xml:space="preserve"> and generat</w:t>
      </w:r>
      <w:r w:rsidR="00CD5E71">
        <w:rPr>
          <w:shd w:val="clear" w:color="auto" w:fill="FFFFFF"/>
        </w:rPr>
        <w:t>i</w:t>
      </w:r>
      <w:r w:rsidR="00CA629D">
        <w:rPr>
          <w:shd w:val="clear" w:color="auto" w:fill="FFFFFF"/>
        </w:rPr>
        <w:t>on</w:t>
      </w:r>
      <w:r w:rsidR="0060332A" w:rsidRPr="0060332A">
        <w:rPr>
          <w:shd w:val="clear" w:color="auto" w:fill="FFFFFF"/>
        </w:rPr>
        <w:t xml:space="preserve"> and suppress</w:t>
      </w:r>
      <w:r w:rsidR="00CD5E71">
        <w:rPr>
          <w:shd w:val="clear" w:color="auto" w:fill="FFFFFF"/>
        </w:rPr>
        <w:t>i</w:t>
      </w:r>
      <w:r w:rsidR="00CA629D">
        <w:rPr>
          <w:shd w:val="clear" w:color="auto" w:fill="FFFFFF"/>
        </w:rPr>
        <w:t>on of</w:t>
      </w:r>
      <w:r w:rsidR="0060332A" w:rsidRPr="0060332A">
        <w:rPr>
          <w:shd w:val="clear" w:color="auto" w:fill="FFFFFF"/>
        </w:rPr>
        <w:t xml:space="preserve"> motor responses (e.g.,</w:t>
      </w:r>
      <w:r w:rsidR="00A607A8">
        <w:rPr>
          <w:shd w:val="clear" w:color="auto" w:fill="FFFFFF"/>
        </w:rPr>
        <w:t xml:space="preserve"> </w:t>
      </w:r>
      <w:r w:rsidR="00CA629D">
        <w:rPr>
          <w:shd w:val="clear" w:color="auto" w:fill="FFFFFF"/>
        </w:rPr>
        <w:t xml:space="preserve">inferior </w:t>
      </w:r>
      <w:r w:rsidR="00A607A8">
        <w:rPr>
          <w:shd w:val="clear" w:color="auto" w:fill="FFFFFF"/>
        </w:rPr>
        <w:t>frontal gyrus</w:t>
      </w:r>
      <w:r w:rsidR="0060332A" w:rsidRPr="0060332A">
        <w:rPr>
          <w:shd w:val="clear" w:color="auto" w:fill="FFFFFF"/>
        </w:rPr>
        <w:t>) (</w:t>
      </w:r>
      <w:r w:rsidR="008B138A">
        <w:rPr>
          <w:shd w:val="clear" w:color="auto" w:fill="FFFFFF"/>
        </w:rPr>
        <w:t>Swedo et al., 1991; Grachev 1997; O’Sullivan et al., 1997; Stein et al., 1997; Rauch et al., 2007; Keuthen et al., 2007; Chamberlain et al., 2008, 2010; 2018; Lee et al., 2010; grant et al., 2013; Roos et al., 2015; Odlaug et al., 2016; Chienle et al., 2018; Isobe et al., 2018; Wabnegger and Schienle 2019</w:t>
      </w:r>
      <w:r w:rsidR="00DF09F0">
        <w:rPr>
          <w:shd w:val="clear" w:color="auto" w:fill="FFFFFF"/>
        </w:rPr>
        <w:t>)</w:t>
      </w:r>
      <w:r w:rsidR="00D37796" w:rsidRPr="00E840C9">
        <w:rPr>
          <w:shd w:val="clear" w:color="auto" w:fill="FFFFFF"/>
        </w:rPr>
        <w:t xml:space="preserve">. </w:t>
      </w:r>
      <w:r w:rsidR="00D67DA3">
        <w:rPr>
          <w:shd w:val="clear" w:color="auto" w:fill="FFFFFF"/>
        </w:rPr>
        <w:t xml:space="preserve">With such small samples and conflicting findings, </w:t>
      </w:r>
      <w:r w:rsidR="00D67DA3">
        <w:rPr>
          <w:shd w:val="clear" w:color="auto" w:fill="FFFFFF"/>
        </w:rPr>
        <w:lastRenderedPageBreak/>
        <w:t>if treatments are to target pathophysiology of BFRBs t</w:t>
      </w:r>
      <w:r w:rsidR="00F96098" w:rsidRPr="00E840C9">
        <w:rPr>
          <w:shd w:val="clear" w:color="auto" w:fill="FFFFFF"/>
        </w:rPr>
        <w:t xml:space="preserve">here remains </w:t>
      </w:r>
      <w:r w:rsidR="00D67DA3">
        <w:rPr>
          <w:shd w:val="clear" w:color="auto" w:fill="FFFFFF"/>
        </w:rPr>
        <w:t xml:space="preserve">a </w:t>
      </w:r>
      <w:r w:rsidR="00F96098" w:rsidRPr="00E840C9">
        <w:rPr>
          <w:shd w:val="clear" w:color="auto" w:fill="FFFFFF"/>
        </w:rPr>
        <w:t xml:space="preserve">substantive need for further work aimed at </w:t>
      </w:r>
      <w:r w:rsidR="00D67DA3">
        <w:rPr>
          <w:shd w:val="clear" w:color="auto" w:fill="FFFFFF"/>
        </w:rPr>
        <w:t xml:space="preserve"> </w:t>
      </w:r>
      <w:r w:rsidR="00F96098" w:rsidRPr="00E840C9">
        <w:rPr>
          <w:shd w:val="clear" w:color="auto" w:fill="FFFFFF"/>
        </w:rPr>
        <w:t xml:space="preserve">understanding </w:t>
      </w:r>
      <w:r w:rsidR="00D67DA3">
        <w:rPr>
          <w:shd w:val="clear" w:color="auto" w:fill="FFFFFF"/>
        </w:rPr>
        <w:t xml:space="preserve">more precisely </w:t>
      </w:r>
      <w:r w:rsidR="00F96098" w:rsidRPr="00E840C9">
        <w:rPr>
          <w:shd w:val="clear" w:color="auto" w:fill="FFFFFF"/>
        </w:rPr>
        <w:t xml:space="preserve">the </w:t>
      </w:r>
      <w:r w:rsidR="005B39FC">
        <w:rPr>
          <w:shd w:val="clear" w:color="auto" w:fill="FFFFFF"/>
        </w:rPr>
        <w:t>neuro</w:t>
      </w:r>
      <w:r w:rsidR="00F96098" w:rsidRPr="00E840C9">
        <w:rPr>
          <w:shd w:val="clear" w:color="auto" w:fill="FFFFFF"/>
        </w:rPr>
        <w:t xml:space="preserve">biological </w:t>
      </w:r>
      <w:r w:rsidR="00E27DDD">
        <w:rPr>
          <w:shd w:val="clear" w:color="auto" w:fill="FFFFFF"/>
        </w:rPr>
        <w:t>underpinnings</w:t>
      </w:r>
      <w:r w:rsidR="00E27DDD" w:rsidRPr="00E840C9">
        <w:rPr>
          <w:shd w:val="clear" w:color="auto" w:fill="FFFFFF"/>
        </w:rPr>
        <w:t xml:space="preserve"> </w:t>
      </w:r>
      <w:r w:rsidR="00F96098" w:rsidRPr="00E840C9">
        <w:rPr>
          <w:shd w:val="clear" w:color="auto" w:fill="FFFFFF"/>
        </w:rPr>
        <w:t>of BFRBs.</w:t>
      </w:r>
      <w:r w:rsidR="00962B02" w:rsidRPr="00E840C9">
        <w:rPr>
          <w:shd w:val="clear" w:color="auto" w:fill="FFFFFF"/>
        </w:rPr>
        <w:t xml:space="preserve">  </w:t>
      </w:r>
    </w:p>
    <w:p w14:paraId="6B3A49F7" w14:textId="6EEFC0E8" w:rsidR="00D71E47" w:rsidRDefault="005B39FC">
      <w:pPr>
        <w:spacing w:line="480" w:lineRule="auto"/>
        <w:ind w:firstLine="720"/>
        <w:rPr>
          <w:shd w:val="clear" w:color="auto" w:fill="FFFFFF"/>
        </w:rPr>
      </w:pPr>
      <w:r>
        <w:rPr>
          <w:shd w:val="clear" w:color="auto" w:fill="FFFFFF"/>
        </w:rPr>
        <w:t>One potential promising area for exploration is reward processing</w:t>
      </w:r>
      <w:r w:rsidR="003E23F6">
        <w:rPr>
          <w:shd w:val="clear" w:color="auto" w:fill="FFFFFF"/>
        </w:rPr>
        <w:t xml:space="preserve">, based on </w:t>
      </w:r>
      <w:r w:rsidRPr="005B39FC">
        <w:rPr>
          <w:shd w:val="clear" w:color="auto" w:fill="FFFFFF"/>
        </w:rPr>
        <w:t xml:space="preserve">several convergent lines of thinking. </w:t>
      </w:r>
      <w:r w:rsidR="003E23F6">
        <w:rPr>
          <w:shd w:val="clear" w:color="auto" w:fill="FFFFFF"/>
        </w:rPr>
        <w:t>The pulling and picking of BFRBs</w:t>
      </w:r>
      <w:r w:rsidRPr="005B39FC">
        <w:rPr>
          <w:shd w:val="clear" w:color="auto" w:fill="FFFFFF"/>
        </w:rPr>
        <w:t xml:space="preserve"> is often described as pleasurable</w:t>
      </w:r>
      <w:r w:rsidR="003E23F6">
        <w:rPr>
          <w:shd w:val="clear" w:color="auto" w:fill="FFFFFF"/>
        </w:rPr>
        <w:t xml:space="preserve"> (</w:t>
      </w:r>
      <w:r w:rsidR="008B138A">
        <w:rPr>
          <w:shd w:val="clear" w:color="auto" w:fill="FFFFFF"/>
        </w:rPr>
        <w:t>Arzeno et al., 2006</w:t>
      </w:r>
      <w:r w:rsidR="003E23F6" w:rsidRPr="003C441E">
        <w:rPr>
          <w:shd w:val="clear" w:color="auto" w:fill="FFFFFF"/>
        </w:rPr>
        <w:t>) and</w:t>
      </w:r>
      <w:r w:rsidR="003E23F6">
        <w:rPr>
          <w:shd w:val="clear" w:color="auto" w:fill="FFFFFF"/>
        </w:rPr>
        <w:t xml:space="preserve"> people will report urges to engage in the behavior that mirror those described by people with substance use problems</w:t>
      </w:r>
      <w:r w:rsidR="0027615B">
        <w:rPr>
          <w:shd w:val="clear" w:color="auto" w:fill="FFFFFF"/>
        </w:rPr>
        <w:t>; and that undertaking the behavior leads to transient reduction or relief of the urge, though this is short-lived</w:t>
      </w:r>
      <w:r w:rsidR="00496EAE">
        <w:rPr>
          <w:shd w:val="clear" w:color="auto" w:fill="FFFFFF"/>
        </w:rPr>
        <w:t xml:space="preserve"> </w:t>
      </w:r>
      <w:r w:rsidR="003E23F6">
        <w:rPr>
          <w:shd w:val="clear" w:color="auto" w:fill="FFFFFF"/>
        </w:rPr>
        <w:t>(</w:t>
      </w:r>
      <w:r w:rsidR="008B138A">
        <w:rPr>
          <w:shd w:val="clear" w:color="auto" w:fill="FFFFFF"/>
        </w:rPr>
        <w:t>Grant et al., 2007</w:t>
      </w:r>
      <w:r w:rsidR="003E23F6">
        <w:rPr>
          <w:shd w:val="clear" w:color="auto" w:fill="FFFFFF"/>
        </w:rPr>
        <w:t xml:space="preserve">). Additionally, early data suggested that people with BFRBs were more likely than controls to have first-degree relatives with substance </w:t>
      </w:r>
      <w:r w:rsidR="000446F7">
        <w:rPr>
          <w:shd w:val="clear" w:color="auto" w:fill="FFFFFF"/>
        </w:rPr>
        <w:t>addictions</w:t>
      </w:r>
      <w:r w:rsidR="003E23F6">
        <w:rPr>
          <w:shd w:val="clear" w:color="auto" w:fill="FFFFFF"/>
        </w:rPr>
        <w:t xml:space="preserve">, disorders typically characterized by reward </w:t>
      </w:r>
      <w:r w:rsidR="00496EAE">
        <w:rPr>
          <w:shd w:val="clear" w:color="auto" w:fill="FFFFFF"/>
        </w:rPr>
        <w:t xml:space="preserve">processing abnormalities </w:t>
      </w:r>
      <w:r w:rsidR="003E23F6">
        <w:rPr>
          <w:shd w:val="clear" w:color="auto" w:fill="FFFFFF"/>
        </w:rPr>
        <w:t>(</w:t>
      </w:r>
      <w:r w:rsidR="008B138A">
        <w:rPr>
          <w:shd w:val="clear" w:color="auto" w:fill="FFFFFF"/>
        </w:rPr>
        <w:t>Schlosser et al., 1994</w:t>
      </w:r>
      <w:r w:rsidR="003E23F6">
        <w:rPr>
          <w:shd w:val="clear" w:color="auto" w:fill="FFFFFF"/>
        </w:rPr>
        <w:t xml:space="preserve">). </w:t>
      </w:r>
      <w:r w:rsidR="00CD5E71">
        <w:rPr>
          <w:shd w:val="clear" w:color="auto" w:fill="FFFFFF"/>
        </w:rPr>
        <w:t xml:space="preserve"> Although limited</w:t>
      </w:r>
      <w:r w:rsidR="00A55259">
        <w:rPr>
          <w:shd w:val="clear" w:color="auto" w:fill="FFFFFF"/>
        </w:rPr>
        <w:t xml:space="preserve"> in number</w:t>
      </w:r>
      <w:r w:rsidR="00CD5E71">
        <w:rPr>
          <w:shd w:val="clear" w:color="auto" w:fill="FFFFFF"/>
        </w:rPr>
        <w:t>,</w:t>
      </w:r>
      <w:r w:rsidR="00A55259">
        <w:rPr>
          <w:shd w:val="clear" w:color="auto" w:fill="FFFFFF"/>
        </w:rPr>
        <w:t xml:space="preserve"> available double-blind placebo-controlled</w:t>
      </w:r>
      <w:r w:rsidR="00CD5E71">
        <w:rPr>
          <w:shd w:val="clear" w:color="auto" w:fill="FFFFFF"/>
        </w:rPr>
        <w:t xml:space="preserve"> treatment</w:t>
      </w:r>
      <w:r w:rsidRPr="005B39FC">
        <w:rPr>
          <w:shd w:val="clear" w:color="auto" w:fill="FFFFFF"/>
        </w:rPr>
        <w:t xml:space="preserve"> trials </w:t>
      </w:r>
      <w:r w:rsidR="00CD5E71">
        <w:rPr>
          <w:shd w:val="clear" w:color="auto" w:fill="FFFFFF"/>
        </w:rPr>
        <w:t>that have shown some benefit for BFRBs have</w:t>
      </w:r>
      <w:r w:rsidR="00A55259">
        <w:rPr>
          <w:shd w:val="clear" w:color="auto" w:fill="FFFFFF"/>
        </w:rPr>
        <w:t xml:space="preserve"> used pharmacological agents modulating</w:t>
      </w:r>
      <w:r w:rsidR="00CD5E71">
        <w:rPr>
          <w:shd w:val="clear" w:color="auto" w:fill="FFFFFF"/>
        </w:rPr>
        <w:t xml:space="preserve"> </w:t>
      </w:r>
      <w:r w:rsidRPr="005B39FC">
        <w:rPr>
          <w:shd w:val="clear" w:color="auto" w:fill="FFFFFF"/>
        </w:rPr>
        <w:t>glutamate and dopamine (</w:t>
      </w:r>
      <w:r w:rsidR="008B138A">
        <w:rPr>
          <w:shd w:val="clear" w:color="auto" w:fill="FFFFFF"/>
        </w:rPr>
        <w:t>Deepmala et al., 2015</w:t>
      </w:r>
      <w:r w:rsidRPr="005B39FC">
        <w:rPr>
          <w:shd w:val="clear" w:color="auto" w:fill="FFFFFF"/>
        </w:rPr>
        <w:t>)</w:t>
      </w:r>
      <w:r w:rsidR="00D71E47">
        <w:rPr>
          <w:shd w:val="clear" w:color="auto" w:fill="FFFFFF"/>
        </w:rPr>
        <w:t xml:space="preserve">, </w:t>
      </w:r>
      <w:r w:rsidR="00CD5E71">
        <w:rPr>
          <w:shd w:val="clear" w:color="auto" w:fill="FFFFFF"/>
        </w:rPr>
        <w:t>both of which seem integral to reward processing</w:t>
      </w:r>
      <w:r w:rsidRPr="005B39FC">
        <w:rPr>
          <w:shd w:val="clear" w:color="auto" w:fill="FFFFFF"/>
        </w:rPr>
        <w:t xml:space="preserve">. </w:t>
      </w:r>
      <w:r w:rsidR="003E23F6">
        <w:rPr>
          <w:shd w:val="clear" w:color="auto" w:fill="FFFFFF"/>
        </w:rPr>
        <w:t xml:space="preserve">In </w:t>
      </w:r>
      <w:r w:rsidR="001C46EC">
        <w:rPr>
          <w:shd w:val="clear" w:color="auto" w:fill="FFFFFF"/>
        </w:rPr>
        <w:t>a previous study examining reward circuitry activation</w:t>
      </w:r>
      <w:r w:rsidR="003E23F6">
        <w:rPr>
          <w:shd w:val="clear" w:color="auto" w:fill="FFFFFF"/>
        </w:rPr>
        <w:t xml:space="preserve">, White and colleagues </w:t>
      </w:r>
      <w:r w:rsidR="00D71E47">
        <w:rPr>
          <w:shd w:val="clear" w:color="auto" w:fill="FFFFFF"/>
        </w:rPr>
        <w:t>(</w:t>
      </w:r>
      <w:r w:rsidR="008B138A">
        <w:rPr>
          <w:shd w:val="clear" w:color="auto" w:fill="FFFFFF"/>
        </w:rPr>
        <w:t>2013</w:t>
      </w:r>
      <w:r w:rsidR="00D71E47">
        <w:rPr>
          <w:shd w:val="clear" w:color="auto" w:fill="FFFFFF"/>
        </w:rPr>
        <w:t xml:space="preserve">) </w:t>
      </w:r>
      <w:r w:rsidR="003E23F6">
        <w:rPr>
          <w:shd w:val="clear" w:color="auto" w:fill="FFFFFF"/>
        </w:rPr>
        <w:t>examine</w:t>
      </w:r>
      <w:r w:rsidR="00496EAE">
        <w:rPr>
          <w:shd w:val="clear" w:color="auto" w:fill="FFFFFF"/>
        </w:rPr>
        <w:t>d</w:t>
      </w:r>
      <w:r w:rsidR="003E23F6">
        <w:rPr>
          <w:shd w:val="clear" w:color="auto" w:fill="FFFFFF"/>
        </w:rPr>
        <w:t xml:space="preserve"> 13 adults with TTM (unmedicated and compared to 12 controls) using </w:t>
      </w:r>
      <w:r w:rsidR="003E23F6" w:rsidRPr="003E23F6">
        <w:rPr>
          <w:shd w:val="clear" w:color="auto" w:fill="FFFFFF"/>
        </w:rPr>
        <w:t xml:space="preserve">fMRI </w:t>
      </w:r>
      <w:r w:rsidR="003E23F6">
        <w:rPr>
          <w:shd w:val="clear" w:color="auto" w:fill="FFFFFF"/>
        </w:rPr>
        <w:t>with</w:t>
      </w:r>
      <w:r w:rsidR="003E23F6" w:rsidRPr="003E23F6">
        <w:rPr>
          <w:shd w:val="clear" w:color="auto" w:fill="FFFFFF"/>
        </w:rPr>
        <w:t xml:space="preserve"> a monetary incentive delay (MID) task</w:t>
      </w:r>
      <w:r w:rsidR="00496EAE">
        <w:rPr>
          <w:shd w:val="clear" w:color="auto" w:fill="FFFFFF"/>
        </w:rPr>
        <w:t xml:space="preserve">. In a region-of-interest analysis, TTM patients </w:t>
      </w:r>
      <w:r w:rsidR="007E3BFA">
        <w:rPr>
          <w:shd w:val="clear" w:color="auto" w:fill="FFFFFF"/>
        </w:rPr>
        <w:t>exhibited</w:t>
      </w:r>
      <w:r w:rsidR="00496EAE">
        <w:rPr>
          <w:shd w:val="clear" w:color="auto" w:fill="FFFFFF"/>
        </w:rPr>
        <w:t xml:space="preserve"> decreased nucleus accumbens (NAcc) activation for gain anticipation and increased NAcc activation for gain and loss outcomes, versus controls. </w:t>
      </w:r>
      <w:r w:rsidR="0027615B">
        <w:rPr>
          <w:shd w:val="clear" w:color="auto" w:fill="FFFFFF"/>
        </w:rPr>
        <w:t>However, t</w:t>
      </w:r>
      <w:r w:rsidR="00496EAE">
        <w:rPr>
          <w:shd w:val="clear" w:color="auto" w:fill="FFFFFF"/>
        </w:rPr>
        <w:t xml:space="preserve">hese findings were not significant at the whole brain level. At the level of the whole brain, loss anticipation showed less activation of the left putamen and insula in TTM than controls. </w:t>
      </w:r>
    </w:p>
    <w:p w14:paraId="460CFB38" w14:textId="41F70D00" w:rsidR="00AA1516" w:rsidRPr="00E840C9" w:rsidRDefault="006E471F" w:rsidP="00634403">
      <w:pPr>
        <w:spacing w:line="480" w:lineRule="auto"/>
        <w:ind w:firstLine="720"/>
      </w:pPr>
      <w:r>
        <w:rPr>
          <w:shd w:val="clear" w:color="auto" w:fill="FFFFFF"/>
        </w:rPr>
        <w:lastRenderedPageBreak/>
        <w:t xml:space="preserve">Given this background, there is some suggestion that </w:t>
      </w:r>
      <w:r w:rsidR="005B39FC" w:rsidRPr="005B39FC">
        <w:rPr>
          <w:shd w:val="clear" w:color="auto" w:fill="FFFFFF"/>
        </w:rPr>
        <w:t xml:space="preserve">TTM </w:t>
      </w:r>
      <w:r w:rsidR="003E23F6">
        <w:rPr>
          <w:shd w:val="clear" w:color="auto" w:fill="FFFFFF"/>
        </w:rPr>
        <w:t xml:space="preserve">and SPD </w:t>
      </w:r>
      <w:r w:rsidR="005B39FC" w:rsidRPr="005B39FC">
        <w:rPr>
          <w:shd w:val="clear" w:color="auto" w:fill="FFFFFF"/>
        </w:rPr>
        <w:t>may represent problem</w:t>
      </w:r>
      <w:r>
        <w:rPr>
          <w:shd w:val="clear" w:color="auto" w:fill="FFFFFF"/>
        </w:rPr>
        <w:t>s</w:t>
      </w:r>
      <w:r w:rsidR="005B39FC" w:rsidRPr="005B39FC">
        <w:rPr>
          <w:shd w:val="clear" w:color="auto" w:fill="FFFFFF"/>
        </w:rPr>
        <w:t xml:space="preserve"> of disordered reward processing</w:t>
      </w:r>
      <w:r w:rsidR="00AD6801">
        <w:rPr>
          <w:shd w:val="clear" w:color="auto" w:fill="FFFFFF"/>
        </w:rPr>
        <w:t>, but further testing of this hypothesis via neuroimaging is needed</w:t>
      </w:r>
      <w:r w:rsidR="005B39FC" w:rsidRPr="005B39FC">
        <w:rPr>
          <w:shd w:val="clear" w:color="auto" w:fill="FFFFFF"/>
        </w:rPr>
        <w:t>.</w:t>
      </w:r>
      <w:r w:rsidR="00D71E47">
        <w:rPr>
          <w:shd w:val="clear" w:color="auto" w:fill="FFFFFF"/>
        </w:rPr>
        <w:t xml:space="preserve">  Therefore, a</w:t>
      </w:r>
      <w:r w:rsidR="005D6B51">
        <w:rPr>
          <w:shd w:val="clear" w:color="auto" w:fill="FFFFFF"/>
        </w:rPr>
        <w:t xml:space="preserve"> greater understanding of reward processing should allow for improved</w:t>
      </w:r>
      <w:r w:rsidR="005D6B51" w:rsidRPr="00E840C9">
        <w:rPr>
          <w:shd w:val="clear" w:color="auto" w:fill="FFFFFF"/>
        </w:rPr>
        <w:t xml:space="preserve"> prevention and treatment strategies</w:t>
      </w:r>
      <w:r w:rsidR="005D6B51">
        <w:rPr>
          <w:shd w:val="clear" w:color="auto" w:fill="FFFFFF"/>
        </w:rPr>
        <w:t xml:space="preserve">. </w:t>
      </w:r>
      <w:r w:rsidR="00634403">
        <w:rPr>
          <w:shd w:val="clear" w:color="auto" w:fill="FFFFFF"/>
        </w:rPr>
        <w:t xml:space="preserve">Thus, the objective of this study </w:t>
      </w:r>
      <w:r w:rsidR="00634403">
        <w:t>wa</w:t>
      </w:r>
      <w:r w:rsidR="00AA1516" w:rsidRPr="00E840C9">
        <w:t xml:space="preserve">s to </w:t>
      </w:r>
      <w:r w:rsidR="001C46EC">
        <w:t xml:space="preserve">examine </w:t>
      </w:r>
      <w:r w:rsidR="003E23F6">
        <w:t>reward circuitry</w:t>
      </w:r>
      <w:r w:rsidR="001C46EC">
        <w:t xml:space="preserve"> activation in a large multi-site sample of patients with BFRBs </w:t>
      </w:r>
      <w:r w:rsidR="003E23F6">
        <w:t>compare</w:t>
      </w:r>
      <w:r w:rsidR="00BF3F9E">
        <w:t>d</w:t>
      </w:r>
      <w:r w:rsidR="003E23F6">
        <w:t xml:space="preserve"> to controls</w:t>
      </w:r>
      <w:r w:rsidR="005D6B51">
        <w:t>.</w:t>
      </w:r>
    </w:p>
    <w:p w14:paraId="7DAEDC4B" w14:textId="77777777" w:rsidR="00182A11" w:rsidRPr="00E840C9" w:rsidRDefault="00182A11" w:rsidP="00C137FF">
      <w:pPr>
        <w:tabs>
          <w:tab w:val="num" w:pos="0"/>
        </w:tabs>
        <w:spacing w:line="480" w:lineRule="auto"/>
      </w:pPr>
    </w:p>
    <w:p w14:paraId="59280E0B" w14:textId="5562FE5D" w:rsidR="00B072B9" w:rsidRPr="00E840C9" w:rsidRDefault="0058599D" w:rsidP="00C137FF">
      <w:pPr>
        <w:spacing w:line="480" w:lineRule="auto"/>
        <w:rPr>
          <w:b/>
        </w:rPr>
      </w:pPr>
      <w:r>
        <w:rPr>
          <w:b/>
        </w:rPr>
        <w:t>Methods</w:t>
      </w:r>
      <w:r w:rsidR="00FA1119">
        <w:rPr>
          <w:b/>
        </w:rPr>
        <w:t xml:space="preserve"> </w:t>
      </w:r>
    </w:p>
    <w:p w14:paraId="0215C5A3" w14:textId="77777777" w:rsidR="006E471F" w:rsidRDefault="003C11FA" w:rsidP="00657AEA">
      <w:pPr>
        <w:spacing w:line="480" w:lineRule="auto"/>
        <w:ind w:firstLine="720"/>
      </w:pPr>
      <w:r w:rsidRPr="00393C2F">
        <w:t>Participants include</w:t>
      </w:r>
      <w:r w:rsidR="0058599D" w:rsidRPr="00393C2F">
        <w:t>d</w:t>
      </w:r>
      <w:r w:rsidRPr="00393C2F">
        <w:t xml:space="preserve"> </w:t>
      </w:r>
      <w:r w:rsidR="00393C2F" w:rsidRPr="00393C2F">
        <w:t>159</w:t>
      </w:r>
      <w:r w:rsidRPr="00393C2F">
        <w:t xml:space="preserve"> adults recruited </w:t>
      </w:r>
      <w:r w:rsidR="00C137FF" w:rsidRPr="00393C2F">
        <w:t>from the community</w:t>
      </w:r>
      <w:r w:rsidR="00BE655F" w:rsidRPr="00393C2F">
        <w:t xml:space="preserve"> as having either a BFRB (</w:t>
      </w:r>
      <w:r w:rsidR="00A156FE" w:rsidRPr="00393C2F">
        <w:t>trichotillomania, skin picking disorder</w:t>
      </w:r>
      <w:r w:rsidR="00410E77" w:rsidRPr="00393C2F">
        <w:t>,</w:t>
      </w:r>
      <w:r w:rsidR="00BE655F" w:rsidRPr="00393C2F">
        <w:t xml:space="preserve"> or both</w:t>
      </w:r>
      <w:r w:rsidR="00410E77" w:rsidRPr="00393C2F">
        <w:t xml:space="preserve"> as their primary psychiatric problem</w:t>
      </w:r>
      <w:r w:rsidR="00BE655F" w:rsidRPr="00393C2F">
        <w:t>) or being a healthy control</w:t>
      </w:r>
      <w:r w:rsidR="00C137FF" w:rsidRPr="00393C2F">
        <w:t xml:space="preserve">. </w:t>
      </w:r>
      <w:r w:rsidR="00BE655F" w:rsidRPr="00393C2F">
        <w:t xml:space="preserve"> </w:t>
      </w:r>
      <w:r w:rsidR="003E23F6" w:rsidRPr="00393C2F">
        <w:t>Three</w:t>
      </w:r>
      <w:r w:rsidR="00BE655F" w:rsidRPr="00393C2F">
        <w:t xml:space="preserve"> sites were involved in recruitment: University of Chicago, </w:t>
      </w:r>
      <w:r w:rsidR="00393C2F" w:rsidRPr="001664C1">
        <w:t xml:space="preserve">University of California, Los Angeles, </w:t>
      </w:r>
      <w:r w:rsidR="00393C2F">
        <w:t xml:space="preserve">and </w:t>
      </w:r>
      <w:r w:rsidR="00393C2F" w:rsidRPr="001664C1">
        <w:t>Massachusetts General Hospital/Harvard</w:t>
      </w:r>
      <w:r w:rsidR="00393C2F">
        <w:t xml:space="preserve"> Medical School</w:t>
      </w:r>
      <w:r w:rsidR="00BE655F" w:rsidRPr="00393C2F">
        <w:t>.</w:t>
      </w:r>
      <w:r w:rsidR="00BE655F">
        <w:t xml:space="preserve">  </w:t>
      </w:r>
    </w:p>
    <w:p w14:paraId="74C797EA" w14:textId="02787D7C" w:rsidR="003D7F22" w:rsidRDefault="003D7F22" w:rsidP="00657AEA">
      <w:pPr>
        <w:spacing w:line="480" w:lineRule="auto"/>
        <w:ind w:firstLine="720"/>
      </w:pPr>
      <w:r>
        <w:t xml:space="preserve">Inclusion criteria for the clinical sample was: a) DSM-5 diagnosis of </w:t>
      </w:r>
      <w:r w:rsidR="00E2611F">
        <w:t xml:space="preserve">trichotillomania </w:t>
      </w:r>
      <w:r>
        <w:t xml:space="preserve">and/or </w:t>
      </w:r>
      <w:r w:rsidR="00E2611F">
        <w:t>skin picking disorder</w:t>
      </w:r>
      <w:r w:rsidR="00657AEA">
        <w:t xml:space="preserve"> as the primary psychiatric conditions</w:t>
      </w:r>
      <w:r>
        <w:t>; b)</w:t>
      </w:r>
      <w:r w:rsidR="00F3120E">
        <w:t xml:space="preserve"> </w:t>
      </w:r>
      <w:r w:rsidR="00410E77">
        <w:t>a</w:t>
      </w:r>
      <w:r>
        <w:t>ge</w:t>
      </w:r>
      <w:r w:rsidR="00F3120E">
        <w:t>d</w:t>
      </w:r>
      <w:r>
        <w:t xml:space="preserve"> 1</w:t>
      </w:r>
      <w:r w:rsidR="00927E43">
        <w:t>8</w:t>
      </w:r>
      <w:r>
        <w:t xml:space="preserve"> to 65; c)</w:t>
      </w:r>
      <w:r w:rsidR="00F3120E">
        <w:t xml:space="preserve"> </w:t>
      </w:r>
      <w:r w:rsidR="00410E77">
        <w:t>f</w:t>
      </w:r>
      <w:r>
        <w:t xml:space="preserve">luency in English; </w:t>
      </w:r>
      <w:r w:rsidR="00F3120E">
        <w:t xml:space="preserve">and </w:t>
      </w:r>
      <w:r>
        <w:t>d)</w:t>
      </w:r>
      <w:r w:rsidR="00F3120E">
        <w:t xml:space="preserve"> </w:t>
      </w:r>
      <w:r w:rsidR="00410E77">
        <w:t>c</w:t>
      </w:r>
      <w:r>
        <w:t>apable of providing informed consent/assent. Inclusion criteria for the health</w:t>
      </w:r>
      <w:r w:rsidR="00F3120E">
        <w:t>y</w:t>
      </w:r>
      <w:r>
        <w:t xml:space="preserve"> controls </w:t>
      </w:r>
      <w:r w:rsidR="00410E77">
        <w:t xml:space="preserve">were the same except they could have no </w:t>
      </w:r>
      <w:r>
        <w:t>current or lifetime history of any DSM-5 psychiatric disorder</w:t>
      </w:r>
      <w:r w:rsidR="00410E77">
        <w:t>.</w:t>
      </w:r>
      <w:r>
        <w:t xml:space="preserve"> </w:t>
      </w:r>
      <w:r w:rsidR="00657AEA" w:rsidRPr="00657AEA">
        <w:t xml:space="preserve">BFRB participants could have comorbid psychiatric disorders </w:t>
      </w:r>
      <w:r w:rsidR="00657AEA">
        <w:t xml:space="preserve">(based on the </w:t>
      </w:r>
      <w:r w:rsidR="00657AEA" w:rsidRPr="00657AEA">
        <w:t>Mini International Neuropsychiatric Interview 7.0</w:t>
      </w:r>
      <w:r w:rsidR="00657AEA">
        <w:t xml:space="preserve">; </w:t>
      </w:r>
      <w:r w:rsidR="00B44698">
        <w:t>(</w:t>
      </w:r>
      <w:r w:rsidR="008B138A">
        <w:t>Sheehan et al., 1998</w:t>
      </w:r>
      <w:r w:rsidR="00657AEA" w:rsidRPr="00657AEA">
        <w:t>)</w:t>
      </w:r>
      <w:r w:rsidR="00657AEA">
        <w:t xml:space="preserve"> as long as TTM or SPD were the primary psychiatric condition.</w:t>
      </w:r>
    </w:p>
    <w:p w14:paraId="14D8A5FB" w14:textId="6CA9D9AA" w:rsidR="007A085D" w:rsidRPr="00E840C9" w:rsidRDefault="003D7F22" w:rsidP="00657AEA">
      <w:pPr>
        <w:spacing w:line="480" w:lineRule="auto"/>
        <w:ind w:firstLine="720"/>
      </w:pPr>
      <w:r>
        <w:t xml:space="preserve">Exclusion </w:t>
      </w:r>
      <w:r w:rsidR="00F3120E">
        <w:t>c</w:t>
      </w:r>
      <w:r>
        <w:t xml:space="preserve">riteria for the clinical sample </w:t>
      </w:r>
      <w:r w:rsidR="00410E77">
        <w:t>and healthy control</w:t>
      </w:r>
      <w:r w:rsidR="00F3120E">
        <w:t>s</w:t>
      </w:r>
      <w:r w:rsidR="00410E77">
        <w:t xml:space="preserve"> </w:t>
      </w:r>
      <w:r>
        <w:t>w</w:t>
      </w:r>
      <w:r w:rsidR="00410E77">
        <w:t>ere</w:t>
      </w:r>
      <w:r>
        <w:t>: (a)</w:t>
      </w:r>
      <w:r w:rsidR="00F3120E">
        <w:t xml:space="preserve"> </w:t>
      </w:r>
      <w:r w:rsidR="00410E77">
        <w:t>c</w:t>
      </w:r>
      <w:r>
        <w:t>urrent o</w:t>
      </w:r>
      <w:r w:rsidR="00E2611F">
        <w:t>r</w:t>
      </w:r>
      <w:r>
        <w:t xml:space="preserve"> lifetime diagnosis of any serious medical or psychiatric illness </w:t>
      </w:r>
      <w:r w:rsidR="00927E43">
        <w:t xml:space="preserve">(including substance use </w:t>
      </w:r>
      <w:r w:rsidR="00927E43">
        <w:lastRenderedPageBreak/>
        <w:t xml:space="preserve">disorder) </w:t>
      </w:r>
      <w:r>
        <w:t>that would preclude successful study participation; (b)</w:t>
      </w:r>
      <w:r w:rsidR="00F3120E">
        <w:t xml:space="preserve"> </w:t>
      </w:r>
      <w:r w:rsidR="00410E77">
        <w:t>n</w:t>
      </w:r>
      <w:r>
        <w:t>eurological conditions that would preclude completion of neurocognitive tasks; (c)</w:t>
      </w:r>
      <w:r w:rsidR="00F3120E">
        <w:t xml:space="preserve"> </w:t>
      </w:r>
      <w:r w:rsidR="00E2611F">
        <w:t xml:space="preserve">use of </w:t>
      </w:r>
      <w:r>
        <w:t xml:space="preserve">psychotropic medications </w:t>
      </w:r>
      <w:r w:rsidR="00E2611F">
        <w:t xml:space="preserve">unless the dose had been </w:t>
      </w:r>
      <w:r w:rsidR="00E2611F" w:rsidRPr="00E2611F">
        <w:t xml:space="preserve">stable </w:t>
      </w:r>
      <w:r>
        <w:t>for at least the past 3 months; (d)</w:t>
      </w:r>
      <w:r w:rsidR="00F3120E">
        <w:t xml:space="preserve"> </w:t>
      </w:r>
      <w:r w:rsidR="00410E77">
        <w:t>b</w:t>
      </w:r>
      <w:r>
        <w:t xml:space="preserve">ody metal other than dental fillings (assessed using </w:t>
      </w:r>
      <w:r w:rsidR="00F3120E">
        <w:t xml:space="preserve">a neuroimaging </w:t>
      </w:r>
      <w:r>
        <w:t>screening form); (e)</w:t>
      </w:r>
      <w:r w:rsidR="00F3120E">
        <w:t xml:space="preserve"> </w:t>
      </w:r>
      <w:r w:rsidR="00E2611F">
        <w:t>positive</w:t>
      </w:r>
      <w:r w:rsidR="00410E77">
        <w:t xml:space="preserve"> p</w:t>
      </w:r>
      <w:r>
        <w:t>regnancy</w:t>
      </w:r>
      <w:r w:rsidR="00410E77">
        <w:t xml:space="preserve"> test</w:t>
      </w:r>
      <w:r>
        <w:t>; and (f)</w:t>
      </w:r>
      <w:r w:rsidR="00F3120E">
        <w:t xml:space="preserve"> </w:t>
      </w:r>
      <w:r w:rsidR="00410E77">
        <w:t>m</w:t>
      </w:r>
      <w:r>
        <w:t xml:space="preserve">edical condition or other factor contraindicating </w:t>
      </w:r>
      <w:r w:rsidR="00F3120E">
        <w:t>neuroimaging</w:t>
      </w:r>
      <w:r>
        <w:t xml:space="preserve">. </w:t>
      </w:r>
    </w:p>
    <w:p w14:paraId="28E46800" w14:textId="77777777" w:rsidR="00060856" w:rsidRDefault="00060856" w:rsidP="00C137FF">
      <w:pPr>
        <w:spacing w:line="480" w:lineRule="auto"/>
        <w:rPr>
          <w:b/>
        </w:rPr>
      </w:pPr>
    </w:p>
    <w:p w14:paraId="56644D0C" w14:textId="7B9B7997" w:rsidR="008237F3" w:rsidRPr="00E840C9" w:rsidRDefault="007A085D" w:rsidP="00C137FF">
      <w:pPr>
        <w:spacing w:line="480" w:lineRule="auto"/>
        <w:rPr>
          <w:b/>
        </w:rPr>
      </w:pPr>
      <w:r w:rsidRPr="00E840C9">
        <w:rPr>
          <w:b/>
        </w:rPr>
        <w:t>Procedures</w:t>
      </w:r>
    </w:p>
    <w:p w14:paraId="7EE28386" w14:textId="283AFFFA" w:rsidR="00793D84" w:rsidRDefault="00410E77" w:rsidP="00793D84">
      <w:pPr>
        <w:spacing w:line="480" w:lineRule="auto"/>
        <w:ind w:firstLine="720"/>
        <w:rPr>
          <w:color w:val="000000"/>
        </w:rPr>
      </w:pPr>
      <w:r>
        <w:rPr>
          <w:color w:val="000000"/>
        </w:rPr>
        <w:t>P</w:t>
      </w:r>
      <w:r w:rsidR="00C10B07" w:rsidRPr="00E840C9">
        <w:rPr>
          <w:color w:val="000000"/>
        </w:rPr>
        <w:t>otential participants w</w:t>
      </w:r>
      <w:r w:rsidR="00BE655F">
        <w:rPr>
          <w:color w:val="000000"/>
        </w:rPr>
        <w:t>ere</w:t>
      </w:r>
      <w:r w:rsidR="00C10B07" w:rsidRPr="00E840C9">
        <w:rPr>
          <w:color w:val="000000"/>
        </w:rPr>
        <w:t xml:space="preserve"> screened by t</w:t>
      </w:r>
      <w:r w:rsidR="00DD04C1" w:rsidRPr="00E840C9">
        <w:rPr>
          <w:color w:val="000000"/>
        </w:rPr>
        <w:t>he</w:t>
      </w:r>
      <w:r w:rsidR="007B6074" w:rsidRPr="00E840C9">
        <w:rPr>
          <w:color w:val="000000"/>
        </w:rPr>
        <w:t xml:space="preserve"> study site</w:t>
      </w:r>
      <w:r w:rsidR="00DD04C1" w:rsidRPr="00E840C9">
        <w:rPr>
          <w:color w:val="000000"/>
        </w:rPr>
        <w:t xml:space="preserve"> coordinator</w:t>
      </w:r>
      <w:r w:rsidR="006E471F">
        <w:rPr>
          <w:color w:val="000000"/>
        </w:rPr>
        <w:t xml:space="preserve">. Prior to obtaining written informed consent, the </w:t>
      </w:r>
      <w:r w:rsidR="0067442F" w:rsidRPr="0067442F">
        <w:rPr>
          <w:color w:val="000000"/>
        </w:rPr>
        <w:t>investigator</w:t>
      </w:r>
      <w:r w:rsidR="006E471F">
        <w:rPr>
          <w:color w:val="000000"/>
        </w:rPr>
        <w:t>s</w:t>
      </w:r>
      <w:r w:rsidR="0067442F" w:rsidRPr="0067442F">
        <w:rPr>
          <w:color w:val="000000"/>
        </w:rPr>
        <w:t xml:space="preserve"> </w:t>
      </w:r>
      <w:r w:rsidR="006E471F">
        <w:rPr>
          <w:color w:val="000000"/>
        </w:rPr>
        <w:t>provided a</w:t>
      </w:r>
      <w:r w:rsidR="006E471F" w:rsidRPr="0067442F">
        <w:rPr>
          <w:color w:val="000000"/>
        </w:rPr>
        <w:t xml:space="preserve"> complete description of the study</w:t>
      </w:r>
      <w:r w:rsidR="006E471F">
        <w:rPr>
          <w:color w:val="000000"/>
        </w:rPr>
        <w:t xml:space="preserve">, </w:t>
      </w:r>
      <w:r w:rsidR="0067442F" w:rsidRPr="0067442F">
        <w:rPr>
          <w:color w:val="000000"/>
        </w:rPr>
        <w:t>discussed potential risks</w:t>
      </w:r>
      <w:r w:rsidR="006E471F">
        <w:rPr>
          <w:color w:val="000000"/>
        </w:rPr>
        <w:t>, and answered questions regarding the study</w:t>
      </w:r>
      <w:r w:rsidR="00A87D73">
        <w:rPr>
          <w:color w:val="000000"/>
        </w:rPr>
        <w:t xml:space="preserve">. </w:t>
      </w:r>
      <w:r w:rsidR="006E471F">
        <w:rPr>
          <w:color w:val="000000"/>
        </w:rPr>
        <w:t xml:space="preserve"> After that, </w:t>
      </w:r>
      <w:r w:rsidR="0067442F" w:rsidRPr="0067442F">
        <w:rPr>
          <w:color w:val="000000"/>
        </w:rPr>
        <w:t xml:space="preserve">participants provided written informed consent. </w:t>
      </w:r>
      <w:r w:rsidR="00BE655F">
        <w:rPr>
          <w:color w:val="000000"/>
        </w:rPr>
        <w:t>P</w:t>
      </w:r>
      <w:r w:rsidR="00FF29DD" w:rsidRPr="00FF29DD">
        <w:rPr>
          <w:color w:val="000000"/>
        </w:rPr>
        <w:t>articipants receive</w:t>
      </w:r>
      <w:r w:rsidR="00BE655F">
        <w:rPr>
          <w:color w:val="000000"/>
        </w:rPr>
        <w:t>d</w:t>
      </w:r>
      <w:r w:rsidR="00FF29DD" w:rsidRPr="00FF29DD">
        <w:rPr>
          <w:color w:val="000000"/>
        </w:rPr>
        <w:t xml:space="preserve"> up to $200 for participation </w:t>
      </w:r>
      <w:r w:rsidR="00BE655F">
        <w:rPr>
          <w:color w:val="000000"/>
        </w:rPr>
        <w:t>as</w:t>
      </w:r>
      <w:r w:rsidR="00FF29DD" w:rsidRPr="00FF29DD">
        <w:rPr>
          <w:color w:val="000000"/>
        </w:rPr>
        <w:t xml:space="preserve"> reimburse</w:t>
      </w:r>
      <w:r w:rsidR="00BE655F">
        <w:rPr>
          <w:color w:val="000000"/>
        </w:rPr>
        <w:t>ment</w:t>
      </w:r>
      <w:r w:rsidR="00FF29DD" w:rsidRPr="00FF29DD">
        <w:rPr>
          <w:color w:val="000000"/>
        </w:rPr>
        <w:t xml:space="preserve"> for their time. </w:t>
      </w:r>
    </w:p>
    <w:p w14:paraId="05C5831A" w14:textId="4621B1DB" w:rsidR="006965D4" w:rsidRDefault="00284443" w:rsidP="00877E29">
      <w:pPr>
        <w:spacing w:line="480" w:lineRule="auto"/>
        <w:ind w:firstLine="720"/>
        <w:rPr>
          <w:color w:val="000000"/>
        </w:rPr>
      </w:pPr>
      <w:r w:rsidRPr="00E840C9">
        <w:rPr>
          <w:color w:val="000000"/>
        </w:rPr>
        <w:t xml:space="preserve">All participants </w:t>
      </w:r>
      <w:r w:rsidR="0067442F">
        <w:rPr>
          <w:color w:val="000000"/>
        </w:rPr>
        <w:t>underwent</w:t>
      </w:r>
      <w:r w:rsidRPr="00E840C9">
        <w:rPr>
          <w:color w:val="000000"/>
        </w:rPr>
        <w:t xml:space="preserve"> </w:t>
      </w:r>
      <w:r w:rsidR="0067442F">
        <w:rPr>
          <w:color w:val="000000"/>
        </w:rPr>
        <w:t>a</w:t>
      </w:r>
      <w:r w:rsidRPr="00E840C9">
        <w:rPr>
          <w:color w:val="000000"/>
        </w:rPr>
        <w:t xml:space="preserve"> diagnostic interview</w:t>
      </w:r>
      <w:r w:rsidR="00080B1F" w:rsidRPr="00E840C9">
        <w:rPr>
          <w:color w:val="000000"/>
        </w:rPr>
        <w:t xml:space="preserve"> </w:t>
      </w:r>
      <w:bookmarkStart w:id="0" w:name="_Toc100650609"/>
      <w:r w:rsidR="00877E29">
        <w:rPr>
          <w:color w:val="000000"/>
        </w:rPr>
        <w:t>and were</w:t>
      </w:r>
      <w:r w:rsidR="00877E29" w:rsidRPr="00F55983">
        <w:rPr>
          <w:color w:val="000000"/>
        </w:rPr>
        <w:t xml:space="preserve"> asked </w:t>
      </w:r>
      <w:r w:rsidR="00877E29">
        <w:rPr>
          <w:color w:val="000000"/>
        </w:rPr>
        <w:t>t</w:t>
      </w:r>
      <w:r w:rsidR="00877E29" w:rsidRPr="00F55983">
        <w:rPr>
          <w:color w:val="000000"/>
        </w:rPr>
        <w:t xml:space="preserve">o </w:t>
      </w:r>
      <w:r w:rsidR="00877E29">
        <w:rPr>
          <w:color w:val="000000"/>
        </w:rPr>
        <w:t>complete</w:t>
      </w:r>
      <w:r w:rsidR="00877E29" w:rsidRPr="00F55983">
        <w:rPr>
          <w:color w:val="000000"/>
        </w:rPr>
        <w:t xml:space="preserve"> an “MR Screening Form” to rule out any conditions that preclude MR scanning.</w:t>
      </w:r>
      <w:r w:rsidR="00060856">
        <w:rPr>
          <w:color w:val="000000"/>
        </w:rPr>
        <w:tab/>
      </w:r>
    </w:p>
    <w:p w14:paraId="0768EB0F" w14:textId="4DCE7E06" w:rsidR="00F55983" w:rsidRDefault="00060856" w:rsidP="00877E29">
      <w:pPr>
        <w:spacing w:line="480" w:lineRule="auto"/>
        <w:ind w:firstLine="720"/>
        <w:rPr>
          <w:color w:val="000000"/>
        </w:rPr>
      </w:pPr>
      <w:r>
        <w:rPr>
          <w:color w:val="000000"/>
        </w:rPr>
        <w:tab/>
      </w:r>
    </w:p>
    <w:p w14:paraId="3CCCE996" w14:textId="77777777" w:rsidR="00F55983" w:rsidRPr="00474A70" w:rsidRDefault="00F55983" w:rsidP="00F55983">
      <w:pPr>
        <w:tabs>
          <w:tab w:val="left" w:pos="360"/>
        </w:tabs>
        <w:autoSpaceDE w:val="0"/>
        <w:autoSpaceDN w:val="0"/>
        <w:adjustRightInd w:val="0"/>
        <w:spacing w:line="480" w:lineRule="auto"/>
        <w:rPr>
          <w:b/>
          <w:i/>
          <w:color w:val="000000"/>
        </w:rPr>
      </w:pPr>
      <w:r w:rsidRPr="00474A70">
        <w:rPr>
          <w:b/>
          <w:i/>
          <w:color w:val="000000"/>
        </w:rPr>
        <w:t>MRI Neuroimaging</w:t>
      </w:r>
    </w:p>
    <w:p w14:paraId="1D22F356" w14:textId="7713F8C7" w:rsidR="00F55983" w:rsidRPr="00F55983" w:rsidRDefault="00BF3F9E" w:rsidP="00F55983">
      <w:pPr>
        <w:tabs>
          <w:tab w:val="left" w:pos="360"/>
        </w:tabs>
        <w:autoSpaceDE w:val="0"/>
        <w:autoSpaceDN w:val="0"/>
        <w:adjustRightInd w:val="0"/>
        <w:spacing w:line="480" w:lineRule="auto"/>
        <w:rPr>
          <w:color w:val="000000"/>
        </w:rPr>
      </w:pPr>
      <w:r>
        <w:rPr>
          <w:color w:val="000000"/>
        </w:rPr>
        <w:tab/>
      </w:r>
      <w:r w:rsidR="00474A70">
        <w:rPr>
          <w:color w:val="000000"/>
        </w:rPr>
        <w:tab/>
      </w:r>
      <w:r w:rsidR="00F55983" w:rsidRPr="00F55983">
        <w:rPr>
          <w:color w:val="000000"/>
        </w:rPr>
        <w:t xml:space="preserve">We </w:t>
      </w:r>
      <w:r w:rsidR="00474A70">
        <w:rPr>
          <w:color w:val="000000"/>
        </w:rPr>
        <w:t>used</w:t>
      </w:r>
      <w:r w:rsidR="00F55983" w:rsidRPr="00F55983">
        <w:rPr>
          <w:color w:val="000000"/>
        </w:rPr>
        <w:t xml:space="preserve"> a multi-site neuroimaging design involving equal numbers of participants across three sites: (1) in the Massachusetts General Hospital Martinos Center for Biomedical Imaging, (2) the Staglin Center for Cognitive Neuroscience at the UCLA Semel Institute for Neuroscience and Human Behavior, and (3) the Department of Psychiatry and Behavioral Neuroscience at the University of Chicago. As described above, participants w</w:t>
      </w:r>
      <w:r w:rsidR="00474A70">
        <w:rPr>
          <w:color w:val="000000"/>
        </w:rPr>
        <w:t>ere</w:t>
      </w:r>
      <w:r w:rsidR="00F55983" w:rsidRPr="00F55983">
        <w:rPr>
          <w:color w:val="000000"/>
        </w:rPr>
        <w:t xml:space="preserve"> screened for scanner compatibility at the outset, and we scan</w:t>
      </w:r>
      <w:r w:rsidR="00474A70">
        <w:rPr>
          <w:color w:val="000000"/>
        </w:rPr>
        <w:t>ned</w:t>
      </w:r>
      <w:r w:rsidR="00F55983" w:rsidRPr="00F55983">
        <w:rPr>
          <w:color w:val="000000"/>
        </w:rPr>
        <w:t xml:space="preserve"> eligible participants sequentially. Imaging w</w:t>
      </w:r>
      <w:r w:rsidR="00474A70">
        <w:rPr>
          <w:color w:val="000000"/>
        </w:rPr>
        <w:t>as</w:t>
      </w:r>
      <w:r w:rsidR="00F55983" w:rsidRPr="00F55983">
        <w:rPr>
          <w:color w:val="000000"/>
        </w:rPr>
        <w:t xml:space="preserve"> performed on a 3-Tesla MRI scanner at all </w:t>
      </w:r>
      <w:r w:rsidR="00F55983" w:rsidRPr="00F55983">
        <w:rPr>
          <w:color w:val="000000"/>
        </w:rPr>
        <w:lastRenderedPageBreak/>
        <w:t>three sites</w:t>
      </w:r>
      <w:r w:rsidR="007E3BFA">
        <w:rPr>
          <w:color w:val="000000"/>
        </w:rPr>
        <w:t xml:space="preserve"> with all scanners synchronized</w:t>
      </w:r>
      <w:r w:rsidR="00F55983" w:rsidRPr="00F55983">
        <w:rPr>
          <w:color w:val="000000"/>
        </w:rPr>
        <w:t xml:space="preserve">. Each MRI scanning session </w:t>
      </w:r>
      <w:r w:rsidR="00474A70">
        <w:rPr>
          <w:color w:val="000000"/>
        </w:rPr>
        <w:t>las</w:t>
      </w:r>
      <w:r w:rsidR="00D67DA3">
        <w:rPr>
          <w:color w:val="000000"/>
        </w:rPr>
        <w:t>t</w:t>
      </w:r>
      <w:r w:rsidR="00474A70">
        <w:rPr>
          <w:color w:val="000000"/>
        </w:rPr>
        <w:t>ed</w:t>
      </w:r>
      <w:r w:rsidR="00F55983" w:rsidRPr="00F55983">
        <w:rPr>
          <w:color w:val="000000"/>
        </w:rPr>
        <w:t xml:space="preserve"> no more than </w:t>
      </w:r>
      <w:r w:rsidR="00850D59">
        <w:rPr>
          <w:color w:val="000000"/>
        </w:rPr>
        <w:t>75</w:t>
      </w:r>
      <w:r w:rsidR="00F55983" w:rsidRPr="00F55983">
        <w:rPr>
          <w:color w:val="000000"/>
        </w:rPr>
        <w:t xml:space="preserve"> minutes. Task order w</w:t>
      </w:r>
      <w:r w:rsidR="00474A70">
        <w:rPr>
          <w:color w:val="000000"/>
        </w:rPr>
        <w:t>as</w:t>
      </w:r>
      <w:r w:rsidR="00F55983" w:rsidRPr="00F55983">
        <w:rPr>
          <w:color w:val="000000"/>
        </w:rPr>
        <w:t xml:space="preserve"> pseudo-randomized and counterbalanced across subjects. All tasks w</w:t>
      </w:r>
      <w:r w:rsidR="00474A70">
        <w:rPr>
          <w:color w:val="000000"/>
        </w:rPr>
        <w:t>ere</w:t>
      </w:r>
      <w:r w:rsidR="00F55983" w:rsidRPr="00F55983">
        <w:rPr>
          <w:color w:val="000000"/>
        </w:rPr>
        <w:t xml:space="preserve"> presented </w:t>
      </w:r>
      <w:r w:rsidR="00ED1237">
        <w:rPr>
          <w:color w:val="000000"/>
        </w:rPr>
        <w:t>using</w:t>
      </w:r>
      <w:r w:rsidR="00ED1237" w:rsidRPr="00F55983">
        <w:rPr>
          <w:color w:val="000000"/>
        </w:rPr>
        <w:t xml:space="preserve"> </w:t>
      </w:r>
      <w:r w:rsidR="00F55983" w:rsidRPr="00F55983">
        <w:rPr>
          <w:color w:val="000000"/>
        </w:rPr>
        <w:t>Eprime</w:t>
      </w:r>
      <w:r w:rsidR="00ED1237">
        <w:rPr>
          <w:color w:val="000000"/>
        </w:rPr>
        <w:t xml:space="preserve"> software</w:t>
      </w:r>
      <w:r w:rsidR="00F55983" w:rsidRPr="00F55983">
        <w:rPr>
          <w:color w:val="000000"/>
        </w:rPr>
        <w:t>.</w:t>
      </w:r>
      <w:r w:rsidR="006965D4">
        <w:rPr>
          <w:color w:val="000000"/>
        </w:rPr>
        <w:t xml:space="preserve">  </w:t>
      </w:r>
      <w:r w:rsidR="00F55983" w:rsidRPr="00F55983">
        <w:rPr>
          <w:color w:val="000000"/>
        </w:rPr>
        <w:t>Participants w</w:t>
      </w:r>
      <w:r w:rsidR="00474A70">
        <w:rPr>
          <w:color w:val="000000"/>
        </w:rPr>
        <w:t xml:space="preserve">ere </w:t>
      </w:r>
      <w:r w:rsidR="006965D4">
        <w:rPr>
          <w:color w:val="000000"/>
        </w:rPr>
        <w:t>i</w:t>
      </w:r>
      <w:r w:rsidR="00F55983" w:rsidRPr="00F55983">
        <w:rPr>
          <w:color w:val="000000"/>
        </w:rPr>
        <w:t>nstructed in the behavioral tasks that they w</w:t>
      </w:r>
      <w:r w:rsidR="00474A70">
        <w:rPr>
          <w:color w:val="000000"/>
        </w:rPr>
        <w:t>ould</w:t>
      </w:r>
      <w:r w:rsidR="00F55983" w:rsidRPr="00F55983">
        <w:rPr>
          <w:color w:val="000000"/>
        </w:rPr>
        <w:t xml:space="preserve"> engage in while in the fMRI scanner. The participants w</w:t>
      </w:r>
      <w:r w:rsidR="00474A70">
        <w:rPr>
          <w:color w:val="000000"/>
        </w:rPr>
        <w:t>ere</w:t>
      </w:r>
      <w:r w:rsidR="00F55983" w:rsidRPr="00F55983">
        <w:rPr>
          <w:color w:val="000000"/>
        </w:rPr>
        <w:t xml:space="preserve"> given headphones</w:t>
      </w:r>
      <w:r w:rsidR="006E471F">
        <w:rPr>
          <w:color w:val="000000"/>
        </w:rPr>
        <w:t>,</w:t>
      </w:r>
      <w:r w:rsidR="00F55983" w:rsidRPr="00F55983">
        <w:rPr>
          <w:color w:val="000000"/>
        </w:rPr>
        <w:t xml:space="preserve"> ear protectors</w:t>
      </w:r>
      <w:r w:rsidR="006E471F">
        <w:rPr>
          <w:color w:val="000000"/>
        </w:rPr>
        <w:t>, and a</w:t>
      </w:r>
      <w:r w:rsidR="00F55983" w:rsidRPr="00F55983">
        <w:rPr>
          <w:color w:val="000000"/>
        </w:rPr>
        <w:t xml:space="preserve"> head restraining device w</w:t>
      </w:r>
      <w:r w:rsidR="00474A70">
        <w:rPr>
          <w:color w:val="000000"/>
        </w:rPr>
        <w:t>as</w:t>
      </w:r>
      <w:r w:rsidR="00F55983" w:rsidRPr="00F55983">
        <w:rPr>
          <w:color w:val="000000"/>
        </w:rPr>
        <w:t xml:space="preserve"> used to reduce excess motion. We first acquire</w:t>
      </w:r>
      <w:r w:rsidR="00474A70">
        <w:rPr>
          <w:color w:val="000000"/>
        </w:rPr>
        <w:t>d</w:t>
      </w:r>
      <w:r w:rsidR="00F55983" w:rsidRPr="00F55983">
        <w:rPr>
          <w:color w:val="000000"/>
        </w:rPr>
        <w:t xml:space="preserve"> high resolution, anatomical images, typically about 15 minutes</w:t>
      </w:r>
      <w:r w:rsidR="00ED1237">
        <w:rPr>
          <w:color w:val="000000"/>
        </w:rPr>
        <w:t xml:space="preserve">, before undertaking the fMRI sequence. </w:t>
      </w:r>
      <w:r w:rsidR="00F55983" w:rsidRPr="00F55983">
        <w:rPr>
          <w:color w:val="000000"/>
        </w:rPr>
        <w:t xml:space="preserve"> </w:t>
      </w:r>
    </w:p>
    <w:p w14:paraId="6CF243BB" w14:textId="77777777" w:rsidR="00084C29" w:rsidRDefault="00474A70" w:rsidP="007C537B">
      <w:pPr>
        <w:tabs>
          <w:tab w:val="left" w:pos="360"/>
        </w:tabs>
        <w:autoSpaceDE w:val="0"/>
        <w:autoSpaceDN w:val="0"/>
        <w:adjustRightInd w:val="0"/>
        <w:spacing w:line="480" w:lineRule="auto"/>
        <w:rPr>
          <w:color w:val="000000"/>
        </w:rPr>
      </w:pPr>
      <w:r>
        <w:rPr>
          <w:color w:val="000000"/>
        </w:rPr>
        <w:tab/>
      </w:r>
      <w:r w:rsidR="00BF3F9E">
        <w:rPr>
          <w:color w:val="000000"/>
        </w:rPr>
        <w:tab/>
      </w:r>
    </w:p>
    <w:p w14:paraId="2C7D99AC" w14:textId="3FF4D448" w:rsidR="00084C29" w:rsidRPr="00084C29" w:rsidRDefault="00474A70" w:rsidP="007C537B">
      <w:pPr>
        <w:tabs>
          <w:tab w:val="left" w:pos="360"/>
        </w:tabs>
        <w:autoSpaceDE w:val="0"/>
        <w:autoSpaceDN w:val="0"/>
        <w:adjustRightInd w:val="0"/>
        <w:spacing w:line="480" w:lineRule="auto"/>
        <w:rPr>
          <w:b/>
          <w:i/>
          <w:color w:val="000000"/>
        </w:rPr>
      </w:pPr>
      <w:r w:rsidRPr="00084C29">
        <w:rPr>
          <w:b/>
          <w:i/>
          <w:color w:val="000000"/>
        </w:rPr>
        <w:t xml:space="preserve">fMRI </w:t>
      </w:r>
      <w:r w:rsidR="00F55983" w:rsidRPr="00084C29">
        <w:rPr>
          <w:b/>
          <w:i/>
          <w:color w:val="000000"/>
        </w:rPr>
        <w:t xml:space="preserve">Task: </w:t>
      </w:r>
      <w:r w:rsidR="007C537B" w:rsidRPr="00084C29">
        <w:rPr>
          <w:b/>
          <w:i/>
          <w:color w:val="000000"/>
        </w:rPr>
        <w:t>Monetary Reward Ta</w:t>
      </w:r>
      <w:r w:rsidR="00084C29">
        <w:rPr>
          <w:b/>
          <w:i/>
          <w:color w:val="000000"/>
        </w:rPr>
        <w:t>sk</w:t>
      </w:r>
      <w:r w:rsidRPr="00084C29">
        <w:rPr>
          <w:b/>
          <w:i/>
          <w:color w:val="000000"/>
        </w:rPr>
        <w:t xml:space="preserve"> </w:t>
      </w:r>
      <w:bookmarkEnd w:id="0"/>
    </w:p>
    <w:p w14:paraId="49743F67" w14:textId="48723B12" w:rsidR="00BF3F9E" w:rsidRPr="00C07365" w:rsidRDefault="00084C29">
      <w:pPr>
        <w:tabs>
          <w:tab w:val="left" w:pos="360"/>
        </w:tabs>
        <w:autoSpaceDE w:val="0"/>
        <w:autoSpaceDN w:val="0"/>
        <w:adjustRightInd w:val="0"/>
        <w:spacing w:line="480" w:lineRule="auto"/>
        <w:rPr>
          <w:color w:val="000000"/>
        </w:rPr>
      </w:pPr>
      <w:r>
        <w:rPr>
          <w:color w:val="000000"/>
        </w:rPr>
        <w:tab/>
      </w:r>
      <w:r w:rsidR="000F46E0">
        <w:rPr>
          <w:color w:val="000000"/>
        </w:rPr>
        <w:tab/>
      </w:r>
      <w:r w:rsidR="00BF3F9E" w:rsidRPr="003C5506">
        <w:rPr>
          <w:color w:val="000000"/>
        </w:rPr>
        <w:t xml:space="preserve">The monetary reward task </w:t>
      </w:r>
      <w:r w:rsidR="006E471F">
        <w:rPr>
          <w:color w:val="000000"/>
        </w:rPr>
        <w:t xml:space="preserve">was used to examine reward processing </w:t>
      </w:r>
      <w:r w:rsidR="00BF3F9E" w:rsidRPr="003C5506">
        <w:rPr>
          <w:color w:val="000000"/>
        </w:rPr>
        <w:t>(</w:t>
      </w:r>
      <w:r w:rsidR="008B138A">
        <w:rPr>
          <w:color w:val="000000"/>
        </w:rPr>
        <w:t>Knutson et al., 2001</w:t>
      </w:r>
      <w:r w:rsidR="00BF3F9E" w:rsidRPr="003C5506">
        <w:rPr>
          <w:color w:val="000000"/>
        </w:rPr>
        <w:t xml:space="preserve">). </w:t>
      </w:r>
      <w:r w:rsidR="006965D4" w:rsidRPr="00586BBF">
        <w:t>Th</w:t>
      </w:r>
      <w:r w:rsidR="00ED1237">
        <w:t xml:space="preserve">e version of the task deployed enabled separate analysis of neural activation for anticipated monetary reward, and for anticipated monetary </w:t>
      </w:r>
      <w:r w:rsidR="00C1393B">
        <w:t>loss</w:t>
      </w:r>
      <w:r w:rsidR="00ED1237">
        <w:t xml:space="preserve">, on the task. </w:t>
      </w:r>
      <w:r w:rsidR="00BF3F9E" w:rsidRPr="003C5506">
        <w:rPr>
          <w:color w:val="000000"/>
        </w:rPr>
        <w:t>The task</w:t>
      </w:r>
      <w:r w:rsidR="00BF3F9E" w:rsidRPr="00C07365">
        <w:rPr>
          <w:color w:val="000000"/>
        </w:rPr>
        <w:t xml:space="preserve"> </w:t>
      </w:r>
      <w:r w:rsidR="007F69A1">
        <w:rPr>
          <w:color w:val="000000"/>
        </w:rPr>
        <w:t>is comprised of</w:t>
      </w:r>
      <w:r w:rsidR="00BF3F9E" w:rsidRPr="00C07365">
        <w:rPr>
          <w:color w:val="000000"/>
        </w:rPr>
        <w:t xml:space="preserve"> 72 trials, </w:t>
      </w:r>
      <w:r w:rsidR="007F69A1">
        <w:rPr>
          <w:color w:val="000000"/>
        </w:rPr>
        <w:t>and each trial lasts approximately</w:t>
      </w:r>
      <w:r w:rsidR="00BF3F9E" w:rsidRPr="00C07365">
        <w:rPr>
          <w:color w:val="000000"/>
        </w:rPr>
        <w:t xml:space="preserve"> 6 seconds (range 3–10 sec</w:t>
      </w:r>
      <w:r w:rsidR="00BF3F9E" w:rsidRPr="003C441E">
        <w:rPr>
          <w:color w:val="000000"/>
        </w:rPr>
        <w:t xml:space="preserve">). </w:t>
      </w:r>
      <w:r w:rsidR="007F69A1">
        <w:rPr>
          <w:color w:val="000000"/>
        </w:rPr>
        <w:t xml:space="preserve"> A</w:t>
      </w:r>
      <w:r w:rsidR="00BF3F9E" w:rsidRPr="003C441E">
        <w:rPr>
          <w:color w:val="000000"/>
        </w:rPr>
        <w:t xml:space="preserve"> cue was presented for 500 milliseconds</w:t>
      </w:r>
      <w:r w:rsidR="00C07365" w:rsidRPr="003C441E">
        <w:rPr>
          <w:color w:val="000000"/>
        </w:rPr>
        <w:t xml:space="preserve"> </w:t>
      </w:r>
      <w:r w:rsidR="007F69A1">
        <w:rPr>
          <w:color w:val="000000"/>
        </w:rPr>
        <w:t xml:space="preserve">and </w:t>
      </w:r>
      <w:r w:rsidR="00BF3F9E" w:rsidRPr="003C441E">
        <w:rPr>
          <w:color w:val="000000"/>
        </w:rPr>
        <w:t>signal</w:t>
      </w:r>
      <w:r w:rsidR="007F69A1">
        <w:rPr>
          <w:color w:val="000000"/>
        </w:rPr>
        <w:t>ed</w:t>
      </w:r>
      <w:r w:rsidR="00BF3F9E" w:rsidRPr="003C441E">
        <w:rPr>
          <w:color w:val="000000"/>
        </w:rPr>
        <w:t xml:space="preserve"> a potentially rewarding (a circle) or non</w:t>
      </w:r>
      <w:r w:rsidRPr="003C441E">
        <w:rPr>
          <w:color w:val="000000"/>
        </w:rPr>
        <w:t>-</w:t>
      </w:r>
      <w:r w:rsidR="00BF3F9E" w:rsidRPr="003C441E">
        <w:rPr>
          <w:color w:val="000000"/>
        </w:rPr>
        <w:t>rewarding (a</w:t>
      </w:r>
      <w:r w:rsidR="00C07365" w:rsidRPr="003C441E">
        <w:rPr>
          <w:color w:val="000000"/>
        </w:rPr>
        <w:t xml:space="preserve"> </w:t>
      </w:r>
      <w:r w:rsidR="00BF3F9E" w:rsidRPr="003C441E">
        <w:rPr>
          <w:color w:val="000000"/>
        </w:rPr>
        <w:t xml:space="preserve">square) trial. </w:t>
      </w:r>
      <w:r w:rsidR="00DC2392" w:rsidRPr="003C441E">
        <w:rPr>
          <w:color w:val="000000"/>
        </w:rPr>
        <w:t xml:space="preserve">Participants were instructed that the </w:t>
      </w:r>
      <w:r w:rsidR="007F69A1">
        <w:rPr>
          <w:color w:val="000000"/>
        </w:rPr>
        <w:t xml:space="preserve">game’s </w:t>
      </w:r>
      <w:r w:rsidR="00DC2392" w:rsidRPr="003C441E">
        <w:rPr>
          <w:color w:val="000000"/>
        </w:rPr>
        <w:t xml:space="preserve">goal </w:t>
      </w:r>
      <w:r w:rsidR="007F69A1">
        <w:rPr>
          <w:color w:val="000000"/>
        </w:rPr>
        <w:t>is to see how much money they can win</w:t>
      </w:r>
      <w:r w:rsidR="00DC2392" w:rsidRPr="003C441E">
        <w:rPr>
          <w:color w:val="000000"/>
        </w:rPr>
        <w:t xml:space="preserve">. If </w:t>
      </w:r>
      <w:r w:rsidR="000F46E0" w:rsidRPr="003C441E">
        <w:rPr>
          <w:color w:val="000000"/>
        </w:rPr>
        <w:t>they saw</w:t>
      </w:r>
      <w:r w:rsidR="00DC2392" w:rsidRPr="003C441E">
        <w:rPr>
          <w:color w:val="000000"/>
        </w:rPr>
        <w:t xml:space="preserve"> a circle with one line through it, it mean</w:t>
      </w:r>
      <w:r w:rsidR="000F46E0" w:rsidRPr="003C441E">
        <w:rPr>
          <w:color w:val="000000"/>
        </w:rPr>
        <w:t>t they</w:t>
      </w:r>
      <w:r w:rsidR="00DC2392" w:rsidRPr="003C441E">
        <w:rPr>
          <w:color w:val="000000"/>
        </w:rPr>
        <w:t xml:space="preserve"> could win $1. If </w:t>
      </w:r>
      <w:r w:rsidR="000F46E0" w:rsidRPr="003C441E">
        <w:rPr>
          <w:color w:val="000000"/>
        </w:rPr>
        <w:t>they saw</w:t>
      </w:r>
      <w:r w:rsidR="00DC2392" w:rsidRPr="003C441E">
        <w:rPr>
          <w:color w:val="000000"/>
        </w:rPr>
        <w:t xml:space="preserve"> a square with one line through it, it mean</w:t>
      </w:r>
      <w:r w:rsidR="000F46E0" w:rsidRPr="003C441E">
        <w:rPr>
          <w:color w:val="000000"/>
        </w:rPr>
        <w:t>t they could lose $1 if they did</w:t>
      </w:r>
      <w:r w:rsidR="00DC2392" w:rsidRPr="003C441E">
        <w:rPr>
          <w:color w:val="000000"/>
        </w:rPr>
        <w:t xml:space="preserve"> not press the button at the correct time. If </w:t>
      </w:r>
      <w:r w:rsidR="000F46E0" w:rsidRPr="003C441E">
        <w:rPr>
          <w:color w:val="000000"/>
        </w:rPr>
        <w:t>they saw</w:t>
      </w:r>
      <w:r w:rsidR="00DC2392" w:rsidRPr="003C441E">
        <w:rPr>
          <w:color w:val="000000"/>
        </w:rPr>
        <w:t xml:space="preserve"> a circle with two lines through it, </w:t>
      </w:r>
      <w:r w:rsidR="000F46E0" w:rsidRPr="003C441E">
        <w:rPr>
          <w:color w:val="000000"/>
        </w:rPr>
        <w:t>they</w:t>
      </w:r>
      <w:r w:rsidR="00DC2392" w:rsidRPr="003C441E">
        <w:rPr>
          <w:color w:val="000000"/>
        </w:rPr>
        <w:t xml:space="preserve"> could win $5. If </w:t>
      </w:r>
      <w:r w:rsidR="000F46E0" w:rsidRPr="003C441E">
        <w:rPr>
          <w:color w:val="000000"/>
        </w:rPr>
        <w:t xml:space="preserve">they saw </w:t>
      </w:r>
      <w:r w:rsidR="00DC2392" w:rsidRPr="003C441E">
        <w:rPr>
          <w:color w:val="000000"/>
        </w:rPr>
        <w:t xml:space="preserve">a square with two lines through it, </w:t>
      </w:r>
      <w:r w:rsidR="000F46E0" w:rsidRPr="003C441E">
        <w:rPr>
          <w:color w:val="000000"/>
        </w:rPr>
        <w:t>they</w:t>
      </w:r>
      <w:r w:rsidR="00DC2392" w:rsidRPr="003C441E">
        <w:rPr>
          <w:color w:val="000000"/>
        </w:rPr>
        <w:t xml:space="preserve"> could lose $5. </w:t>
      </w:r>
      <w:r w:rsidR="007F69A1">
        <w:rPr>
          <w:color w:val="000000"/>
        </w:rPr>
        <w:t xml:space="preserve">Participants </w:t>
      </w:r>
      <w:r w:rsidR="00D67DA3">
        <w:rPr>
          <w:color w:val="000000"/>
        </w:rPr>
        <w:t>we</w:t>
      </w:r>
      <w:r w:rsidR="007F69A1">
        <w:rPr>
          <w:color w:val="000000"/>
        </w:rPr>
        <w:t>re given f</w:t>
      </w:r>
      <w:r w:rsidR="00BF3F9E" w:rsidRPr="003C441E">
        <w:rPr>
          <w:color w:val="000000"/>
        </w:rPr>
        <w:t xml:space="preserve">eedback </w:t>
      </w:r>
      <w:r w:rsidR="00BF3F9E" w:rsidRPr="00C07365">
        <w:rPr>
          <w:color w:val="000000"/>
        </w:rPr>
        <w:t>(reward or no reward)</w:t>
      </w:r>
      <w:r w:rsidR="00927E43">
        <w:rPr>
          <w:color w:val="000000"/>
        </w:rPr>
        <w:t>.</w:t>
      </w:r>
      <w:r w:rsidR="00BF3F9E" w:rsidRPr="00C07365">
        <w:rPr>
          <w:color w:val="000000"/>
        </w:rPr>
        <w:t xml:space="preserve"> </w:t>
      </w:r>
      <w:r w:rsidR="007F69A1">
        <w:rPr>
          <w:color w:val="000000"/>
        </w:rPr>
        <w:t xml:space="preserve"> Each participant underwent 10</w:t>
      </w:r>
      <w:r w:rsidR="007C537B">
        <w:rPr>
          <w:color w:val="000000"/>
        </w:rPr>
        <w:t xml:space="preserve"> </w:t>
      </w:r>
      <w:r w:rsidR="00BF3F9E" w:rsidRPr="00C07365">
        <w:rPr>
          <w:color w:val="000000"/>
        </w:rPr>
        <w:t>practice trials</w:t>
      </w:r>
      <w:r w:rsidR="007F69A1">
        <w:rPr>
          <w:color w:val="000000"/>
        </w:rPr>
        <w:t xml:space="preserve">, and based on these practice trials, each </w:t>
      </w:r>
      <w:r w:rsidR="00BF3F9E" w:rsidRPr="00C07365">
        <w:rPr>
          <w:color w:val="000000"/>
        </w:rPr>
        <w:t xml:space="preserve">individual </w:t>
      </w:r>
      <w:r w:rsidR="007F69A1">
        <w:rPr>
          <w:color w:val="000000"/>
        </w:rPr>
        <w:t xml:space="preserve">had a </w:t>
      </w:r>
      <w:r w:rsidR="00BF3F9E" w:rsidRPr="00C07365">
        <w:rPr>
          <w:color w:val="000000"/>
        </w:rPr>
        <w:t xml:space="preserve">time limit </w:t>
      </w:r>
      <w:r w:rsidR="007F69A1">
        <w:rPr>
          <w:color w:val="000000"/>
        </w:rPr>
        <w:t>to respond</w:t>
      </w:r>
      <w:r w:rsidR="00BF3F9E" w:rsidRPr="00C07365">
        <w:rPr>
          <w:color w:val="000000"/>
        </w:rPr>
        <w:t xml:space="preserve"> to the</w:t>
      </w:r>
      <w:r w:rsidR="007C537B">
        <w:rPr>
          <w:color w:val="000000"/>
        </w:rPr>
        <w:t xml:space="preserve"> </w:t>
      </w:r>
      <w:r w:rsidR="00BF3F9E" w:rsidRPr="00C07365">
        <w:rPr>
          <w:color w:val="000000"/>
        </w:rPr>
        <w:t>target during the task</w:t>
      </w:r>
      <w:r w:rsidR="007F69A1" w:rsidRPr="007F69A1">
        <w:rPr>
          <w:color w:val="000000"/>
        </w:rPr>
        <w:t xml:space="preserve"> </w:t>
      </w:r>
      <w:r w:rsidR="007F69A1">
        <w:rPr>
          <w:color w:val="000000"/>
        </w:rPr>
        <w:t>(based on their</w:t>
      </w:r>
      <w:r w:rsidR="007F69A1" w:rsidRPr="00C07365">
        <w:rPr>
          <w:color w:val="000000"/>
        </w:rPr>
        <w:t xml:space="preserve"> shortest reaction time </w:t>
      </w:r>
      <w:r w:rsidR="007F69A1">
        <w:rPr>
          <w:color w:val="000000"/>
        </w:rPr>
        <w:t>during the practice sessions)</w:t>
      </w:r>
      <w:r w:rsidR="00BF3F9E" w:rsidRPr="00C07365">
        <w:rPr>
          <w:color w:val="000000"/>
        </w:rPr>
        <w:t xml:space="preserve">. </w:t>
      </w:r>
      <w:r w:rsidR="007F69A1">
        <w:rPr>
          <w:color w:val="000000"/>
        </w:rPr>
        <w:t>By increasing and decreasing the time limit, participants</w:t>
      </w:r>
      <w:r w:rsidR="00BF3F9E" w:rsidRPr="00C07365">
        <w:rPr>
          <w:color w:val="000000"/>
        </w:rPr>
        <w:t xml:space="preserve"> were</w:t>
      </w:r>
      <w:r w:rsidR="007C537B">
        <w:rPr>
          <w:color w:val="000000"/>
        </w:rPr>
        <w:t xml:space="preserve"> </w:t>
      </w:r>
      <w:r w:rsidR="00BF3F9E" w:rsidRPr="00C07365">
        <w:rPr>
          <w:color w:val="000000"/>
        </w:rPr>
        <w:lastRenderedPageBreak/>
        <w:t>rewarded in 50% of the reward trials</w:t>
      </w:r>
      <w:r>
        <w:rPr>
          <w:color w:val="000000"/>
        </w:rPr>
        <w:t>.</w:t>
      </w:r>
      <w:r w:rsidR="00BF3F9E" w:rsidRPr="00C07365">
        <w:rPr>
          <w:color w:val="000000"/>
        </w:rPr>
        <w:t xml:space="preserve"> The </w:t>
      </w:r>
      <w:r w:rsidR="00C24342">
        <w:rPr>
          <w:color w:val="000000"/>
        </w:rPr>
        <w:t xml:space="preserve">design of the </w:t>
      </w:r>
      <w:r w:rsidR="00BF3F9E" w:rsidRPr="00C07365">
        <w:rPr>
          <w:color w:val="000000"/>
        </w:rPr>
        <w:t xml:space="preserve">task </w:t>
      </w:r>
      <w:r w:rsidR="00C24342">
        <w:rPr>
          <w:color w:val="000000"/>
        </w:rPr>
        <w:t xml:space="preserve">allows for the modeling of </w:t>
      </w:r>
      <w:r w:rsidR="00BF3F9E" w:rsidRPr="00C07365">
        <w:rPr>
          <w:color w:val="000000"/>
        </w:rPr>
        <w:t>response to anticipation of reward</w:t>
      </w:r>
      <w:r w:rsidR="007C537B">
        <w:rPr>
          <w:color w:val="000000"/>
        </w:rPr>
        <w:t xml:space="preserve"> or loss </w:t>
      </w:r>
      <w:r w:rsidR="00C24342">
        <w:rPr>
          <w:color w:val="000000"/>
        </w:rPr>
        <w:t xml:space="preserve">to be </w:t>
      </w:r>
      <w:r w:rsidR="00BF3F9E" w:rsidRPr="00C07365">
        <w:rPr>
          <w:color w:val="000000"/>
        </w:rPr>
        <w:t xml:space="preserve">independent from that of actual reward </w:t>
      </w:r>
      <w:r w:rsidR="007C537B">
        <w:rPr>
          <w:color w:val="000000"/>
        </w:rPr>
        <w:t>or loss</w:t>
      </w:r>
      <w:r w:rsidR="00BF3F9E" w:rsidRPr="00C07365">
        <w:rPr>
          <w:color w:val="000000"/>
        </w:rPr>
        <w:t xml:space="preserve">. </w:t>
      </w:r>
    </w:p>
    <w:p w14:paraId="3CDDF439" w14:textId="77777777" w:rsidR="00DC2392" w:rsidRPr="00C07365" w:rsidRDefault="00DC2392" w:rsidP="00C07365">
      <w:pPr>
        <w:spacing w:line="480" w:lineRule="auto"/>
        <w:jc w:val="both"/>
        <w:outlineLvl w:val="2"/>
        <w:rPr>
          <w:color w:val="000000"/>
        </w:rPr>
      </w:pPr>
    </w:p>
    <w:p w14:paraId="7F786676" w14:textId="45BD76E6" w:rsidR="00850D59" w:rsidRPr="00850D59" w:rsidRDefault="00850D59" w:rsidP="00BB2C95">
      <w:pPr>
        <w:spacing w:line="480" w:lineRule="auto"/>
        <w:outlineLvl w:val="2"/>
        <w:rPr>
          <w:b/>
          <w:bCs/>
          <w:i/>
        </w:rPr>
      </w:pPr>
      <w:r w:rsidRPr="00850D59">
        <w:rPr>
          <w:b/>
          <w:i/>
          <w:color w:val="434343"/>
        </w:rPr>
        <w:t>Image acquisition</w:t>
      </w:r>
    </w:p>
    <w:p w14:paraId="48FFBB6C" w14:textId="67234A2D" w:rsidR="00850D59" w:rsidRPr="00850D59" w:rsidRDefault="00850D59" w:rsidP="00BB2C95">
      <w:pPr>
        <w:spacing w:line="480" w:lineRule="auto"/>
        <w:ind w:firstLine="720"/>
      </w:pPr>
      <w:r w:rsidRPr="00850D59">
        <w:rPr>
          <w:color w:val="000000"/>
        </w:rPr>
        <w:t>Imaging was acquired across three scanning sites (</w:t>
      </w:r>
      <w:r w:rsidR="00BB2C95">
        <w:rPr>
          <w:color w:val="000000"/>
        </w:rPr>
        <w:t xml:space="preserve">University of </w:t>
      </w:r>
      <w:r w:rsidRPr="00850D59">
        <w:rPr>
          <w:color w:val="000000"/>
        </w:rPr>
        <w:t xml:space="preserve">Chicago, </w:t>
      </w:r>
      <w:r w:rsidR="00BB2C95" w:rsidRPr="001664C1">
        <w:t xml:space="preserve">University of California, Los Angeles, </w:t>
      </w:r>
      <w:r w:rsidR="00BB2C95">
        <w:t xml:space="preserve">and </w:t>
      </w:r>
      <w:r w:rsidR="00BB2C95" w:rsidRPr="001664C1">
        <w:t>Massac</w:t>
      </w:r>
      <w:r w:rsidR="00BB2C95">
        <w:t>husetts General Hospital/Harvard Medical School</w:t>
      </w:r>
      <w:r w:rsidRPr="00850D59">
        <w:rPr>
          <w:color w:val="000000"/>
        </w:rPr>
        <w:t>) using a unified acquisition protocol. Structural scans were acquired on a 2 Siemens Magnetom Prismafit 3T scanners (UCLA and MGH</w:t>
      </w:r>
      <w:r w:rsidR="00BB2C95">
        <w:rPr>
          <w:color w:val="000000"/>
        </w:rPr>
        <w:t>/Harvard</w:t>
      </w:r>
      <w:r w:rsidRPr="00850D59">
        <w:rPr>
          <w:color w:val="000000"/>
        </w:rPr>
        <w:t>) and one Philips Achieva 3T MRI scanner with dStream (Chicago) all with 32-channel head</w:t>
      </w:r>
      <w:r w:rsidR="00C24342">
        <w:rPr>
          <w:color w:val="000000"/>
        </w:rPr>
        <w:t xml:space="preserve"> </w:t>
      </w:r>
      <w:r w:rsidRPr="00850D59">
        <w:rPr>
          <w:color w:val="000000"/>
        </w:rPr>
        <w:t>coils, using a MPRAGE acquisition sequence with the following parameters: slab orientation = sagittal, FOV 256x256x176, voxel size 1x1x1 mm3, inversion delay time TI = 900 ms, TR = 2310 ms, TE = 2.9 ms flip angle = 9 degree. Functional task MRI w</w:t>
      </w:r>
      <w:r w:rsidR="00C24342">
        <w:rPr>
          <w:color w:val="000000"/>
        </w:rPr>
        <w:t>as</w:t>
      </w:r>
      <w:r w:rsidRPr="00850D59">
        <w:rPr>
          <w:color w:val="000000"/>
        </w:rPr>
        <w:t xml:space="preserve"> acquired with a single-shot gradient echo planar imaging sequence. Thirty-nine interleaved axial slices parallel to the AC–PC line covering the whole brain were acquired: TR ​= ​2000 ​m ​s, TE ​= ​28 ​m​s, flip angle ​= 90°, field of view ​= ​210 ​× ​210 ​mm, matrix ​= ​205 ​× ​205, voxels size 3.2x3.2x3.1mm and a 20% distance factor, GRAPPA acceleration factor ​= ​2 (for the 2 Siemens scanners) and SENSE acceleration factor 2 (for the Philips scanner).</w:t>
      </w:r>
    </w:p>
    <w:p w14:paraId="37650915" w14:textId="77777777" w:rsidR="007C537B" w:rsidRDefault="007C537B" w:rsidP="00850D59">
      <w:pPr>
        <w:spacing w:line="480" w:lineRule="auto"/>
        <w:jc w:val="both"/>
        <w:outlineLvl w:val="2"/>
        <w:rPr>
          <w:color w:val="434343"/>
        </w:rPr>
      </w:pPr>
    </w:p>
    <w:p w14:paraId="15C5F022" w14:textId="0D8160A3" w:rsidR="00850D59" w:rsidRPr="00850D59" w:rsidRDefault="00850D59" w:rsidP="00850D59">
      <w:pPr>
        <w:spacing w:line="480" w:lineRule="auto"/>
        <w:jc w:val="both"/>
        <w:outlineLvl w:val="2"/>
        <w:rPr>
          <w:b/>
          <w:bCs/>
          <w:i/>
        </w:rPr>
      </w:pPr>
      <w:r w:rsidRPr="00850D59">
        <w:rPr>
          <w:b/>
          <w:i/>
          <w:color w:val="434343"/>
        </w:rPr>
        <w:t>Image processing</w:t>
      </w:r>
    </w:p>
    <w:p w14:paraId="659A1048" w14:textId="3BE2B6F8" w:rsidR="00850D59" w:rsidRPr="00850D59" w:rsidRDefault="00850D59" w:rsidP="00084C29">
      <w:pPr>
        <w:spacing w:line="480" w:lineRule="auto"/>
        <w:ind w:firstLine="720"/>
      </w:pPr>
      <w:r w:rsidRPr="00850D59">
        <w:rPr>
          <w:color w:val="000000"/>
        </w:rPr>
        <w:t xml:space="preserve">First level </w:t>
      </w:r>
      <w:r w:rsidR="001F39A2">
        <w:rPr>
          <w:color w:val="000000"/>
        </w:rPr>
        <w:t>f</w:t>
      </w:r>
      <w:r w:rsidRPr="00850D59">
        <w:rPr>
          <w:color w:val="000000"/>
        </w:rPr>
        <w:t xml:space="preserve">MRI data processing was </w:t>
      </w:r>
      <w:r w:rsidR="00C24342">
        <w:rPr>
          <w:color w:val="000000"/>
        </w:rPr>
        <w:t>performed</w:t>
      </w:r>
      <w:r w:rsidRPr="00850D59">
        <w:rPr>
          <w:color w:val="000000"/>
        </w:rPr>
        <w:t xml:space="preserve"> using FEAT (FMRI Expert Analysis Tool) Version 6.00</w:t>
      </w:r>
      <w:r w:rsidR="00C24342">
        <w:rPr>
          <w:color w:val="000000"/>
        </w:rPr>
        <w:t xml:space="preserve"> </w:t>
      </w:r>
      <w:r w:rsidRPr="00850D59">
        <w:rPr>
          <w:color w:val="000000"/>
        </w:rPr>
        <w:t xml:space="preserve">(FMRIB's Software Library, www.fmrib.ox.ac.uk/fsl). Registration to high resolution structural and/or standard space images was </w:t>
      </w:r>
      <w:r w:rsidR="00C24342">
        <w:rPr>
          <w:color w:val="000000"/>
        </w:rPr>
        <w:t>done</w:t>
      </w:r>
      <w:r w:rsidRPr="00850D59">
        <w:rPr>
          <w:color w:val="000000"/>
        </w:rPr>
        <w:t xml:space="preserve"> using </w:t>
      </w:r>
      <w:r w:rsidRPr="00850D59">
        <w:rPr>
          <w:color w:val="000000"/>
        </w:rPr>
        <w:lastRenderedPageBreak/>
        <w:t xml:space="preserve">FLIRT </w:t>
      </w:r>
      <w:hyperlink r:id="rId7" w:history="1">
        <w:r w:rsidRPr="00084C29">
          <w:rPr>
            <w:color w:val="000000"/>
          </w:rPr>
          <w:t>(</w:t>
        </w:r>
        <w:r w:rsidR="008B138A">
          <w:rPr>
            <w:color w:val="000000"/>
          </w:rPr>
          <w:t>Jenkinson et al., 2002</w:t>
        </w:r>
        <w:r w:rsidRPr="00084C29">
          <w:rPr>
            <w:color w:val="000000"/>
          </w:rPr>
          <w:t>)</w:t>
        </w:r>
      </w:hyperlink>
      <w:r w:rsidRPr="00850D59">
        <w:rPr>
          <w:color w:val="000000"/>
        </w:rPr>
        <w:t xml:space="preserve">. Registration from high resolution structural to standard space was </w:t>
      </w:r>
      <w:r w:rsidR="00C24342">
        <w:rPr>
          <w:color w:val="000000"/>
        </w:rPr>
        <w:t>r</w:t>
      </w:r>
      <w:r w:rsidRPr="00850D59">
        <w:rPr>
          <w:color w:val="000000"/>
        </w:rPr>
        <w:t xml:space="preserve">efined using FNIRT nonlinear registration </w:t>
      </w:r>
      <w:hyperlink r:id="rId8" w:history="1">
        <w:r w:rsidRPr="00084C29">
          <w:rPr>
            <w:color w:val="000000"/>
          </w:rPr>
          <w:t>(</w:t>
        </w:r>
        <w:r w:rsidR="008B138A">
          <w:rPr>
            <w:color w:val="000000"/>
          </w:rPr>
          <w:t>Andersson et al., 2007</w:t>
        </w:r>
        <w:r w:rsidRPr="00084C29">
          <w:rPr>
            <w:color w:val="000000"/>
          </w:rPr>
          <w:t>)</w:t>
        </w:r>
      </w:hyperlink>
      <w:r w:rsidRPr="00850D59">
        <w:rPr>
          <w:color w:val="000000"/>
        </w:rPr>
        <w:t xml:space="preserve">. The following pre-statistics processing was applied; motion correction using MCFLIRT </w:t>
      </w:r>
      <w:hyperlink r:id="rId9" w:history="1">
        <w:r w:rsidRPr="00084C29">
          <w:rPr>
            <w:color w:val="000000"/>
          </w:rPr>
          <w:t>(</w:t>
        </w:r>
        <w:r w:rsidR="008B138A">
          <w:rPr>
            <w:color w:val="000000"/>
          </w:rPr>
          <w:t>Jenkinson et al., 2002</w:t>
        </w:r>
        <w:r w:rsidRPr="00084C29">
          <w:rPr>
            <w:color w:val="000000"/>
          </w:rPr>
          <w:t>)</w:t>
        </w:r>
      </w:hyperlink>
      <w:r w:rsidRPr="00850D59">
        <w:rPr>
          <w:color w:val="000000"/>
        </w:rPr>
        <w:t xml:space="preserve">; slice-timing correction using Fourier-space time-series phase-shifting; non-brain removal using BET </w:t>
      </w:r>
      <w:hyperlink r:id="rId10" w:history="1">
        <w:r w:rsidRPr="00084C29">
          <w:rPr>
            <w:color w:val="000000"/>
          </w:rPr>
          <w:t>(</w:t>
        </w:r>
        <w:r w:rsidR="008B138A">
          <w:rPr>
            <w:color w:val="000000"/>
          </w:rPr>
          <w:t>Smith 2002</w:t>
        </w:r>
      </w:hyperlink>
      <w:r w:rsidR="007A1729">
        <w:rPr>
          <w:color w:val="000000"/>
        </w:rPr>
        <w:t>)</w:t>
      </w:r>
      <w:r w:rsidRPr="00850D59">
        <w:rPr>
          <w:color w:val="000000"/>
        </w:rPr>
        <w:t>; spatial smoothing using a Gaussian kernel of FWHM 5mm; grand-mean intensity normali</w:t>
      </w:r>
      <w:r w:rsidR="00084C29">
        <w:rPr>
          <w:color w:val="000000"/>
        </w:rPr>
        <w:t>z</w:t>
      </w:r>
      <w:r w:rsidRPr="00850D59">
        <w:rPr>
          <w:color w:val="000000"/>
        </w:rPr>
        <w:t xml:space="preserve">ation of the entire 4D dataset by a single multiplicative factor; highpass temporal filtering (Gaussian-weighted least-squares straight line fitting, with sigma=50.0s). Time-series statistical analysis was </w:t>
      </w:r>
      <w:r w:rsidR="00C24342">
        <w:rPr>
          <w:color w:val="000000"/>
        </w:rPr>
        <w:t>done</w:t>
      </w:r>
      <w:r w:rsidRPr="00850D59">
        <w:rPr>
          <w:color w:val="000000"/>
        </w:rPr>
        <w:t xml:space="preserve"> using FILM with local autocorrelation correction</w:t>
      </w:r>
      <w:r w:rsidR="007A2696">
        <w:rPr>
          <w:color w:val="000000"/>
        </w:rPr>
        <w:t xml:space="preserve"> </w:t>
      </w:r>
      <w:r w:rsidRPr="00850D59">
        <w:rPr>
          <w:color w:val="000000"/>
        </w:rPr>
        <w:t>fitting contrasts for anticipation in win and lose trials as well as the contrast between them. All first level outputs were manually inspected for potential registration errors. </w:t>
      </w:r>
    </w:p>
    <w:p w14:paraId="6AE9B67A" w14:textId="19C97B43" w:rsidR="00850D59" w:rsidRPr="00850D59" w:rsidRDefault="00850D59" w:rsidP="00084C29">
      <w:pPr>
        <w:spacing w:line="480" w:lineRule="auto"/>
        <w:ind w:firstLine="720"/>
      </w:pPr>
      <w:r w:rsidRPr="00850D59">
        <w:rPr>
          <w:color w:val="000000"/>
        </w:rPr>
        <w:t>Contrasts from first level analys</w:t>
      </w:r>
      <w:r w:rsidR="00992E56">
        <w:rPr>
          <w:color w:val="000000"/>
        </w:rPr>
        <w:t>i</w:t>
      </w:r>
      <w:r w:rsidRPr="00850D59">
        <w:rPr>
          <w:color w:val="000000"/>
        </w:rPr>
        <w:t>s were entered into higher level analys</w:t>
      </w:r>
      <w:r w:rsidR="00992E56">
        <w:rPr>
          <w:color w:val="000000"/>
        </w:rPr>
        <w:t>e</w:t>
      </w:r>
      <w:r w:rsidRPr="00850D59">
        <w:rPr>
          <w:color w:val="000000"/>
        </w:rPr>
        <w:t>s carried out using FEAT (FMRI Expert Analysis Tool) Version 6.00 (FMRIB's Software Library, www.fmrib.ox.ac.uk/fsl). Z (Gaussianised T/F) statistic images were thresholded non-parametrically using clusters determined by Z&gt;2.3 corresponding to a p-value of 0.01 and a (corrected) cluster significance threshold of P=0.05</w:t>
      </w:r>
      <w:r w:rsidR="002240B2">
        <w:rPr>
          <w:color w:val="000000"/>
        </w:rPr>
        <w:t>.</w:t>
      </w:r>
      <w:r w:rsidRPr="00850D59">
        <w:rPr>
          <w:color w:val="000000"/>
        </w:rPr>
        <w:t xml:space="preserve"> All group level analyses included age, sex and scanning site as potential confounding factors. Rendered thresholded z-maps were subsequently visuali</w:t>
      </w:r>
      <w:r w:rsidR="00084C29">
        <w:rPr>
          <w:color w:val="000000"/>
        </w:rPr>
        <w:t>z</w:t>
      </w:r>
      <w:r w:rsidRPr="00850D59">
        <w:rPr>
          <w:color w:val="000000"/>
        </w:rPr>
        <w:t>ed using the glass-brain plotting tool and cope estimates using ggstatsplot. </w:t>
      </w:r>
    </w:p>
    <w:p w14:paraId="0FBE87D5" w14:textId="74EF8385" w:rsidR="007C537B" w:rsidRPr="007C537B" w:rsidRDefault="007C537B" w:rsidP="00084C29">
      <w:pPr>
        <w:spacing w:line="480" w:lineRule="auto"/>
        <w:ind w:firstLine="720"/>
      </w:pPr>
      <w:r w:rsidRPr="007C537B">
        <w:rPr>
          <w:color w:val="000000"/>
        </w:rPr>
        <w:t>Following analysis of main effects</w:t>
      </w:r>
      <w:r w:rsidR="00084C29">
        <w:rPr>
          <w:color w:val="000000"/>
        </w:rPr>
        <w:t>,</w:t>
      </w:r>
      <w:r w:rsidRPr="007C537B">
        <w:rPr>
          <w:color w:val="000000"/>
        </w:rPr>
        <w:t xml:space="preserve"> we extracted cope estimates for post-hoc analysis within condition and picker and puller sub-groups from within main effect thresholded regions of interest using Featquery to extract cope estimates for peak coordinates. All post-hoc analysis of estimates were conducted using non-parametric </w:t>
      </w:r>
      <w:r w:rsidRPr="007C537B">
        <w:rPr>
          <w:color w:val="000000"/>
        </w:rPr>
        <w:lastRenderedPageBreak/>
        <w:t xml:space="preserve">Kruskal Wallis one-way analysis of variance for main effect and a Dwass-Steel-Crichtlow-Fligner test for pairwise comparisons. All pairwise comparisons were corrected for multiple comparisons using Benjamini and Hochberg corrections </w:t>
      </w:r>
      <w:hyperlink r:id="rId11" w:history="1">
        <w:r w:rsidRPr="00084C29">
          <w:rPr>
            <w:color w:val="000000"/>
          </w:rPr>
          <w:t>(</w:t>
        </w:r>
        <w:r w:rsidR="00ED1443" w:rsidRPr="007C537B">
          <w:rPr>
            <w:color w:val="000000"/>
          </w:rPr>
          <w:t xml:space="preserve">Benjamini and Hochberg </w:t>
        </w:r>
        <w:r w:rsidR="00ED1443">
          <w:rPr>
            <w:color w:val="000000"/>
          </w:rPr>
          <w:t>1995</w:t>
        </w:r>
        <w:r w:rsidRPr="00084C29">
          <w:rPr>
            <w:color w:val="000000"/>
          </w:rPr>
          <w:t>)</w:t>
        </w:r>
      </w:hyperlink>
      <w:r w:rsidRPr="007C537B">
        <w:rPr>
          <w:color w:val="000000"/>
        </w:rPr>
        <w:t>. For visuali</w:t>
      </w:r>
      <w:r w:rsidR="00084C29">
        <w:rPr>
          <w:color w:val="000000"/>
        </w:rPr>
        <w:t>z</w:t>
      </w:r>
      <w:r w:rsidRPr="007C537B">
        <w:rPr>
          <w:color w:val="000000"/>
        </w:rPr>
        <w:t>ation we also included individual cope estimates of main effects as assessed using the Bayesian analog of a students t-test.</w:t>
      </w:r>
    </w:p>
    <w:p w14:paraId="484B1675" w14:textId="77777777" w:rsidR="00B53B8D" w:rsidRPr="00084C29" w:rsidRDefault="00B53B8D" w:rsidP="002029F4">
      <w:pPr>
        <w:spacing w:line="480" w:lineRule="auto"/>
      </w:pPr>
    </w:p>
    <w:p w14:paraId="15744F8A" w14:textId="1204B9B6" w:rsidR="00B53B8D" w:rsidRPr="003D7CBF" w:rsidRDefault="00B53B8D" w:rsidP="003D7CBF">
      <w:pPr>
        <w:spacing w:line="480" w:lineRule="auto"/>
        <w:rPr>
          <w:b/>
        </w:rPr>
      </w:pPr>
      <w:r w:rsidRPr="003D7CBF">
        <w:rPr>
          <w:b/>
        </w:rPr>
        <w:t>Results</w:t>
      </w:r>
    </w:p>
    <w:p w14:paraId="6A8DC0C4" w14:textId="77777777" w:rsidR="00FC2B8E" w:rsidRPr="003D7CBF" w:rsidRDefault="00FC2B8E" w:rsidP="003D7CBF">
      <w:pPr>
        <w:spacing w:line="480" w:lineRule="auto"/>
        <w:rPr>
          <w:b/>
          <w:i/>
        </w:rPr>
      </w:pPr>
      <w:r w:rsidRPr="003D7CBF">
        <w:rPr>
          <w:b/>
          <w:i/>
        </w:rPr>
        <w:t>Sample Characteristics</w:t>
      </w:r>
    </w:p>
    <w:p w14:paraId="1C3089C5" w14:textId="69405138" w:rsidR="003D7CBF" w:rsidRPr="003D7CBF" w:rsidRDefault="00FC2B8E" w:rsidP="003D7CBF">
      <w:pPr>
        <w:pStyle w:val="NormalWeb"/>
        <w:spacing w:before="0" w:beforeAutospacing="0" w:after="0" w:afterAutospacing="0" w:line="480" w:lineRule="auto"/>
        <w:ind w:firstLine="720"/>
        <w:rPr>
          <w:rFonts w:ascii="Times New Roman" w:hAnsi="Times New Roman"/>
          <w:color w:val="auto"/>
          <w:sz w:val="24"/>
          <w:szCs w:val="24"/>
        </w:rPr>
      </w:pPr>
      <w:r w:rsidRPr="003D7CBF">
        <w:rPr>
          <w:rFonts w:ascii="Times New Roman" w:hAnsi="Times New Roman"/>
          <w:sz w:val="24"/>
          <w:szCs w:val="24"/>
        </w:rPr>
        <w:t xml:space="preserve">The sample included </w:t>
      </w:r>
      <w:r w:rsidR="0007754A" w:rsidRPr="003D7CBF">
        <w:rPr>
          <w:rFonts w:ascii="Times New Roman" w:hAnsi="Times New Roman"/>
          <w:sz w:val="24"/>
          <w:szCs w:val="24"/>
        </w:rPr>
        <w:t>159</w:t>
      </w:r>
      <w:r w:rsidRPr="003D7CBF">
        <w:rPr>
          <w:rFonts w:ascii="Times New Roman" w:hAnsi="Times New Roman"/>
          <w:sz w:val="24"/>
          <w:szCs w:val="24"/>
        </w:rPr>
        <w:t xml:space="preserve"> participants (</w:t>
      </w:r>
      <w:r w:rsidR="0007754A" w:rsidRPr="003D7CBF">
        <w:rPr>
          <w:rFonts w:ascii="Times New Roman" w:hAnsi="Times New Roman"/>
          <w:sz w:val="24"/>
          <w:szCs w:val="24"/>
        </w:rPr>
        <w:t>125</w:t>
      </w:r>
      <w:r w:rsidR="003D7CBF" w:rsidRPr="003D7CBF">
        <w:rPr>
          <w:rFonts w:ascii="Times New Roman" w:hAnsi="Times New Roman"/>
          <w:sz w:val="24"/>
          <w:szCs w:val="24"/>
        </w:rPr>
        <w:t xml:space="preserve"> adults with a BFRB and 34</w:t>
      </w:r>
      <w:r w:rsidRPr="003D7CBF">
        <w:rPr>
          <w:rFonts w:ascii="Times New Roman" w:hAnsi="Times New Roman"/>
          <w:sz w:val="24"/>
          <w:szCs w:val="24"/>
        </w:rPr>
        <w:t xml:space="preserve"> adults as healthy controls), of which </w:t>
      </w:r>
      <w:r w:rsidR="006965D4">
        <w:rPr>
          <w:rFonts w:ascii="Times New Roman" w:hAnsi="Times New Roman"/>
          <w:sz w:val="24"/>
          <w:szCs w:val="24"/>
        </w:rPr>
        <w:t>49</w:t>
      </w:r>
      <w:r w:rsidRPr="003D7CBF">
        <w:rPr>
          <w:rFonts w:ascii="Times New Roman" w:hAnsi="Times New Roman"/>
          <w:sz w:val="24"/>
          <w:szCs w:val="24"/>
        </w:rPr>
        <w:t xml:space="preserve"> had TTM</w:t>
      </w:r>
      <w:r w:rsidR="00723D29" w:rsidRPr="003D7CBF">
        <w:rPr>
          <w:rFonts w:ascii="Times New Roman" w:hAnsi="Times New Roman"/>
          <w:sz w:val="24"/>
          <w:szCs w:val="24"/>
        </w:rPr>
        <w:t>,</w:t>
      </w:r>
      <w:r w:rsidRPr="003D7CBF">
        <w:rPr>
          <w:rFonts w:ascii="Times New Roman" w:hAnsi="Times New Roman"/>
          <w:sz w:val="24"/>
          <w:szCs w:val="24"/>
        </w:rPr>
        <w:t xml:space="preserve"> </w:t>
      </w:r>
      <w:r w:rsidR="006965D4">
        <w:rPr>
          <w:rFonts w:ascii="Times New Roman" w:hAnsi="Times New Roman"/>
          <w:sz w:val="24"/>
          <w:szCs w:val="24"/>
        </w:rPr>
        <w:t>51</w:t>
      </w:r>
      <w:r w:rsidRPr="003D7CBF">
        <w:rPr>
          <w:rFonts w:ascii="Times New Roman" w:hAnsi="Times New Roman"/>
          <w:sz w:val="24"/>
          <w:szCs w:val="24"/>
        </w:rPr>
        <w:t xml:space="preserve"> had SPD, </w:t>
      </w:r>
      <w:r w:rsidR="00013311" w:rsidRPr="003D7CBF">
        <w:rPr>
          <w:rFonts w:ascii="Times New Roman" w:hAnsi="Times New Roman"/>
          <w:sz w:val="24"/>
          <w:szCs w:val="24"/>
        </w:rPr>
        <w:t xml:space="preserve">and </w:t>
      </w:r>
      <w:r w:rsidR="006965D4">
        <w:rPr>
          <w:rFonts w:ascii="Times New Roman" w:hAnsi="Times New Roman"/>
          <w:sz w:val="24"/>
          <w:szCs w:val="24"/>
        </w:rPr>
        <w:t>25</w:t>
      </w:r>
      <w:r w:rsidR="00013311" w:rsidRPr="003D7CBF">
        <w:rPr>
          <w:rFonts w:ascii="Times New Roman" w:hAnsi="Times New Roman"/>
          <w:sz w:val="24"/>
          <w:szCs w:val="24"/>
        </w:rPr>
        <w:t xml:space="preserve"> had both TTM and SPD.  </w:t>
      </w:r>
      <w:r w:rsidR="003D7CBF" w:rsidRPr="003D7CBF">
        <w:rPr>
          <w:rFonts w:ascii="Times New Roman" w:hAnsi="Times New Roman"/>
          <w:sz w:val="24"/>
          <w:szCs w:val="24"/>
        </w:rPr>
        <w:t xml:space="preserve">Of the 125 adults with BFRBs, 83.2% (n=104) were female, the mean age was 29.1 (9.2), and the mean age of BFRB onset was 13.1 (6.4) years. </w:t>
      </w:r>
      <w:r w:rsidR="00013311" w:rsidRPr="003D7CBF">
        <w:rPr>
          <w:rFonts w:ascii="Times New Roman" w:hAnsi="Times New Roman"/>
          <w:sz w:val="24"/>
          <w:szCs w:val="24"/>
        </w:rPr>
        <w:t xml:space="preserve">Of the </w:t>
      </w:r>
      <w:r w:rsidR="003D7CBF" w:rsidRPr="003D7CBF">
        <w:rPr>
          <w:rFonts w:ascii="Times New Roman" w:hAnsi="Times New Roman"/>
          <w:sz w:val="24"/>
          <w:szCs w:val="24"/>
        </w:rPr>
        <w:t xml:space="preserve">34 </w:t>
      </w:r>
      <w:r w:rsidR="00013311" w:rsidRPr="003D7CBF">
        <w:rPr>
          <w:rFonts w:ascii="Times New Roman" w:hAnsi="Times New Roman"/>
          <w:sz w:val="24"/>
          <w:szCs w:val="24"/>
        </w:rPr>
        <w:t>healthy controls,</w:t>
      </w:r>
      <w:r w:rsidR="003D7CBF" w:rsidRPr="003D7CBF">
        <w:rPr>
          <w:rFonts w:ascii="Times New Roman" w:hAnsi="Times New Roman"/>
          <w:sz w:val="24"/>
          <w:szCs w:val="24"/>
        </w:rPr>
        <w:t xml:space="preserve"> 73.5% (n=25) were female</w:t>
      </w:r>
      <w:r w:rsidR="00013311" w:rsidRPr="003D7CBF">
        <w:rPr>
          <w:rFonts w:ascii="Times New Roman" w:hAnsi="Times New Roman"/>
          <w:sz w:val="24"/>
          <w:szCs w:val="24"/>
        </w:rPr>
        <w:t xml:space="preserve"> and mean age was </w:t>
      </w:r>
      <w:r w:rsidR="003D7CBF" w:rsidRPr="003D7CBF">
        <w:rPr>
          <w:rFonts w:ascii="Times New Roman" w:hAnsi="Times New Roman"/>
          <w:sz w:val="24"/>
          <w:szCs w:val="24"/>
        </w:rPr>
        <w:t>26.8 (7.6)</w:t>
      </w:r>
      <w:r w:rsidR="00013311" w:rsidRPr="003D7CBF">
        <w:rPr>
          <w:rFonts w:ascii="Times New Roman" w:hAnsi="Times New Roman"/>
          <w:sz w:val="24"/>
          <w:szCs w:val="24"/>
        </w:rPr>
        <w:t xml:space="preserve"> years.</w:t>
      </w:r>
      <w:r w:rsidR="003D7CBF" w:rsidRPr="003D7CBF">
        <w:rPr>
          <w:rFonts w:ascii="Times New Roman" w:hAnsi="Times New Roman"/>
          <w:sz w:val="24"/>
          <w:szCs w:val="24"/>
        </w:rPr>
        <w:t xml:space="preserve">  Groups </w:t>
      </w:r>
      <w:r w:rsidR="00B67A82">
        <w:rPr>
          <w:rFonts w:ascii="Times New Roman" w:hAnsi="Times New Roman"/>
          <w:sz w:val="24"/>
          <w:szCs w:val="24"/>
        </w:rPr>
        <w:t>did not differ in terms of</w:t>
      </w:r>
      <w:r w:rsidR="00BB2C95">
        <w:rPr>
          <w:rFonts w:ascii="Times New Roman" w:hAnsi="Times New Roman"/>
          <w:sz w:val="24"/>
          <w:szCs w:val="24"/>
        </w:rPr>
        <w:t xml:space="preserve"> gender or</w:t>
      </w:r>
      <w:r w:rsidR="00B67A82">
        <w:rPr>
          <w:rFonts w:ascii="Times New Roman" w:hAnsi="Times New Roman"/>
          <w:sz w:val="24"/>
          <w:szCs w:val="24"/>
        </w:rPr>
        <w:t xml:space="preserve"> </w:t>
      </w:r>
      <w:r w:rsidR="003D7CBF" w:rsidRPr="003D7CBF">
        <w:rPr>
          <w:rFonts w:ascii="Times New Roman" w:hAnsi="Times New Roman"/>
          <w:sz w:val="24"/>
          <w:szCs w:val="24"/>
        </w:rPr>
        <w:t>age as assessed using a Wilcoxon signed rank test. </w:t>
      </w:r>
    </w:p>
    <w:p w14:paraId="610D0108" w14:textId="26115417" w:rsidR="00CC067C" w:rsidRPr="003D7CBF" w:rsidRDefault="00CC067C" w:rsidP="003D7CBF">
      <w:pPr>
        <w:spacing w:line="480" w:lineRule="auto"/>
        <w:rPr>
          <w:b/>
        </w:rPr>
      </w:pPr>
    </w:p>
    <w:p w14:paraId="2E982E21" w14:textId="77777777" w:rsidR="00BF3F9E" w:rsidRPr="003D7CBF" w:rsidRDefault="00BF3F9E" w:rsidP="003D7CBF">
      <w:pPr>
        <w:autoSpaceDE w:val="0"/>
        <w:autoSpaceDN w:val="0"/>
        <w:adjustRightInd w:val="0"/>
        <w:spacing w:line="480" w:lineRule="auto"/>
        <w:rPr>
          <w:b/>
          <w:bCs/>
          <w:i/>
        </w:rPr>
      </w:pPr>
      <w:r w:rsidRPr="003D7CBF">
        <w:rPr>
          <w:b/>
          <w:bCs/>
          <w:i/>
        </w:rPr>
        <w:t>Behavior</w:t>
      </w:r>
    </w:p>
    <w:p w14:paraId="471684C2" w14:textId="7BE958A0" w:rsidR="00BF3F9E" w:rsidRPr="003D7CBF" w:rsidRDefault="003D7CBF" w:rsidP="003D7CBF">
      <w:pPr>
        <w:autoSpaceDE w:val="0"/>
        <w:autoSpaceDN w:val="0"/>
        <w:adjustRightInd w:val="0"/>
        <w:spacing w:line="480" w:lineRule="auto"/>
        <w:ind w:firstLine="720"/>
      </w:pPr>
      <w:r w:rsidRPr="00D67DA3">
        <w:t>BFRB participants</w:t>
      </w:r>
      <w:r w:rsidR="00BF3F9E" w:rsidRPr="00D67DA3">
        <w:t xml:space="preserve"> </w:t>
      </w:r>
      <w:r w:rsidR="00D67DA3">
        <w:t xml:space="preserve">did not significantly differ from controls in reaction times </w:t>
      </w:r>
      <w:r w:rsidR="00BF3F9E" w:rsidRPr="00D67DA3">
        <w:t>[</w:t>
      </w:r>
      <w:r w:rsidR="00B45D76" w:rsidRPr="00D67DA3">
        <w:rPr>
          <w:i/>
          <w:iCs/>
        </w:rPr>
        <w:t>Win anticipation</w:t>
      </w:r>
      <w:r w:rsidR="00B45D76">
        <w:t>; 3</w:t>
      </w:r>
      <w:r w:rsidR="005C576E">
        <w:t>91</w:t>
      </w:r>
      <w:r w:rsidR="00B45D76">
        <w:t xml:space="preserve"> vs 3</w:t>
      </w:r>
      <w:r w:rsidR="005C576E">
        <w:t>77</w:t>
      </w:r>
      <w:r w:rsidR="00B45D76">
        <w:t xml:space="preserve"> msec </w:t>
      </w:r>
      <w:r w:rsidR="00B45D76">
        <w:rPr>
          <w:i/>
          <w:iCs/>
        </w:rPr>
        <w:t>T</w:t>
      </w:r>
      <w:r w:rsidR="00BF3F9E" w:rsidRPr="00D67DA3">
        <w:t>(</w:t>
      </w:r>
      <w:r w:rsidR="005C576E">
        <w:t>68</w:t>
      </w:r>
      <w:r w:rsidR="00B45D76">
        <w:t>.</w:t>
      </w:r>
      <w:r w:rsidR="005C576E">
        <w:t>81</w:t>
      </w:r>
      <w:r w:rsidR="00BF3F9E" w:rsidRPr="00D67DA3">
        <w:t>)</w:t>
      </w:r>
      <w:r w:rsidR="00B45D76">
        <w:t>=</w:t>
      </w:r>
      <w:r w:rsidR="005C576E">
        <w:t>1.40</w:t>
      </w:r>
      <w:r w:rsidR="00BF3F9E" w:rsidRPr="00D67DA3">
        <w:t>,</w:t>
      </w:r>
      <w:r w:rsidR="00B45D76">
        <w:t xml:space="preserve"> </w:t>
      </w:r>
      <w:r w:rsidR="00B45D76">
        <w:rPr>
          <w:i/>
          <w:iCs/>
        </w:rPr>
        <w:t>p =.</w:t>
      </w:r>
      <w:r w:rsidR="005C576E">
        <w:rPr>
          <w:i/>
          <w:iCs/>
        </w:rPr>
        <w:t>17</w:t>
      </w:r>
      <w:r w:rsidR="00B45D76">
        <w:rPr>
          <w:i/>
          <w:iCs/>
        </w:rPr>
        <w:t>. Loss anticipation;</w:t>
      </w:r>
      <w:r w:rsidR="00B45D76" w:rsidRPr="00B45D76">
        <w:t xml:space="preserve"> </w:t>
      </w:r>
      <w:r w:rsidR="00B45D76">
        <w:t>38</w:t>
      </w:r>
      <w:r w:rsidR="005C576E">
        <w:t>9</w:t>
      </w:r>
      <w:r w:rsidR="00B45D76">
        <w:t xml:space="preserve"> vs 37</w:t>
      </w:r>
      <w:r w:rsidR="005C576E">
        <w:t>5</w:t>
      </w:r>
      <w:r w:rsidR="00B45D76">
        <w:t xml:space="preserve"> msec </w:t>
      </w:r>
      <w:r w:rsidR="00B45D76">
        <w:rPr>
          <w:i/>
          <w:iCs/>
        </w:rPr>
        <w:t>T</w:t>
      </w:r>
      <w:r w:rsidR="00B45D76" w:rsidRPr="00915F11">
        <w:t>(</w:t>
      </w:r>
      <w:r w:rsidR="005C576E">
        <w:t>71</w:t>
      </w:r>
      <w:r w:rsidR="00B45D76">
        <w:t>.</w:t>
      </w:r>
      <w:r w:rsidR="005C576E">
        <w:t>50</w:t>
      </w:r>
      <w:r w:rsidR="00B45D76" w:rsidRPr="00915F11">
        <w:t>)</w:t>
      </w:r>
      <w:r w:rsidR="00B45D76">
        <w:t>=1.</w:t>
      </w:r>
      <w:r w:rsidR="005C576E">
        <w:t>57</w:t>
      </w:r>
      <w:r w:rsidR="00B45D76" w:rsidRPr="00915F11">
        <w:t>,</w:t>
      </w:r>
      <w:r w:rsidR="00B45D76">
        <w:t xml:space="preserve"> </w:t>
      </w:r>
      <w:r w:rsidR="00B45D76">
        <w:rPr>
          <w:i/>
          <w:iCs/>
        </w:rPr>
        <w:t>p =.2</w:t>
      </w:r>
      <w:r w:rsidR="005C576E">
        <w:rPr>
          <w:i/>
          <w:iCs/>
        </w:rPr>
        <w:t>7</w:t>
      </w:r>
      <w:r w:rsidR="00B45D76">
        <w:rPr>
          <w:i/>
          <w:iCs/>
        </w:rPr>
        <w:t xml:space="preserve"> </w:t>
      </w:r>
      <w:r w:rsidR="00BF3F9E" w:rsidRPr="00D67DA3">
        <w:t>].</w:t>
      </w:r>
      <w:r w:rsidRPr="00D67DA3">
        <w:t xml:space="preserve">  </w:t>
      </w:r>
      <w:r w:rsidR="00BF3F9E" w:rsidRPr="00D67DA3">
        <w:t>Reaction times</w:t>
      </w:r>
      <w:r w:rsidR="00B45D76">
        <w:t xml:space="preserve"> </w:t>
      </w:r>
      <w:r w:rsidRPr="00D67DA3">
        <w:t>did</w:t>
      </w:r>
      <w:r w:rsidR="00BF3F9E" w:rsidRPr="00D67DA3">
        <w:t xml:space="preserve"> not differ between </w:t>
      </w:r>
      <w:r w:rsidRPr="00D67DA3">
        <w:t>TTM, SPD, and comorbid participants</w:t>
      </w:r>
      <w:r w:rsidR="00BF3F9E" w:rsidRPr="00D67DA3">
        <w:t xml:space="preserve"> [</w:t>
      </w:r>
      <w:r w:rsidR="00B45D76" w:rsidRPr="00D67DA3">
        <w:rPr>
          <w:i/>
          <w:iCs/>
        </w:rPr>
        <w:t>Win anticipation</w:t>
      </w:r>
      <w:r w:rsidR="00B45D76">
        <w:t xml:space="preserve">; </w:t>
      </w:r>
      <w:r w:rsidR="00B45D76" w:rsidRPr="00D67DA3">
        <w:rPr>
          <w:i/>
          <w:iCs/>
        </w:rPr>
        <w:t>F</w:t>
      </w:r>
      <w:r w:rsidR="00B45D76">
        <w:t xml:space="preserve">(3,78.11)=1.64, </w:t>
      </w:r>
      <w:r w:rsidR="00B45D76">
        <w:rPr>
          <w:i/>
          <w:iCs/>
        </w:rPr>
        <w:t>p=</w:t>
      </w:r>
      <w:r w:rsidR="00B45D76">
        <w:t xml:space="preserve">.19. </w:t>
      </w:r>
      <w:r w:rsidR="00B45D76" w:rsidRPr="00D67DA3">
        <w:rPr>
          <w:i/>
          <w:iCs/>
        </w:rPr>
        <w:t>Loss anticipation</w:t>
      </w:r>
      <w:r w:rsidR="00B45D76">
        <w:rPr>
          <w:i/>
          <w:iCs/>
        </w:rPr>
        <w:t>; F</w:t>
      </w:r>
      <w:r w:rsidR="00B45D76">
        <w:t xml:space="preserve">(3,76.83)=1.04, </w:t>
      </w:r>
      <w:r w:rsidR="00B45D76">
        <w:rPr>
          <w:i/>
          <w:iCs/>
        </w:rPr>
        <w:t>p=</w:t>
      </w:r>
      <w:r w:rsidR="00B45D76">
        <w:t>.38</w:t>
      </w:r>
      <w:r w:rsidR="00BF3F9E" w:rsidRPr="00D67DA3">
        <w:t>].</w:t>
      </w:r>
      <w:r w:rsidR="00BF3F9E" w:rsidRPr="003D7CBF">
        <w:t xml:space="preserve"> </w:t>
      </w:r>
    </w:p>
    <w:p w14:paraId="70F4E326" w14:textId="77777777" w:rsidR="00BF3F9E" w:rsidRPr="003D7CBF" w:rsidRDefault="00BF3F9E" w:rsidP="003D7CBF">
      <w:pPr>
        <w:autoSpaceDE w:val="0"/>
        <w:autoSpaceDN w:val="0"/>
        <w:adjustRightInd w:val="0"/>
        <w:spacing w:line="480" w:lineRule="auto"/>
      </w:pPr>
    </w:p>
    <w:p w14:paraId="01D3BCF1" w14:textId="45EFE722" w:rsidR="00BF3F9E" w:rsidRPr="003D7CBF" w:rsidRDefault="00BF3F9E" w:rsidP="003D7CBF">
      <w:pPr>
        <w:spacing w:line="480" w:lineRule="auto"/>
        <w:rPr>
          <w:b/>
          <w:i/>
        </w:rPr>
      </w:pPr>
      <w:r w:rsidRPr="003D7CBF">
        <w:rPr>
          <w:b/>
          <w:bCs/>
          <w:i/>
        </w:rPr>
        <w:t>Neuroimaging</w:t>
      </w:r>
    </w:p>
    <w:p w14:paraId="592913F8" w14:textId="2C893D3E" w:rsidR="004159ED" w:rsidRDefault="00CA319F" w:rsidP="005D6B51">
      <w:pPr>
        <w:spacing w:line="480" w:lineRule="auto"/>
        <w:rPr>
          <w:bCs/>
          <w:color w:val="000000"/>
        </w:rPr>
      </w:pPr>
      <w:r>
        <w:rPr>
          <w:b/>
        </w:rPr>
        <w:lastRenderedPageBreak/>
        <w:tab/>
      </w:r>
      <w:r w:rsidRPr="00CA319F">
        <w:t xml:space="preserve">Compared to controls, BFRB participants showed an increased activation in two </w:t>
      </w:r>
      <w:r w:rsidR="004159ED">
        <w:t>significant clusters</w:t>
      </w:r>
      <w:r w:rsidR="004159ED" w:rsidRPr="00CA319F">
        <w:t xml:space="preserve"> </w:t>
      </w:r>
      <w:r w:rsidRPr="00CA319F">
        <w:t>during the anticipation</w:t>
      </w:r>
      <w:r>
        <w:t xml:space="preserve"> of </w:t>
      </w:r>
      <w:r w:rsidR="00992E56">
        <w:t xml:space="preserve">reward </w:t>
      </w:r>
      <w:r w:rsidRPr="00CA319F">
        <w:t xml:space="preserve">(see </w:t>
      </w:r>
      <w:r w:rsidR="005D6B51">
        <w:t xml:space="preserve">Table 1 and </w:t>
      </w:r>
      <w:r w:rsidRPr="00CA319F">
        <w:t xml:space="preserve">Figure 1). </w:t>
      </w:r>
      <w:r w:rsidR="0054676F">
        <w:t xml:space="preserve"> </w:t>
      </w:r>
      <w:r w:rsidR="005D6B51" w:rsidRPr="005D6B51">
        <w:rPr>
          <w:bCs/>
          <w:color w:val="000000"/>
        </w:rPr>
        <w:t xml:space="preserve">Cluster 1 </w:t>
      </w:r>
      <w:r w:rsidR="004159ED">
        <w:rPr>
          <w:bCs/>
          <w:color w:val="000000"/>
        </w:rPr>
        <w:t xml:space="preserve">was maximal at left inferior frontal gyrus (BA 44 &amp; 45). Cluster 2 was maximal at right inferior frontal gyrus (BA 44 &amp; 45). </w:t>
      </w:r>
    </w:p>
    <w:p w14:paraId="27FF3CA8" w14:textId="2070AD5E" w:rsidR="0054676F" w:rsidRDefault="0054676F" w:rsidP="005D6B51">
      <w:pPr>
        <w:spacing w:line="480" w:lineRule="auto"/>
        <w:rPr>
          <w:bCs/>
          <w:color w:val="000000"/>
        </w:rPr>
      </w:pPr>
    </w:p>
    <w:p w14:paraId="1DB7C133" w14:textId="35FC4160" w:rsidR="0054676F" w:rsidRDefault="0054676F" w:rsidP="005D6B51">
      <w:pPr>
        <w:spacing w:line="480" w:lineRule="auto"/>
        <w:rPr>
          <w:bCs/>
          <w:color w:val="000000"/>
        </w:rPr>
      </w:pPr>
      <w:r>
        <w:rPr>
          <w:bCs/>
          <w:color w:val="000000"/>
        </w:rPr>
        <w:tab/>
      </w:r>
      <w:r>
        <w:rPr>
          <w:bCs/>
          <w:color w:val="000000"/>
        </w:rPr>
        <w:tab/>
      </w:r>
      <w:r>
        <w:rPr>
          <w:bCs/>
          <w:color w:val="000000"/>
        </w:rPr>
        <w:tab/>
        <w:t>Please insert Table 1 here</w:t>
      </w:r>
    </w:p>
    <w:p w14:paraId="2964C735" w14:textId="09AB9DE6" w:rsidR="0054676F" w:rsidRDefault="0054676F" w:rsidP="005D6B51">
      <w:pPr>
        <w:spacing w:line="480" w:lineRule="auto"/>
        <w:rPr>
          <w:bCs/>
          <w:color w:val="000000"/>
        </w:rPr>
      </w:pPr>
    </w:p>
    <w:p w14:paraId="24B30AAC" w14:textId="23AF4717" w:rsidR="0054676F" w:rsidRDefault="0054676F" w:rsidP="005D6B51">
      <w:pPr>
        <w:spacing w:line="480" w:lineRule="auto"/>
        <w:rPr>
          <w:bCs/>
          <w:color w:val="000000"/>
        </w:rPr>
      </w:pPr>
      <w:r>
        <w:rPr>
          <w:bCs/>
          <w:color w:val="000000"/>
        </w:rPr>
        <w:tab/>
      </w:r>
      <w:r>
        <w:rPr>
          <w:bCs/>
          <w:color w:val="000000"/>
        </w:rPr>
        <w:tab/>
      </w:r>
      <w:r>
        <w:rPr>
          <w:bCs/>
          <w:color w:val="000000"/>
        </w:rPr>
        <w:tab/>
        <w:t>Please insert Figure 1 here</w:t>
      </w:r>
    </w:p>
    <w:p w14:paraId="691AECA8" w14:textId="77777777" w:rsidR="0054676F" w:rsidRDefault="0054676F" w:rsidP="005D6B51">
      <w:pPr>
        <w:spacing w:line="480" w:lineRule="auto"/>
        <w:rPr>
          <w:bCs/>
          <w:color w:val="000000"/>
        </w:rPr>
      </w:pPr>
    </w:p>
    <w:p w14:paraId="12754983" w14:textId="22C0042B" w:rsidR="00AA2B75" w:rsidRDefault="005D6B51" w:rsidP="00C24342">
      <w:pPr>
        <w:spacing w:line="480" w:lineRule="auto"/>
        <w:rPr>
          <w:color w:val="000000"/>
        </w:rPr>
      </w:pPr>
      <w:r>
        <w:rPr>
          <w:bCs/>
          <w:color w:val="000000"/>
        </w:rPr>
        <w:tab/>
      </w:r>
      <w:r w:rsidRPr="00CA319F">
        <w:t xml:space="preserve">BFRB participants showed an increased activation in </w:t>
      </w:r>
      <w:r>
        <w:t>four</w:t>
      </w:r>
      <w:r w:rsidRPr="00CA319F">
        <w:t xml:space="preserve"> </w:t>
      </w:r>
      <w:r w:rsidR="004159ED">
        <w:t>significant clusters</w:t>
      </w:r>
      <w:r w:rsidR="004159ED" w:rsidRPr="00CA319F">
        <w:t xml:space="preserve"> </w:t>
      </w:r>
      <w:r w:rsidRPr="00CA319F">
        <w:t>during the anticipation</w:t>
      </w:r>
      <w:r>
        <w:t xml:space="preserve"> of</w:t>
      </w:r>
      <w:r w:rsidR="00992E56">
        <w:t xml:space="preserve"> loss </w:t>
      </w:r>
      <w:r>
        <w:t>(see Table 2 and Figure 2).</w:t>
      </w:r>
      <w:r w:rsidR="00992E56">
        <w:t xml:space="preserve">  </w:t>
      </w:r>
      <w:r w:rsidRPr="005D6B51">
        <w:rPr>
          <w:color w:val="000000"/>
        </w:rPr>
        <w:t>Cluster 1</w:t>
      </w:r>
      <w:r w:rsidR="00AA2B75">
        <w:rPr>
          <w:color w:val="000000"/>
        </w:rPr>
        <w:t xml:space="preserve"> was maximal at right fusiform gyrus (BA 37), extending into inferior temporal gyrus, parahippocampal gyrus, and cerebellum. Cluster 2 was maximal at right inferior parietal lobule (BA 39), extending into angular gyrus and middle occipital gyrus. Cluster 3 was maximal at left inferior frontal gyrus (BA 44 &amp; 45), extending into precentral gyrus and middle frontal gyrus. Cluster 4 was maximal at right inferior frontal gyrus (BA 44 &amp; 45). </w:t>
      </w:r>
    </w:p>
    <w:p w14:paraId="3B6CB199" w14:textId="4DFE0E61" w:rsidR="0054676F" w:rsidRDefault="0054676F" w:rsidP="00C24342">
      <w:pPr>
        <w:spacing w:line="480" w:lineRule="auto"/>
        <w:rPr>
          <w:color w:val="000000"/>
        </w:rPr>
      </w:pPr>
    </w:p>
    <w:p w14:paraId="267A896A" w14:textId="6D8B88A9" w:rsidR="0054676F" w:rsidRDefault="0054676F" w:rsidP="00C24342">
      <w:pPr>
        <w:spacing w:line="480" w:lineRule="auto"/>
        <w:rPr>
          <w:color w:val="000000"/>
        </w:rPr>
      </w:pPr>
      <w:r>
        <w:rPr>
          <w:color w:val="000000"/>
        </w:rPr>
        <w:tab/>
      </w:r>
      <w:r>
        <w:rPr>
          <w:color w:val="000000"/>
        </w:rPr>
        <w:tab/>
        <w:t>Please insert Table 2 here</w:t>
      </w:r>
    </w:p>
    <w:p w14:paraId="1D06B2D5" w14:textId="02EF6196" w:rsidR="0054676F" w:rsidRDefault="0054676F" w:rsidP="00C24342">
      <w:pPr>
        <w:spacing w:line="480" w:lineRule="auto"/>
        <w:rPr>
          <w:color w:val="000000"/>
        </w:rPr>
      </w:pPr>
    </w:p>
    <w:p w14:paraId="4CF9F68A" w14:textId="16D8E6B1" w:rsidR="0054676F" w:rsidRDefault="0054676F" w:rsidP="00C24342">
      <w:pPr>
        <w:spacing w:line="480" w:lineRule="auto"/>
        <w:rPr>
          <w:color w:val="000000"/>
        </w:rPr>
      </w:pPr>
      <w:r>
        <w:rPr>
          <w:color w:val="000000"/>
        </w:rPr>
        <w:tab/>
      </w:r>
      <w:r>
        <w:rPr>
          <w:color w:val="000000"/>
        </w:rPr>
        <w:tab/>
        <w:t>Please insert Figure 2 here</w:t>
      </w:r>
    </w:p>
    <w:p w14:paraId="67692FE0" w14:textId="77777777" w:rsidR="0054676F" w:rsidRDefault="0054676F" w:rsidP="00C24342">
      <w:pPr>
        <w:spacing w:line="480" w:lineRule="auto"/>
        <w:rPr>
          <w:color w:val="000000"/>
        </w:rPr>
      </w:pPr>
    </w:p>
    <w:p w14:paraId="26AE421F" w14:textId="6CBFC8A8" w:rsidR="00E348A8" w:rsidRDefault="00CF6982" w:rsidP="00E348A8">
      <w:pPr>
        <w:spacing w:line="480" w:lineRule="auto"/>
        <w:ind w:firstLine="720"/>
      </w:pPr>
      <w:r w:rsidRPr="00E72602">
        <w:rPr>
          <w:color w:val="000000"/>
        </w:rPr>
        <w:t>The</w:t>
      </w:r>
      <w:r w:rsidR="00C24342">
        <w:rPr>
          <w:color w:val="000000"/>
        </w:rPr>
        <w:t xml:space="preserve"> BFRB and control groups did not differ significantly </w:t>
      </w:r>
      <w:r w:rsidRPr="00E72602">
        <w:rPr>
          <w:color w:val="000000"/>
        </w:rPr>
        <w:t>in the win-lose contrast.</w:t>
      </w:r>
      <w:r w:rsidR="00E348A8" w:rsidRPr="00E348A8">
        <w:t xml:space="preserve"> </w:t>
      </w:r>
      <w:r w:rsidR="00E348A8">
        <w:t xml:space="preserve">Additionally, activation at the peak cluster coordinates did not differ significantly </w:t>
      </w:r>
      <w:r w:rsidR="00E348A8">
        <w:lastRenderedPageBreak/>
        <w:t>between patients who did versus did not have other mental health comorbidities (all p&gt;0.15 uncorrected, Wilcoxon tests).</w:t>
      </w:r>
    </w:p>
    <w:p w14:paraId="5BC8603D" w14:textId="54AC4FA5" w:rsidR="00E345E7" w:rsidRDefault="005D6B51" w:rsidP="00E72602">
      <w:pPr>
        <w:spacing w:line="480" w:lineRule="auto"/>
        <w:rPr>
          <w:color w:val="000000"/>
        </w:rPr>
      </w:pPr>
      <w:r w:rsidRPr="00E72602">
        <w:tab/>
      </w:r>
      <w:r w:rsidR="00E72602" w:rsidRPr="00E72602">
        <w:t>After recognizing that BFRB participants differed from controls, we examined the groups within the BFRBs (TT</w:t>
      </w:r>
      <w:r w:rsidR="00E72602">
        <w:t>M</w:t>
      </w:r>
      <w:r w:rsidR="00E72602" w:rsidRPr="00E72602">
        <w:t>, SPD, and co-occurring TTM + SPD).</w:t>
      </w:r>
      <w:r w:rsidR="00E72602" w:rsidRPr="00E72602">
        <w:rPr>
          <w:color w:val="000000"/>
        </w:rPr>
        <w:t xml:space="preserve"> </w:t>
      </w:r>
      <w:r w:rsidR="00E72602">
        <w:rPr>
          <w:color w:val="000000"/>
        </w:rPr>
        <w:t xml:space="preserve"> P</w:t>
      </w:r>
      <w:r w:rsidR="00E72602" w:rsidRPr="007C537B">
        <w:rPr>
          <w:color w:val="000000"/>
        </w:rPr>
        <w:t>ost-hoc analys</w:t>
      </w:r>
      <w:r w:rsidR="00E72602">
        <w:rPr>
          <w:color w:val="000000"/>
        </w:rPr>
        <w:t>e</w:t>
      </w:r>
      <w:r w:rsidR="00E72602" w:rsidRPr="007C537B">
        <w:rPr>
          <w:color w:val="000000"/>
        </w:rPr>
        <w:t xml:space="preserve">s within condition </w:t>
      </w:r>
      <w:r w:rsidR="00E72602">
        <w:rPr>
          <w:color w:val="000000"/>
        </w:rPr>
        <w:t>are presented in Figure 3</w:t>
      </w:r>
      <w:r w:rsidR="00E72602" w:rsidRPr="007C537B">
        <w:rPr>
          <w:color w:val="000000"/>
        </w:rPr>
        <w:t>.</w:t>
      </w:r>
      <w:r w:rsidR="002F7710">
        <w:rPr>
          <w:color w:val="000000"/>
        </w:rPr>
        <w:t xml:space="preserve">  </w:t>
      </w:r>
      <w:r w:rsidR="00D7706B">
        <w:rPr>
          <w:color w:val="000000"/>
        </w:rPr>
        <w:t xml:space="preserve">Although the 3 clinical groups did not differ from each other on activation during anticipation of wins, </w:t>
      </w:r>
      <w:r w:rsidR="002F7710">
        <w:rPr>
          <w:color w:val="000000"/>
        </w:rPr>
        <w:t xml:space="preserve">all three clinical groups differed significantly from controls </w:t>
      </w:r>
      <w:r w:rsidR="00D7706B">
        <w:rPr>
          <w:color w:val="000000"/>
        </w:rPr>
        <w:t>in</w:t>
      </w:r>
      <w:r w:rsidR="002F7710">
        <w:rPr>
          <w:color w:val="000000"/>
        </w:rPr>
        <w:t xml:space="preserve"> Cluster 1</w:t>
      </w:r>
      <w:r w:rsidR="00E345E7">
        <w:rPr>
          <w:color w:val="000000"/>
        </w:rPr>
        <w:t xml:space="preserve"> during anticipation of wins</w:t>
      </w:r>
      <w:r w:rsidR="002F7710">
        <w:rPr>
          <w:color w:val="000000"/>
        </w:rPr>
        <w:t>.</w:t>
      </w:r>
      <w:r w:rsidR="00D7706B">
        <w:rPr>
          <w:color w:val="000000"/>
        </w:rPr>
        <w:t xml:space="preserve">  </w:t>
      </w:r>
    </w:p>
    <w:p w14:paraId="717844FB" w14:textId="43C81FBF" w:rsidR="0054676F" w:rsidRDefault="0054676F" w:rsidP="00E72602">
      <w:pPr>
        <w:spacing w:line="480" w:lineRule="auto"/>
        <w:rPr>
          <w:color w:val="000000"/>
        </w:rPr>
      </w:pPr>
    </w:p>
    <w:p w14:paraId="6F76CCA2" w14:textId="309AAF6C" w:rsidR="0054676F" w:rsidRDefault="0054676F" w:rsidP="00E72602">
      <w:pPr>
        <w:spacing w:line="480" w:lineRule="auto"/>
        <w:rPr>
          <w:color w:val="000000"/>
        </w:rPr>
      </w:pPr>
      <w:r>
        <w:rPr>
          <w:color w:val="000000"/>
        </w:rPr>
        <w:tab/>
      </w:r>
      <w:r>
        <w:rPr>
          <w:color w:val="000000"/>
        </w:rPr>
        <w:tab/>
      </w:r>
      <w:r>
        <w:rPr>
          <w:color w:val="000000"/>
        </w:rPr>
        <w:tab/>
        <w:t>Insert Figure 3 here</w:t>
      </w:r>
    </w:p>
    <w:p w14:paraId="060706AA" w14:textId="77777777" w:rsidR="0054676F" w:rsidRDefault="0054676F" w:rsidP="00E72602">
      <w:pPr>
        <w:spacing w:line="480" w:lineRule="auto"/>
        <w:rPr>
          <w:color w:val="000000"/>
        </w:rPr>
      </w:pPr>
    </w:p>
    <w:p w14:paraId="7EFC15F2" w14:textId="1ED421EE" w:rsidR="00CF6982" w:rsidRPr="00E72602" w:rsidRDefault="00D7706B" w:rsidP="00E345E7">
      <w:pPr>
        <w:spacing w:line="480" w:lineRule="auto"/>
        <w:ind w:firstLine="720"/>
      </w:pPr>
      <w:r>
        <w:rPr>
          <w:color w:val="000000"/>
        </w:rPr>
        <w:t xml:space="preserve">In terms of loss anticipation, all three clinical groups </w:t>
      </w:r>
      <w:r w:rsidR="00E345E7">
        <w:rPr>
          <w:color w:val="000000"/>
        </w:rPr>
        <w:t>exhibited significantly greater activation in Cl</w:t>
      </w:r>
      <w:r>
        <w:rPr>
          <w:color w:val="000000"/>
        </w:rPr>
        <w:t>usters 3 and 4</w:t>
      </w:r>
      <w:r w:rsidR="00E345E7">
        <w:rPr>
          <w:color w:val="000000"/>
        </w:rPr>
        <w:t xml:space="preserve"> compared to controls</w:t>
      </w:r>
      <w:r w:rsidR="006965D4">
        <w:rPr>
          <w:color w:val="000000"/>
        </w:rPr>
        <w:t xml:space="preserve">. </w:t>
      </w:r>
      <w:r w:rsidR="00E345E7">
        <w:rPr>
          <w:color w:val="000000"/>
        </w:rPr>
        <w:t>In addition, p</w:t>
      </w:r>
      <w:r>
        <w:rPr>
          <w:color w:val="000000"/>
        </w:rPr>
        <w:t xml:space="preserve">articipants with SPD </w:t>
      </w:r>
      <w:r w:rsidR="00E345E7">
        <w:rPr>
          <w:color w:val="000000"/>
        </w:rPr>
        <w:t xml:space="preserve">exhibited significantly greater activation in </w:t>
      </w:r>
      <w:r w:rsidR="006965D4">
        <w:rPr>
          <w:color w:val="000000"/>
        </w:rPr>
        <w:t>Cluster 1</w:t>
      </w:r>
      <w:r w:rsidR="00E345E7">
        <w:rPr>
          <w:color w:val="000000"/>
        </w:rPr>
        <w:t xml:space="preserve"> compared to controls</w:t>
      </w:r>
      <w:r w:rsidR="006965D4">
        <w:rPr>
          <w:color w:val="000000"/>
        </w:rPr>
        <w:t xml:space="preserve">. </w:t>
      </w:r>
      <w:r w:rsidR="00E345E7">
        <w:rPr>
          <w:color w:val="000000"/>
        </w:rPr>
        <w:t>Finally, participants</w:t>
      </w:r>
      <w:r>
        <w:rPr>
          <w:color w:val="000000"/>
        </w:rPr>
        <w:t xml:space="preserve"> with SPD and those with SPD+TTM </w:t>
      </w:r>
      <w:r w:rsidR="00E345E7">
        <w:rPr>
          <w:color w:val="000000"/>
        </w:rPr>
        <w:t>showed</w:t>
      </w:r>
      <w:r>
        <w:rPr>
          <w:color w:val="000000"/>
        </w:rPr>
        <w:t xml:space="preserve"> significantly </w:t>
      </w:r>
      <w:r w:rsidR="00E345E7">
        <w:rPr>
          <w:color w:val="000000"/>
        </w:rPr>
        <w:t>greater activation in</w:t>
      </w:r>
      <w:r w:rsidR="006965D4">
        <w:rPr>
          <w:color w:val="000000"/>
        </w:rPr>
        <w:t xml:space="preserve"> Cluster 2</w:t>
      </w:r>
      <w:r w:rsidR="00E345E7">
        <w:rPr>
          <w:color w:val="000000"/>
        </w:rPr>
        <w:t xml:space="preserve"> compared to controls</w:t>
      </w:r>
      <w:r>
        <w:rPr>
          <w:color w:val="000000"/>
        </w:rPr>
        <w:t>.</w:t>
      </w:r>
    </w:p>
    <w:p w14:paraId="6524682B" w14:textId="51378ACB" w:rsidR="00CF6982" w:rsidRDefault="00CF6982" w:rsidP="00CB19D9">
      <w:pPr>
        <w:rPr>
          <w:b/>
        </w:rPr>
      </w:pPr>
    </w:p>
    <w:p w14:paraId="5AD47D03" w14:textId="77777777" w:rsidR="00CF6982" w:rsidRDefault="00CF6982" w:rsidP="00CB19D9">
      <w:pPr>
        <w:rPr>
          <w:b/>
        </w:rPr>
      </w:pPr>
    </w:p>
    <w:p w14:paraId="722C57E4" w14:textId="430BB032" w:rsidR="00CC067C" w:rsidRDefault="00CC067C" w:rsidP="00C805F9">
      <w:pPr>
        <w:spacing w:line="480" w:lineRule="auto"/>
        <w:rPr>
          <w:b/>
          <w:lang w:val="en-GB"/>
        </w:rPr>
      </w:pPr>
      <w:r w:rsidRPr="00CC067C">
        <w:rPr>
          <w:b/>
          <w:lang w:val="en-GB"/>
        </w:rPr>
        <w:t>Discussion</w:t>
      </w:r>
    </w:p>
    <w:p w14:paraId="1F55EF3A" w14:textId="3606CE7A" w:rsidR="000848D6" w:rsidRDefault="00350157" w:rsidP="009C7E9C">
      <w:pPr>
        <w:spacing w:line="480" w:lineRule="auto"/>
        <w:ind w:firstLine="720"/>
        <w:rPr>
          <w:color w:val="000000"/>
          <w:shd w:val="clear" w:color="auto" w:fill="FFFFFF"/>
        </w:rPr>
      </w:pPr>
      <w:r w:rsidRPr="00586BBF">
        <w:rPr>
          <w:lang w:val="en-GB"/>
        </w:rPr>
        <w:t xml:space="preserve">To our knowledge, this is the largest </w:t>
      </w:r>
      <w:r w:rsidR="009F5A01" w:rsidRPr="00586BBF">
        <w:rPr>
          <w:lang w:val="en-GB"/>
        </w:rPr>
        <w:t xml:space="preserve">neuroimaging </w:t>
      </w:r>
      <w:r w:rsidRPr="00586BBF">
        <w:rPr>
          <w:lang w:val="en-GB"/>
        </w:rPr>
        <w:t xml:space="preserve">study of </w:t>
      </w:r>
      <w:r w:rsidR="00235FE3" w:rsidRPr="00586BBF">
        <w:rPr>
          <w:lang w:val="en-GB"/>
        </w:rPr>
        <w:t>BFRBs</w:t>
      </w:r>
      <w:r w:rsidRPr="00586BBF">
        <w:rPr>
          <w:lang w:val="en-GB"/>
        </w:rPr>
        <w:t xml:space="preserve"> </w:t>
      </w:r>
      <w:r w:rsidR="008A53C4" w:rsidRPr="00586BBF">
        <w:rPr>
          <w:color w:val="2E2E2E"/>
        </w:rPr>
        <w:t>to explore reward-related task activation. </w:t>
      </w:r>
      <w:r w:rsidRPr="00586BBF">
        <w:rPr>
          <w:lang w:val="en-GB"/>
        </w:rPr>
        <w:t xml:space="preserve"> </w:t>
      </w:r>
      <w:r w:rsidR="008A53C4" w:rsidRPr="00586BBF">
        <w:rPr>
          <w:color w:val="2E2E2E"/>
        </w:rPr>
        <w:t>Our findings present evidence for dysregulated reward circuitry in BFRBs.</w:t>
      </w:r>
      <w:r w:rsidR="009C7E9C">
        <w:rPr>
          <w:color w:val="2E2E2E"/>
        </w:rPr>
        <w:t xml:space="preserve"> </w:t>
      </w:r>
      <w:r w:rsidR="007C7439" w:rsidRPr="007C7439">
        <w:rPr>
          <w:color w:val="000000"/>
          <w:shd w:val="clear" w:color="auto" w:fill="FFFFFF"/>
        </w:rPr>
        <w:t xml:space="preserve">Reward seeking and </w:t>
      </w:r>
      <w:r w:rsidR="00C24342">
        <w:rPr>
          <w:color w:val="000000"/>
          <w:shd w:val="clear" w:color="auto" w:fill="FFFFFF"/>
        </w:rPr>
        <w:t xml:space="preserve">loss/harm </w:t>
      </w:r>
      <w:r w:rsidR="007C7439" w:rsidRPr="007C7439">
        <w:rPr>
          <w:color w:val="000000"/>
          <w:shd w:val="clear" w:color="auto" w:fill="FFFFFF"/>
        </w:rPr>
        <w:t xml:space="preserve">avoidance </w:t>
      </w:r>
      <w:r w:rsidR="00C24342">
        <w:rPr>
          <w:color w:val="000000"/>
          <w:shd w:val="clear" w:color="auto" w:fill="FFFFFF"/>
        </w:rPr>
        <w:t>p</w:t>
      </w:r>
      <w:r w:rsidR="007C7439" w:rsidRPr="007C7439">
        <w:rPr>
          <w:color w:val="000000"/>
          <w:shd w:val="clear" w:color="auto" w:fill="FFFFFF"/>
        </w:rPr>
        <w:t xml:space="preserve">lay </w:t>
      </w:r>
      <w:r w:rsidR="00C24342">
        <w:rPr>
          <w:color w:val="000000"/>
          <w:shd w:val="clear" w:color="auto" w:fill="FFFFFF"/>
        </w:rPr>
        <w:t>important</w:t>
      </w:r>
      <w:r w:rsidR="007C7439" w:rsidRPr="007C7439">
        <w:rPr>
          <w:color w:val="000000"/>
          <w:shd w:val="clear" w:color="auto" w:fill="FFFFFF"/>
        </w:rPr>
        <w:t xml:space="preserve"> role</w:t>
      </w:r>
      <w:r w:rsidR="00C24342">
        <w:rPr>
          <w:color w:val="000000"/>
          <w:shd w:val="clear" w:color="auto" w:fill="FFFFFF"/>
        </w:rPr>
        <w:t>s</w:t>
      </w:r>
      <w:r w:rsidR="007C7439" w:rsidRPr="007C7439">
        <w:rPr>
          <w:color w:val="000000"/>
          <w:shd w:val="clear" w:color="auto" w:fill="FFFFFF"/>
        </w:rPr>
        <w:t xml:space="preserve"> in human </w:t>
      </w:r>
      <w:r w:rsidR="00C24342">
        <w:rPr>
          <w:color w:val="000000"/>
          <w:shd w:val="clear" w:color="auto" w:fill="FFFFFF"/>
        </w:rPr>
        <w:t>behavior</w:t>
      </w:r>
      <w:r w:rsidR="00D07897">
        <w:rPr>
          <w:color w:val="000000"/>
          <w:shd w:val="clear" w:color="auto" w:fill="FFFFFF"/>
        </w:rPr>
        <w:t xml:space="preserve">, and when there is dysfunction in reward processing, </w:t>
      </w:r>
      <w:r w:rsidR="00B26D5B">
        <w:rPr>
          <w:color w:val="000000"/>
          <w:shd w:val="clear" w:color="auto" w:fill="FFFFFF"/>
        </w:rPr>
        <w:t>maladaptive</w:t>
      </w:r>
      <w:r w:rsidR="00D07897">
        <w:rPr>
          <w:color w:val="000000"/>
          <w:shd w:val="clear" w:color="auto" w:fill="FFFFFF"/>
        </w:rPr>
        <w:t xml:space="preserve"> behaviors may result. </w:t>
      </w:r>
      <w:r w:rsidR="00B26D5B">
        <w:rPr>
          <w:color w:val="000000"/>
          <w:shd w:val="clear" w:color="auto" w:fill="FFFFFF"/>
        </w:rPr>
        <w:t xml:space="preserve">The DSM-5 </w:t>
      </w:r>
      <w:r w:rsidR="00BB2C95">
        <w:rPr>
          <w:color w:val="000000"/>
          <w:shd w:val="clear" w:color="auto" w:fill="FFFFFF"/>
        </w:rPr>
        <w:t xml:space="preserve">diagnostic </w:t>
      </w:r>
      <w:r w:rsidR="00B26D5B">
        <w:rPr>
          <w:color w:val="000000"/>
          <w:shd w:val="clear" w:color="auto" w:fill="FFFFFF"/>
        </w:rPr>
        <w:t xml:space="preserve">criteria for </w:t>
      </w:r>
      <w:r w:rsidR="00BB2C95">
        <w:rPr>
          <w:color w:val="000000"/>
          <w:shd w:val="clear" w:color="auto" w:fill="FFFFFF"/>
        </w:rPr>
        <w:t xml:space="preserve">both </w:t>
      </w:r>
      <w:r w:rsidR="00B26D5B">
        <w:rPr>
          <w:color w:val="000000"/>
          <w:shd w:val="clear" w:color="auto" w:fill="FFFFFF"/>
        </w:rPr>
        <w:t xml:space="preserve">TTM </w:t>
      </w:r>
      <w:r w:rsidR="00BB2C95">
        <w:rPr>
          <w:color w:val="000000"/>
          <w:shd w:val="clear" w:color="auto" w:fill="FFFFFF"/>
        </w:rPr>
        <w:t xml:space="preserve">and SPD </w:t>
      </w:r>
      <w:r w:rsidR="00B26D5B">
        <w:rPr>
          <w:color w:val="000000"/>
          <w:shd w:val="clear" w:color="auto" w:fill="FFFFFF"/>
        </w:rPr>
        <w:t xml:space="preserve">highlight failed attempts to reduce the behavior – </w:t>
      </w:r>
      <w:r w:rsidR="00BB2C95">
        <w:rPr>
          <w:color w:val="000000"/>
          <w:shd w:val="clear" w:color="auto" w:fill="FFFFFF"/>
        </w:rPr>
        <w:t>which is</w:t>
      </w:r>
      <w:r w:rsidR="00B26D5B">
        <w:rPr>
          <w:color w:val="000000"/>
          <w:shd w:val="clear" w:color="auto" w:fill="FFFFFF"/>
        </w:rPr>
        <w:t xml:space="preserve"> suggestive of reward dysfunction. </w:t>
      </w:r>
      <w:r w:rsidR="00586640">
        <w:rPr>
          <w:color w:val="000000"/>
          <w:shd w:val="clear" w:color="auto" w:fill="FFFFFF"/>
        </w:rPr>
        <w:t xml:space="preserve">Here, </w:t>
      </w:r>
      <w:r w:rsidR="00586640">
        <w:rPr>
          <w:color w:val="000000"/>
          <w:shd w:val="clear" w:color="auto" w:fill="FFFFFF"/>
        </w:rPr>
        <w:lastRenderedPageBreak/>
        <w:t xml:space="preserve">the main finding was of marked hyperactivation of the bilateral inferior frontal gyrus (pars opercularis and pars triangularis) in people with BFRBs compared to controls, when anticipating reward or punishment. These results were significant with stringent statistical correction, including when controlling for potential confounders. </w:t>
      </w:r>
    </w:p>
    <w:p w14:paraId="1F722CDD" w14:textId="18F8CF38" w:rsidR="007C7439" w:rsidRPr="00393C2F" w:rsidRDefault="007C7439">
      <w:pPr>
        <w:spacing w:line="480" w:lineRule="auto"/>
        <w:ind w:firstLine="720"/>
        <w:rPr>
          <w:color w:val="000000"/>
          <w:shd w:val="clear" w:color="auto" w:fill="FFFFFF"/>
        </w:rPr>
      </w:pPr>
      <w:r w:rsidRPr="007C7439">
        <w:rPr>
          <w:color w:val="000000"/>
          <w:shd w:val="clear" w:color="auto" w:fill="FFFFFF"/>
        </w:rPr>
        <w:t xml:space="preserve">The </w:t>
      </w:r>
      <w:r w:rsidR="00BC31CE">
        <w:rPr>
          <w:color w:val="000000"/>
          <w:shd w:val="clear" w:color="auto" w:fill="FFFFFF"/>
        </w:rPr>
        <w:t xml:space="preserve">various versions of the </w:t>
      </w:r>
      <w:r w:rsidR="00C24342">
        <w:rPr>
          <w:color w:val="000000"/>
          <w:shd w:val="clear" w:color="auto" w:fill="FFFFFF"/>
        </w:rPr>
        <w:t>m</w:t>
      </w:r>
      <w:r w:rsidR="00D07897">
        <w:rPr>
          <w:color w:val="000000"/>
          <w:shd w:val="clear" w:color="auto" w:fill="FFFFFF"/>
        </w:rPr>
        <w:t xml:space="preserve">onetary incentive task </w:t>
      </w:r>
      <w:r w:rsidR="00C24342">
        <w:rPr>
          <w:color w:val="000000"/>
          <w:shd w:val="clear" w:color="auto" w:fill="FFFFFF"/>
        </w:rPr>
        <w:t>ha</w:t>
      </w:r>
      <w:r w:rsidR="00BC31CE">
        <w:rPr>
          <w:color w:val="000000"/>
          <w:shd w:val="clear" w:color="auto" w:fill="FFFFFF"/>
        </w:rPr>
        <w:t>ve</w:t>
      </w:r>
      <w:r w:rsidRPr="007C7439">
        <w:rPr>
          <w:color w:val="000000"/>
          <w:shd w:val="clear" w:color="auto" w:fill="FFFFFF"/>
        </w:rPr>
        <w:t xml:space="preserve"> been useful in </w:t>
      </w:r>
      <w:r w:rsidR="00D07897">
        <w:rPr>
          <w:color w:val="000000"/>
          <w:shd w:val="clear" w:color="auto" w:fill="FFFFFF"/>
        </w:rPr>
        <w:t>understanding</w:t>
      </w:r>
      <w:r w:rsidRPr="007C7439">
        <w:rPr>
          <w:color w:val="000000"/>
          <w:shd w:val="clear" w:color="auto" w:fill="FFFFFF"/>
        </w:rPr>
        <w:t xml:space="preserve"> the neuro</w:t>
      </w:r>
      <w:r w:rsidR="00D07897">
        <w:rPr>
          <w:color w:val="000000"/>
          <w:shd w:val="clear" w:color="auto" w:fill="FFFFFF"/>
        </w:rPr>
        <w:t xml:space="preserve">pathology underpinning </w:t>
      </w:r>
      <w:r w:rsidRPr="007C7439">
        <w:rPr>
          <w:color w:val="000000"/>
          <w:shd w:val="clear" w:color="auto" w:fill="FFFFFF"/>
        </w:rPr>
        <w:t>reward processing.</w:t>
      </w:r>
      <w:r w:rsidR="00B26D5B">
        <w:rPr>
          <w:color w:val="000000"/>
          <w:shd w:val="clear" w:color="auto" w:fill="FFFFFF"/>
        </w:rPr>
        <w:t xml:space="preserve"> Though </w:t>
      </w:r>
      <w:r w:rsidR="00F81B31">
        <w:rPr>
          <w:color w:val="000000"/>
          <w:shd w:val="clear" w:color="auto" w:fill="FFFFFF"/>
        </w:rPr>
        <w:t xml:space="preserve">earlier </w:t>
      </w:r>
      <w:r w:rsidR="00B26D5B">
        <w:rPr>
          <w:color w:val="000000"/>
          <w:shd w:val="clear" w:color="auto" w:fill="FFFFFF"/>
        </w:rPr>
        <w:t xml:space="preserve">work </w:t>
      </w:r>
      <w:r w:rsidR="00F81B31">
        <w:rPr>
          <w:color w:val="000000"/>
          <w:shd w:val="clear" w:color="auto" w:fill="FFFFFF"/>
        </w:rPr>
        <w:t xml:space="preserve">with this task </w:t>
      </w:r>
      <w:r w:rsidR="00B26D5B">
        <w:rPr>
          <w:color w:val="000000"/>
          <w:shd w:val="clear" w:color="auto" w:fill="FFFFFF"/>
        </w:rPr>
        <w:t xml:space="preserve">focused on the nucleus accumbens (NAcc) </w:t>
      </w:r>
      <w:r w:rsidR="00F81B31">
        <w:rPr>
          <w:color w:val="000000"/>
          <w:shd w:val="clear" w:color="auto" w:fill="FFFFFF"/>
        </w:rPr>
        <w:t xml:space="preserve">using a region-of-interest approach, </w:t>
      </w:r>
      <w:r w:rsidR="00B26D5B">
        <w:rPr>
          <w:color w:val="000000"/>
          <w:shd w:val="clear" w:color="auto" w:fill="FFFFFF"/>
        </w:rPr>
        <w:t xml:space="preserve">is now widely established that reward and loss anticipation involve activation of </w:t>
      </w:r>
      <w:r w:rsidR="00F81B31">
        <w:rPr>
          <w:color w:val="000000"/>
          <w:shd w:val="clear" w:color="auto" w:fill="FFFFFF"/>
        </w:rPr>
        <w:t xml:space="preserve">distributed </w:t>
      </w:r>
      <w:r w:rsidR="00B26D5B">
        <w:rPr>
          <w:color w:val="000000"/>
          <w:shd w:val="clear" w:color="auto" w:fill="FFFFFF"/>
        </w:rPr>
        <w:t>neural circuitry.</w:t>
      </w:r>
      <w:r w:rsidRPr="007C7439">
        <w:rPr>
          <w:color w:val="000000"/>
          <w:shd w:val="clear" w:color="auto" w:fill="FFFFFF"/>
        </w:rPr>
        <w:t> </w:t>
      </w:r>
      <w:r w:rsidR="00BC31CE">
        <w:rPr>
          <w:color w:val="000000"/>
          <w:shd w:val="clear" w:color="auto" w:fill="FFFFFF"/>
        </w:rPr>
        <w:t xml:space="preserve">One </w:t>
      </w:r>
      <w:r w:rsidRPr="007C7439">
        <w:rPr>
          <w:color w:val="000000"/>
          <w:shd w:val="clear" w:color="auto" w:fill="FFFFFF"/>
        </w:rPr>
        <w:t xml:space="preserve">neuroimaging meta-analysis </w:t>
      </w:r>
      <w:r w:rsidR="00BC31CE">
        <w:rPr>
          <w:color w:val="000000"/>
          <w:shd w:val="clear" w:color="auto" w:fill="FFFFFF"/>
        </w:rPr>
        <w:t xml:space="preserve">(using 20 studies) </w:t>
      </w:r>
      <w:r w:rsidRPr="007C7439">
        <w:rPr>
          <w:color w:val="000000"/>
          <w:shd w:val="clear" w:color="auto" w:fill="FFFFFF"/>
        </w:rPr>
        <w:t xml:space="preserve">showed that healthy </w:t>
      </w:r>
      <w:r w:rsidR="00BC31CE">
        <w:rPr>
          <w:color w:val="000000"/>
          <w:shd w:val="clear" w:color="auto" w:fill="FFFFFF"/>
        </w:rPr>
        <w:t>volunteers</w:t>
      </w:r>
      <w:r w:rsidRPr="007C7439">
        <w:rPr>
          <w:color w:val="000000"/>
          <w:shd w:val="clear" w:color="auto" w:fill="FFFFFF"/>
        </w:rPr>
        <w:t xml:space="preserve"> </w:t>
      </w:r>
      <w:r w:rsidR="00BC31CE">
        <w:rPr>
          <w:color w:val="000000"/>
          <w:shd w:val="clear" w:color="auto" w:fill="FFFFFF"/>
        </w:rPr>
        <w:t>activate the nucleus accumbens</w:t>
      </w:r>
      <w:r w:rsidRPr="007C7439">
        <w:rPr>
          <w:color w:val="000000"/>
          <w:shd w:val="clear" w:color="auto" w:fill="FFFFFF"/>
        </w:rPr>
        <w:t>, thalamus, insula</w:t>
      </w:r>
      <w:r w:rsidR="00BC31CE">
        <w:rPr>
          <w:color w:val="000000"/>
          <w:shd w:val="clear" w:color="auto" w:fill="FFFFFF"/>
        </w:rPr>
        <w:t>,</w:t>
      </w:r>
      <w:r w:rsidRPr="007C7439">
        <w:rPr>
          <w:color w:val="000000"/>
          <w:shd w:val="clear" w:color="auto" w:fill="FFFFFF"/>
        </w:rPr>
        <w:t xml:space="preserve"> and medial frontal gyrus </w:t>
      </w:r>
      <w:r w:rsidR="00F81B31">
        <w:rPr>
          <w:color w:val="000000"/>
          <w:shd w:val="clear" w:color="auto" w:fill="FFFFFF"/>
        </w:rPr>
        <w:t>during reward processing</w:t>
      </w:r>
      <w:r w:rsidR="00BC31CE">
        <w:rPr>
          <w:color w:val="000000"/>
          <w:shd w:val="clear" w:color="auto" w:fill="FFFFFF"/>
        </w:rPr>
        <w:t xml:space="preserve"> (</w:t>
      </w:r>
      <w:r w:rsidR="00ED1443">
        <w:rPr>
          <w:color w:val="000000"/>
          <w:shd w:val="clear" w:color="auto" w:fill="FFFFFF"/>
        </w:rPr>
        <w:t>Knutson and Greer 2008</w:t>
      </w:r>
      <w:r w:rsidR="007A1729">
        <w:rPr>
          <w:color w:val="000000"/>
          <w:shd w:val="clear" w:color="auto" w:fill="FFFFFF"/>
        </w:rPr>
        <w:t xml:space="preserve">). </w:t>
      </w:r>
      <w:r w:rsidR="009C7E9C">
        <w:rPr>
          <w:color w:val="000000"/>
          <w:shd w:val="clear" w:color="auto" w:fill="FFFFFF"/>
        </w:rPr>
        <w:t>A</w:t>
      </w:r>
      <w:r w:rsidRPr="007C7439">
        <w:rPr>
          <w:color w:val="000000"/>
          <w:shd w:val="clear" w:color="auto" w:fill="FFFFFF"/>
        </w:rPr>
        <w:t xml:space="preserve"> </w:t>
      </w:r>
      <w:r w:rsidR="00BC31CE">
        <w:rPr>
          <w:color w:val="000000"/>
          <w:shd w:val="clear" w:color="auto" w:fill="FFFFFF"/>
        </w:rPr>
        <w:t>l</w:t>
      </w:r>
      <w:r w:rsidR="00CF0D0B">
        <w:rPr>
          <w:color w:val="000000"/>
          <w:shd w:val="clear" w:color="auto" w:fill="FFFFFF"/>
        </w:rPr>
        <w:t>arger</w:t>
      </w:r>
      <w:r w:rsidRPr="007C7439">
        <w:rPr>
          <w:color w:val="000000"/>
          <w:shd w:val="clear" w:color="auto" w:fill="FFFFFF"/>
        </w:rPr>
        <w:t xml:space="preserve"> meta-analysis </w:t>
      </w:r>
      <w:r w:rsidR="00BC31CE">
        <w:rPr>
          <w:color w:val="000000"/>
          <w:shd w:val="clear" w:color="auto" w:fill="FFFFFF"/>
        </w:rPr>
        <w:t>of</w:t>
      </w:r>
      <w:r w:rsidRPr="007C7439">
        <w:rPr>
          <w:color w:val="000000"/>
          <w:shd w:val="clear" w:color="auto" w:fill="FFFFFF"/>
        </w:rPr>
        <w:t xml:space="preserve"> 142 </w:t>
      </w:r>
      <w:r w:rsidR="00BC31CE">
        <w:rPr>
          <w:color w:val="000000"/>
          <w:shd w:val="clear" w:color="auto" w:fill="FFFFFF"/>
        </w:rPr>
        <w:t xml:space="preserve">studies </w:t>
      </w:r>
      <w:r w:rsidR="003E403A">
        <w:rPr>
          <w:color w:val="000000"/>
          <w:shd w:val="clear" w:color="auto" w:fill="FFFFFF"/>
        </w:rPr>
        <w:t>found</w:t>
      </w:r>
      <w:r w:rsidRPr="007C7439">
        <w:rPr>
          <w:color w:val="000000"/>
          <w:shd w:val="clear" w:color="auto" w:fill="FFFFFF"/>
        </w:rPr>
        <w:t xml:space="preserve"> that healthy volunteers</w:t>
      </w:r>
      <w:r w:rsidR="00BC31CE">
        <w:rPr>
          <w:color w:val="000000"/>
          <w:shd w:val="clear" w:color="auto" w:fill="FFFFFF"/>
        </w:rPr>
        <w:t xml:space="preserve"> activated</w:t>
      </w:r>
      <w:r w:rsidRPr="007C7439">
        <w:rPr>
          <w:color w:val="000000"/>
          <w:shd w:val="clear" w:color="auto" w:fill="FFFFFF"/>
        </w:rPr>
        <w:t xml:space="preserve"> the </w:t>
      </w:r>
      <w:r w:rsidR="00BC31CE">
        <w:rPr>
          <w:color w:val="000000"/>
          <w:shd w:val="clear" w:color="auto" w:fill="FFFFFF"/>
        </w:rPr>
        <w:t>nucleus accumbens</w:t>
      </w:r>
      <w:r w:rsidRPr="007C7439">
        <w:rPr>
          <w:color w:val="000000"/>
          <w:shd w:val="clear" w:color="auto" w:fill="FFFFFF"/>
        </w:rPr>
        <w:t>, insula</w:t>
      </w:r>
      <w:r w:rsidR="00BC31CE">
        <w:rPr>
          <w:color w:val="000000"/>
          <w:shd w:val="clear" w:color="auto" w:fill="FFFFFF"/>
        </w:rPr>
        <w:t>,</w:t>
      </w:r>
      <w:r w:rsidR="00B26D5B">
        <w:rPr>
          <w:color w:val="000000"/>
          <w:shd w:val="clear" w:color="auto" w:fill="FFFFFF"/>
        </w:rPr>
        <w:t xml:space="preserve"> </w:t>
      </w:r>
      <w:r w:rsidR="00890CA6">
        <w:rPr>
          <w:color w:val="000000"/>
          <w:shd w:val="clear" w:color="auto" w:fill="FFFFFF"/>
        </w:rPr>
        <w:t>inferior</w:t>
      </w:r>
      <w:r w:rsidR="00B26D5B">
        <w:rPr>
          <w:color w:val="000000"/>
          <w:shd w:val="clear" w:color="auto" w:fill="FFFFFF"/>
        </w:rPr>
        <w:t xml:space="preserve"> frontal gyrus</w:t>
      </w:r>
      <w:r w:rsidRPr="007C7439">
        <w:rPr>
          <w:color w:val="000000"/>
          <w:shd w:val="clear" w:color="auto" w:fill="FFFFFF"/>
        </w:rPr>
        <w:t>, anterior cingulate cortex</w:t>
      </w:r>
      <w:r w:rsidR="00BC31CE">
        <w:rPr>
          <w:color w:val="000000"/>
          <w:shd w:val="clear" w:color="auto" w:fill="FFFFFF"/>
        </w:rPr>
        <w:t>,</w:t>
      </w:r>
      <w:r w:rsidRPr="007C7439">
        <w:rPr>
          <w:color w:val="000000"/>
          <w:shd w:val="clear" w:color="auto" w:fill="FFFFFF"/>
        </w:rPr>
        <w:t xml:space="preserve"> and medial orbito-fron</w:t>
      </w:r>
      <w:r w:rsidR="009C7E9C">
        <w:rPr>
          <w:color w:val="000000"/>
          <w:shd w:val="clear" w:color="auto" w:fill="FFFFFF"/>
        </w:rPr>
        <w:t xml:space="preserve">tal cortex </w:t>
      </w:r>
      <w:r w:rsidR="00F81B31">
        <w:rPr>
          <w:color w:val="000000"/>
          <w:shd w:val="clear" w:color="auto" w:fill="FFFFFF"/>
        </w:rPr>
        <w:t>during reward processing</w:t>
      </w:r>
      <w:r w:rsidR="00BC31CE">
        <w:rPr>
          <w:color w:val="000000"/>
          <w:shd w:val="clear" w:color="auto" w:fill="FFFFFF"/>
        </w:rPr>
        <w:t xml:space="preserve"> (</w:t>
      </w:r>
      <w:r w:rsidR="00ED1443">
        <w:rPr>
          <w:color w:val="000000"/>
          <w:shd w:val="clear" w:color="auto" w:fill="FFFFFF"/>
        </w:rPr>
        <w:t>Liu et al., 2011</w:t>
      </w:r>
      <w:r w:rsidR="00BC31CE">
        <w:rPr>
          <w:color w:val="000000"/>
          <w:shd w:val="clear" w:color="auto" w:fill="FFFFFF"/>
        </w:rPr>
        <w:t>)</w:t>
      </w:r>
      <w:r w:rsidR="009C7E9C">
        <w:rPr>
          <w:color w:val="000000"/>
          <w:shd w:val="clear" w:color="auto" w:fill="FFFFFF"/>
        </w:rPr>
        <w:t>.</w:t>
      </w:r>
      <w:r w:rsidRPr="007C7439">
        <w:rPr>
          <w:color w:val="000000"/>
          <w:shd w:val="clear" w:color="auto" w:fill="FFFFFF"/>
        </w:rPr>
        <w:t xml:space="preserve"> </w:t>
      </w:r>
    </w:p>
    <w:p w14:paraId="12B52931" w14:textId="3D46FD09" w:rsidR="009C7E9C" w:rsidRDefault="002E49D7" w:rsidP="00F6107E">
      <w:pPr>
        <w:spacing w:line="480" w:lineRule="auto"/>
        <w:ind w:firstLine="720"/>
      </w:pPr>
      <w:r w:rsidRPr="00586BBF">
        <w:t xml:space="preserve">In terms of anticipation of </w:t>
      </w:r>
      <w:r w:rsidR="008F4661">
        <w:t>rewards</w:t>
      </w:r>
      <w:r w:rsidRPr="00586BBF">
        <w:t xml:space="preserve">, we found strong evidence of </w:t>
      </w:r>
      <w:r w:rsidR="003145E3" w:rsidRPr="00586BBF">
        <w:t>h</w:t>
      </w:r>
      <w:r w:rsidRPr="00586BBF">
        <w:t>yperactivation</w:t>
      </w:r>
      <w:r w:rsidR="009C7E9C">
        <w:t xml:space="preserve"> </w:t>
      </w:r>
      <w:r w:rsidRPr="00586BBF">
        <w:t>in the inferior frontal gyrus</w:t>
      </w:r>
      <w:r w:rsidR="003E403A">
        <w:t xml:space="preserve"> (IFG)</w:t>
      </w:r>
      <w:r w:rsidRPr="00586BBF">
        <w:t xml:space="preserve"> </w:t>
      </w:r>
      <w:r w:rsidR="008F4661">
        <w:t xml:space="preserve">(as well as </w:t>
      </w:r>
      <w:r w:rsidR="008F4661">
        <w:rPr>
          <w:color w:val="000000"/>
        </w:rPr>
        <w:t xml:space="preserve">right fusiform gyrus, inferior temporal gyrus, parahippocampal gyrus, right inferior parietal lobule, and middle frontal gyrus) </w:t>
      </w:r>
      <w:r w:rsidRPr="00586BBF">
        <w:t xml:space="preserve">in all three BFRB groups compared to controls and </w:t>
      </w:r>
      <w:r w:rsidR="00D07897">
        <w:t xml:space="preserve">these findings </w:t>
      </w:r>
      <w:r w:rsidRPr="00586BBF">
        <w:t>suggest that people with BFRBs are</w:t>
      </w:r>
      <w:r w:rsidR="008053ED">
        <w:t xml:space="preserve"> biologically</w:t>
      </w:r>
      <w:r w:rsidRPr="00586BBF">
        <w:t xml:space="preserve"> hypersensitive to potential </w:t>
      </w:r>
      <w:r w:rsidR="00D07897">
        <w:t>rewards</w:t>
      </w:r>
      <w:r w:rsidRPr="00586BBF">
        <w:t>. </w:t>
      </w:r>
      <w:r w:rsidR="003E403A">
        <w:t>The salient role of the IFG is of particular interest given that above-mentioned meta-analysis</w:t>
      </w:r>
      <w:r w:rsidR="00F6107E">
        <w:t xml:space="preserve"> found </w:t>
      </w:r>
      <w:r w:rsidR="009C7E9C">
        <w:t>IFG activation (and the other regions) is common in reward processing tasks including during reward anticipation</w:t>
      </w:r>
      <w:r w:rsidR="00F6107E">
        <w:t xml:space="preserve"> (</w:t>
      </w:r>
      <w:r w:rsidR="00ED1443">
        <w:t>Liu et al., 2011</w:t>
      </w:r>
      <w:r w:rsidR="00F6107E">
        <w:t xml:space="preserve">). </w:t>
      </w:r>
      <w:r w:rsidR="009C7E9C">
        <w:t xml:space="preserve"> </w:t>
      </w:r>
      <w:r w:rsidR="003E403A">
        <w:t>Additionally, a</w:t>
      </w:r>
      <w:r w:rsidR="00F6107E">
        <w:t xml:space="preserve"> small study of </w:t>
      </w:r>
      <w:r w:rsidR="00BC31CE">
        <w:t xml:space="preserve">cognitive flexibility in </w:t>
      </w:r>
      <w:r w:rsidR="00F6107E">
        <w:t>TTM (n=12)</w:t>
      </w:r>
      <w:r w:rsidR="003E403A">
        <w:t xml:space="preserve"> </w:t>
      </w:r>
      <w:r w:rsidR="00F6107E">
        <w:t xml:space="preserve">found </w:t>
      </w:r>
      <w:r w:rsidR="009C7E9C">
        <w:t xml:space="preserve">right frontal hyperactivation </w:t>
      </w:r>
      <w:r w:rsidR="00F6107E">
        <w:t>using</w:t>
      </w:r>
      <w:r w:rsidR="009C7E9C">
        <w:t xml:space="preserve"> fMRI </w:t>
      </w:r>
      <w:r w:rsidR="00F6107E">
        <w:t>(</w:t>
      </w:r>
      <w:r w:rsidR="00ED1443">
        <w:t>Grant et al., 2018</w:t>
      </w:r>
      <w:r w:rsidR="00F6107E">
        <w:t>)</w:t>
      </w:r>
      <w:r w:rsidR="008053ED">
        <w:t xml:space="preserve"> </w:t>
      </w:r>
      <w:r w:rsidR="00F6107E">
        <w:t xml:space="preserve">and </w:t>
      </w:r>
      <w:r w:rsidR="009C7E9C">
        <w:t xml:space="preserve">excess </w:t>
      </w:r>
      <w:r w:rsidR="009C7E9C">
        <w:lastRenderedPageBreak/>
        <w:t xml:space="preserve">IFG thickness </w:t>
      </w:r>
      <w:r w:rsidR="00F6107E">
        <w:t>was found in a recent</w:t>
      </w:r>
      <w:r w:rsidR="009C7E9C">
        <w:t xml:space="preserve"> me</w:t>
      </w:r>
      <w:r w:rsidR="00C1393B">
        <w:t>t</w:t>
      </w:r>
      <w:r w:rsidR="009C7E9C">
        <w:t>a-analysis in TTM</w:t>
      </w:r>
      <w:r w:rsidR="00F6107E">
        <w:t xml:space="preserve"> (</w:t>
      </w:r>
      <w:r w:rsidR="000A53BD">
        <w:t>n=7</w:t>
      </w:r>
      <w:r w:rsidR="007A1729">
        <w:t>6 patients versus n=41 controls)</w:t>
      </w:r>
      <w:r w:rsidR="00531084">
        <w:t xml:space="preserve"> </w:t>
      </w:r>
      <w:r w:rsidR="007A1729">
        <w:t>(</w:t>
      </w:r>
      <w:r w:rsidR="00ED1443">
        <w:t>Wagnegger and Schienle 2019</w:t>
      </w:r>
      <w:r w:rsidR="007A1729">
        <w:t>)</w:t>
      </w:r>
      <w:r w:rsidR="00F6107E">
        <w:t>, which also seems to extend to first-degree relatives</w:t>
      </w:r>
      <w:r w:rsidR="009003D9">
        <w:t xml:space="preserve"> in a small sample</w:t>
      </w:r>
      <w:r w:rsidR="00F6107E">
        <w:t xml:space="preserve"> (</w:t>
      </w:r>
      <w:r w:rsidR="00ED1443">
        <w:t>Odlaug et al., 2014</w:t>
      </w:r>
      <w:r w:rsidR="00F6107E">
        <w:t>).  These</w:t>
      </w:r>
      <w:r w:rsidR="009C7E9C">
        <w:t xml:space="preserve"> findings collectively point to abnormalities of IFG as a </w:t>
      </w:r>
      <w:r w:rsidR="003E403A">
        <w:t xml:space="preserve">potential </w:t>
      </w:r>
      <w:r w:rsidR="009C7E9C">
        <w:t xml:space="preserve">core feature of BFRB, </w:t>
      </w:r>
      <w:r w:rsidR="003E403A">
        <w:t>and now</w:t>
      </w:r>
      <w:r w:rsidR="00F6107E">
        <w:t xml:space="preserve"> extends those previous TTM findings to SPD as well.</w:t>
      </w:r>
    </w:p>
    <w:p w14:paraId="1F4C73E1" w14:textId="4C75973F" w:rsidR="009C7E9C" w:rsidRPr="003E403A" w:rsidRDefault="008E41C4">
      <w:pPr>
        <w:spacing w:line="480" w:lineRule="auto"/>
        <w:ind w:firstLine="720"/>
        <w:rPr>
          <w:lang w:val="en"/>
        </w:rPr>
      </w:pPr>
      <w:r>
        <w:rPr>
          <w:lang w:val="en"/>
        </w:rPr>
        <w:t xml:space="preserve">In addition to its role in reward and punishment anticipation noted above, the </w:t>
      </w:r>
      <w:r w:rsidR="003E403A">
        <w:rPr>
          <w:lang w:val="en"/>
        </w:rPr>
        <w:t>IFG</w:t>
      </w:r>
      <w:r>
        <w:rPr>
          <w:lang w:val="en"/>
        </w:rPr>
        <w:t xml:space="preserve"> </w:t>
      </w:r>
      <w:r w:rsidR="005A4D52">
        <w:rPr>
          <w:lang w:val="en"/>
        </w:rPr>
        <w:t>is involved</w:t>
      </w:r>
      <w:r>
        <w:rPr>
          <w:lang w:val="en"/>
        </w:rPr>
        <w:t xml:space="preserve"> in the detection of environmentally salient cues (</w:t>
      </w:r>
      <w:r w:rsidR="00ED1443">
        <w:rPr>
          <w:lang w:val="en"/>
        </w:rPr>
        <w:t>Hampshire et al., 2010</w:t>
      </w:r>
      <w:r w:rsidR="007A1729">
        <w:rPr>
          <w:lang w:val="en"/>
        </w:rPr>
        <w:t>)</w:t>
      </w:r>
      <w:r>
        <w:rPr>
          <w:lang w:val="en"/>
        </w:rPr>
        <w:t xml:space="preserve">, and in the suppression of habitual response patterns </w:t>
      </w:r>
      <w:r w:rsidR="00F6107E" w:rsidRPr="00F6107E">
        <w:rPr>
          <w:lang w:val="en"/>
        </w:rPr>
        <w:t>(</w:t>
      </w:r>
      <w:r w:rsidR="00ED1443">
        <w:rPr>
          <w:lang w:val="en"/>
        </w:rPr>
        <w:t>Aron et al., 2014</w:t>
      </w:r>
      <w:r w:rsidR="009B5FD9" w:rsidRPr="003E403A">
        <w:t>)</w:t>
      </w:r>
      <w:r w:rsidR="009B5FD9">
        <w:t xml:space="preserve">.  </w:t>
      </w:r>
      <w:r w:rsidR="00BC31CE">
        <w:t xml:space="preserve">Response inhibition deficits have been found in individuals with </w:t>
      </w:r>
      <w:r w:rsidR="00F6107E" w:rsidRPr="00F6107E">
        <w:rPr>
          <w:lang w:val="en"/>
        </w:rPr>
        <w:t xml:space="preserve">right </w:t>
      </w:r>
      <w:r w:rsidR="00BC31CE">
        <w:rPr>
          <w:lang w:val="en"/>
        </w:rPr>
        <w:t>IFG damage</w:t>
      </w:r>
      <w:r w:rsidR="00F6107E" w:rsidRPr="00F6107E">
        <w:rPr>
          <w:lang w:val="en"/>
        </w:rPr>
        <w:t xml:space="preserve">, </w:t>
      </w:r>
      <w:r w:rsidR="00BC31CE">
        <w:rPr>
          <w:lang w:val="en"/>
        </w:rPr>
        <w:t>and the severity of the response inhibition deficit has been positively associated with the degree of right IFG damage</w:t>
      </w:r>
      <w:r w:rsidR="00F6107E" w:rsidRPr="00F6107E">
        <w:rPr>
          <w:lang w:val="en"/>
        </w:rPr>
        <w:t xml:space="preserve"> (</w:t>
      </w:r>
      <w:r w:rsidR="00ED1443">
        <w:rPr>
          <w:lang w:val="en"/>
        </w:rPr>
        <w:t>Aron et al., 2003</w:t>
      </w:r>
      <w:r w:rsidR="007A1729">
        <w:rPr>
          <w:lang w:val="en"/>
        </w:rPr>
        <w:t>)</w:t>
      </w:r>
      <w:r w:rsidR="00F6107E" w:rsidRPr="003E403A">
        <w:rPr>
          <w:lang w:val="en"/>
        </w:rPr>
        <w:t xml:space="preserve">. </w:t>
      </w:r>
      <w:r w:rsidR="00BC31CE">
        <w:rPr>
          <w:lang w:val="en"/>
        </w:rPr>
        <w:t>Additionally</w:t>
      </w:r>
      <w:r w:rsidR="00B67AB6">
        <w:rPr>
          <w:lang w:val="en"/>
        </w:rPr>
        <w:t>, research has demonstrated that when the right IFG is disrupted by t</w:t>
      </w:r>
      <w:r w:rsidR="00F6107E" w:rsidRPr="00F6107E">
        <w:rPr>
          <w:lang w:val="en"/>
        </w:rPr>
        <w:t>ranscranial magnetic stimulation</w:t>
      </w:r>
      <w:r w:rsidR="00B67AB6">
        <w:rPr>
          <w:lang w:val="en"/>
        </w:rPr>
        <w:t xml:space="preserve">, </w:t>
      </w:r>
      <w:r w:rsidR="00F6107E" w:rsidRPr="00F6107E">
        <w:rPr>
          <w:lang w:val="en"/>
        </w:rPr>
        <w:t xml:space="preserve">response inhibition </w:t>
      </w:r>
      <w:r w:rsidR="00B67AB6">
        <w:rPr>
          <w:lang w:val="en"/>
        </w:rPr>
        <w:t>is also impaired</w:t>
      </w:r>
      <w:r w:rsidR="00F6107E" w:rsidRPr="00F6107E">
        <w:rPr>
          <w:lang w:val="en"/>
        </w:rPr>
        <w:t xml:space="preserve"> (</w:t>
      </w:r>
      <w:r w:rsidR="00ED1443">
        <w:rPr>
          <w:lang w:val="en"/>
        </w:rPr>
        <w:t>Chambers et al., 2007</w:t>
      </w:r>
      <w:r w:rsidR="00F6107E" w:rsidRPr="00F6107E">
        <w:rPr>
          <w:lang w:val="en"/>
        </w:rPr>
        <w:t xml:space="preserve">). The finding of abnormal </w:t>
      </w:r>
      <w:r w:rsidR="009B5FD9">
        <w:rPr>
          <w:lang w:val="en"/>
        </w:rPr>
        <w:t>IFG function in BFRBs</w:t>
      </w:r>
      <w:r w:rsidR="00F6107E" w:rsidRPr="00F6107E">
        <w:rPr>
          <w:lang w:val="en"/>
        </w:rPr>
        <w:t xml:space="preserve"> may help to account for neuropsychological findings with regards to th</w:t>
      </w:r>
      <w:r w:rsidR="009B5FD9">
        <w:rPr>
          <w:lang w:val="en"/>
        </w:rPr>
        <w:t>ese disorders</w:t>
      </w:r>
      <w:r w:rsidR="00F6107E" w:rsidRPr="00F6107E">
        <w:rPr>
          <w:lang w:val="en"/>
        </w:rPr>
        <w:t xml:space="preserve">. </w:t>
      </w:r>
      <w:r w:rsidR="00E53862">
        <w:rPr>
          <w:lang w:val="en"/>
        </w:rPr>
        <w:t>In particular,</w:t>
      </w:r>
      <w:r w:rsidR="000868A4">
        <w:rPr>
          <w:lang w:val="en"/>
        </w:rPr>
        <w:t xml:space="preserve"> </w:t>
      </w:r>
      <w:r w:rsidR="00F6107E" w:rsidRPr="00215C0A">
        <w:rPr>
          <w:lang w:val="en"/>
        </w:rPr>
        <w:t xml:space="preserve">significant inhibitory control deficits have been reported in most but not all studies of </w:t>
      </w:r>
      <w:r w:rsidR="009B5FD9" w:rsidRPr="00215C0A">
        <w:rPr>
          <w:lang w:val="en"/>
        </w:rPr>
        <w:t>BFRBs v</w:t>
      </w:r>
      <w:r w:rsidR="00F6107E" w:rsidRPr="00215C0A">
        <w:rPr>
          <w:lang w:val="en"/>
        </w:rPr>
        <w:t xml:space="preserve">ersus healthy controls. </w:t>
      </w:r>
      <w:r w:rsidR="009003D9">
        <w:rPr>
          <w:lang w:val="en"/>
        </w:rPr>
        <w:t>One interpretation of the current data alongside the neurocognitive literature is that the IFG may be over</w:t>
      </w:r>
      <w:r w:rsidR="00E53862">
        <w:rPr>
          <w:lang w:val="en"/>
        </w:rPr>
        <w:t>-</w:t>
      </w:r>
      <w:r w:rsidR="009003D9">
        <w:rPr>
          <w:lang w:val="en"/>
        </w:rPr>
        <w:t>activated by anticipation of reward or punishment</w:t>
      </w:r>
      <w:r w:rsidR="00E53862">
        <w:rPr>
          <w:lang w:val="en"/>
        </w:rPr>
        <w:t xml:space="preserve"> in patients with BFRBs</w:t>
      </w:r>
      <w:r w:rsidR="009003D9">
        <w:rPr>
          <w:lang w:val="en"/>
        </w:rPr>
        <w:t xml:space="preserve">, in turn impeding the ability of this region to </w:t>
      </w:r>
      <w:r w:rsidR="00E53862">
        <w:rPr>
          <w:lang w:val="en"/>
        </w:rPr>
        <w:t>successfully</w:t>
      </w:r>
      <w:r w:rsidR="009003D9">
        <w:rPr>
          <w:lang w:val="en"/>
        </w:rPr>
        <w:t xml:space="preserve"> undertake other cognitive functions such as top-down behavioral inhibition</w:t>
      </w:r>
      <w:r w:rsidR="00E53862">
        <w:rPr>
          <w:lang w:val="en"/>
        </w:rPr>
        <w:t xml:space="preserve"> of automated behavior</w:t>
      </w:r>
      <w:r w:rsidR="009003D9">
        <w:rPr>
          <w:lang w:val="en"/>
        </w:rPr>
        <w:t xml:space="preserve">. This hypothesis could be tested in future work by also examining </w:t>
      </w:r>
      <w:r w:rsidR="003E403A">
        <w:rPr>
          <w:lang w:val="en"/>
        </w:rPr>
        <w:t>the monetary incentive task</w:t>
      </w:r>
      <w:r w:rsidR="00E53862">
        <w:rPr>
          <w:lang w:val="en"/>
        </w:rPr>
        <w:t xml:space="preserve"> and </w:t>
      </w:r>
      <w:r w:rsidR="009003D9">
        <w:rPr>
          <w:lang w:val="en"/>
        </w:rPr>
        <w:t xml:space="preserve">stop-signal fMRI task performance </w:t>
      </w:r>
      <w:r w:rsidR="00E53862">
        <w:rPr>
          <w:lang w:val="en"/>
        </w:rPr>
        <w:t xml:space="preserve">in relation not only to brain activation but also connectivity metrics. If </w:t>
      </w:r>
      <w:r w:rsidR="00D22E12">
        <w:rPr>
          <w:lang w:val="en"/>
        </w:rPr>
        <w:t xml:space="preserve">this hypothesis is </w:t>
      </w:r>
      <w:r w:rsidR="00E53862">
        <w:rPr>
          <w:lang w:val="en"/>
        </w:rPr>
        <w:t xml:space="preserve">correct, treatment of BFRBs using medications </w:t>
      </w:r>
      <w:r w:rsidR="00927E43">
        <w:rPr>
          <w:lang w:val="en"/>
        </w:rPr>
        <w:t xml:space="preserve">or psychotherapies </w:t>
      </w:r>
      <w:r w:rsidR="00E53862">
        <w:rPr>
          <w:lang w:val="en"/>
        </w:rPr>
        <w:t xml:space="preserve">that dampen the </w:t>
      </w:r>
      <w:r w:rsidR="00D22E12">
        <w:rPr>
          <w:lang w:val="en"/>
        </w:rPr>
        <w:t xml:space="preserve">sub-cortical </w:t>
      </w:r>
      <w:r w:rsidR="00E53862">
        <w:rPr>
          <w:lang w:val="en"/>
        </w:rPr>
        <w:t>reward pathways may then in turn enable the IFG to exert more top-down c</w:t>
      </w:r>
      <w:r w:rsidR="00D22E12">
        <w:rPr>
          <w:lang w:val="en"/>
        </w:rPr>
        <w:t>ontrol</w:t>
      </w:r>
      <w:r w:rsidR="00CF0D0B">
        <w:rPr>
          <w:lang w:val="en"/>
        </w:rPr>
        <w:t xml:space="preserve"> </w:t>
      </w:r>
      <w:r w:rsidR="00E9650A">
        <w:rPr>
          <w:lang w:val="en"/>
        </w:rPr>
        <w:t>by freeing up this region’s processing capacity</w:t>
      </w:r>
      <w:r w:rsidR="00D22E12">
        <w:rPr>
          <w:lang w:val="en"/>
        </w:rPr>
        <w:t xml:space="preserve">. </w:t>
      </w:r>
      <w:r w:rsidR="00E53862">
        <w:rPr>
          <w:lang w:val="en"/>
        </w:rPr>
        <w:t xml:space="preserve"> </w:t>
      </w:r>
    </w:p>
    <w:p w14:paraId="59FEB156" w14:textId="003C7F5D" w:rsidR="008A53C4" w:rsidRPr="00215C0A" w:rsidRDefault="00675C0C" w:rsidP="00136AA5">
      <w:pPr>
        <w:autoSpaceDE w:val="0"/>
        <w:autoSpaceDN w:val="0"/>
        <w:adjustRightInd w:val="0"/>
        <w:spacing w:line="480" w:lineRule="auto"/>
        <w:ind w:firstLine="720"/>
      </w:pPr>
      <w:r w:rsidRPr="003E403A">
        <w:rPr>
          <w:color w:val="000000"/>
        </w:rPr>
        <w:t xml:space="preserve">Our results confirm an association between </w:t>
      </w:r>
      <w:r w:rsidR="00B67AB6">
        <w:rPr>
          <w:color w:val="000000"/>
        </w:rPr>
        <w:t xml:space="preserve">the anticipation of </w:t>
      </w:r>
      <w:r w:rsidRPr="003E403A">
        <w:rPr>
          <w:color w:val="000000"/>
        </w:rPr>
        <w:t xml:space="preserve">monetary reward and frontal hyperactivation. Having said that, the lack of a </w:t>
      </w:r>
      <w:r w:rsidR="00013308" w:rsidRPr="003E403A">
        <w:rPr>
          <w:color w:val="000000"/>
        </w:rPr>
        <w:t xml:space="preserve">difference in </w:t>
      </w:r>
      <w:r w:rsidRPr="003E403A">
        <w:rPr>
          <w:color w:val="000000"/>
        </w:rPr>
        <w:t xml:space="preserve">striatal </w:t>
      </w:r>
      <w:r w:rsidR="00013308" w:rsidRPr="003E403A">
        <w:rPr>
          <w:color w:val="000000"/>
        </w:rPr>
        <w:t xml:space="preserve">activation between BFRBs and controls </w:t>
      </w:r>
      <w:r w:rsidRPr="003E403A">
        <w:rPr>
          <w:color w:val="000000"/>
        </w:rPr>
        <w:t>merit</w:t>
      </w:r>
      <w:r w:rsidR="00013308" w:rsidRPr="003E403A">
        <w:rPr>
          <w:color w:val="000000"/>
        </w:rPr>
        <w:t>s</w:t>
      </w:r>
      <w:r w:rsidRPr="003E403A">
        <w:rPr>
          <w:color w:val="000000"/>
        </w:rPr>
        <w:t xml:space="preserve"> further </w:t>
      </w:r>
      <w:r w:rsidR="00013308" w:rsidRPr="003E403A">
        <w:rPr>
          <w:color w:val="000000"/>
        </w:rPr>
        <w:t>consideration</w:t>
      </w:r>
      <w:r w:rsidRPr="003E403A">
        <w:rPr>
          <w:color w:val="000000"/>
        </w:rPr>
        <w:t xml:space="preserve">. </w:t>
      </w:r>
      <w:r w:rsidR="009B5FD9" w:rsidRPr="003E403A">
        <w:rPr>
          <w:lang w:val="en"/>
        </w:rPr>
        <w:t>Unlike a recent</w:t>
      </w:r>
      <w:r w:rsidR="00C967BC">
        <w:rPr>
          <w:lang w:val="en"/>
        </w:rPr>
        <w:t xml:space="preserve"> </w:t>
      </w:r>
      <w:r w:rsidR="009B5FD9" w:rsidRPr="003E403A">
        <w:rPr>
          <w:lang w:val="en"/>
        </w:rPr>
        <w:t xml:space="preserve">fMRI study that found </w:t>
      </w:r>
      <w:r w:rsidR="00C967BC">
        <w:rPr>
          <w:lang w:val="en"/>
        </w:rPr>
        <w:t xml:space="preserve">some evidence for </w:t>
      </w:r>
      <w:r w:rsidR="009B5FD9" w:rsidRPr="003E403A">
        <w:rPr>
          <w:lang w:val="en"/>
        </w:rPr>
        <w:t xml:space="preserve">abnormal accumbens activation in </w:t>
      </w:r>
      <w:r w:rsidR="002E68BF" w:rsidRPr="003E403A">
        <w:rPr>
          <w:lang w:val="en"/>
        </w:rPr>
        <w:t xml:space="preserve">TTM </w:t>
      </w:r>
      <w:r w:rsidR="009B5FD9" w:rsidRPr="003E403A">
        <w:rPr>
          <w:lang w:val="en"/>
        </w:rPr>
        <w:t>patients during a reward task (</w:t>
      </w:r>
      <w:bookmarkStart w:id="1" w:name="bbib61"/>
      <w:r w:rsidR="00ED1443">
        <w:rPr>
          <w:lang w:val="en"/>
        </w:rPr>
        <w:t>White et al., 2013</w:t>
      </w:r>
      <w:bookmarkEnd w:id="1"/>
      <w:r w:rsidR="007A1729">
        <w:rPr>
          <w:lang w:val="en"/>
        </w:rPr>
        <w:t>)</w:t>
      </w:r>
      <w:r w:rsidR="009B5FD9" w:rsidRPr="003E403A">
        <w:rPr>
          <w:lang w:val="en"/>
        </w:rPr>
        <w:t xml:space="preserve">, </w:t>
      </w:r>
      <w:r w:rsidR="00136AA5">
        <w:rPr>
          <w:lang w:val="en"/>
        </w:rPr>
        <w:t xml:space="preserve">our study found </w:t>
      </w:r>
      <w:r w:rsidR="00C967BC">
        <w:rPr>
          <w:lang w:val="en"/>
        </w:rPr>
        <w:t xml:space="preserve">that </w:t>
      </w:r>
      <w:r w:rsidR="00136AA5">
        <w:rPr>
          <w:lang w:val="en"/>
        </w:rPr>
        <w:t xml:space="preserve">activation of the </w:t>
      </w:r>
      <w:r w:rsidR="00586BBF" w:rsidRPr="003E403A">
        <w:rPr>
          <w:shd w:val="clear" w:color="auto" w:fill="FFFFFF"/>
        </w:rPr>
        <w:t>accumbe</w:t>
      </w:r>
      <w:r w:rsidR="009B5FD9" w:rsidRPr="003E403A">
        <w:rPr>
          <w:shd w:val="clear" w:color="auto" w:fill="FFFFFF"/>
        </w:rPr>
        <w:t>n</w:t>
      </w:r>
      <w:r w:rsidR="00586BBF" w:rsidRPr="003E403A">
        <w:rPr>
          <w:shd w:val="clear" w:color="auto" w:fill="FFFFFF"/>
        </w:rPr>
        <w:t xml:space="preserve">s </w:t>
      </w:r>
      <w:r w:rsidR="00136AA5">
        <w:rPr>
          <w:shd w:val="clear" w:color="auto" w:fill="FFFFFF"/>
        </w:rPr>
        <w:t>did not differ between BFRB participants and controls</w:t>
      </w:r>
      <w:r w:rsidR="009B5FD9" w:rsidRPr="003E403A">
        <w:rPr>
          <w:shd w:val="clear" w:color="auto" w:fill="FFFFFF"/>
        </w:rPr>
        <w:t>.</w:t>
      </w:r>
      <w:r w:rsidR="00C967BC">
        <w:rPr>
          <w:shd w:val="clear" w:color="auto" w:fill="FFFFFF"/>
        </w:rPr>
        <w:t xml:space="preserve"> The task did activate this region across all subjects, indicating this null result was not simply due to the task failing to activate this region. </w:t>
      </w:r>
      <w:r w:rsidR="002E68BF" w:rsidRPr="003E403A">
        <w:rPr>
          <w:shd w:val="clear" w:color="auto" w:fill="FFFFFF"/>
        </w:rPr>
        <w:t>The</w:t>
      </w:r>
      <w:r w:rsidR="00136AA5">
        <w:rPr>
          <w:shd w:val="clear" w:color="auto" w:fill="FFFFFF"/>
        </w:rPr>
        <w:t xml:space="preserve"> study by </w:t>
      </w:r>
      <w:r w:rsidR="008F4661" w:rsidRPr="003E403A">
        <w:rPr>
          <w:shd w:val="clear" w:color="auto" w:fill="FFFFFF"/>
        </w:rPr>
        <w:t xml:space="preserve">White </w:t>
      </w:r>
      <w:r w:rsidR="00136AA5">
        <w:rPr>
          <w:shd w:val="clear" w:color="auto" w:fill="FFFFFF"/>
        </w:rPr>
        <w:t>and colleagues</w:t>
      </w:r>
      <w:r w:rsidR="002E68BF" w:rsidRPr="003E403A">
        <w:rPr>
          <w:shd w:val="clear" w:color="auto" w:fill="FFFFFF"/>
        </w:rPr>
        <w:t xml:space="preserve"> included only 13 subjects</w:t>
      </w:r>
      <w:r w:rsidR="00136AA5">
        <w:rPr>
          <w:shd w:val="clear" w:color="auto" w:fill="FFFFFF"/>
        </w:rPr>
        <w:t>,</w:t>
      </w:r>
      <w:r w:rsidR="002E68BF" w:rsidRPr="003E403A">
        <w:rPr>
          <w:shd w:val="clear" w:color="auto" w:fill="FFFFFF"/>
        </w:rPr>
        <w:t xml:space="preserve"> all of whom had TTM</w:t>
      </w:r>
      <w:r w:rsidR="00136AA5">
        <w:rPr>
          <w:shd w:val="clear" w:color="auto" w:fill="FFFFFF"/>
        </w:rPr>
        <w:t>,</w:t>
      </w:r>
      <w:r w:rsidR="002E68BF" w:rsidRPr="003E403A">
        <w:rPr>
          <w:shd w:val="clear" w:color="auto" w:fill="FFFFFF"/>
        </w:rPr>
        <w:t xml:space="preserve"> and </w:t>
      </w:r>
      <w:r w:rsidR="00136AA5">
        <w:rPr>
          <w:shd w:val="clear" w:color="auto" w:fill="FFFFFF"/>
        </w:rPr>
        <w:t xml:space="preserve">thus </w:t>
      </w:r>
      <w:r w:rsidR="002E68BF" w:rsidRPr="003E403A">
        <w:rPr>
          <w:shd w:val="clear" w:color="auto" w:fill="FFFFFF"/>
        </w:rPr>
        <w:t xml:space="preserve">differs from </w:t>
      </w:r>
      <w:r w:rsidR="00136AA5">
        <w:rPr>
          <w:shd w:val="clear" w:color="auto" w:fill="FFFFFF"/>
        </w:rPr>
        <w:t>the current</w:t>
      </w:r>
      <w:r w:rsidR="002E68BF" w:rsidRPr="003E403A">
        <w:rPr>
          <w:shd w:val="clear" w:color="auto" w:fill="FFFFFF"/>
        </w:rPr>
        <w:t xml:space="preserve"> study in m</w:t>
      </w:r>
      <w:r w:rsidR="00136AA5">
        <w:rPr>
          <w:shd w:val="clear" w:color="auto" w:fill="FFFFFF"/>
        </w:rPr>
        <w:t>ultiple</w:t>
      </w:r>
      <w:r w:rsidR="002E68BF" w:rsidRPr="003E403A">
        <w:rPr>
          <w:shd w:val="clear" w:color="auto" w:fill="FFFFFF"/>
        </w:rPr>
        <w:t xml:space="preserve"> ways.</w:t>
      </w:r>
      <w:r w:rsidR="00013308" w:rsidRPr="003E403A">
        <w:rPr>
          <w:shd w:val="clear" w:color="auto" w:fill="FFFFFF"/>
        </w:rPr>
        <w:t xml:space="preserve"> First, the accumbens finding in the previous study was not significant in the whole-brain analysis and so may reflect a false p</w:t>
      </w:r>
      <w:r w:rsidR="00AD4C57" w:rsidRPr="003E403A">
        <w:rPr>
          <w:shd w:val="clear" w:color="auto" w:fill="FFFFFF"/>
        </w:rPr>
        <w:t>ositive with respect to</w:t>
      </w:r>
      <w:r w:rsidR="00013308" w:rsidRPr="003E403A">
        <w:rPr>
          <w:shd w:val="clear" w:color="auto" w:fill="FFFFFF"/>
        </w:rPr>
        <w:t xml:space="preserve"> the region-of-interest analysis. Second, </w:t>
      </w:r>
      <w:r w:rsidR="002E68BF" w:rsidRPr="003E403A">
        <w:rPr>
          <w:shd w:val="clear" w:color="auto" w:fill="FFFFFF"/>
        </w:rPr>
        <w:t>the role of the striatum in BFRBs is not well understood</w:t>
      </w:r>
      <w:r w:rsidR="00136AA5">
        <w:rPr>
          <w:shd w:val="clear" w:color="auto" w:fill="FFFFFF"/>
        </w:rPr>
        <w:t>,</w:t>
      </w:r>
      <w:r w:rsidR="002E68BF" w:rsidRPr="003E403A">
        <w:rPr>
          <w:shd w:val="clear" w:color="auto" w:fill="FFFFFF"/>
        </w:rPr>
        <w:t xml:space="preserve"> with some previous structural studies f</w:t>
      </w:r>
      <w:r w:rsidR="00215C0A" w:rsidRPr="003E403A">
        <w:rPr>
          <w:shd w:val="clear" w:color="auto" w:fill="FFFFFF"/>
        </w:rPr>
        <w:t xml:space="preserve">inding </w:t>
      </w:r>
      <w:r w:rsidR="002E68BF" w:rsidRPr="003E403A">
        <w:rPr>
          <w:shd w:val="clear" w:color="auto" w:fill="FFFFFF"/>
        </w:rPr>
        <w:t>that neither TTM nor SPD subjects</w:t>
      </w:r>
      <w:r w:rsidR="002E68BF" w:rsidRPr="003E403A">
        <w:rPr>
          <w:lang w:val="en"/>
        </w:rPr>
        <w:t xml:space="preserve"> differed significantly from controls in terms of dorsal and ventral striatum volumes (</w:t>
      </w:r>
      <w:r w:rsidR="00ED1443">
        <w:rPr>
          <w:lang w:val="en"/>
        </w:rPr>
        <w:t>Odlaug et al., 2014</w:t>
      </w:r>
      <w:r w:rsidR="002E68BF" w:rsidRPr="003E403A">
        <w:rPr>
          <w:lang w:val="en"/>
        </w:rPr>
        <w:t>)</w:t>
      </w:r>
      <w:r w:rsidR="00215C0A" w:rsidRPr="003E403A">
        <w:rPr>
          <w:lang w:val="en"/>
        </w:rPr>
        <w:t xml:space="preserve"> and others finding </w:t>
      </w:r>
      <w:r w:rsidR="00B67AB6">
        <w:rPr>
          <w:lang w:val="en"/>
        </w:rPr>
        <w:t xml:space="preserve">significant </w:t>
      </w:r>
      <w:r w:rsidR="00215C0A" w:rsidRPr="003E403A">
        <w:rPr>
          <w:lang w:val="en"/>
        </w:rPr>
        <w:t>difference</w:t>
      </w:r>
      <w:r w:rsidR="00013308" w:rsidRPr="003E403A">
        <w:rPr>
          <w:lang w:val="en"/>
        </w:rPr>
        <w:t>s</w:t>
      </w:r>
      <w:r w:rsidR="00215C0A" w:rsidRPr="003E403A">
        <w:rPr>
          <w:lang w:val="en"/>
        </w:rPr>
        <w:t xml:space="preserve"> (</w:t>
      </w:r>
      <w:r w:rsidR="00ED1443">
        <w:rPr>
          <w:lang w:val="en"/>
        </w:rPr>
        <w:t>Roos et al., 2015</w:t>
      </w:r>
      <w:r w:rsidR="007A1729">
        <w:rPr>
          <w:lang w:val="en"/>
        </w:rPr>
        <w:t>). A recent me</w:t>
      </w:r>
      <w:r w:rsidR="00C1393B">
        <w:rPr>
          <w:lang w:val="en"/>
        </w:rPr>
        <w:t>t</w:t>
      </w:r>
      <w:r w:rsidR="00013308" w:rsidRPr="003E403A">
        <w:rPr>
          <w:lang w:val="en"/>
        </w:rPr>
        <w:t xml:space="preserve">a-analysis </w:t>
      </w:r>
      <w:r w:rsidR="00EF3AC1" w:rsidRPr="003E403A">
        <w:rPr>
          <w:lang w:val="en"/>
        </w:rPr>
        <w:t xml:space="preserve">of all available literature </w:t>
      </w:r>
      <w:r w:rsidR="00013308" w:rsidRPr="003E403A">
        <w:rPr>
          <w:lang w:val="en"/>
        </w:rPr>
        <w:t>did not find sub-cortical structural differences</w:t>
      </w:r>
      <w:r w:rsidR="00EF3AC1" w:rsidRPr="003E403A">
        <w:rPr>
          <w:lang w:val="en"/>
        </w:rPr>
        <w:t xml:space="preserve"> in TTM versus controls</w:t>
      </w:r>
      <w:r w:rsidR="00013308" w:rsidRPr="003E403A">
        <w:rPr>
          <w:lang w:val="en"/>
        </w:rPr>
        <w:t>, including specifically in the NA</w:t>
      </w:r>
      <w:r w:rsidR="00497900" w:rsidRPr="003E403A">
        <w:rPr>
          <w:lang w:val="en"/>
        </w:rPr>
        <w:t>cc</w:t>
      </w:r>
      <w:r w:rsidR="00013308" w:rsidRPr="003E403A">
        <w:rPr>
          <w:lang w:val="en"/>
        </w:rPr>
        <w:t xml:space="preserve"> (</w:t>
      </w:r>
      <w:r w:rsidR="00ED1443">
        <w:rPr>
          <w:lang w:val="en"/>
        </w:rPr>
        <w:t>Chamberlain et al., 2018</w:t>
      </w:r>
      <w:r w:rsidR="00013308" w:rsidRPr="003E403A">
        <w:rPr>
          <w:lang w:val="en"/>
        </w:rPr>
        <w:t>).</w:t>
      </w:r>
      <w:r w:rsidR="002E68BF" w:rsidRPr="003E403A">
        <w:rPr>
          <w:lang w:val="en"/>
        </w:rPr>
        <w:t xml:space="preserve"> </w:t>
      </w:r>
      <w:r w:rsidR="00EF3AC1" w:rsidRPr="003E403A">
        <w:rPr>
          <w:lang w:val="en"/>
        </w:rPr>
        <w:t>Third</w:t>
      </w:r>
      <w:r w:rsidRPr="003E403A">
        <w:rPr>
          <w:lang w:val="en"/>
        </w:rPr>
        <w:t>, t</w:t>
      </w:r>
      <w:r w:rsidR="00586BBF" w:rsidRPr="003E403A">
        <w:rPr>
          <w:shd w:val="clear" w:color="auto" w:fill="FFFFFF"/>
        </w:rPr>
        <w:t xml:space="preserve">asks that recruit both executive and reward networks </w:t>
      </w:r>
      <w:r w:rsidR="00215C0A" w:rsidRPr="003E403A">
        <w:rPr>
          <w:shd w:val="clear" w:color="auto" w:fill="FFFFFF"/>
        </w:rPr>
        <w:t>may simply exhibit greater dyfunction</w:t>
      </w:r>
      <w:r w:rsidRPr="003E403A">
        <w:rPr>
          <w:shd w:val="clear" w:color="auto" w:fill="FFFFFF"/>
        </w:rPr>
        <w:t xml:space="preserve"> </w:t>
      </w:r>
      <w:r w:rsidR="00215C0A" w:rsidRPr="003E403A">
        <w:rPr>
          <w:shd w:val="clear" w:color="auto" w:fill="FFFFFF"/>
        </w:rPr>
        <w:t>in top-control elements of reward compared to bottom-up drive. Findings of no differences in NAcc activation during anticipated monetary reward seem to differ from those found in OCD (</w:t>
      </w:r>
      <w:r w:rsidR="008A53C4" w:rsidRPr="003E403A">
        <w:t>reduced NAcc activation to anticipated monetary reward in OCD (</w:t>
      </w:r>
      <w:bookmarkStart w:id="2" w:name="bbib21"/>
      <w:r w:rsidR="00ED1443">
        <w:t>Figee et al., 2011</w:t>
      </w:r>
      <w:bookmarkEnd w:id="2"/>
      <w:r w:rsidR="00215C0A" w:rsidRPr="003E403A">
        <w:t>) or those found in substance addictions (</w:t>
      </w:r>
      <w:bookmarkStart w:id="3" w:name="bbib40"/>
      <w:r w:rsidR="008A53C4" w:rsidRPr="003E403A">
        <w:t>relatively increased NAcc response to rewarding outcome i</w:t>
      </w:r>
      <w:r w:rsidR="00215C0A" w:rsidRPr="003E403A">
        <w:t xml:space="preserve">n </w:t>
      </w:r>
      <w:r w:rsidR="008A53C4" w:rsidRPr="003E403A">
        <w:t>cocaine addict</w:t>
      </w:r>
      <w:r w:rsidR="00215C0A" w:rsidRPr="003E403A">
        <w:t>ed adults</w:t>
      </w:r>
      <w:r w:rsidR="008A53C4" w:rsidRPr="003E403A">
        <w:t xml:space="preserve"> (</w:t>
      </w:r>
      <w:bookmarkStart w:id="4" w:name="bbib29"/>
      <w:r w:rsidR="00ED1443">
        <w:t>Jia et al., 2011</w:t>
      </w:r>
      <w:bookmarkEnd w:id="4"/>
      <w:r w:rsidR="008A53C4" w:rsidRPr="003E403A">
        <w:t>) and alcoholics (</w:t>
      </w:r>
      <w:bookmarkStart w:id="5" w:name="bbib7"/>
      <w:r w:rsidR="00ED1443">
        <w:t>Bjork et al., 2008</w:t>
      </w:r>
      <w:bookmarkEnd w:id="5"/>
      <w:r w:rsidR="00215C0A" w:rsidRPr="003E403A">
        <w:t>)</w:t>
      </w:r>
      <w:bookmarkEnd w:id="3"/>
      <w:r w:rsidR="00215C0A" w:rsidRPr="003E403A">
        <w:t xml:space="preserve"> and might suggest that BFRBs </w:t>
      </w:r>
      <w:r w:rsidR="00EF3AC1" w:rsidRPr="003E403A">
        <w:t xml:space="preserve">have distinct neurobiological substrates from these other conditions. </w:t>
      </w:r>
      <w:r w:rsidR="00AD4C57" w:rsidRPr="003E403A">
        <w:t>Lastly, it should be noted that due to its small size, the NAcc can be considered difficult to vi</w:t>
      </w:r>
      <w:r w:rsidR="002B30BD">
        <w:t>s</w:t>
      </w:r>
      <w:r w:rsidR="00AD4C57" w:rsidRPr="003E403A">
        <w:t>uali</w:t>
      </w:r>
      <w:r w:rsidR="00136AA5">
        <w:t>z</w:t>
      </w:r>
      <w:r w:rsidR="00AD4C57" w:rsidRPr="003E403A">
        <w:t>e and measure in terms of activation, which could hinder ability to detect subtle differences in activation</w:t>
      </w:r>
      <w:r w:rsidR="00AD4C57">
        <w:t>.</w:t>
      </w:r>
    </w:p>
    <w:p w14:paraId="20863D9B" w14:textId="410DFBD5" w:rsidR="00675C0C" w:rsidRPr="0049368F" w:rsidRDefault="008F4661" w:rsidP="00675C0C">
      <w:pPr>
        <w:autoSpaceDE w:val="0"/>
        <w:autoSpaceDN w:val="0"/>
        <w:adjustRightInd w:val="0"/>
        <w:spacing w:line="480" w:lineRule="auto"/>
        <w:rPr>
          <w:color w:val="000000"/>
        </w:rPr>
      </w:pPr>
      <w:r>
        <w:rPr>
          <w:lang w:val="en-GB"/>
        </w:rPr>
        <w:tab/>
      </w:r>
      <w:r w:rsidR="00675C0C" w:rsidRPr="0049368F">
        <w:rPr>
          <w:lang w:val="en"/>
        </w:rPr>
        <w:t xml:space="preserve">Several limitations should be considered in relation to the current study. The study was neither designed nor powered to evaluate possible effects of </w:t>
      </w:r>
      <w:r w:rsidR="00136AA5" w:rsidRPr="0049368F">
        <w:rPr>
          <w:lang w:val="en"/>
        </w:rPr>
        <w:t xml:space="preserve">previous </w:t>
      </w:r>
      <w:r w:rsidR="00675C0C" w:rsidRPr="0049368F">
        <w:rPr>
          <w:lang w:val="en"/>
        </w:rPr>
        <w:t>treatment on brain activation</w:t>
      </w:r>
      <w:r w:rsidR="009B4654">
        <w:rPr>
          <w:lang w:val="en"/>
        </w:rPr>
        <w:t>, nor the contribution of specific types of comorbidities</w:t>
      </w:r>
      <w:r w:rsidR="00675C0C" w:rsidRPr="0049368F">
        <w:rPr>
          <w:lang w:val="en"/>
        </w:rPr>
        <w:t>.</w:t>
      </w:r>
      <w:r w:rsidR="009B4654">
        <w:rPr>
          <w:lang w:val="en"/>
        </w:rPr>
        <w:t xml:space="preserve"> Overall though, brain findings did not differ as a function of whether patients did or did not have mental health comorbidities.</w:t>
      </w:r>
      <w:r w:rsidR="00675C0C" w:rsidRPr="0049368F">
        <w:rPr>
          <w:lang w:val="en"/>
        </w:rPr>
        <w:t xml:space="preserve"> </w:t>
      </w:r>
      <w:r w:rsidR="00136AA5" w:rsidRPr="0049368F">
        <w:rPr>
          <w:lang w:val="en"/>
        </w:rPr>
        <w:t>Also, although the total size of the study was fairly large, the number of participants with individual BFRBs may have been too small to detect differences between those with TTM, SPD or the comorbid condition.</w:t>
      </w:r>
      <w:r w:rsidR="0049368F" w:rsidRPr="0049368F">
        <w:rPr>
          <w:color w:val="222222"/>
          <w:shd w:val="clear" w:color="auto" w:fill="FFFFFF"/>
        </w:rPr>
        <w:t xml:space="preserve"> Fi</w:t>
      </w:r>
      <w:r w:rsidR="0049368F">
        <w:rPr>
          <w:color w:val="222222"/>
          <w:shd w:val="clear" w:color="auto" w:fill="FFFFFF"/>
        </w:rPr>
        <w:t>nally</w:t>
      </w:r>
      <w:r w:rsidR="0049368F" w:rsidRPr="0049368F">
        <w:rPr>
          <w:color w:val="222222"/>
          <w:shd w:val="clear" w:color="auto" w:fill="FFFFFF"/>
        </w:rPr>
        <w:t>, the current research was undertaken in a cohort</w:t>
      </w:r>
      <w:r w:rsidR="0049368F">
        <w:rPr>
          <w:color w:val="222222"/>
          <w:shd w:val="clear" w:color="auto" w:fill="FFFFFF"/>
        </w:rPr>
        <w:t xml:space="preserve"> that was largely female and </w:t>
      </w:r>
      <w:r w:rsidR="000C2ED3">
        <w:rPr>
          <w:color w:val="222222"/>
          <w:shd w:val="clear" w:color="auto" w:fill="FFFFFF"/>
        </w:rPr>
        <w:t xml:space="preserve">of </w:t>
      </w:r>
      <w:r w:rsidR="0049368F">
        <w:rPr>
          <w:color w:val="222222"/>
          <w:shd w:val="clear" w:color="auto" w:fill="FFFFFF"/>
        </w:rPr>
        <w:t>white</w:t>
      </w:r>
      <w:r w:rsidR="000C2ED3">
        <w:rPr>
          <w:color w:val="222222"/>
          <w:shd w:val="clear" w:color="auto" w:fill="FFFFFF"/>
        </w:rPr>
        <w:t xml:space="preserve"> racial-ethnic type</w:t>
      </w:r>
      <w:r w:rsidR="0049368F">
        <w:rPr>
          <w:color w:val="222222"/>
          <w:shd w:val="clear" w:color="auto" w:fill="FFFFFF"/>
        </w:rPr>
        <w:t xml:space="preserve"> and thus may not be</w:t>
      </w:r>
      <w:r w:rsidR="0049368F" w:rsidRPr="0049368F">
        <w:rPr>
          <w:color w:val="222222"/>
          <w:shd w:val="clear" w:color="auto" w:fill="FFFFFF"/>
        </w:rPr>
        <w:t xml:space="preserve"> representative of the </w:t>
      </w:r>
      <w:r w:rsidR="0049368F">
        <w:rPr>
          <w:color w:val="222222"/>
          <w:shd w:val="clear" w:color="auto" w:fill="FFFFFF"/>
        </w:rPr>
        <w:t>larger</w:t>
      </w:r>
      <w:r w:rsidR="0049368F" w:rsidRPr="0049368F">
        <w:rPr>
          <w:color w:val="222222"/>
          <w:shd w:val="clear" w:color="auto" w:fill="FFFFFF"/>
        </w:rPr>
        <w:t xml:space="preserve"> population</w:t>
      </w:r>
      <w:r w:rsidR="0049368F">
        <w:rPr>
          <w:color w:val="222222"/>
          <w:shd w:val="clear" w:color="auto" w:fill="FFFFFF"/>
        </w:rPr>
        <w:t xml:space="preserve"> of people with BFRBs</w:t>
      </w:r>
      <w:r w:rsidR="0049368F" w:rsidRPr="0049368F">
        <w:rPr>
          <w:color w:val="222222"/>
          <w:shd w:val="clear" w:color="auto" w:fill="FFFFFF"/>
        </w:rPr>
        <w:t>.</w:t>
      </w:r>
    </w:p>
    <w:p w14:paraId="18DFFBCF" w14:textId="756FBB5E" w:rsidR="0049368F" w:rsidRDefault="0049368F" w:rsidP="0049368F">
      <w:pPr>
        <w:spacing w:line="480" w:lineRule="auto"/>
        <w:ind w:firstLine="720"/>
        <w:rPr>
          <w:shd w:val="clear" w:color="auto" w:fill="FFFFFF"/>
        </w:rPr>
      </w:pPr>
      <w:r>
        <w:rPr>
          <w:color w:val="2E2E2E"/>
        </w:rPr>
        <w:t xml:space="preserve">In summary, </w:t>
      </w:r>
      <w:r>
        <w:rPr>
          <w:shd w:val="clear" w:color="auto" w:fill="FFFFFF"/>
        </w:rPr>
        <w:t xml:space="preserve">this large multi-center fMRI study </w:t>
      </w:r>
      <w:r w:rsidRPr="005B39FC">
        <w:rPr>
          <w:shd w:val="clear" w:color="auto" w:fill="FFFFFF"/>
        </w:rPr>
        <w:t>suggest</w:t>
      </w:r>
      <w:r>
        <w:rPr>
          <w:shd w:val="clear" w:color="auto" w:fill="FFFFFF"/>
        </w:rPr>
        <w:t>s</w:t>
      </w:r>
      <w:r w:rsidRPr="005B39FC">
        <w:rPr>
          <w:shd w:val="clear" w:color="auto" w:fill="FFFFFF"/>
        </w:rPr>
        <w:t xml:space="preserve"> that TTM </w:t>
      </w:r>
      <w:r>
        <w:rPr>
          <w:shd w:val="clear" w:color="auto" w:fill="FFFFFF"/>
        </w:rPr>
        <w:t xml:space="preserve">and SPD </w:t>
      </w:r>
      <w:r w:rsidR="000C2ED3">
        <w:rPr>
          <w:shd w:val="clear" w:color="auto" w:fill="FFFFFF"/>
        </w:rPr>
        <w:t xml:space="preserve">are associated with </w:t>
      </w:r>
      <w:r w:rsidRPr="005B39FC">
        <w:rPr>
          <w:shd w:val="clear" w:color="auto" w:fill="FFFFFF"/>
        </w:rPr>
        <w:t>disordered reward processing</w:t>
      </w:r>
      <w:r w:rsidR="000C2ED3">
        <w:rPr>
          <w:shd w:val="clear" w:color="auto" w:fill="FFFFFF"/>
        </w:rPr>
        <w:t>, linked to the inferior frontal gyrus</w:t>
      </w:r>
      <w:r>
        <w:rPr>
          <w:shd w:val="clear" w:color="auto" w:fill="FFFFFF"/>
        </w:rPr>
        <w:t>.  Ideally, understanding reward processing dysfunction should allow for improved</w:t>
      </w:r>
      <w:r w:rsidRPr="00E840C9">
        <w:rPr>
          <w:shd w:val="clear" w:color="auto" w:fill="FFFFFF"/>
        </w:rPr>
        <w:t xml:space="preserve"> treatment strategies</w:t>
      </w:r>
      <w:r>
        <w:rPr>
          <w:shd w:val="clear" w:color="auto" w:fill="FFFFFF"/>
        </w:rPr>
        <w:t xml:space="preserve"> via neuromodulation, pharmacotherapy or psychosocial interventions. </w:t>
      </w:r>
    </w:p>
    <w:p w14:paraId="0F33C1D9" w14:textId="5A4DCB4A" w:rsidR="002C25B3" w:rsidRDefault="002C25B3">
      <w:pPr>
        <w:rPr>
          <w:shd w:val="clear" w:color="auto" w:fill="FFFFFF"/>
        </w:rPr>
      </w:pPr>
      <w:r>
        <w:rPr>
          <w:shd w:val="clear" w:color="auto" w:fill="FFFFFF"/>
        </w:rPr>
        <w:br w:type="page"/>
      </w:r>
    </w:p>
    <w:p w14:paraId="54251BF2" w14:textId="77777777" w:rsidR="00B55BBF" w:rsidRDefault="00B55BBF" w:rsidP="00B55BBF">
      <w:pPr>
        <w:ind w:left="720" w:hanging="720"/>
      </w:pPr>
      <w:r w:rsidRPr="00657E51">
        <w:rPr>
          <w:b/>
          <w:i/>
        </w:rPr>
        <w:t>Author Contributions</w:t>
      </w:r>
      <w:r>
        <w:t xml:space="preserve">: </w:t>
      </w:r>
      <w:r w:rsidRPr="00321910">
        <w:t xml:space="preserve">Jon E. Grant, Tara Peris, Emily Rickets,  </w:t>
      </w:r>
      <w:r>
        <w:t xml:space="preserve">Samuel R. Chamberlain, </w:t>
      </w:r>
    </w:p>
    <w:p w14:paraId="503CDB47" w14:textId="77777777" w:rsidR="00B55BBF" w:rsidRDefault="00B55BBF" w:rsidP="00B55BBF">
      <w:pPr>
        <w:ind w:left="720" w:hanging="720"/>
      </w:pPr>
      <w:r w:rsidRPr="00321910">
        <w:t xml:space="preserve">Jeremiah Scharf, Darin Dougherty, </w:t>
      </w:r>
      <w:r>
        <w:t xml:space="preserve">Doug Woods, </w:t>
      </w:r>
      <w:r w:rsidRPr="00321910">
        <w:t>John Piacentini, Nancy J. Keuthen</w:t>
      </w:r>
      <w:r>
        <w:rPr>
          <w:b/>
        </w:rPr>
        <w:t xml:space="preserve"> </w:t>
      </w:r>
      <w:r>
        <w:t>all</w:t>
      </w:r>
    </w:p>
    <w:p w14:paraId="179A3D1F" w14:textId="77777777" w:rsidR="00B55BBF" w:rsidRDefault="00B55BBF" w:rsidP="00B55BBF">
      <w:pPr>
        <w:ind w:left="720" w:hanging="720"/>
      </w:pPr>
      <w:r>
        <w:t>made s</w:t>
      </w:r>
      <w:r w:rsidRPr="00321910">
        <w:t>ubstantial contributions to the conception or design</w:t>
      </w:r>
      <w:r>
        <w:t xml:space="preserve"> </w:t>
      </w:r>
      <w:r w:rsidRPr="00321910">
        <w:t>of the work</w:t>
      </w:r>
      <w:r>
        <w:t xml:space="preserve"> as well as</w:t>
      </w:r>
      <w:r w:rsidRPr="00321910">
        <w:t xml:space="preserve"> the </w:t>
      </w:r>
    </w:p>
    <w:p w14:paraId="6A24AD74" w14:textId="77777777" w:rsidR="00B55BBF" w:rsidRDefault="00B55BBF" w:rsidP="00B55BBF">
      <w:pPr>
        <w:ind w:left="720" w:hanging="720"/>
      </w:pPr>
      <w:r w:rsidRPr="00321910">
        <w:t>acquisition, analysis, or interpretation</w:t>
      </w:r>
      <w:r>
        <w:t xml:space="preserve"> </w:t>
      </w:r>
      <w:r w:rsidRPr="00321910">
        <w:t xml:space="preserve">of data; </w:t>
      </w:r>
      <w:r>
        <w:t xml:space="preserve">they all aided in drafting the work, gave </w:t>
      </w:r>
    </w:p>
    <w:p w14:paraId="0DF50CBE" w14:textId="77777777" w:rsidR="00B55BBF" w:rsidRDefault="00B55BBF" w:rsidP="00B55BBF">
      <w:pPr>
        <w:ind w:left="720" w:hanging="720"/>
      </w:pPr>
      <w:r>
        <w:t>f</w:t>
      </w:r>
      <w:r w:rsidRPr="00321910">
        <w:t xml:space="preserve">inal </w:t>
      </w:r>
      <w:r w:rsidRPr="003A612C">
        <w:t xml:space="preserve">approval of the version to be published; and agree to be accountable for all aspects </w:t>
      </w:r>
    </w:p>
    <w:p w14:paraId="1C7A8D21" w14:textId="77777777" w:rsidR="00B55BBF" w:rsidRDefault="00B55BBF" w:rsidP="00B55BBF">
      <w:pPr>
        <w:ind w:left="720" w:hanging="720"/>
      </w:pPr>
      <w:r w:rsidRPr="003A612C">
        <w:t xml:space="preserve">of the work in ensuring that questions related to the accuracy or integrity of any part of </w:t>
      </w:r>
    </w:p>
    <w:p w14:paraId="53FCFF29" w14:textId="1CE37887" w:rsidR="00B55BBF" w:rsidRPr="003A612C" w:rsidRDefault="00B55BBF" w:rsidP="00B55BBF">
      <w:pPr>
        <w:ind w:left="720" w:hanging="720"/>
      </w:pPr>
      <w:r w:rsidRPr="003A612C">
        <w:t>the work are appropriately investigated and resolved.</w:t>
      </w:r>
    </w:p>
    <w:p w14:paraId="2BD5A5C8" w14:textId="77777777" w:rsidR="00B55BBF" w:rsidRDefault="00B55BBF" w:rsidP="00B55BBF">
      <w:pPr>
        <w:ind w:left="720" w:hanging="720"/>
        <w:rPr>
          <w:b/>
          <w:i/>
        </w:rPr>
      </w:pPr>
    </w:p>
    <w:p w14:paraId="793E09ED" w14:textId="402D4F08" w:rsidR="00FA1119" w:rsidRDefault="00B55BBF" w:rsidP="00FA1119">
      <w:pPr>
        <w:ind w:left="720" w:hanging="720"/>
      </w:pPr>
      <w:r>
        <w:rPr>
          <w:b/>
          <w:i/>
        </w:rPr>
        <w:t>Funding:</w:t>
      </w:r>
      <w:r w:rsidR="00FA1119" w:rsidRPr="003A612C">
        <w:t xml:space="preserve"> This study was funded by the Body</w:t>
      </w:r>
      <w:r w:rsidR="00FA1119">
        <w:t>-</w:t>
      </w:r>
      <w:r w:rsidR="00FA1119" w:rsidRPr="003A612C">
        <w:t xml:space="preserve">Focused Precision Medicine </w:t>
      </w:r>
    </w:p>
    <w:p w14:paraId="5C0FBDB0" w14:textId="77777777" w:rsidR="00FA1119" w:rsidRDefault="00FA1119" w:rsidP="00FA1119">
      <w:pPr>
        <w:ind w:left="720" w:hanging="720"/>
      </w:pPr>
      <w:r>
        <w:t>I</w:t>
      </w:r>
      <w:r w:rsidRPr="003A612C">
        <w:t xml:space="preserve">nitiative granted by </w:t>
      </w:r>
      <w:r>
        <w:t>T</w:t>
      </w:r>
      <w:r w:rsidRPr="003A612C">
        <w:t>he TLC Foundation for Body</w:t>
      </w:r>
      <w:r>
        <w:t>-</w:t>
      </w:r>
      <w:r w:rsidRPr="003A612C">
        <w:t xml:space="preserve">Focused Repetitive Behaviors to </w:t>
      </w:r>
    </w:p>
    <w:p w14:paraId="62ECEBC4" w14:textId="77777777" w:rsidR="00FA1119" w:rsidRDefault="00FA1119" w:rsidP="00FA1119">
      <w:pPr>
        <w:ind w:left="720" w:hanging="720"/>
      </w:pPr>
      <w:r w:rsidRPr="003A612C">
        <w:t>University of Chicago (Dr. Grant</w:t>
      </w:r>
      <w:r>
        <w:t xml:space="preserve">), Massachusetts General Hospital (MGH)/Harvard (Dr. </w:t>
      </w:r>
    </w:p>
    <w:p w14:paraId="361DAE72" w14:textId="77777777" w:rsidR="00FA1119" w:rsidRDefault="00FA1119" w:rsidP="00FA1119">
      <w:pPr>
        <w:ind w:left="720" w:hanging="720"/>
      </w:pPr>
      <w:r>
        <w:t xml:space="preserve">Keuthen), and University of California, Los Angeles (UCLA) (Dr. Piacentini). Dr. </w:t>
      </w:r>
    </w:p>
    <w:p w14:paraId="2BBA2900" w14:textId="77777777" w:rsidR="00FA1119" w:rsidRDefault="00FA1119" w:rsidP="00FA1119">
      <w:pPr>
        <w:ind w:left="720" w:hanging="720"/>
      </w:pPr>
      <w:r>
        <w:t xml:space="preserve">Chamberlain’s involvement in this study was funded by a Wellcome Trust Clinical </w:t>
      </w:r>
    </w:p>
    <w:p w14:paraId="1FC3B9D2" w14:textId="77777777" w:rsidR="00FA1119" w:rsidRDefault="00FA1119" w:rsidP="00FA1119">
      <w:pPr>
        <w:ind w:left="720" w:hanging="720"/>
      </w:pPr>
      <w:r>
        <w:t>Fellowship (refs.</w:t>
      </w:r>
      <w:r w:rsidRPr="00776AE1">
        <w:t xml:space="preserve"> 110049/Z/15/Z</w:t>
      </w:r>
      <w:r>
        <w:t xml:space="preserve"> &amp; </w:t>
      </w:r>
      <w:r w:rsidRPr="00776AE1">
        <w:t>110049/Z/15/</w:t>
      </w:r>
      <w:r>
        <w:t>A). The TLC Foundation for Body-</w:t>
      </w:r>
    </w:p>
    <w:p w14:paraId="32BC7871" w14:textId="77777777" w:rsidR="00FA1119" w:rsidRDefault="00FA1119" w:rsidP="00FA1119">
      <w:pPr>
        <w:ind w:left="720" w:hanging="720"/>
      </w:pPr>
      <w:r>
        <w:t xml:space="preserve">Focused Repetitive Behaviors had no role in the design and conduct of the study; </w:t>
      </w:r>
    </w:p>
    <w:p w14:paraId="03656803" w14:textId="77777777" w:rsidR="00FA1119" w:rsidRDefault="00FA1119" w:rsidP="00FA1119">
      <w:pPr>
        <w:ind w:left="720" w:hanging="720"/>
      </w:pPr>
      <w:r>
        <w:t xml:space="preserve">collection, management, analysis, and interpretation of the data; preparation, review, or </w:t>
      </w:r>
    </w:p>
    <w:p w14:paraId="6453F036" w14:textId="77777777" w:rsidR="00FA1119" w:rsidRDefault="00FA1119" w:rsidP="00FA1119">
      <w:pPr>
        <w:ind w:left="720" w:hanging="720"/>
      </w:pPr>
      <w:r>
        <w:t xml:space="preserve">approval of the manuscript; and decision to submit the manuscript for publication. This </w:t>
      </w:r>
    </w:p>
    <w:p w14:paraId="03333F82" w14:textId="77777777" w:rsidR="00FA1119" w:rsidRDefault="00FA1119" w:rsidP="00FA1119">
      <w:pPr>
        <w:ind w:left="720" w:hanging="720"/>
      </w:pPr>
      <w:r>
        <w:t xml:space="preserve">study was completed with support from the REDCap project at the University of </w:t>
      </w:r>
    </w:p>
    <w:p w14:paraId="60180350" w14:textId="77777777" w:rsidR="00FA1119" w:rsidRDefault="00FA1119" w:rsidP="00FA1119">
      <w:pPr>
        <w:ind w:left="720" w:hanging="720"/>
      </w:pPr>
      <w:r>
        <w:t xml:space="preserve">Chicago, which is hosted and managed by the Center for Research Informatics and </w:t>
      </w:r>
    </w:p>
    <w:p w14:paraId="144410E6" w14:textId="77777777" w:rsidR="00FA1119" w:rsidRDefault="00FA1119" w:rsidP="00FA1119">
      <w:pPr>
        <w:ind w:left="720" w:hanging="720"/>
      </w:pPr>
      <w:r>
        <w:t xml:space="preserve">funded by the Biological Sciences Division and by the Institute for Translational </w:t>
      </w:r>
    </w:p>
    <w:p w14:paraId="12490333" w14:textId="77777777" w:rsidR="00FA1119" w:rsidRDefault="00FA1119" w:rsidP="00FA1119">
      <w:pPr>
        <w:ind w:left="720" w:hanging="720"/>
      </w:pPr>
      <w:r>
        <w:t xml:space="preserve">Medicine, CTSA grant number UL1 TR000430 from the National Institutes of Health. </w:t>
      </w:r>
    </w:p>
    <w:p w14:paraId="160C857C" w14:textId="77777777" w:rsidR="00FA1119" w:rsidRDefault="00FA1119" w:rsidP="00FA1119">
      <w:pPr>
        <w:pStyle w:val="CommentText"/>
        <w:rPr>
          <w:b/>
          <w:i/>
          <w:sz w:val="24"/>
          <w:szCs w:val="24"/>
        </w:rPr>
      </w:pPr>
    </w:p>
    <w:p w14:paraId="57C499EF" w14:textId="2C5243DC" w:rsidR="00B55BBF" w:rsidRDefault="00B55BBF" w:rsidP="00B55BBF">
      <w:r>
        <w:rPr>
          <w:b/>
          <w:i/>
        </w:rPr>
        <w:t>Compliance with Ethical Standards:</w:t>
      </w:r>
      <w:r w:rsidRPr="00B55BBF">
        <w:rPr>
          <w:color w:val="000000"/>
        </w:rPr>
        <w:t xml:space="preserve"> </w:t>
      </w:r>
      <w:r w:rsidRPr="00FF29DD">
        <w:rPr>
          <w:color w:val="000000"/>
        </w:rPr>
        <w:t xml:space="preserve">The </w:t>
      </w:r>
      <w:r>
        <w:rPr>
          <w:color w:val="000000"/>
        </w:rPr>
        <w:t>I</w:t>
      </w:r>
      <w:r w:rsidRPr="00FF29DD">
        <w:rPr>
          <w:color w:val="000000"/>
        </w:rPr>
        <w:t xml:space="preserve">nstitutional </w:t>
      </w:r>
      <w:r>
        <w:rPr>
          <w:color w:val="000000"/>
        </w:rPr>
        <w:t>R</w:t>
      </w:r>
      <w:r w:rsidRPr="00FF29DD">
        <w:rPr>
          <w:color w:val="000000"/>
        </w:rPr>
        <w:t xml:space="preserve">eview </w:t>
      </w:r>
      <w:r>
        <w:rPr>
          <w:color w:val="000000"/>
        </w:rPr>
        <w:t>B</w:t>
      </w:r>
      <w:r w:rsidRPr="00FF29DD">
        <w:rPr>
          <w:color w:val="000000"/>
        </w:rPr>
        <w:t>oard</w:t>
      </w:r>
      <w:r>
        <w:rPr>
          <w:color w:val="000000"/>
        </w:rPr>
        <w:t>s</w:t>
      </w:r>
      <w:r w:rsidRPr="00FF29DD">
        <w:rPr>
          <w:color w:val="000000"/>
        </w:rPr>
        <w:t xml:space="preserve"> for the University of Chicago</w:t>
      </w:r>
      <w:r>
        <w:rPr>
          <w:color w:val="000000"/>
        </w:rPr>
        <w:t xml:space="preserve">, </w:t>
      </w:r>
      <w:r w:rsidRPr="001664C1">
        <w:t xml:space="preserve">University of California, Los Angeles, </w:t>
      </w:r>
      <w:r>
        <w:t xml:space="preserve">and </w:t>
      </w:r>
      <w:r w:rsidRPr="001664C1">
        <w:t>Massachusetts General Hospital/Harvard</w:t>
      </w:r>
      <w:r>
        <w:t xml:space="preserve"> Medical School</w:t>
      </w:r>
      <w:r w:rsidRPr="001664C1">
        <w:t xml:space="preserve"> </w:t>
      </w:r>
      <w:r>
        <w:rPr>
          <w:color w:val="000000"/>
        </w:rPr>
        <w:t>a</w:t>
      </w:r>
      <w:r w:rsidRPr="00FF29DD">
        <w:rPr>
          <w:color w:val="000000"/>
        </w:rPr>
        <w:t xml:space="preserve">pproved the study </w:t>
      </w:r>
      <w:r>
        <w:rPr>
          <w:color w:val="000000"/>
        </w:rPr>
        <w:t xml:space="preserve">and </w:t>
      </w:r>
      <w:r w:rsidRPr="00FF29DD">
        <w:rPr>
          <w:color w:val="000000"/>
        </w:rPr>
        <w:t xml:space="preserve">the informed consent. </w:t>
      </w:r>
      <w:r>
        <w:rPr>
          <w:color w:val="000000"/>
        </w:rPr>
        <w:t xml:space="preserve">Data sharing agreements were arranged across all sites and neuroimaging equipment was synced across the sites. </w:t>
      </w:r>
      <w:r w:rsidRPr="003A272B">
        <w:rPr>
          <w:color w:val="000000"/>
        </w:rPr>
        <w:t xml:space="preserve">The authors assert that all procedures contributing to this work comply with the ethical standards of the relevant national and institutional committees on human experimentation and with the Helsinki Declaration of 1975, as revised in 2008.  </w:t>
      </w:r>
    </w:p>
    <w:p w14:paraId="66FA7233" w14:textId="03CFD900" w:rsidR="00B55BBF" w:rsidRPr="00B55BBF" w:rsidRDefault="00B55BBF" w:rsidP="00FA1119">
      <w:pPr>
        <w:pStyle w:val="CommentText"/>
        <w:rPr>
          <w:sz w:val="24"/>
          <w:szCs w:val="24"/>
        </w:rPr>
      </w:pPr>
    </w:p>
    <w:p w14:paraId="7969A43C" w14:textId="218C1889" w:rsidR="00FA1119" w:rsidRPr="001A7F4A" w:rsidRDefault="00B55BBF" w:rsidP="00FA1119">
      <w:pPr>
        <w:pStyle w:val="CommentText"/>
        <w:rPr>
          <w:sz w:val="24"/>
          <w:szCs w:val="24"/>
        </w:rPr>
      </w:pPr>
      <w:r>
        <w:rPr>
          <w:b/>
          <w:i/>
          <w:sz w:val="24"/>
          <w:szCs w:val="24"/>
        </w:rPr>
        <w:t>Conflict of Interests</w:t>
      </w:r>
      <w:r w:rsidR="00FA1119" w:rsidRPr="001A7F4A">
        <w:rPr>
          <w:sz w:val="24"/>
          <w:szCs w:val="24"/>
        </w:rPr>
        <w:t>: Dr. Grant has received research grants from Biohaven, Promentis, and Otsuka Pharmaceuticals.  Dr. Grant receives yearly compensation from Springer Publishing for acting as Editor-in-Chief of the Journal of Gambling Studies and has received royalties from Oxford University Press, American Psychiatric Publishing, Inc., Norton Press, and McGraw Hill. Dr. Chamberlain consults for Promentis; and receives stipends from Elsevier for editorial journal work. The other authors report no conflicts. Dr. Dougherty receives research support and honoraria from Medtronic, Inc. Dr. Woods has received royalties from Oxford University Press and Springer Press. Dr. Piacentini has received research grants from NIMH, the Tourette Association of America, and Pfizer.  He receives travel support and honoraria from the Tourette Association of America and the International OCD Foundation and book royalties from Guilford Publications and Oxford University Press. Dr Keuthen has received prior research grants from The TLC Foundation for Body-Focused Repetitive Behaviors and royalties from New Harbinger, Inc.</w:t>
      </w:r>
      <w:r w:rsidR="00FA1119" w:rsidRPr="003D2983">
        <w:rPr>
          <w:sz w:val="24"/>
          <w:szCs w:val="24"/>
        </w:rPr>
        <w:t xml:space="preserve"> </w:t>
      </w:r>
      <w:r w:rsidR="00FA1119">
        <w:rPr>
          <w:sz w:val="24"/>
          <w:szCs w:val="24"/>
        </w:rPr>
        <w:t>T</w:t>
      </w:r>
      <w:r w:rsidR="00FA1119" w:rsidRPr="003D2983">
        <w:rPr>
          <w:sz w:val="24"/>
          <w:szCs w:val="24"/>
        </w:rPr>
        <w:t>he remaining authors have nothing to disclose.</w:t>
      </w:r>
    </w:p>
    <w:p w14:paraId="7A433BB5" w14:textId="77777777" w:rsidR="002C25B3" w:rsidRPr="003A612C" w:rsidRDefault="002C25B3" w:rsidP="002C25B3">
      <w:pPr>
        <w:ind w:left="720" w:hanging="720"/>
      </w:pPr>
    </w:p>
    <w:p w14:paraId="35672649" w14:textId="00103282" w:rsidR="00B55BBF" w:rsidRDefault="00B55BBF" w:rsidP="00B55BBF">
      <w:pPr>
        <w:autoSpaceDE w:val="0"/>
        <w:autoSpaceDN w:val="0"/>
        <w:adjustRightInd w:val="0"/>
        <w:rPr>
          <w:color w:val="000000"/>
        </w:rPr>
      </w:pPr>
      <w:r>
        <w:rPr>
          <w:rFonts w:ascii="Calibri,Bold" w:hAnsi="Calibri,Bold" w:cs="Calibri,Bold"/>
          <w:b/>
          <w:bCs/>
        </w:rPr>
        <w:t xml:space="preserve">Consent to participate:  </w:t>
      </w:r>
      <w:r>
        <w:rPr>
          <w:color w:val="000000"/>
        </w:rPr>
        <w:t xml:space="preserve">Prior to obtaining written informed consent, the </w:t>
      </w:r>
      <w:r w:rsidRPr="0067442F">
        <w:rPr>
          <w:color w:val="000000"/>
        </w:rPr>
        <w:t>investigator</w:t>
      </w:r>
      <w:r>
        <w:rPr>
          <w:color w:val="000000"/>
        </w:rPr>
        <w:t>s</w:t>
      </w:r>
      <w:r w:rsidRPr="0067442F">
        <w:rPr>
          <w:color w:val="000000"/>
        </w:rPr>
        <w:t xml:space="preserve"> </w:t>
      </w:r>
      <w:r>
        <w:rPr>
          <w:color w:val="000000"/>
        </w:rPr>
        <w:t>provided a</w:t>
      </w:r>
      <w:r w:rsidRPr="0067442F">
        <w:rPr>
          <w:color w:val="000000"/>
        </w:rPr>
        <w:t xml:space="preserve"> complete description of the study</w:t>
      </w:r>
      <w:r>
        <w:rPr>
          <w:color w:val="000000"/>
        </w:rPr>
        <w:t xml:space="preserve">, </w:t>
      </w:r>
      <w:r w:rsidRPr="0067442F">
        <w:rPr>
          <w:color w:val="000000"/>
        </w:rPr>
        <w:t>discussed potential risks</w:t>
      </w:r>
      <w:r>
        <w:rPr>
          <w:color w:val="000000"/>
        </w:rPr>
        <w:t xml:space="preserve">, and answered questions regarding the study.  After that, </w:t>
      </w:r>
      <w:r w:rsidRPr="0067442F">
        <w:rPr>
          <w:color w:val="000000"/>
        </w:rPr>
        <w:t>participants provided written informed consent</w:t>
      </w:r>
    </w:p>
    <w:p w14:paraId="086E6299" w14:textId="77777777" w:rsidR="00B55BBF" w:rsidRDefault="00B55BBF" w:rsidP="00B55BBF">
      <w:pPr>
        <w:autoSpaceDE w:val="0"/>
        <w:autoSpaceDN w:val="0"/>
        <w:adjustRightInd w:val="0"/>
        <w:rPr>
          <w:rFonts w:ascii="Calibri" w:hAnsi="Calibri" w:cs="Calibri"/>
        </w:rPr>
      </w:pPr>
    </w:p>
    <w:p w14:paraId="5134876D" w14:textId="7A8FBD6C" w:rsidR="00B55BBF" w:rsidRDefault="00B55BBF" w:rsidP="00B55BBF">
      <w:pPr>
        <w:autoSpaceDE w:val="0"/>
        <w:autoSpaceDN w:val="0"/>
        <w:adjustRightInd w:val="0"/>
        <w:rPr>
          <w:rFonts w:ascii="Calibri" w:hAnsi="Calibri" w:cs="Calibri"/>
        </w:rPr>
      </w:pPr>
      <w:r>
        <w:rPr>
          <w:rFonts w:ascii="Calibri,Bold" w:hAnsi="Calibri,Bold" w:cs="Calibri,Bold"/>
          <w:b/>
          <w:bCs/>
        </w:rPr>
        <w:t xml:space="preserve">Consent for publication </w:t>
      </w:r>
      <w:r>
        <w:rPr>
          <w:rFonts w:ascii="Calibri" w:hAnsi="Calibri" w:cs="Calibri"/>
        </w:rPr>
        <w:t>NA</w:t>
      </w:r>
    </w:p>
    <w:p w14:paraId="33151166" w14:textId="77777777" w:rsidR="00B55BBF" w:rsidRDefault="00B55BBF" w:rsidP="00B55BBF">
      <w:pPr>
        <w:autoSpaceDE w:val="0"/>
        <w:autoSpaceDN w:val="0"/>
        <w:adjustRightInd w:val="0"/>
        <w:rPr>
          <w:rFonts w:ascii="Calibri,Bold" w:hAnsi="Calibri,Bold" w:cs="Calibri,Bold"/>
          <w:b/>
          <w:bCs/>
        </w:rPr>
      </w:pPr>
    </w:p>
    <w:p w14:paraId="673C3052" w14:textId="4AC6436A" w:rsidR="00B55BBF" w:rsidRPr="00B55BBF" w:rsidRDefault="00B55BBF" w:rsidP="00B55BBF">
      <w:pPr>
        <w:autoSpaceDE w:val="0"/>
        <w:autoSpaceDN w:val="0"/>
        <w:adjustRightInd w:val="0"/>
        <w:rPr>
          <w:rFonts w:ascii="Calibri" w:hAnsi="Calibri" w:cs="Calibri"/>
        </w:rPr>
      </w:pPr>
      <w:r>
        <w:rPr>
          <w:rFonts w:ascii="Calibri,Bold" w:hAnsi="Calibri,Bold" w:cs="Calibri,Bold"/>
          <w:b/>
          <w:bCs/>
        </w:rPr>
        <w:t xml:space="preserve">Availability of data and material: </w:t>
      </w:r>
      <w:r w:rsidRPr="00B55BBF">
        <w:rPr>
          <w:rFonts w:ascii="Calibri,Bold" w:hAnsi="Calibri,Bold" w:cs="Calibri,Bold"/>
          <w:bCs/>
        </w:rPr>
        <w:t>Data available upon request</w:t>
      </w:r>
    </w:p>
    <w:p w14:paraId="4A49525E" w14:textId="77777777" w:rsidR="00B55BBF" w:rsidRDefault="00B55BBF" w:rsidP="00B55BBF">
      <w:pPr>
        <w:ind w:left="720" w:hanging="720"/>
        <w:rPr>
          <w:rFonts w:ascii="Calibri,Bold" w:hAnsi="Calibri,Bold" w:cs="Calibri,Bold"/>
          <w:b/>
          <w:bCs/>
        </w:rPr>
      </w:pPr>
    </w:p>
    <w:p w14:paraId="6596ECF9" w14:textId="5EAF439E" w:rsidR="002C25B3" w:rsidRDefault="00B55BBF" w:rsidP="00B55BBF">
      <w:pPr>
        <w:ind w:left="720" w:hanging="720"/>
      </w:pPr>
      <w:r>
        <w:rPr>
          <w:rFonts w:ascii="Calibri,Bold" w:hAnsi="Calibri,Bold" w:cs="Calibri,Bold"/>
          <w:b/>
          <w:bCs/>
        </w:rPr>
        <w:t xml:space="preserve">Code availability </w:t>
      </w:r>
      <w:r w:rsidRPr="00B55BBF">
        <w:rPr>
          <w:rFonts w:ascii="Calibri,Bold" w:hAnsi="Calibri,Bold" w:cs="Calibri,Bold"/>
          <w:bCs/>
        </w:rPr>
        <w:t>NA</w:t>
      </w:r>
    </w:p>
    <w:p w14:paraId="6A0E034B" w14:textId="77777777" w:rsidR="002C25B3" w:rsidRDefault="002C25B3" w:rsidP="002C25B3">
      <w:pPr>
        <w:ind w:left="720" w:hanging="720"/>
        <w:rPr>
          <w:b/>
          <w:i/>
        </w:rPr>
      </w:pPr>
    </w:p>
    <w:p w14:paraId="1F3B8BA0" w14:textId="77777777" w:rsidR="00AC3E82" w:rsidRDefault="00AC3E82">
      <w:pPr>
        <w:rPr>
          <w:b/>
        </w:rPr>
      </w:pPr>
      <w:r>
        <w:rPr>
          <w:b/>
        </w:rPr>
        <w:br w:type="page"/>
      </w:r>
    </w:p>
    <w:p w14:paraId="4A683451" w14:textId="5D8688DD" w:rsidR="00AC3E82" w:rsidRPr="00AC3E82" w:rsidRDefault="00AC3E82">
      <w:r>
        <w:rPr>
          <w:b/>
        </w:rPr>
        <w:t xml:space="preserve">Figure 1. </w:t>
      </w:r>
      <w:r>
        <w:t>Anticipation of reward during win trials</w:t>
      </w:r>
    </w:p>
    <w:p w14:paraId="51C7DE87" w14:textId="77777777" w:rsidR="00AC3E82" w:rsidRDefault="00AC3E82">
      <w:pPr>
        <w:rPr>
          <w:b/>
        </w:rPr>
      </w:pPr>
    </w:p>
    <w:p w14:paraId="7BB0AF7D" w14:textId="77777777" w:rsidR="00AC3E82" w:rsidRDefault="00AC3E82">
      <w:pPr>
        <w:rPr>
          <w:b/>
        </w:rPr>
      </w:pPr>
    </w:p>
    <w:p w14:paraId="127EDC53" w14:textId="77777777" w:rsidR="00AC3E82" w:rsidRDefault="00AC3E82">
      <w:pPr>
        <w:rPr>
          <w:b/>
        </w:rPr>
      </w:pPr>
    </w:p>
    <w:p w14:paraId="27D71566" w14:textId="77777777" w:rsidR="00AC3E82" w:rsidRDefault="00AC3E82">
      <w:pPr>
        <w:rPr>
          <w:b/>
        </w:rPr>
      </w:pPr>
    </w:p>
    <w:p w14:paraId="211AC2E7" w14:textId="77D79510" w:rsidR="00AC3E82" w:rsidRPr="00AC3E82" w:rsidRDefault="00AC3E82">
      <w:r>
        <w:rPr>
          <w:b/>
        </w:rPr>
        <w:t xml:space="preserve">Figure 2. </w:t>
      </w:r>
      <w:r>
        <w:t>Anticipation of reward during loss trials</w:t>
      </w:r>
    </w:p>
    <w:p w14:paraId="00495F74" w14:textId="77777777" w:rsidR="00AC3E82" w:rsidRDefault="00AC3E82">
      <w:pPr>
        <w:rPr>
          <w:b/>
        </w:rPr>
      </w:pPr>
    </w:p>
    <w:p w14:paraId="19DF8357" w14:textId="77777777" w:rsidR="00AC3E82" w:rsidRDefault="00AC3E82">
      <w:pPr>
        <w:rPr>
          <w:b/>
        </w:rPr>
      </w:pPr>
    </w:p>
    <w:p w14:paraId="2EBE5BCD" w14:textId="77777777" w:rsidR="00AC3E82" w:rsidRDefault="00AC3E82">
      <w:pPr>
        <w:rPr>
          <w:b/>
        </w:rPr>
      </w:pPr>
    </w:p>
    <w:p w14:paraId="015CBB35" w14:textId="77777777" w:rsidR="00AC3E82" w:rsidRDefault="00AC3E82">
      <w:pPr>
        <w:rPr>
          <w:b/>
        </w:rPr>
      </w:pPr>
    </w:p>
    <w:p w14:paraId="5F8A85E2" w14:textId="77777777" w:rsidR="00AC3E82" w:rsidRDefault="00AC3E82">
      <w:r>
        <w:rPr>
          <w:b/>
        </w:rPr>
        <w:t xml:space="preserve">Figure 3. </w:t>
      </w:r>
      <w:r>
        <w:t>Win and loss anticipation across groups</w:t>
      </w:r>
    </w:p>
    <w:p w14:paraId="70A8104B" w14:textId="77777777" w:rsidR="00AC3E82" w:rsidRDefault="00AC3E82"/>
    <w:p w14:paraId="7A86002F" w14:textId="77777777" w:rsidR="00AC3E82" w:rsidRDefault="00AC3E82"/>
    <w:p w14:paraId="01C1FD7E" w14:textId="77777777" w:rsidR="00AC3E82" w:rsidRDefault="00AC3E82"/>
    <w:p w14:paraId="26F401BF" w14:textId="16872143" w:rsidR="0094590A" w:rsidRDefault="0094590A">
      <w:r>
        <w:br w:type="page"/>
      </w:r>
    </w:p>
    <w:p w14:paraId="5913D530" w14:textId="77777777" w:rsidR="00AC3E82" w:rsidRDefault="00AC3E82"/>
    <w:p w14:paraId="0A268C57" w14:textId="77777777" w:rsidR="00AC3E82" w:rsidRPr="006965D4" w:rsidRDefault="00AC3E82" w:rsidP="00AC3E82">
      <w:r w:rsidRPr="006965D4">
        <w:rPr>
          <w:b/>
          <w:bCs/>
          <w:color w:val="000000"/>
        </w:rPr>
        <w:t xml:space="preserve">Table 1. </w:t>
      </w:r>
      <w:r w:rsidRPr="006965D4">
        <w:rPr>
          <w:bCs/>
          <w:color w:val="000000"/>
        </w:rPr>
        <w:t xml:space="preserve">Cluster sizes and p values, along with </w:t>
      </w:r>
      <w:r w:rsidRPr="006965D4">
        <w:rPr>
          <w:color w:val="000000"/>
        </w:rPr>
        <w:t xml:space="preserve">peak coordinates for </w:t>
      </w:r>
      <w:r>
        <w:rPr>
          <w:color w:val="000000"/>
        </w:rPr>
        <w:t xml:space="preserve">anticipation of reward </w:t>
      </w:r>
      <w:r w:rsidRPr="006965D4">
        <w:rPr>
          <w:color w:val="000000"/>
        </w:rPr>
        <w:t>hyperactivation in the BFRB group</w:t>
      </w:r>
    </w:p>
    <w:p w14:paraId="03E2969D" w14:textId="77777777" w:rsidR="00AC3E82" w:rsidRPr="00CF6982" w:rsidRDefault="00AC3E82" w:rsidP="00AC3E82"/>
    <w:tbl>
      <w:tblPr>
        <w:tblW w:w="9360" w:type="dxa"/>
        <w:tblCellMar>
          <w:top w:w="15" w:type="dxa"/>
          <w:left w:w="15" w:type="dxa"/>
          <w:bottom w:w="15" w:type="dxa"/>
          <w:right w:w="15" w:type="dxa"/>
        </w:tblCellMar>
        <w:tblLook w:val="04A0" w:firstRow="1" w:lastRow="0" w:firstColumn="1" w:lastColumn="0" w:noHBand="0" w:noVBand="1"/>
      </w:tblPr>
      <w:tblGrid>
        <w:gridCol w:w="1399"/>
        <w:gridCol w:w="751"/>
        <w:gridCol w:w="1197"/>
        <w:gridCol w:w="863"/>
        <w:gridCol w:w="1726"/>
        <w:gridCol w:w="1726"/>
        <w:gridCol w:w="1698"/>
      </w:tblGrid>
      <w:tr w:rsidR="00AC3E82" w:rsidRPr="00CF6982" w14:paraId="63815571" w14:textId="77777777" w:rsidTr="006C133E">
        <w:tc>
          <w:tcPr>
            <w:tcW w:w="0" w:type="auto"/>
            <w:tcBorders>
              <w:bottom w:val="single" w:sz="18" w:space="0" w:color="000000"/>
              <w:right w:val="single" w:sz="12" w:space="0" w:color="000000"/>
            </w:tcBorders>
            <w:tcMar>
              <w:top w:w="20" w:type="dxa"/>
              <w:left w:w="20" w:type="dxa"/>
              <w:bottom w:w="100" w:type="dxa"/>
              <w:right w:w="20" w:type="dxa"/>
            </w:tcMar>
            <w:vAlign w:val="bottom"/>
            <w:hideMark/>
          </w:tcPr>
          <w:p w14:paraId="26B8C790" w14:textId="77777777" w:rsidR="00AC3E82" w:rsidRPr="006965D4" w:rsidRDefault="00AC3E82" w:rsidP="006C133E">
            <w:pPr>
              <w:jc w:val="center"/>
            </w:pPr>
            <w:r w:rsidRPr="006965D4">
              <w:rPr>
                <w:color w:val="000000"/>
              </w:rPr>
              <w:t>Cluster Index</w:t>
            </w:r>
          </w:p>
        </w:tc>
        <w:tc>
          <w:tcPr>
            <w:tcW w:w="0" w:type="auto"/>
            <w:tcBorders>
              <w:left w:val="single" w:sz="12" w:space="0" w:color="000000"/>
              <w:bottom w:val="single" w:sz="18" w:space="0" w:color="000000"/>
            </w:tcBorders>
            <w:tcMar>
              <w:top w:w="20" w:type="dxa"/>
              <w:left w:w="20" w:type="dxa"/>
              <w:bottom w:w="100" w:type="dxa"/>
              <w:right w:w="20" w:type="dxa"/>
            </w:tcMar>
            <w:vAlign w:val="bottom"/>
            <w:hideMark/>
          </w:tcPr>
          <w:p w14:paraId="19CCB549" w14:textId="77777777" w:rsidR="00AC3E82" w:rsidRPr="006965D4" w:rsidRDefault="00AC3E82" w:rsidP="006C133E">
            <w:pPr>
              <w:jc w:val="center"/>
            </w:pPr>
            <w:r w:rsidRPr="006965D4">
              <w:rPr>
                <w:color w:val="000000"/>
              </w:rPr>
              <w:t>Voxels</w:t>
            </w:r>
          </w:p>
        </w:tc>
        <w:tc>
          <w:tcPr>
            <w:tcW w:w="0" w:type="auto"/>
            <w:tcBorders>
              <w:bottom w:val="single" w:sz="18" w:space="0" w:color="000000"/>
            </w:tcBorders>
            <w:tcMar>
              <w:top w:w="20" w:type="dxa"/>
              <w:left w:w="20" w:type="dxa"/>
              <w:bottom w:w="100" w:type="dxa"/>
              <w:right w:w="20" w:type="dxa"/>
            </w:tcMar>
            <w:vAlign w:val="bottom"/>
            <w:hideMark/>
          </w:tcPr>
          <w:p w14:paraId="5D537986" w14:textId="77777777" w:rsidR="00AC3E82" w:rsidRPr="006965D4" w:rsidRDefault="00AC3E82" w:rsidP="006C133E">
            <w:pPr>
              <w:jc w:val="center"/>
            </w:pPr>
            <w:r w:rsidRPr="006965D4">
              <w:rPr>
                <w:color w:val="000000"/>
              </w:rPr>
              <w:t>P-corrected</w:t>
            </w:r>
          </w:p>
        </w:tc>
        <w:tc>
          <w:tcPr>
            <w:tcW w:w="0" w:type="auto"/>
            <w:tcBorders>
              <w:bottom w:val="single" w:sz="18" w:space="0" w:color="000000"/>
            </w:tcBorders>
            <w:tcMar>
              <w:top w:w="20" w:type="dxa"/>
              <w:left w:w="20" w:type="dxa"/>
              <w:bottom w:w="100" w:type="dxa"/>
              <w:right w:w="20" w:type="dxa"/>
            </w:tcMar>
            <w:vAlign w:val="bottom"/>
            <w:hideMark/>
          </w:tcPr>
          <w:p w14:paraId="6669F8DF" w14:textId="77777777" w:rsidR="00AC3E82" w:rsidRPr="006965D4" w:rsidRDefault="00AC3E82" w:rsidP="006C133E">
            <w:pPr>
              <w:jc w:val="center"/>
            </w:pPr>
            <w:r w:rsidRPr="006965D4">
              <w:rPr>
                <w:color w:val="000000"/>
              </w:rPr>
              <w:t>Z-MAX</w:t>
            </w:r>
          </w:p>
        </w:tc>
        <w:tc>
          <w:tcPr>
            <w:tcW w:w="0" w:type="auto"/>
            <w:tcBorders>
              <w:bottom w:val="single" w:sz="18" w:space="0" w:color="000000"/>
            </w:tcBorders>
            <w:tcMar>
              <w:top w:w="20" w:type="dxa"/>
              <w:left w:w="20" w:type="dxa"/>
              <w:bottom w:w="100" w:type="dxa"/>
              <w:right w:w="20" w:type="dxa"/>
            </w:tcMar>
            <w:vAlign w:val="bottom"/>
            <w:hideMark/>
          </w:tcPr>
          <w:p w14:paraId="0A7D7222" w14:textId="77777777" w:rsidR="00AC3E82" w:rsidRPr="006965D4" w:rsidRDefault="00AC3E82" w:rsidP="006C133E">
            <w:pPr>
              <w:jc w:val="center"/>
            </w:pPr>
            <w:r w:rsidRPr="006965D4">
              <w:rPr>
                <w:color w:val="000000"/>
              </w:rPr>
              <w:t>Z-MAX X (mm)</w:t>
            </w:r>
          </w:p>
        </w:tc>
        <w:tc>
          <w:tcPr>
            <w:tcW w:w="0" w:type="auto"/>
            <w:tcBorders>
              <w:bottom w:val="single" w:sz="18" w:space="0" w:color="000000"/>
            </w:tcBorders>
            <w:tcMar>
              <w:top w:w="20" w:type="dxa"/>
              <w:left w:w="20" w:type="dxa"/>
              <w:bottom w:w="100" w:type="dxa"/>
              <w:right w:w="20" w:type="dxa"/>
            </w:tcMar>
            <w:vAlign w:val="bottom"/>
            <w:hideMark/>
          </w:tcPr>
          <w:p w14:paraId="09904424" w14:textId="77777777" w:rsidR="00AC3E82" w:rsidRPr="006965D4" w:rsidRDefault="00AC3E82" w:rsidP="006C133E">
            <w:pPr>
              <w:jc w:val="center"/>
            </w:pPr>
            <w:r w:rsidRPr="006965D4">
              <w:rPr>
                <w:color w:val="000000"/>
              </w:rPr>
              <w:t>Z-MAX Y (mm)</w:t>
            </w:r>
          </w:p>
        </w:tc>
        <w:tc>
          <w:tcPr>
            <w:tcW w:w="0" w:type="auto"/>
            <w:tcBorders>
              <w:bottom w:val="single" w:sz="18" w:space="0" w:color="000000"/>
            </w:tcBorders>
            <w:tcMar>
              <w:top w:w="20" w:type="dxa"/>
              <w:left w:w="20" w:type="dxa"/>
              <w:bottom w:w="100" w:type="dxa"/>
              <w:right w:w="20" w:type="dxa"/>
            </w:tcMar>
            <w:vAlign w:val="bottom"/>
            <w:hideMark/>
          </w:tcPr>
          <w:p w14:paraId="7E92DEFC" w14:textId="77777777" w:rsidR="00AC3E82" w:rsidRPr="006965D4" w:rsidRDefault="00AC3E82" w:rsidP="006C133E">
            <w:pPr>
              <w:jc w:val="center"/>
            </w:pPr>
            <w:r w:rsidRPr="006965D4">
              <w:rPr>
                <w:color w:val="000000"/>
              </w:rPr>
              <w:t>Z-MAX Z (mm)</w:t>
            </w:r>
          </w:p>
        </w:tc>
      </w:tr>
      <w:tr w:rsidR="00AC3E82" w:rsidRPr="00CF6982" w14:paraId="07F0D872" w14:textId="77777777" w:rsidTr="006C133E">
        <w:tc>
          <w:tcPr>
            <w:tcW w:w="0" w:type="auto"/>
            <w:tcBorders>
              <w:top w:val="single" w:sz="18" w:space="0" w:color="000000"/>
              <w:right w:val="single" w:sz="12" w:space="0" w:color="000000"/>
            </w:tcBorders>
            <w:tcMar>
              <w:top w:w="20" w:type="dxa"/>
              <w:left w:w="20" w:type="dxa"/>
              <w:bottom w:w="100" w:type="dxa"/>
              <w:right w:w="20" w:type="dxa"/>
            </w:tcMar>
            <w:vAlign w:val="bottom"/>
            <w:hideMark/>
          </w:tcPr>
          <w:p w14:paraId="73B7BF77" w14:textId="77777777" w:rsidR="00AC3E82" w:rsidRPr="006965D4" w:rsidRDefault="00AC3E82" w:rsidP="006C133E">
            <w:pPr>
              <w:jc w:val="center"/>
            </w:pPr>
            <w:r w:rsidRPr="006965D4">
              <w:rPr>
                <w:color w:val="000000"/>
              </w:rPr>
              <w:t>2</w:t>
            </w:r>
          </w:p>
        </w:tc>
        <w:tc>
          <w:tcPr>
            <w:tcW w:w="0" w:type="auto"/>
            <w:tcBorders>
              <w:top w:val="single" w:sz="18" w:space="0" w:color="000000"/>
              <w:left w:val="single" w:sz="12" w:space="0" w:color="000000"/>
            </w:tcBorders>
            <w:tcMar>
              <w:top w:w="20" w:type="dxa"/>
              <w:left w:w="20" w:type="dxa"/>
              <w:bottom w:w="100" w:type="dxa"/>
              <w:right w:w="20" w:type="dxa"/>
            </w:tcMar>
            <w:vAlign w:val="bottom"/>
            <w:hideMark/>
          </w:tcPr>
          <w:p w14:paraId="6B393C40" w14:textId="77777777" w:rsidR="00AC3E82" w:rsidRPr="006965D4" w:rsidRDefault="00AC3E82" w:rsidP="006C133E">
            <w:pPr>
              <w:jc w:val="center"/>
            </w:pPr>
            <w:r w:rsidRPr="006965D4">
              <w:rPr>
                <w:color w:val="000000"/>
              </w:rPr>
              <w:t>879</w:t>
            </w:r>
          </w:p>
        </w:tc>
        <w:tc>
          <w:tcPr>
            <w:tcW w:w="0" w:type="auto"/>
            <w:tcBorders>
              <w:top w:val="single" w:sz="18" w:space="0" w:color="000000"/>
            </w:tcBorders>
            <w:tcMar>
              <w:top w:w="20" w:type="dxa"/>
              <w:left w:w="20" w:type="dxa"/>
              <w:bottom w:w="100" w:type="dxa"/>
              <w:right w:w="20" w:type="dxa"/>
            </w:tcMar>
            <w:vAlign w:val="bottom"/>
            <w:hideMark/>
          </w:tcPr>
          <w:p w14:paraId="0DC9658E" w14:textId="77777777" w:rsidR="00AC3E82" w:rsidRPr="006965D4" w:rsidRDefault="00AC3E82" w:rsidP="006C133E">
            <w:pPr>
              <w:jc w:val="center"/>
            </w:pPr>
            <w:r w:rsidRPr="006965D4">
              <w:rPr>
                <w:color w:val="000000"/>
              </w:rPr>
              <w:t>0.00102</w:t>
            </w:r>
          </w:p>
        </w:tc>
        <w:tc>
          <w:tcPr>
            <w:tcW w:w="0" w:type="auto"/>
            <w:tcBorders>
              <w:top w:val="single" w:sz="18" w:space="0" w:color="000000"/>
            </w:tcBorders>
            <w:tcMar>
              <w:top w:w="20" w:type="dxa"/>
              <w:left w:w="20" w:type="dxa"/>
              <w:bottom w:w="100" w:type="dxa"/>
              <w:right w:w="20" w:type="dxa"/>
            </w:tcMar>
            <w:vAlign w:val="bottom"/>
            <w:hideMark/>
          </w:tcPr>
          <w:p w14:paraId="0249A745" w14:textId="77777777" w:rsidR="00AC3E82" w:rsidRPr="006965D4" w:rsidRDefault="00AC3E82" w:rsidP="006C133E">
            <w:pPr>
              <w:jc w:val="center"/>
            </w:pPr>
            <w:r w:rsidRPr="006965D4">
              <w:rPr>
                <w:color w:val="000000"/>
              </w:rPr>
              <w:t>4.14</w:t>
            </w:r>
          </w:p>
        </w:tc>
        <w:tc>
          <w:tcPr>
            <w:tcW w:w="0" w:type="auto"/>
            <w:tcBorders>
              <w:top w:val="single" w:sz="18" w:space="0" w:color="000000"/>
            </w:tcBorders>
            <w:tcMar>
              <w:top w:w="20" w:type="dxa"/>
              <w:left w:w="20" w:type="dxa"/>
              <w:bottom w:w="100" w:type="dxa"/>
              <w:right w:w="20" w:type="dxa"/>
            </w:tcMar>
            <w:vAlign w:val="bottom"/>
            <w:hideMark/>
          </w:tcPr>
          <w:p w14:paraId="5EA2BBC2" w14:textId="77777777" w:rsidR="00AC3E82" w:rsidRPr="006965D4" w:rsidRDefault="00AC3E82" w:rsidP="006C133E">
            <w:pPr>
              <w:jc w:val="center"/>
            </w:pPr>
            <w:r w:rsidRPr="006965D4">
              <w:rPr>
                <w:color w:val="000000"/>
              </w:rPr>
              <w:t>44</w:t>
            </w:r>
          </w:p>
        </w:tc>
        <w:tc>
          <w:tcPr>
            <w:tcW w:w="0" w:type="auto"/>
            <w:tcBorders>
              <w:top w:val="single" w:sz="18" w:space="0" w:color="000000"/>
            </w:tcBorders>
            <w:tcMar>
              <w:top w:w="20" w:type="dxa"/>
              <w:left w:w="20" w:type="dxa"/>
              <w:bottom w:w="100" w:type="dxa"/>
              <w:right w:w="20" w:type="dxa"/>
            </w:tcMar>
            <w:vAlign w:val="bottom"/>
            <w:hideMark/>
          </w:tcPr>
          <w:p w14:paraId="2409FC70" w14:textId="77777777" w:rsidR="00AC3E82" w:rsidRPr="006965D4" w:rsidRDefault="00AC3E82" w:rsidP="006C133E">
            <w:pPr>
              <w:jc w:val="center"/>
            </w:pPr>
            <w:r w:rsidRPr="006965D4">
              <w:rPr>
                <w:color w:val="000000"/>
              </w:rPr>
              <w:t>10</w:t>
            </w:r>
          </w:p>
        </w:tc>
        <w:tc>
          <w:tcPr>
            <w:tcW w:w="0" w:type="auto"/>
            <w:tcBorders>
              <w:top w:val="single" w:sz="18" w:space="0" w:color="000000"/>
            </w:tcBorders>
            <w:tcMar>
              <w:top w:w="20" w:type="dxa"/>
              <w:left w:w="20" w:type="dxa"/>
              <w:bottom w:w="100" w:type="dxa"/>
              <w:right w:w="20" w:type="dxa"/>
            </w:tcMar>
            <w:vAlign w:val="bottom"/>
            <w:hideMark/>
          </w:tcPr>
          <w:p w14:paraId="2E2621F1" w14:textId="77777777" w:rsidR="00AC3E82" w:rsidRPr="006965D4" w:rsidRDefault="00AC3E82" w:rsidP="006C133E">
            <w:pPr>
              <w:jc w:val="center"/>
            </w:pPr>
            <w:r w:rsidRPr="006965D4">
              <w:rPr>
                <w:color w:val="000000"/>
              </w:rPr>
              <w:t>30</w:t>
            </w:r>
          </w:p>
        </w:tc>
      </w:tr>
      <w:tr w:rsidR="00AC3E82" w:rsidRPr="00CF6982" w14:paraId="4E3204B9" w14:textId="77777777" w:rsidTr="006C133E">
        <w:tc>
          <w:tcPr>
            <w:tcW w:w="0" w:type="auto"/>
            <w:tcBorders>
              <w:right w:val="single" w:sz="12" w:space="0" w:color="000000"/>
            </w:tcBorders>
            <w:tcMar>
              <w:top w:w="20" w:type="dxa"/>
              <w:left w:w="20" w:type="dxa"/>
              <w:bottom w:w="100" w:type="dxa"/>
              <w:right w:w="20" w:type="dxa"/>
            </w:tcMar>
            <w:vAlign w:val="bottom"/>
            <w:hideMark/>
          </w:tcPr>
          <w:p w14:paraId="3DAC423D" w14:textId="77777777" w:rsidR="00AC3E82" w:rsidRPr="006965D4" w:rsidRDefault="00AC3E82" w:rsidP="006C133E">
            <w:pPr>
              <w:jc w:val="center"/>
            </w:pPr>
            <w:r w:rsidRPr="006965D4">
              <w:rPr>
                <w:color w:val="000000"/>
              </w:rPr>
              <w:t>1</w:t>
            </w:r>
          </w:p>
        </w:tc>
        <w:tc>
          <w:tcPr>
            <w:tcW w:w="0" w:type="auto"/>
            <w:tcBorders>
              <w:left w:val="single" w:sz="12" w:space="0" w:color="000000"/>
            </w:tcBorders>
            <w:tcMar>
              <w:top w:w="20" w:type="dxa"/>
              <w:left w:w="20" w:type="dxa"/>
              <w:bottom w:w="100" w:type="dxa"/>
              <w:right w:w="20" w:type="dxa"/>
            </w:tcMar>
            <w:vAlign w:val="bottom"/>
            <w:hideMark/>
          </w:tcPr>
          <w:p w14:paraId="1475FA2D" w14:textId="77777777" w:rsidR="00AC3E82" w:rsidRPr="006965D4" w:rsidRDefault="00AC3E82" w:rsidP="006C133E">
            <w:pPr>
              <w:jc w:val="center"/>
            </w:pPr>
            <w:r w:rsidRPr="006965D4">
              <w:rPr>
                <w:color w:val="000000"/>
              </w:rPr>
              <w:t>481</w:t>
            </w:r>
          </w:p>
        </w:tc>
        <w:tc>
          <w:tcPr>
            <w:tcW w:w="0" w:type="auto"/>
            <w:tcMar>
              <w:top w:w="20" w:type="dxa"/>
              <w:left w:w="20" w:type="dxa"/>
              <w:bottom w:w="100" w:type="dxa"/>
              <w:right w:w="20" w:type="dxa"/>
            </w:tcMar>
            <w:vAlign w:val="bottom"/>
            <w:hideMark/>
          </w:tcPr>
          <w:p w14:paraId="0D0B45ED" w14:textId="77777777" w:rsidR="00AC3E82" w:rsidRPr="006965D4" w:rsidRDefault="00AC3E82" w:rsidP="006C133E">
            <w:pPr>
              <w:jc w:val="center"/>
            </w:pPr>
            <w:r w:rsidRPr="006965D4">
              <w:rPr>
                <w:color w:val="000000"/>
              </w:rPr>
              <w:t>0.048</w:t>
            </w:r>
          </w:p>
        </w:tc>
        <w:tc>
          <w:tcPr>
            <w:tcW w:w="0" w:type="auto"/>
            <w:tcMar>
              <w:top w:w="20" w:type="dxa"/>
              <w:left w:w="20" w:type="dxa"/>
              <w:bottom w:w="100" w:type="dxa"/>
              <w:right w:w="20" w:type="dxa"/>
            </w:tcMar>
            <w:vAlign w:val="bottom"/>
            <w:hideMark/>
          </w:tcPr>
          <w:p w14:paraId="048643B5" w14:textId="77777777" w:rsidR="00AC3E82" w:rsidRPr="006965D4" w:rsidRDefault="00AC3E82" w:rsidP="006C133E">
            <w:pPr>
              <w:jc w:val="center"/>
            </w:pPr>
            <w:r w:rsidRPr="006965D4">
              <w:rPr>
                <w:color w:val="000000"/>
              </w:rPr>
              <w:t>4.19</w:t>
            </w:r>
          </w:p>
        </w:tc>
        <w:tc>
          <w:tcPr>
            <w:tcW w:w="0" w:type="auto"/>
            <w:tcMar>
              <w:top w:w="20" w:type="dxa"/>
              <w:left w:w="20" w:type="dxa"/>
              <w:bottom w:w="100" w:type="dxa"/>
              <w:right w:w="20" w:type="dxa"/>
            </w:tcMar>
            <w:vAlign w:val="bottom"/>
            <w:hideMark/>
          </w:tcPr>
          <w:p w14:paraId="2DE0297B" w14:textId="77777777" w:rsidR="00AC3E82" w:rsidRPr="006965D4" w:rsidRDefault="00AC3E82" w:rsidP="006C133E">
            <w:pPr>
              <w:jc w:val="center"/>
            </w:pPr>
            <w:r w:rsidRPr="006965D4">
              <w:rPr>
                <w:color w:val="000000"/>
              </w:rPr>
              <w:t>-38</w:t>
            </w:r>
          </w:p>
        </w:tc>
        <w:tc>
          <w:tcPr>
            <w:tcW w:w="0" w:type="auto"/>
            <w:tcMar>
              <w:top w:w="20" w:type="dxa"/>
              <w:left w:w="20" w:type="dxa"/>
              <w:bottom w:w="100" w:type="dxa"/>
              <w:right w:w="20" w:type="dxa"/>
            </w:tcMar>
            <w:vAlign w:val="bottom"/>
            <w:hideMark/>
          </w:tcPr>
          <w:p w14:paraId="0BA42C67" w14:textId="77777777" w:rsidR="00AC3E82" w:rsidRPr="006965D4" w:rsidRDefault="00AC3E82" w:rsidP="006C133E">
            <w:pPr>
              <w:jc w:val="center"/>
            </w:pPr>
            <w:r w:rsidRPr="006965D4">
              <w:rPr>
                <w:color w:val="000000"/>
              </w:rPr>
              <w:t>10</w:t>
            </w:r>
          </w:p>
        </w:tc>
        <w:tc>
          <w:tcPr>
            <w:tcW w:w="0" w:type="auto"/>
            <w:tcMar>
              <w:top w:w="20" w:type="dxa"/>
              <w:left w:w="20" w:type="dxa"/>
              <w:bottom w:w="100" w:type="dxa"/>
              <w:right w:w="20" w:type="dxa"/>
            </w:tcMar>
            <w:vAlign w:val="bottom"/>
            <w:hideMark/>
          </w:tcPr>
          <w:p w14:paraId="3448214B" w14:textId="77777777" w:rsidR="00AC3E82" w:rsidRPr="006965D4" w:rsidRDefault="00AC3E82" w:rsidP="006C133E">
            <w:pPr>
              <w:jc w:val="center"/>
            </w:pPr>
            <w:r w:rsidRPr="006965D4">
              <w:rPr>
                <w:color w:val="000000"/>
              </w:rPr>
              <w:t>22</w:t>
            </w:r>
          </w:p>
        </w:tc>
      </w:tr>
    </w:tbl>
    <w:p w14:paraId="6FEC1C2C" w14:textId="77777777" w:rsidR="00AC3E82" w:rsidRDefault="00AC3E82" w:rsidP="00AC3E82">
      <w:pPr>
        <w:rPr>
          <w:b/>
        </w:rPr>
      </w:pPr>
    </w:p>
    <w:p w14:paraId="5001C490" w14:textId="77777777" w:rsidR="00AC3E82" w:rsidRDefault="00AC3E82" w:rsidP="00AC3E82"/>
    <w:p w14:paraId="6EDE9676" w14:textId="77777777" w:rsidR="00AC3E82" w:rsidRDefault="00AC3E82" w:rsidP="00AC3E82"/>
    <w:p w14:paraId="6C3F1803" w14:textId="68E68813" w:rsidR="0094590A" w:rsidRDefault="0094590A">
      <w:r>
        <w:br w:type="page"/>
      </w:r>
    </w:p>
    <w:p w14:paraId="6EFF217B" w14:textId="77777777" w:rsidR="00AC3E82" w:rsidRDefault="00AC3E82" w:rsidP="00AC3E82"/>
    <w:p w14:paraId="4B8921B3" w14:textId="77777777" w:rsidR="00AC3E82" w:rsidRDefault="00AC3E82" w:rsidP="00AC3E82"/>
    <w:p w14:paraId="66DEBE8B" w14:textId="77777777" w:rsidR="00AC3E82" w:rsidRPr="006965D4" w:rsidRDefault="00AC3E82" w:rsidP="00AC3E82">
      <w:r w:rsidRPr="006965D4">
        <w:rPr>
          <w:b/>
          <w:bCs/>
          <w:color w:val="000000"/>
        </w:rPr>
        <w:t>Table 2</w:t>
      </w:r>
      <w:r w:rsidRPr="006965D4">
        <w:rPr>
          <w:bCs/>
          <w:color w:val="000000"/>
        </w:rPr>
        <w:t xml:space="preserve">. Cluster sizes and p values, along with </w:t>
      </w:r>
      <w:r w:rsidRPr="006965D4">
        <w:rPr>
          <w:color w:val="000000"/>
        </w:rPr>
        <w:t xml:space="preserve">peak coordinates </w:t>
      </w:r>
      <w:r>
        <w:rPr>
          <w:color w:val="000000"/>
        </w:rPr>
        <w:t>for anticipation of loss</w:t>
      </w:r>
      <w:r w:rsidRPr="006965D4">
        <w:rPr>
          <w:color w:val="000000"/>
        </w:rPr>
        <w:t xml:space="preserve"> hyperactivation in the BFRB group.</w:t>
      </w:r>
    </w:p>
    <w:p w14:paraId="0A40D7A1" w14:textId="77777777" w:rsidR="00AC3E82" w:rsidRPr="006965D4" w:rsidRDefault="00AC3E82" w:rsidP="00AC3E82"/>
    <w:tbl>
      <w:tblPr>
        <w:tblW w:w="9360" w:type="dxa"/>
        <w:tblCellMar>
          <w:top w:w="15" w:type="dxa"/>
          <w:left w:w="15" w:type="dxa"/>
          <w:bottom w:w="15" w:type="dxa"/>
          <w:right w:w="15" w:type="dxa"/>
        </w:tblCellMar>
        <w:tblLook w:val="04A0" w:firstRow="1" w:lastRow="0" w:firstColumn="1" w:lastColumn="0" w:noHBand="0" w:noVBand="1"/>
      </w:tblPr>
      <w:tblGrid>
        <w:gridCol w:w="1399"/>
        <w:gridCol w:w="751"/>
        <w:gridCol w:w="1197"/>
        <w:gridCol w:w="863"/>
        <w:gridCol w:w="1726"/>
        <w:gridCol w:w="1726"/>
        <w:gridCol w:w="1698"/>
      </w:tblGrid>
      <w:tr w:rsidR="00AC3E82" w:rsidRPr="006965D4" w14:paraId="55FED30C" w14:textId="77777777" w:rsidTr="006C133E">
        <w:tc>
          <w:tcPr>
            <w:tcW w:w="0" w:type="auto"/>
            <w:tcBorders>
              <w:bottom w:val="single" w:sz="18" w:space="0" w:color="000000"/>
              <w:right w:val="single" w:sz="12" w:space="0" w:color="000000"/>
            </w:tcBorders>
            <w:tcMar>
              <w:top w:w="20" w:type="dxa"/>
              <w:left w:w="20" w:type="dxa"/>
              <w:bottom w:w="100" w:type="dxa"/>
              <w:right w:w="20" w:type="dxa"/>
            </w:tcMar>
            <w:vAlign w:val="bottom"/>
            <w:hideMark/>
          </w:tcPr>
          <w:p w14:paraId="749CFC00" w14:textId="77777777" w:rsidR="00AC3E82" w:rsidRPr="006965D4" w:rsidRDefault="00AC3E82" w:rsidP="006C133E">
            <w:pPr>
              <w:jc w:val="center"/>
            </w:pPr>
            <w:r w:rsidRPr="006965D4">
              <w:rPr>
                <w:color w:val="000000"/>
              </w:rPr>
              <w:t>Cluster Index</w:t>
            </w:r>
          </w:p>
        </w:tc>
        <w:tc>
          <w:tcPr>
            <w:tcW w:w="0" w:type="auto"/>
            <w:tcBorders>
              <w:left w:val="single" w:sz="12" w:space="0" w:color="000000"/>
              <w:bottom w:val="single" w:sz="18" w:space="0" w:color="000000"/>
            </w:tcBorders>
            <w:tcMar>
              <w:top w:w="20" w:type="dxa"/>
              <w:left w:w="20" w:type="dxa"/>
              <w:bottom w:w="100" w:type="dxa"/>
              <w:right w:w="20" w:type="dxa"/>
            </w:tcMar>
            <w:vAlign w:val="bottom"/>
            <w:hideMark/>
          </w:tcPr>
          <w:p w14:paraId="457C74E6" w14:textId="77777777" w:rsidR="00AC3E82" w:rsidRPr="006965D4" w:rsidRDefault="00AC3E82" w:rsidP="006C133E">
            <w:pPr>
              <w:jc w:val="right"/>
            </w:pPr>
            <w:r w:rsidRPr="006965D4">
              <w:rPr>
                <w:color w:val="000000"/>
              </w:rPr>
              <w:t>Voxels</w:t>
            </w:r>
          </w:p>
        </w:tc>
        <w:tc>
          <w:tcPr>
            <w:tcW w:w="0" w:type="auto"/>
            <w:tcBorders>
              <w:bottom w:val="single" w:sz="18" w:space="0" w:color="000000"/>
            </w:tcBorders>
            <w:tcMar>
              <w:top w:w="20" w:type="dxa"/>
              <w:left w:w="20" w:type="dxa"/>
              <w:bottom w:w="100" w:type="dxa"/>
              <w:right w:w="20" w:type="dxa"/>
            </w:tcMar>
            <w:vAlign w:val="bottom"/>
            <w:hideMark/>
          </w:tcPr>
          <w:p w14:paraId="529D80C8" w14:textId="77777777" w:rsidR="00AC3E82" w:rsidRPr="006965D4" w:rsidRDefault="00AC3E82" w:rsidP="006C133E">
            <w:pPr>
              <w:jc w:val="right"/>
            </w:pPr>
            <w:r w:rsidRPr="006965D4">
              <w:rPr>
                <w:color w:val="000000"/>
              </w:rPr>
              <w:t>P-corrected</w:t>
            </w:r>
          </w:p>
        </w:tc>
        <w:tc>
          <w:tcPr>
            <w:tcW w:w="0" w:type="auto"/>
            <w:tcBorders>
              <w:bottom w:val="single" w:sz="18" w:space="0" w:color="000000"/>
            </w:tcBorders>
            <w:tcMar>
              <w:top w:w="20" w:type="dxa"/>
              <w:left w:w="20" w:type="dxa"/>
              <w:bottom w:w="100" w:type="dxa"/>
              <w:right w:w="20" w:type="dxa"/>
            </w:tcMar>
            <w:vAlign w:val="bottom"/>
            <w:hideMark/>
          </w:tcPr>
          <w:p w14:paraId="7F6261B4" w14:textId="77777777" w:rsidR="00AC3E82" w:rsidRPr="006965D4" w:rsidRDefault="00AC3E82" w:rsidP="006C133E">
            <w:pPr>
              <w:jc w:val="right"/>
            </w:pPr>
            <w:r w:rsidRPr="006965D4">
              <w:rPr>
                <w:color w:val="000000"/>
              </w:rPr>
              <w:t>Z-MAX</w:t>
            </w:r>
          </w:p>
        </w:tc>
        <w:tc>
          <w:tcPr>
            <w:tcW w:w="0" w:type="auto"/>
            <w:tcBorders>
              <w:bottom w:val="single" w:sz="18" w:space="0" w:color="000000"/>
            </w:tcBorders>
            <w:tcMar>
              <w:top w:w="20" w:type="dxa"/>
              <w:left w:w="20" w:type="dxa"/>
              <w:bottom w:w="100" w:type="dxa"/>
              <w:right w:w="20" w:type="dxa"/>
            </w:tcMar>
            <w:vAlign w:val="bottom"/>
            <w:hideMark/>
          </w:tcPr>
          <w:p w14:paraId="7C4B298D" w14:textId="77777777" w:rsidR="00AC3E82" w:rsidRPr="006965D4" w:rsidRDefault="00AC3E82" w:rsidP="006C133E">
            <w:pPr>
              <w:jc w:val="right"/>
            </w:pPr>
            <w:r w:rsidRPr="006965D4">
              <w:rPr>
                <w:color w:val="000000"/>
              </w:rPr>
              <w:t>Z-MAX X (mm)</w:t>
            </w:r>
          </w:p>
        </w:tc>
        <w:tc>
          <w:tcPr>
            <w:tcW w:w="0" w:type="auto"/>
            <w:tcBorders>
              <w:bottom w:val="single" w:sz="18" w:space="0" w:color="000000"/>
            </w:tcBorders>
            <w:tcMar>
              <w:top w:w="20" w:type="dxa"/>
              <w:left w:w="20" w:type="dxa"/>
              <w:bottom w:w="100" w:type="dxa"/>
              <w:right w:w="20" w:type="dxa"/>
            </w:tcMar>
            <w:vAlign w:val="bottom"/>
            <w:hideMark/>
          </w:tcPr>
          <w:p w14:paraId="6A860D77" w14:textId="77777777" w:rsidR="00AC3E82" w:rsidRPr="006965D4" w:rsidRDefault="00AC3E82" w:rsidP="006C133E">
            <w:pPr>
              <w:jc w:val="right"/>
            </w:pPr>
            <w:r w:rsidRPr="006965D4">
              <w:rPr>
                <w:color w:val="000000"/>
              </w:rPr>
              <w:t>Z-MAX Y (mm)</w:t>
            </w:r>
          </w:p>
        </w:tc>
        <w:tc>
          <w:tcPr>
            <w:tcW w:w="0" w:type="auto"/>
            <w:tcBorders>
              <w:bottom w:val="single" w:sz="18" w:space="0" w:color="000000"/>
            </w:tcBorders>
            <w:tcMar>
              <w:top w:w="20" w:type="dxa"/>
              <w:left w:w="20" w:type="dxa"/>
              <w:bottom w:w="100" w:type="dxa"/>
              <w:right w:w="20" w:type="dxa"/>
            </w:tcMar>
            <w:vAlign w:val="bottom"/>
            <w:hideMark/>
          </w:tcPr>
          <w:p w14:paraId="33BF8930" w14:textId="77777777" w:rsidR="00AC3E82" w:rsidRPr="006965D4" w:rsidRDefault="00AC3E82" w:rsidP="006C133E">
            <w:pPr>
              <w:jc w:val="right"/>
            </w:pPr>
            <w:r w:rsidRPr="006965D4">
              <w:rPr>
                <w:color w:val="000000"/>
              </w:rPr>
              <w:t>Z-MAX Z (mm)</w:t>
            </w:r>
          </w:p>
        </w:tc>
      </w:tr>
      <w:tr w:rsidR="00AC3E82" w:rsidRPr="006965D4" w14:paraId="0A23DF9A" w14:textId="77777777" w:rsidTr="006C133E">
        <w:tc>
          <w:tcPr>
            <w:tcW w:w="0" w:type="auto"/>
            <w:tcBorders>
              <w:top w:val="single" w:sz="18" w:space="0" w:color="000000"/>
              <w:right w:val="single" w:sz="12" w:space="0" w:color="000000"/>
            </w:tcBorders>
            <w:tcMar>
              <w:top w:w="20" w:type="dxa"/>
              <w:left w:w="20" w:type="dxa"/>
              <w:bottom w:w="100" w:type="dxa"/>
              <w:right w:w="20" w:type="dxa"/>
            </w:tcMar>
            <w:vAlign w:val="bottom"/>
            <w:hideMark/>
          </w:tcPr>
          <w:p w14:paraId="2BF360AE" w14:textId="77777777" w:rsidR="00AC3E82" w:rsidRPr="006965D4" w:rsidRDefault="00AC3E82" w:rsidP="006C133E">
            <w:pPr>
              <w:jc w:val="center"/>
            </w:pPr>
            <w:r w:rsidRPr="006965D4">
              <w:rPr>
                <w:color w:val="000000"/>
              </w:rPr>
              <w:t>4</w:t>
            </w:r>
          </w:p>
        </w:tc>
        <w:tc>
          <w:tcPr>
            <w:tcW w:w="0" w:type="auto"/>
            <w:tcBorders>
              <w:top w:val="single" w:sz="18" w:space="0" w:color="000000"/>
              <w:left w:val="single" w:sz="12" w:space="0" w:color="000000"/>
            </w:tcBorders>
            <w:tcMar>
              <w:top w:w="20" w:type="dxa"/>
              <w:left w:w="20" w:type="dxa"/>
              <w:bottom w:w="100" w:type="dxa"/>
              <w:right w:w="20" w:type="dxa"/>
            </w:tcMar>
            <w:vAlign w:val="bottom"/>
            <w:hideMark/>
          </w:tcPr>
          <w:p w14:paraId="32D0CD93" w14:textId="77777777" w:rsidR="00AC3E82" w:rsidRPr="006965D4" w:rsidRDefault="00AC3E82" w:rsidP="006C133E">
            <w:pPr>
              <w:jc w:val="right"/>
            </w:pPr>
            <w:r w:rsidRPr="006965D4">
              <w:rPr>
                <w:color w:val="000000"/>
              </w:rPr>
              <w:t>816</w:t>
            </w:r>
          </w:p>
        </w:tc>
        <w:tc>
          <w:tcPr>
            <w:tcW w:w="0" w:type="auto"/>
            <w:tcBorders>
              <w:top w:val="single" w:sz="18" w:space="0" w:color="000000"/>
            </w:tcBorders>
            <w:tcMar>
              <w:top w:w="20" w:type="dxa"/>
              <w:left w:w="20" w:type="dxa"/>
              <w:bottom w:w="100" w:type="dxa"/>
              <w:right w:w="20" w:type="dxa"/>
            </w:tcMar>
            <w:vAlign w:val="bottom"/>
            <w:hideMark/>
          </w:tcPr>
          <w:p w14:paraId="0F6B5C7E" w14:textId="77777777" w:rsidR="00AC3E82" w:rsidRPr="006965D4" w:rsidRDefault="00AC3E82" w:rsidP="006C133E">
            <w:pPr>
              <w:jc w:val="right"/>
            </w:pPr>
            <w:r w:rsidRPr="006965D4">
              <w:rPr>
                <w:color w:val="000000"/>
              </w:rPr>
              <w:t>0.00162</w:t>
            </w:r>
          </w:p>
        </w:tc>
        <w:tc>
          <w:tcPr>
            <w:tcW w:w="0" w:type="auto"/>
            <w:tcBorders>
              <w:top w:val="single" w:sz="18" w:space="0" w:color="000000"/>
            </w:tcBorders>
            <w:tcMar>
              <w:top w:w="20" w:type="dxa"/>
              <w:left w:w="20" w:type="dxa"/>
              <w:bottom w:w="100" w:type="dxa"/>
              <w:right w:w="20" w:type="dxa"/>
            </w:tcMar>
            <w:vAlign w:val="bottom"/>
            <w:hideMark/>
          </w:tcPr>
          <w:p w14:paraId="24C80A51" w14:textId="77777777" w:rsidR="00AC3E82" w:rsidRPr="006965D4" w:rsidRDefault="00AC3E82" w:rsidP="006C133E">
            <w:pPr>
              <w:jc w:val="right"/>
            </w:pPr>
            <w:r w:rsidRPr="006965D4">
              <w:rPr>
                <w:color w:val="000000"/>
              </w:rPr>
              <w:t>4.22</w:t>
            </w:r>
          </w:p>
        </w:tc>
        <w:tc>
          <w:tcPr>
            <w:tcW w:w="0" w:type="auto"/>
            <w:tcBorders>
              <w:top w:val="single" w:sz="18" w:space="0" w:color="000000"/>
            </w:tcBorders>
            <w:tcMar>
              <w:top w:w="20" w:type="dxa"/>
              <w:left w:w="20" w:type="dxa"/>
              <w:bottom w:w="100" w:type="dxa"/>
              <w:right w:w="20" w:type="dxa"/>
            </w:tcMar>
            <w:vAlign w:val="bottom"/>
            <w:hideMark/>
          </w:tcPr>
          <w:p w14:paraId="29409646" w14:textId="77777777" w:rsidR="00AC3E82" w:rsidRPr="006965D4" w:rsidRDefault="00AC3E82" w:rsidP="006C133E">
            <w:pPr>
              <w:jc w:val="right"/>
            </w:pPr>
            <w:r w:rsidRPr="006965D4">
              <w:rPr>
                <w:color w:val="000000"/>
              </w:rPr>
              <w:t>46</w:t>
            </w:r>
          </w:p>
        </w:tc>
        <w:tc>
          <w:tcPr>
            <w:tcW w:w="0" w:type="auto"/>
            <w:tcBorders>
              <w:top w:val="single" w:sz="18" w:space="0" w:color="000000"/>
            </w:tcBorders>
            <w:tcMar>
              <w:top w:w="20" w:type="dxa"/>
              <w:left w:w="20" w:type="dxa"/>
              <w:bottom w:w="100" w:type="dxa"/>
              <w:right w:w="20" w:type="dxa"/>
            </w:tcMar>
            <w:vAlign w:val="bottom"/>
            <w:hideMark/>
          </w:tcPr>
          <w:p w14:paraId="2DD1D4E5" w14:textId="77777777" w:rsidR="00AC3E82" w:rsidRPr="006965D4" w:rsidRDefault="00AC3E82" w:rsidP="006C133E">
            <w:pPr>
              <w:jc w:val="right"/>
            </w:pPr>
            <w:r w:rsidRPr="006965D4">
              <w:rPr>
                <w:color w:val="000000"/>
              </w:rPr>
              <w:t>12</w:t>
            </w:r>
          </w:p>
        </w:tc>
        <w:tc>
          <w:tcPr>
            <w:tcW w:w="0" w:type="auto"/>
            <w:tcBorders>
              <w:top w:val="single" w:sz="18" w:space="0" w:color="000000"/>
            </w:tcBorders>
            <w:tcMar>
              <w:top w:w="20" w:type="dxa"/>
              <w:left w:w="20" w:type="dxa"/>
              <w:bottom w:w="100" w:type="dxa"/>
              <w:right w:w="20" w:type="dxa"/>
            </w:tcMar>
            <w:vAlign w:val="bottom"/>
            <w:hideMark/>
          </w:tcPr>
          <w:p w14:paraId="65E12A62" w14:textId="77777777" w:rsidR="00AC3E82" w:rsidRPr="006965D4" w:rsidRDefault="00AC3E82" w:rsidP="006C133E">
            <w:pPr>
              <w:jc w:val="right"/>
            </w:pPr>
            <w:r w:rsidRPr="006965D4">
              <w:rPr>
                <w:color w:val="000000"/>
              </w:rPr>
              <w:t>28</w:t>
            </w:r>
          </w:p>
        </w:tc>
      </w:tr>
      <w:tr w:rsidR="00AC3E82" w:rsidRPr="006965D4" w14:paraId="051B861C" w14:textId="77777777" w:rsidTr="006C133E">
        <w:tc>
          <w:tcPr>
            <w:tcW w:w="0" w:type="auto"/>
            <w:tcBorders>
              <w:right w:val="single" w:sz="12" w:space="0" w:color="000000"/>
            </w:tcBorders>
            <w:tcMar>
              <w:top w:w="20" w:type="dxa"/>
              <w:left w:w="20" w:type="dxa"/>
              <w:bottom w:w="100" w:type="dxa"/>
              <w:right w:w="20" w:type="dxa"/>
            </w:tcMar>
            <w:vAlign w:val="bottom"/>
            <w:hideMark/>
          </w:tcPr>
          <w:p w14:paraId="1D45BCF0" w14:textId="77777777" w:rsidR="00AC3E82" w:rsidRPr="006965D4" w:rsidRDefault="00AC3E82" w:rsidP="006C133E">
            <w:pPr>
              <w:jc w:val="center"/>
            </w:pPr>
            <w:r w:rsidRPr="006965D4">
              <w:rPr>
                <w:color w:val="000000"/>
              </w:rPr>
              <w:t>3</w:t>
            </w:r>
          </w:p>
        </w:tc>
        <w:tc>
          <w:tcPr>
            <w:tcW w:w="0" w:type="auto"/>
            <w:tcBorders>
              <w:left w:val="single" w:sz="12" w:space="0" w:color="000000"/>
            </w:tcBorders>
            <w:tcMar>
              <w:top w:w="20" w:type="dxa"/>
              <w:left w:w="20" w:type="dxa"/>
              <w:bottom w:w="100" w:type="dxa"/>
              <w:right w:w="20" w:type="dxa"/>
            </w:tcMar>
            <w:vAlign w:val="bottom"/>
            <w:hideMark/>
          </w:tcPr>
          <w:p w14:paraId="176DFA30" w14:textId="77777777" w:rsidR="00AC3E82" w:rsidRPr="006965D4" w:rsidRDefault="00AC3E82" w:rsidP="006C133E">
            <w:pPr>
              <w:jc w:val="right"/>
            </w:pPr>
            <w:r w:rsidRPr="006965D4">
              <w:rPr>
                <w:color w:val="000000"/>
              </w:rPr>
              <w:t>729</w:t>
            </w:r>
          </w:p>
        </w:tc>
        <w:tc>
          <w:tcPr>
            <w:tcW w:w="0" w:type="auto"/>
            <w:tcMar>
              <w:top w:w="20" w:type="dxa"/>
              <w:left w:w="20" w:type="dxa"/>
              <w:bottom w:w="100" w:type="dxa"/>
              <w:right w:w="20" w:type="dxa"/>
            </w:tcMar>
            <w:vAlign w:val="bottom"/>
            <w:hideMark/>
          </w:tcPr>
          <w:p w14:paraId="7123C359" w14:textId="77777777" w:rsidR="00AC3E82" w:rsidRPr="006965D4" w:rsidRDefault="00AC3E82" w:rsidP="006C133E">
            <w:pPr>
              <w:jc w:val="right"/>
            </w:pPr>
            <w:r w:rsidRPr="006965D4">
              <w:rPr>
                <w:color w:val="000000"/>
              </w:rPr>
              <w:t>0.00365</w:t>
            </w:r>
          </w:p>
        </w:tc>
        <w:tc>
          <w:tcPr>
            <w:tcW w:w="0" w:type="auto"/>
            <w:tcMar>
              <w:top w:w="20" w:type="dxa"/>
              <w:left w:w="20" w:type="dxa"/>
              <w:bottom w:w="100" w:type="dxa"/>
              <w:right w:w="20" w:type="dxa"/>
            </w:tcMar>
            <w:vAlign w:val="bottom"/>
            <w:hideMark/>
          </w:tcPr>
          <w:p w14:paraId="040A2B37" w14:textId="77777777" w:rsidR="00AC3E82" w:rsidRPr="006965D4" w:rsidRDefault="00AC3E82" w:rsidP="006C133E">
            <w:pPr>
              <w:jc w:val="right"/>
            </w:pPr>
            <w:r w:rsidRPr="006965D4">
              <w:rPr>
                <w:color w:val="000000"/>
              </w:rPr>
              <w:t>4.08</w:t>
            </w:r>
          </w:p>
        </w:tc>
        <w:tc>
          <w:tcPr>
            <w:tcW w:w="0" w:type="auto"/>
            <w:tcMar>
              <w:top w:w="20" w:type="dxa"/>
              <w:left w:w="20" w:type="dxa"/>
              <w:bottom w:w="100" w:type="dxa"/>
              <w:right w:w="20" w:type="dxa"/>
            </w:tcMar>
            <w:vAlign w:val="bottom"/>
            <w:hideMark/>
          </w:tcPr>
          <w:p w14:paraId="15289674" w14:textId="77777777" w:rsidR="00AC3E82" w:rsidRPr="006965D4" w:rsidRDefault="00AC3E82" w:rsidP="006C133E">
            <w:pPr>
              <w:jc w:val="right"/>
            </w:pPr>
            <w:r w:rsidRPr="006965D4">
              <w:rPr>
                <w:color w:val="000000"/>
              </w:rPr>
              <w:t>-36</w:t>
            </w:r>
          </w:p>
        </w:tc>
        <w:tc>
          <w:tcPr>
            <w:tcW w:w="0" w:type="auto"/>
            <w:tcMar>
              <w:top w:w="20" w:type="dxa"/>
              <w:left w:w="20" w:type="dxa"/>
              <w:bottom w:w="100" w:type="dxa"/>
              <w:right w:w="20" w:type="dxa"/>
            </w:tcMar>
            <w:vAlign w:val="bottom"/>
            <w:hideMark/>
          </w:tcPr>
          <w:p w14:paraId="51209FD4" w14:textId="77777777" w:rsidR="00AC3E82" w:rsidRPr="006965D4" w:rsidRDefault="00AC3E82" w:rsidP="006C133E">
            <w:pPr>
              <w:jc w:val="right"/>
            </w:pPr>
            <w:r w:rsidRPr="006965D4">
              <w:rPr>
                <w:color w:val="000000"/>
              </w:rPr>
              <w:t>12</w:t>
            </w:r>
          </w:p>
        </w:tc>
        <w:tc>
          <w:tcPr>
            <w:tcW w:w="0" w:type="auto"/>
            <w:tcMar>
              <w:top w:w="20" w:type="dxa"/>
              <w:left w:w="20" w:type="dxa"/>
              <w:bottom w:w="100" w:type="dxa"/>
              <w:right w:w="20" w:type="dxa"/>
            </w:tcMar>
            <w:vAlign w:val="bottom"/>
            <w:hideMark/>
          </w:tcPr>
          <w:p w14:paraId="6BA070FD" w14:textId="77777777" w:rsidR="00AC3E82" w:rsidRPr="006965D4" w:rsidRDefault="00AC3E82" w:rsidP="006C133E">
            <w:pPr>
              <w:jc w:val="right"/>
            </w:pPr>
            <w:r w:rsidRPr="006965D4">
              <w:rPr>
                <w:color w:val="000000"/>
              </w:rPr>
              <w:t>24</w:t>
            </w:r>
          </w:p>
        </w:tc>
      </w:tr>
      <w:tr w:rsidR="00AC3E82" w:rsidRPr="006965D4" w14:paraId="1CA63C63" w14:textId="77777777" w:rsidTr="006C133E">
        <w:tc>
          <w:tcPr>
            <w:tcW w:w="0" w:type="auto"/>
            <w:tcBorders>
              <w:right w:val="single" w:sz="12" w:space="0" w:color="000000"/>
            </w:tcBorders>
            <w:tcMar>
              <w:top w:w="20" w:type="dxa"/>
              <w:left w:w="20" w:type="dxa"/>
              <w:bottom w:w="100" w:type="dxa"/>
              <w:right w:w="20" w:type="dxa"/>
            </w:tcMar>
            <w:vAlign w:val="bottom"/>
            <w:hideMark/>
          </w:tcPr>
          <w:p w14:paraId="0BF49EBE" w14:textId="77777777" w:rsidR="00AC3E82" w:rsidRPr="006965D4" w:rsidRDefault="00AC3E82" w:rsidP="006C133E">
            <w:pPr>
              <w:jc w:val="center"/>
            </w:pPr>
            <w:r w:rsidRPr="006965D4">
              <w:rPr>
                <w:color w:val="000000"/>
              </w:rPr>
              <w:t>2</w:t>
            </w:r>
          </w:p>
        </w:tc>
        <w:tc>
          <w:tcPr>
            <w:tcW w:w="0" w:type="auto"/>
            <w:tcBorders>
              <w:left w:val="single" w:sz="12" w:space="0" w:color="000000"/>
            </w:tcBorders>
            <w:tcMar>
              <w:top w:w="20" w:type="dxa"/>
              <w:left w:w="20" w:type="dxa"/>
              <w:bottom w:w="100" w:type="dxa"/>
              <w:right w:w="20" w:type="dxa"/>
            </w:tcMar>
            <w:vAlign w:val="bottom"/>
            <w:hideMark/>
          </w:tcPr>
          <w:p w14:paraId="427A85D6" w14:textId="77777777" w:rsidR="00AC3E82" w:rsidRPr="006965D4" w:rsidRDefault="00AC3E82" w:rsidP="006C133E">
            <w:pPr>
              <w:jc w:val="right"/>
            </w:pPr>
            <w:r w:rsidRPr="006965D4">
              <w:rPr>
                <w:color w:val="000000"/>
              </w:rPr>
              <w:t>537</w:t>
            </w:r>
          </w:p>
        </w:tc>
        <w:tc>
          <w:tcPr>
            <w:tcW w:w="0" w:type="auto"/>
            <w:tcMar>
              <w:top w:w="20" w:type="dxa"/>
              <w:left w:w="20" w:type="dxa"/>
              <w:bottom w:w="100" w:type="dxa"/>
              <w:right w:w="20" w:type="dxa"/>
            </w:tcMar>
            <w:vAlign w:val="bottom"/>
            <w:hideMark/>
          </w:tcPr>
          <w:p w14:paraId="716D4006" w14:textId="77777777" w:rsidR="00AC3E82" w:rsidRPr="006965D4" w:rsidRDefault="00AC3E82" w:rsidP="006C133E">
            <w:pPr>
              <w:jc w:val="right"/>
            </w:pPr>
            <w:r w:rsidRPr="006965D4">
              <w:rPr>
                <w:color w:val="000000"/>
              </w:rPr>
              <w:t>0.0248</w:t>
            </w:r>
          </w:p>
        </w:tc>
        <w:tc>
          <w:tcPr>
            <w:tcW w:w="0" w:type="auto"/>
            <w:tcMar>
              <w:top w:w="20" w:type="dxa"/>
              <w:left w:w="20" w:type="dxa"/>
              <w:bottom w:w="100" w:type="dxa"/>
              <w:right w:w="20" w:type="dxa"/>
            </w:tcMar>
            <w:vAlign w:val="bottom"/>
            <w:hideMark/>
          </w:tcPr>
          <w:p w14:paraId="073E2BDB" w14:textId="77777777" w:rsidR="00AC3E82" w:rsidRPr="006965D4" w:rsidRDefault="00AC3E82" w:rsidP="006C133E">
            <w:pPr>
              <w:jc w:val="right"/>
            </w:pPr>
            <w:r w:rsidRPr="006965D4">
              <w:rPr>
                <w:color w:val="000000"/>
              </w:rPr>
              <w:t>3.98</w:t>
            </w:r>
          </w:p>
        </w:tc>
        <w:tc>
          <w:tcPr>
            <w:tcW w:w="0" w:type="auto"/>
            <w:tcMar>
              <w:top w:w="20" w:type="dxa"/>
              <w:left w:w="20" w:type="dxa"/>
              <w:bottom w:w="100" w:type="dxa"/>
              <w:right w:w="20" w:type="dxa"/>
            </w:tcMar>
            <w:vAlign w:val="bottom"/>
            <w:hideMark/>
          </w:tcPr>
          <w:p w14:paraId="772525D4" w14:textId="77777777" w:rsidR="00AC3E82" w:rsidRPr="006965D4" w:rsidRDefault="00AC3E82" w:rsidP="006C133E">
            <w:pPr>
              <w:jc w:val="right"/>
            </w:pPr>
            <w:r w:rsidRPr="006965D4">
              <w:rPr>
                <w:color w:val="000000"/>
              </w:rPr>
              <w:t>38</w:t>
            </w:r>
          </w:p>
        </w:tc>
        <w:tc>
          <w:tcPr>
            <w:tcW w:w="0" w:type="auto"/>
            <w:tcMar>
              <w:top w:w="20" w:type="dxa"/>
              <w:left w:w="20" w:type="dxa"/>
              <w:bottom w:w="100" w:type="dxa"/>
              <w:right w:w="20" w:type="dxa"/>
            </w:tcMar>
            <w:vAlign w:val="bottom"/>
            <w:hideMark/>
          </w:tcPr>
          <w:p w14:paraId="67293BD6" w14:textId="77777777" w:rsidR="00AC3E82" w:rsidRPr="006965D4" w:rsidRDefault="00AC3E82" w:rsidP="006C133E">
            <w:pPr>
              <w:jc w:val="right"/>
            </w:pPr>
            <w:r w:rsidRPr="006965D4">
              <w:rPr>
                <w:color w:val="000000"/>
              </w:rPr>
              <w:t>-60</w:t>
            </w:r>
          </w:p>
        </w:tc>
        <w:tc>
          <w:tcPr>
            <w:tcW w:w="0" w:type="auto"/>
            <w:tcMar>
              <w:top w:w="20" w:type="dxa"/>
              <w:left w:w="20" w:type="dxa"/>
              <w:bottom w:w="100" w:type="dxa"/>
              <w:right w:w="20" w:type="dxa"/>
            </w:tcMar>
            <w:vAlign w:val="bottom"/>
            <w:hideMark/>
          </w:tcPr>
          <w:p w14:paraId="33E96A78" w14:textId="77777777" w:rsidR="00AC3E82" w:rsidRPr="006965D4" w:rsidRDefault="00AC3E82" w:rsidP="006C133E">
            <w:pPr>
              <w:jc w:val="right"/>
            </w:pPr>
            <w:r w:rsidRPr="006965D4">
              <w:rPr>
                <w:color w:val="000000"/>
              </w:rPr>
              <w:t>50</w:t>
            </w:r>
          </w:p>
        </w:tc>
      </w:tr>
      <w:tr w:rsidR="00AC3E82" w:rsidRPr="006965D4" w14:paraId="4E9CFCB2" w14:textId="77777777" w:rsidTr="006C133E">
        <w:tc>
          <w:tcPr>
            <w:tcW w:w="0" w:type="auto"/>
            <w:tcBorders>
              <w:right w:val="single" w:sz="12" w:space="0" w:color="000000"/>
            </w:tcBorders>
            <w:tcMar>
              <w:top w:w="20" w:type="dxa"/>
              <w:left w:w="20" w:type="dxa"/>
              <w:bottom w:w="100" w:type="dxa"/>
              <w:right w:w="20" w:type="dxa"/>
            </w:tcMar>
            <w:vAlign w:val="bottom"/>
            <w:hideMark/>
          </w:tcPr>
          <w:p w14:paraId="30675DAF" w14:textId="77777777" w:rsidR="00AC3E82" w:rsidRPr="006965D4" w:rsidRDefault="00AC3E82" w:rsidP="006C133E">
            <w:pPr>
              <w:jc w:val="center"/>
            </w:pPr>
            <w:r w:rsidRPr="006965D4">
              <w:rPr>
                <w:color w:val="000000"/>
              </w:rPr>
              <w:t>1</w:t>
            </w:r>
          </w:p>
        </w:tc>
        <w:tc>
          <w:tcPr>
            <w:tcW w:w="0" w:type="auto"/>
            <w:tcBorders>
              <w:left w:val="single" w:sz="12" w:space="0" w:color="000000"/>
            </w:tcBorders>
            <w:tcMar>
              <w:top w:w="20" w:type="dxa"/>
              <w:left w:w="20" w:type="dxa"/>
              <w:bottom w:w="100" w:type="dxa"/>
              <w:right w:w="20" w:type="dxa"/>
            </w:tcMar>
            <w:vAlign w:val="bottom"/>
            <w:hideMark/>
          </w:tcPr>
          <w:p w14:paraId="0881D380" w14:textId="77777777" w:rsidR="00AC3E82" w:rsidRPr="006965D4" w:rsidRDefault="00AC3E82" w:rsidP="006C133E">
            <w:pPr>
              <w:jc w:val="right"/>
            </w:pPr>
            <w:r w:rsidRPr="006965D4">
              <w:rPr>
                <w:color w:val="000000"/>
              </w:rPr>
              <w:t>506</w:t>
            </w:r>
          </w:p>
        </w:tc>
        <w:tc>
          <w:tcPr>
            <w:tcW w:w="0" w:type="auto"/>
            <w:tcMar>
              <w:top w:w="20" w:type="dxa"/>
              <w:left w:w="20" w:type="dxa"/>
              <w:bottom w:w="100" w:type="dxa"/>
              <w:right w:w="20" w:type="dxa"/>
            </w:tcMar>
            <w:vAlign w:val="bottom"/>
            <w:hideMark/>
          </w:tcPr>
          <w:p w14:paraId="779B8F91" w14:textId="77777777" w:rsidR="00AC3E82" w:rsidRPr="006965D4" w:rsidRDefault="00AC3E82" w:rsidP="006C133E">
            <w:pPr>
              <w:jc w:val="right"/>
            </w:pPr>
            <w:r w:rsidRPr="006965D4">
              <w:rPr>
                <w:color w:val="000000"/>
              </w:rPr>
              <w:t>0.0343</w:t>
            </w:r>
          </w:p>
        </w:tc>
        <w:tc>
          <w:tcPr>
            <w:tcW w:w="0" w:type="auto"/>
            <w:tcMar>
              <w:top w:w="20" w:type="dxa"/>
              <w:left w:w="20" w:type="dxa"/>
              <w:bottom w:w="100" w:type="dxa"/>
              <w:right w:w="20" w:type="dxa"/>
            </w:tcMar>
            <w:vAlign w:val="bottom"/>
            <w:hideMark/>
          </w:tcPr>
          <w:p w14:paraId="25DFA51D" w14:textId="77777777" w:rsidR="00AC3E82" w:rsidRPr="006965D4" w:rsidRDefault="00AC3E82" w:rsidP="006C133E">
            <w:pPr>
              <w:jc w:val="right"/>
            </w:pPr>
            <w:r w:rsidRPr="006965D4">
              <w:rPr>
                <w:color w:val="000000"/>
              </w:rPr>
              <w:t>4.16</w:t>
            </w:r>
          </w:p>
        </w:tc>
        <w:tc>
          <w:tcPr>
            <w:tcW w:w="0" w:type="auto"/>
            <w:tcMar>
              <w:top w:w="20" w:type="dxa"/>
              <w:left w:w="20" w:type="dxa"/>
              <w:bottom w:w="100" w:type="dxa"/>
              <w:right w:w="20" w:type="dxa"/>
            </w:tcMar>
            <w:vAlign w:val="bottom"/>
            <w:hideMark/>
          </w:tcPr>
          <w:p w14:paraId="0FCE11B2" w14:textId="77777777" w:rsidR="00AC3E82" w:rsidRPr="006965D4" w:rsidRDefault="00AC3E82" w:rsidP="006C133E">
            <w:pPr>
              <w:jc w:val="right"/>
            </w:pPr>
            <w:r w:rsidRPr="006965D4">
              <w:rPr>
                <w:color w:val="000000"/>
              </w:rPr>
              <w:t>30</w:t>
            </w:r>
          </w:p>
        </w:tc>
        <w:tc>
          <w:tcPr>
            <w:tcW w:w="0" w:type="auto"/>
            <w:tcMar>
              <w:top w:w="20" w:type="dxa"/>
              <w:left w:w="20" w:type="dxa"/>
              <w:bottom w:w="100" w:type="dxa"/>
              <w:right w:w="20" w:type="dxa"/>
            </w:tcMar>
            <w:vAlign w:val="bottom"/>
            <w:hideMark/>
          </w:tcPr>
          <w:p w14:paraId="6F898A11" w14:textId="77777777" w:rsidR="00AC3E82" w:rsidRPr="006965D4" w:rsidRDefault="00AC3E82" w:rsidP="006C133E">
            <w:pPr>
              <w:jc w:val="right"/>
            </w:pPr>
            <w:r w:rsidRPr="006965D4">
              <w:rPr>
                <w:color w:val="000000"/>
              </w:rPr>
              <w:t>-60</w:t>
            </w:r>
          </w:p>
        </w:tc>
        <w:tc>
          <w:tcPr>
            <w:tcW w:w="0" w:type="auto"/>
            <w:tcMar>
              <w:top w:w="20" w:type="dxa"/>
              <w:left w:w="20" w:type="dxa"/>
              <w:bottom w:w="100" w:type="dxa"/>
              <w:right w:w="20" w:type="dxa"/>
            </w:tcMar>
            <w:vAlign w:val="bottom"/>
            <w:hideMark/>
          </w:tcPr>
          <w:p w14:paraId="0A82950E" w14:textId="77777777" w:rsidR="00AC3E82" w:rsidRPr="006965D4" w:rsidRDefault="00AC3E82" w:rsidP="006C133E">
            <w:pPr>
              <w:jc w:val="right"/>
            </w:pPr>
            <w:r w:rsidRPr="006965D4">
              <w:rPr>
                <w:color w:val="000000"/>
              </w:rPr>
              <w:t>-10</w:t>
            </w:r>
          </w:p>
        </w:tc>
      </w:tr>
    </w:tbl>
    <w:p w14:paraId="779724DC" w14:textId="77777777" w:rsidR="00AC3E82" w:rsidRDefault="00AC3E82" w:rsidP="00AC3E82"/>
    <w:p w14:paraId="7C6DF0D9" w14:textId="77777777" w:rsidR="00AC3E82" w:rsidRPr="00C32123" w:rsidRDefault="00AC3E82" w:rsidP="00AC3E82">
      <w:pPr>
        <w:spacing w:line="480" w:lineRule="auto"/>
        <w:ind w:hanging="720"/>
      </w:pPr>
    </w:p>
    <w:p w14:paraId="20BDA873" w14:textId="77777777" w:rsidR="00AC3E82" w:rsidRPr="00C32123" w:rsidRDefault="00AC3E82" w:rsidP="00AC3E82">
      <w:pPr>
        <w:spacing w:line="480" w:lineRule="auto"/>
      </w:pPr>
    </w:p>
    <w:p w14:paraId="35042721" w14:textId="603F1F7E" w:rsidR="00FA1119" w:rsidRDefault="00FA1119">
      <w:pPr>
        <w:rPr>
          <w:b/>
        </w:rPr>
      </w:pPr>
      <w:r>
        <w:rPr>
          <w:b/>
        </w:rPr>
        <w:br w:type="page"/>
      </w:r>
    </w:p>
    <w:p w14:paraId="6FCEC5A9" w14:textId="77777777" w:rsidR="00127C09" w:rsidRPr="00C32123" w:rsidRDefault="00127C09" w:rsidP="00127C09">
      <w:pPr>
        <w:ind w:left="720" w:hanging="720"/>
        <w:jc w:val="center"/>
        <w:rPr>
          <w:b/>
        </w:rPr>
      </w:pPr>
      <w:r w:rsidRPr="00C32123">
        <w:rPr>
          <w:b/>
        </w:rPr>
        <w:t>References</w:t>
      </w:r>
    </w:p>
    <w:p w14:paraId="0B279EC5" w14:textId="77777777" w:rsidR="008B5614" w:rsidRDefault="008B5614" w:rsidP="00653360">
      <w:pPr>
        <w:shd w:val="clear" w:color="auto" w:fill="FFFFFF"/>
        <w:spacing w:line="480" w:lineRule="auto"/>
        <w:ind w:left="-360"/>
        <w:rPr>
          <w:color w:val="232323"/>
        </w:rPr>
      </w:pPr>
    </w:p>
    <w:p w14:paraId="14C744EE" w14:textId="77777777" w:rsidR="008B5614" w:rsidRPr="008B5614" w:rsidRDefault="00D56142" w:rsidP="008B5614">
      <w:pPr>
        <w:spacing w:line="480" w:lineRule="auto"/>
        <w:ind w:left="360"/>
        <w:mirrorIndents/>
        <w:jc w:val="both"/>
        <w:outlineLvl w:val="1"/>
      </w:pPr>
      <w:hyperlink r:id="rId12" w:history="1">
        <w:r w:rsidR="008B5614" w:rsidRPr="008B5614">
          <w:rPr>
            <w:color w:val="000000"/>
          </w:rPr>
          <w:t>Andersson JLR, Jenkinson M, Smith S. (2007).Non-linear optimisation; FMRIB Technial Report TR07JA1.</w:t>
        </w:r>
      </w:hyperlink>
    </w:p>
    <w:p w14:paraId="24561097" w14:textId="77777777" w:rsidR="008B5614" w:rsidRPr="008B5614" w:rsidRDefault="008B5614" w:rsidP="008B5614">
      <w:pPr>
        <w:spacing w:line="480" w:lineRule="auto"/>
        <w:ind w:left="-360"/>
        <w:rPr>
          <w:color w:val="212121"/>
          <w:shd w:val="clear" w:color="auto" w:fill="FFFFFF"/>
        </w:rPr>
      </w:pPr>
    </w:p>
    <w:p w14:paraId="04774CC1" w14:textId="5B19A8FF" w:rsidR="008B5614" w:rsidRPr="008B5614" w:rsidRDefault="008B5614" w:rsidP="008B5614">
      <w:pPr>
        <w:spacing w:line="480" w:lineRule="auto"/>
        <w:ind w:left="360"/>
        <w:rPr>
          <w:color w:val="212121"/>
          <w:shd w:val="clear" w:color="auto" w:fill="FFFFFF"/>
        </w:rPr>
      </w:pPr>
      <w:r w:rsidRPr="008B5614">
        <w:rPr>
          <w:color w:val="212121"/>
          <w:shd w:val="clear" w:color="auto" w:fill="FFFFFF"/>
        </w:rPr>
        <w:t xml:space="preserve">Aron AR, Fletcher PC, Bullmore ET, </w:t>
      </w:r>
      <w:r w:rsidRPr="008B5614">
        <w:rPr>
          <w:rStyle w:val="docsum-authors"/>
        </w:rPr>
        <w:t>Sahakian BJ, Robbins TW.</w:t>
      </w:r>
      <w:r w:rsidRPr="008B5614">
        <w:rPr>
          <w:color w:val="212121"/>
          <w:shd w:val="clear" w:color="auto" w:fill="FFFFFF"/>
        </w:rPr>
        <w:t xml:space="preserve"> (2003). Stop-signal inhibition disrupted by damage to right inferior frontal gyrus in humans. Nat Neurosci. 6(2):115-6. doi: 10.1038/nn1003. Erratum in: Nat Neurosci. 2003 Dec;6(12):1329. </w:t>
      </w:r>
    </w:p>
    <w:p w14:paraId="77571B4E" w14:textId="77777777" w:rsidR="008B5614" w:rsidRPr="008B5614" w:rsidRDefault="008B5614" w:rsidP="008B5614">
      <w:pPr>
        <w:spacing w:line="480" w:lineRule="auto"/>
        <w:ind w:left="-720"/>
        <w:rPr>
          <w:color w:val="212121"/>
          <w:shd w:val="clear" w:color="auto" w:fill="FFFFFF"/>
        </w:rPr>
      </w:pPr>
    </w:p>
    <w:p w14:paraId="61C5ABA7" w14:textId="77777777" w:rsidR="008B5614" w:rsidRPr="008B5614" w:rsidRDefault="008B5614" w:rsidP="008B5614">
      <w:pPr>
        <w:spacing w:line="480" w:lineRule="auto"/>
        <w:ind w:left="360"/>
        <w:rPr>
          <w:color w:val="000000"/>
        </w:rPr>
      </w:pPr>
      <w:r w:rsidRPr="008B5614">
        <w:rPr>
          <w:color w:val="212121"/>
          <w:shd w:val="clear" w:color="auto" w:fill="FFFFFF"/>
        </w:rPr>
        <w:t xml:space="preserve">Aron AR, Robbins TW, Poldrack RA. (2014). Inhibition and the right inferior frontal cortex: one decade on. Trends Cogn Sci. 18(4):177-85. doi: 10.1016/j.tics.2013.12.003. </w:t>
      </w:r>
    </w:p>
    <w:p w14:paraId="1FB95066" w14:textId="77777777" w:rsidR="008B5614" w:rsidRPr="008B5614" w:rsidRDefault="008B5614" w:rsidP="008B5614">
      <w:pPr>
        <w:shd w:val="clear" w:color="auto" w:fill="FFFFFF"/>
        <w:spacing w:line="480" w:lineRule="auto"/>
        <w:ind w:left="-360"/>
        <w:rPr>
          <w:color w:val="232323"/>
        </w:rPr>
      </w:pPr>
    </w:p>
    <w:p w14:paraId="40C59E26" w14:textId="77777777" w:rsidR="00653360" w:rsidRPr="008B5614" w:rsidRDefault="00653360" w:rsidP="008B5614">
      <w:pPr>
        <w:shd w:val="clear" w:color="auto" w:fill="FFFFFF"/>
        <w:spacing w:line="480" w:lineRule="auto"/>
        <w:ind w:left="360"/>
        <w:rPr>
          <w:color w:val="212121"/>
          <w:shd w:val="clear" w:color="auto" w:fill="FFFFFF"/>
        </w:rPr>
      </w:pPr>
      <w:r w:rsidRPr="008B5614">
        <w:rPr>
          <w:color w:val="232323"/>
        </w:rPr>
        <w:t xml:space="preserve">Arzeno Ferrao Y, Almeida VP, Bedin NR, </w:t>
      </w:r>
      <w:r w:rsidRPr="008B5614">
        <w:t>Rosa R, D'Arrigo Busnello E.</w:t>
      </w:r>
      <w:r w:rsidRPr="008B5614">
        <w:rPr>
          <w:color w:val="232323"/>
        </w:rPr>
        <w:t xml:space="preserve"> (2006). Impulsivity and compulsivity in patients with trichotillomania or skin picking compared with patients with obsessive-compulsive disorder. </w:t>
      </w:r>
      <w:r w:rsidRPr="008B5614">
        <w:rPr>
          <w:color w:val="212121"/>
          <w:shd w:val="clear" w:color="auto" w:fill="FFFFFF"/>
        </w:rPr>
        <w:t>Compr Psychiatry. 47(4):282-8. doi: 10.1016/j.comppsych.2005.11.005.</w:t>
      </w:r>
    </w:p>
    <w:p w14:paraId="452F83B5" w14:textId="77777777" w:rsidR="008B5614" w:rsidRDefault="008B5614" w:rsidP="008B5614">
      <w:pPr>
        <w:spacing w:line="480" w:lineRule="auto"/>
        <w:ind w:left="360"/>
      </w:pPr>
    </w:p>
    <w:p w14:paraId="5857CFF0" w14:textId="77777777" w:rsidR="008B5614" w:rsidRPr="008B5614" w:rsidRDefault="00D56142" w:rsidP="008B5614">
      <w:pPr>
        <w:spacing w:line="480" w:lineRule="auto"/>
        <w:ind w:left="360"/>
      </w:pPr>
      <w:hyperlink r:id="rId13" w:history="1">
        <w:r w:rsidR="008B5614" w:rsidRPr="008B5614">
          <w:rPr>
            <w:color w:val="000000"/>
          </w:rPr>
          <w:t>Benjamini, Y, Hochberg Y. (1995). Controlling the False Discovery Rate: A Practical and Powerful Approach to Multiple Testing. J. R. Stat. Soc. Series B Stat. Methodol. 57:289–300.</w:t>
        </w:r>
      </w:hyperlink>
    </w:p>
    <w:p w14:paraId="413627BC" w14:textId="77777777" w:rsidR="008B5614" w:rsidRPr="008B5614" w:rsidRDefault="008B5614" w:rsidP="008B5614">
      <w:pPr>
        <w:spacing w:line="480" w:lineRule="auto"/>
        <w:ind w:left="-360"/>
        <w:rPr>
          <w:color w:val="212121"/>
          <w:shd w:val="clear" w:color="auto" w:fill="FFFFFF"/>
        </w:rPr>
      </w:pPr>
    </w:p>
    <w:p w14:paraId="3EF4C490" w14:textId="77777777" w:rsidR="008B5614" w:rsidRPr="008B5614" w:rsidRDefault="008B5614" w:rsidP="008B5614">
      <w:pPr>
        <w:spacing w:line="480" w:lineRule="auto"/>
      </w:pPr>
      <w:r w:rsidRPr="008B5614">
        <w:rPr>
          <w:color w:val="212121"/>
          <w:shd w:val="clear" w:color="auto" w:fill="FFFFFF"/>
        </w:rPr>
        <w:t xml:space="preserve">Bjork JM, Momenan R, Smith AR, Hommer DW. (2008). Reduced posterior mesofrontal cortex activation by risky rewards in substance-dependent patients. Drug Alcohol Depend. 95(1-2):1158.doi:10.1016/j.drugalcdep.2007.12.014. </w:t>
      </w:r>
    </w:p>
    <w:p w14:paraId="4F2595CA" w14:textId="77777777" w:rsidR="008B5614" w:rsidRPr="008B5614" w:rsidRDefault="008B5614" w:rsidP="008B5614">
      <w:pPr>
        <w:shd w:val="clear" w:color="auto" w:fill="FFFFFF"/>
        <w:spacing w:line="480" w:lineRule="auto"/>
        <w:ind w:left="-360"/>
        <w:rPr>
          <w:color w:val="232323"/>
        </w:rPr>
      </w:pPr>
    </w:p>
    <w:p w14:paraId="6108F740" w14:textId="77777777" w:rsidR="001B5E74" w:rsidRPr="008B5614" w:rsidRDefault="001B5E74" w:rsidP="008B5614">
      <w:pPr>
        <w:spacing w:line="480" w:lineRule="auto"/>
        <w:ind w:left="360"/>
        <w:mirrorIndents/>
      </w:pPr>
      <w:r w:rsidRPr="008B5614">
        <w:t xml:space="preserve">Chamberlain SR, Menzies LA, Fineberg NA, </w:t>
      </w:r>
      <w:r w:rsidRPr="008B5614">
        <w:rPr>
          <w:rStyle w:val="docsum-authors"/>
        </w:rPr>
        <w:t>Del Campo N, Suckling J, Craig K</w:t>
      </w:r>
      <w:r w:rsidRPr="008B5614">
        <w:t xml:space="preserve"> et al. (2008). Grey matter abnormalities in trichotillomania: morphometric magnetic resonance imaging study. Br J Psychiatry 193(3): 216–221. doi:10.1192/bjp.bp.107.048314</w:t>
      </w:r>
    </w:p>
    <w:p w14:paraId="636FC5D4" w14:textId="77777777" w:rsidR="001B5E74" w:rsidRPr="008B5614" w:rsidRDefault="001B5E74" w:rsidP="008B5614">
      <w:pPr>
        <w:spacing w:line="480" w:lineRule="auto"/>
        <w:ind w:left="-360"/>
        <w:mirrorIndents/>
      </w:pPr>
    </w:p>
    <w:p w14:paraId="30024DCF" w14:textId="77777777" w:rsidR="001B5E74" w:rsidRPr="008B5614" w:rsidRDefault="001B5E74" w:rsidP="008B5614">
      <w:pPr>
        <w:spacing w:line="480" w:lineRule="auto"/>
        <w:ind w:left="360"/>
        <w:mirrorIndents/>
      </w:pPr>
      <w:r w:rsidRPr="008B5614">
        <w:t xml:space="preserve">Chamberlain SR, Hampshire A, Menzies LA, </w:t>
      </w:r>
      <w:r w:rsidRPr="008B5614">
        <w:rPr>
          <w:rStyle w:val="docsum-authors"/>
        </w:rPr>
        <w:t>Garyfallidis E, Grant JE, Odlaug BL</w:t>
      </w:r>
      <w:r w:rsidRPr="008B5614">
        <w:t>, et al. (2010). Reduced brain white matter integrity in trichotillomania: a diffusion tensor imaging study. Arch Gen Psychiatry. 67(9):965–971. doi:10.1001/archgenpsychiatry.2010.109</w:t>
      </w:r>
    </w:p>
    <w:p w14:paraId="4ADC8833" w14:textId="77777777" w:rsidR="008B5614" w:rsidRDefault="008B5614" w:rsidP="008B5614">
      <w:pPr>
        <w:spacing w:line="480" w:lineRule="auto"/>
        <w:rPr>
          <w:color w:val="212121"/>
          <w:shd w:val="clear" w:color="auto" w:fill="FFFFFF"/>
        </w:rPr>
      </w:pPr>
    </w:p>
    <w:p w14:paraId="58E6F662" w14:textId="77777777" w:rsidR="00653360" w:rsidRPr="008B5614" w:rsidRDefault="00653360" w:rsidP="008B5614">
      <w:pPr>
        <w:spacing w:line="480" w:lineRule="auto"/>
      </w:pPr>
      <w:r w:rsidRPr="008B5614">
        <w:rPr>
          <w:color w:val="212121"/>
          <w:shd w:val="clear" w:color="auto" w:fill="FFFFFF"/>
        </w:rPr>
        <w:t xml:space="preserve">Chamberlain SR, Harries M, Redden SA, </w:t>
      </w:r>
      <w:r w:rsidRPr="008B5614">
        <w:rPr>
          <w:rStyle w:val="docsum-authors"/>
        </w:rPr>
        <w:t>Keuthen NJ, Stein DJ, Lochner C,</w:t>
      </w:r>
      <w:r w:rsidRPr="008B5614">
        <w:rPr>
          <w:color w:val="212121"/>
          <w:shd w:val="clear" w:color="auto" w:fill="FFFFFF"/>
        </w:rPr>
        <w:t xml:space="preserve"> et al. (2018). Cortical thickness abnormalities in trichotillomania: international multi-site analysis. Brain Imaging Behav. 12(3):823-828. doi: 10.1007/s11682-017-9746-3. </w:t>
      </w:r>
    </w:p>
    <w:p w14:paraId="0961F761" w14:textId="77777777" w:rsidR="008B5614" w:rsidRDefault="008B5614" w:rsidP="008B5614">
      <w:pPr>
        <w:spacing w:line="480" w:lineRule="auto"/>
        <w:rPr>
          <w:color w:val="212121"/>
          <w:shd w:val="clear" w:color="auto" w:fill="FFFFFF"/>
        </w:rPr>
      </w:pPr>
    </w:p>
    <w:p w14:paraId="393665A4" w14:textId="32BDB16A" w:rsidR="008B5614" w:rsidRPr="008B5614" w:rsidRDefault="008B5614" w:rsidP="008B5614">
      <w:pPr>
        <w:spacing w:line="480" w:lineRule="auto"/>
      </w:pPr>
      <w:r w:rsidRPr="008B5614">
        <w:rPr>
          <w:color w:val="212121"/>
          <w:shd w:val="clear" w:color="auto" w:fill="FFFFFF"/>
        </w:rPr>
        <w:t xml:space="preserve">Chambers CD, Bellgrove MA, Gould IC, </w:t>
      </w:r>
      <w:r w:rsidRPr="008B5614">
        <w:rPr>
          <w:rStyle w:val="docsum-authors"/>
        </w:rPr>
        <w:t>English T, Garavan H, McNaught E</w:t>
      </w:r>
      <w:r w:rsidRPr="008B5614">
        <w:rPr>
          <w:color w:val="212121"/>
          <w:shd w:val="clear" w:color="auto" w:fill="FFFFFF"/>
        </w:rPr>
        <w:t xml:space="preserve"> et al. (2007). Dissociable mechanisms of cognitive control in prefrontal and premotor cortex. J Neurophysiol. 98(6):3638-47. doi: 10.1152/jn.00685.2007. </w:t>
      </w:r>
    </w:p>
    <w:p w14:paraId="0937B564" w14:textId="77777777" w:rsidR="008B5614" w:rsidRPr="008B5614" w:rsidRDefault="008B5614" w:rsidP="008B5614">
      <w:pPr>
        <w:spacing w:line="480" w:lineRule="auto"/>
        <w:ind w:left="-360"/>
        <w:mirrorIndents/>
        <w:rPr>
          <w:color w:val="212121"/>
          <w:shd w:val="clear" w:color="auto" w:fill="FFFFFF"/>
        </w:rPr>
      </w:pPr>
    </w:p>
    <w:p w14:paraId="75EC6525" w14:textId="77777777" w:rsidR="00653360" w:rsidRPr="008B5614" w:rsidRDefault="00653360" w:rsidP="008B5614">
      <w:pPr>
        <w:spacing w:line="480" w:lineRule="auto"/>
        <w:ind w:left="360"/>
        <w:mirrorIndents/>
        <w:rPr>
          <w:color w:val="212121"/>
          <w:shd w:val="clear" w:color="auto" w:fill="FFFFFF"/>
        </w:rPr>
      </w:pPr>
      <w:r w:rsidRPr="008B5614">
        <w:rPr>
          <w:color w:val="212121"/>
          <w:shd w:val="clear" w:color="auto" w:fill="FFFFFF"/>
        </w:rPr>
        <w:t xml:space="preserve">Deepmala, Slattery J, Kumar N, </w:t>
      </w:r>
      <w:r w:rsidRPr="008B5614">
        <w:t xml:space="preserve">Delhey L, Berk M, Dean O, </w:t>
      </w:r>
      <w:r w:rsidRPr="008B5614">
        <w:rPr>
          <w:color w:val="212121"/>
          <w:shd w:val="clear" w:color="auto" w:fill="FFFFFF"/>
        </w:rPr>
        <w:t xml:space="preserve">et al. (2015). Clinical trials of N-acetylcysteine in psychiatry and neurology: A systematic review. Neurosci Biobehav Rev. 55:294-321. doi: 10.1016/j.neubiorev.2015.04.015. </w:t>
      </w:r>
    </w:p>
    <w:p w14:paraId="16BF75AA" w14:textId="77777777" w:rsidR="008B5614" w:rsidRDefault="008B5614" w:rsidP="008B5614">
      <w:pPr>
        <w:spacing w:line="480" w:lineRule="auto"/>
        <w:ind w:left="360"/>
        <w:rPr>
          <w:color w:val="212121"/>
          <w:shd w:val="clear" w:color="auto" w:fill="FFFFFF"/>
        </w:rPr>
      </w:pPr>
    </w:p>
    <w:p w14:paraId="0C03FF3E" w14:textId="58502C47" w:rsidR="008B5614" w:rsidRPr="008B5614" w:rsidRDefault="008B5614" w:rsidP="008B5614">
      <w:pPr>
        <w:spacing w:line="480" w:lineRule="auto"/>
        <w:ind w:left="360"/>
        <w:rPr>
          <w:color w:val="000000"/>
          <w:shd w:val="clear" w:color="auto" w:fill="FFFFFF"/>
        </w:rPr>
      </w:pPr>
      <w:r w:rsidRPr="008B5614">
        <w:rPr>
          <w:color w:val="212121"/>
          <w:shd w:val="clear" w:color="auto" w:fill="FFFFFF"/>
        </w:rPr>
        <w:t xml:space="preserve">Figee M, Vink M, de Geus F, </w:t>
      </w:r>
      <w:r w:rsidRPr="008B5614">
        <w:rPr>
          <w:rStyle w:val="docsum-authors"/>
        </w:rPr>
        <w:t>Vulink N, Veltman DJ, Westenberg H,</w:t>
      </w:r>
      <w:r w:rsidRPr="008B5614">
        <w:rPr>
          <w:color w:val="212121"/>
          <w:shd w:val="clear" w:color="auto" w:fill="FFFFFF"/>
        </w:rPr>
        <w:t xml:space="preserve"> et al. (2011). Dysfunctional reward circuitry in obsessive-compulsive disorder. Biol Psychiatry. 69(9):867-74. doi: 10.1016/j.biopsych.2010.12.003. </w:t>
      </w:r>
    </w:p>
    <w:p w14:paraId="4C89E452" w14:textId="77777777" w:rsidR="001B5E74" w:rsidRPr="008B5614" w:rsidRDefault="001B5E74" w:rsidP="008B5614">
      <w:pPr>
        <w:spacing w:line="480" w:lineRule="auto"/>
        <w:ind w:left="-360"/>
        <w:rPr>
          <w:color w:val="000000"/>
          <w:shd w:val="clear" w:color="auto" w:fill="FFFFFF"/>
        </w:rPr>
      </w:pPr>
    </w:p>
    <w:p w14:paraId="5E41FDC5" w14:textId="77777777" w:rsidR="001B5E74" w:rsidRPr="008B5614" w:rsidRDefault="001B5E74" w:rsidP="008B5614">
      <w:pPr>
        <w:spacing w:line="480" w:lineRule="auto"/>
        <w:ind w:left="360"/>
        <w:rPr>
          <w:color w:val="000000"/>
          <w:shd w:val="clear" w:color="auto" w:fill="FFFFFF"/>
        </w:rPr>
      </w:pPr>
      <w:r w:rsidRPr="008B5614">
        <w:rPr>
          <w:color w:val="000000"/>
          <w:shd w:val="clear" w:color="auto" w:fill="FFFFFF"/>
        </w:rPr>
        <w:t>Grachev ID. (1997). MRI-based morphometric topographic parcellation of human neocortex in trichotillomania. Psychiatry Clin Neurosci. 1997;51(5):315–321. doi:10.1111/j.1440-1819.1997.tb03205.x</w:t>
      </w:r>
    </w:p>
    <w:p w14:paraId="4A11B461" w14:textId="77777777" w:rsidR="008B5614" w:rsidRDefault="008B5614" w:rsidP="008B5614">
      <w:pPr>
        <w:spacing w:line="480" w:lineRule="auto"/>
        <w:ind w:left="360"/>
        <w:mirrorIndents/>
        <w:rPr>
          <w:color w:val="212121"/>
          <w:shd w:val="clear" w:color="auto" w:fill="FFFFFF"/>
        </w:rPr>
      </w:pPr>
    </w:p>
    <w:p w14:paraId="17BA18CD" w14:textId="77777777" w:rsidR="00653360" w:rsidRPr="008B5614" w:rsidRDefault="00653360" w:rsidP="008B5614">
      <w:pPr>
        <w:spacing w:line="480" w:lineRule="auto"/>
        <w:ind w:left="360"/>
        <w:mirrorIndents/>
        <w:rPr>
          <w:color w:val="212121"/>
          <w:shd w:val="clear" w:color="auto" w:fill="FFFFFF"/>
        </w:rPr>
      </w:pPr>
      <w:r w:rsidRPr="008B5614">
        <w:rPr>
          <w:color w:val="212121"/>
          <w:shd w:val="clear" w:color="auto" w:fill="FFFFFF"/>
        </w:rPr>
        <w:t xml:space="preserve">Grant JE, Odlaug BL, Potenza MN. (2007). Addicted to hair pulling? How an alternate model of trichotillomania may improve treatment outcome. Harv Rev Psychiatry. 15(2):80-5. doi: 10.1080/10673220701298407. </w:t>
      </w:r>
    </w:p>
    <w:p w14:paraId="73DA45F1" w14:textId="77777777" w:rsidR="00653360" w:rsidRPr="008B5614" w:rsidRDefault="00653360" w:rsidP="008B5614">
      <w:pPr>
        <w:spacing w:line="480" w:lineRule="auto"/>
        <w:ind w:left="-360"/>
        <w:rPr>
          <w:color w:val="000000"/>
          <w:shd w:val="clear" w:color="auto" w:fill="FFFFFF"/>
        </w:rPr>
      </w:pPr>
    </w:p>
    <w:p w14:paraId="753C5BBB" w14:textId="77777777" w:rsidR="001B5E74" w:rsidRPr="008B5614" w:rsidRDefault="001B5E74" w:rsidP="008B5614">
      <w:pPr>
        <w:spacing w:line="480" w:lineRule="auto"/>
        <w:ind w:left="360"/>
      </w:pPr>
      <w:r w:rsidRPr="008B5614">
        <w:t xml:space="preserve">Grant JE, Odlaug BL, Hampshire A, </w:t>
      </w:r>
      <w:r w:rsidRPr="008B5614">
        <w:rPr>
          <w:rStyle w:val="docsum-authors"/>
        </w:rPr>
        <w:t>Schreiber LR, Chamberlain SR.</w:t>
      </w:r>
      <w:r w:rsidRPr="008B5614">
        <w:t xml:space="preserve"> (2013). White matter abnormalities in skin picking disorder: a diffusion tensor imaging study. Neuropsychopharmacology. 38(5):763–769. doi:10.1038/npp.2012.241</w:t>
      </w:r>
    </w:p>
    <w:p w14:paraId="2441BADE" w14:textId="77777777" w:rsidR="008B5614" w:rsidRDefault="008B5614" w:rsidP="008B5614">
      <w:pPr>
        <w:shd w:val="clear" w:color="auto" w:fill="FFFFFF"/>
        <w:spacing w:line="480" w:lineRule="auto"/>
        <w:ind w:left="360"/>
        <w:rPr>
          <w:color w:val="212121"/>
        </w:rPr>
      </w:pPr>
    </w:p>
    <w:p w14:paraId="55122C35" w14:textId="77777777" w:rsidR="008B5614" w:rsidRPr="008B5614" w:rsidRDefault="008B5614" w:rsidP="008B5614">
      <w:pPr>
        <w:shd w:val="clear" w:color="auto" w:fill="FFFFFF"/>
        <w:spacing w:line="480" w:lineRule="auto"/>
        <w:ind w:left="360"/>
        <w:rPr>
          <w:color w:val="212121"/>
        </w:rPr>
      </w:pPr>
      <w:r w:rsidRPr="008B5614">
        <w:rPr>
          <w:color w:val="212121"/>
        </w:rPr>
        <w:t xml:space="preserve">Grant JE, Daws R, Hampshire A, Chamberlain SR. (2018). An fMRI Pilot Study of Cognitive Flexibility in Trichotillomania. J Neuropsychiatry Clin Neurosci. 30(4):318-324. doi: 10.1176/appi.neuropsych.18030038. </w:t>
      </w:r>
    </w:p>
    <w:p w14:paraId="3C2754AD" w14:textId="77777777" w:rsidR="008B5614" w:rsidRPr="008B5614" w:rsidRDefault="008B5614" w:rsidP="008B5614">
      <w:pPr>
        <w:spacing w:line="480" w:lineRule="auto"/>
        <w:ind w:left="-360"/>
      </w:pPr>
    </w:p>
    <w:p w14:paraId="6A82D426" w14:textId="77777777" w:rsidR="008B5614" w:rsidRPr="008B5614" w:rsidRDefault="008B5614" w:rsidP="008B5614">
      <w:pPr>
        <w:spacing w:line="480" w:lineRule="auto"/>
        <w:rPr>
          <w:color w:val="212121"/>
          <w:shd w:val="clear" w:color="auto" w:fill="FFFFFF"/>
        </w:rPr>
      </w:pPr>
      <w:r w:rsidRPr="008B5614">
        <w:t>Hampshire A, Chamberlain SR, Monti MM ,</w:t>
      </w:r>
      <w:r w:rsidRPr="008B5614">
        <w:rPr>
          <w:rStyle w:val="docsum-authors"/>
        </w:rPr>
        <w:t>Duncan J, Owen AM.</w:t>
      </w:r>
      <w:r w:rsidRPr="008B5614">
        <w:t xml:space="preserve"> (2010). The role of the right inferior frontal gyrus: inhibition and attentional control. </w:t>
      </w:r>
      <w:r w:rsidRPr="008B5614">
        <w:rPr>
          <w:color w:val="212121"/>
          <w:shd w:val="clear" w:color="auto" w:fill="FFFFFF"/>
        </w:rPr>
        <w:t xml:space="preserve">Neuroimage. 50(3):1313-9. doi: 10.1016/j.neuroimage.2009.12.109. </w:t>
      </w:r>
    </w:p>
    <w:p w14:paraId="08AA9105" w14:textId="77777777" w:rsidR="008B5614" w:rsidRDefault="008B5614" w:rsidP="008B5614">
      <w:pPr>
        <w:spacing w:line="480" w:lineRule="auto"/>
        <w:rPr>
          <w:color w:val="212121"/>
          <w:shd w:val="clear" w:color="auto" w:fill="FFFFFF"/>
        </w:rPr>
      </w:pPr>
    </w:p>
    <w:p w14:paraId="780B2A8B" w14:textId="77777777" w:rsidR="00653360" w:rsidRPr="008B5614" w:rsidRDefault="00653360" w:rsidP="008B5614">
      <w:pPr>
        <w:spacing w:line="480" w:lineRule="auto"/>
        <w:rPr>
          <w:color w:val="212121"/>
          <w:shd w:val="clear" w:color="auto" w:fill="FFFFFF"/>
        </w:rPr>
      </w:pPr>
      <w:r w:rsidRPr="008B5614">
        <w:rPr>
          <w:color w:val="212121"/>
          <w:shd w:val="clear" w:color="auto" w:fill="FFFFFF"/>
        </w:rPr>
        <w:t xml:space="preserve">Isobe M, Redden SA, Keuthen NJ, </w:t>
      </w:r>
      <w:r w:rsidRPr="008B5614">
        <w:rPr>
          <w:rStyle w:val="docsum-authors"/>
        </w:rPr>
        <w:t>Stein DJ, Lochner C, Grant JE,</w:t>
      </w:r>
      <w:r w:rsidRPr="008B5614">
        <w:rPr>
          <w:rStyle w:val="docsum-authors"/>
          <w:b/>
          <w:bCs/>
        </w:rPr>
        <w:t xml:space="preserve"> </w:t>
      </w:r>
      <w:r w:rsidRPr="008B5614">
        <w:rPr>
          <w:color w:val="212121"/>
          <w:shd w:val="clear" w:color="auto" w:fill="FFFFFF"/>
        </w:rPr>
        <w:t xml:space="preserve">et al. (2018). Striatal abnormalities in trichotillomania: a multi-site MRI analysis. Neuroimage Clin. 17:893-898. doi: 10.1016/j.nicl.2017.12.031. </w:t>
      </w:r>
    </w:p>
    <w:p w14:paraId="128A3367" w14:textId="77777777" w:rsidR="008B5614" w:rsidRDefault="008B5614" w:rsidP="008B5614">
      <w:pPr>
        <w:spacing w:line="480" w:lineRule="auto"/>
        <w:ind w:left="360"/>
        <w:mirrorIndents/>
      </w:pPr>
    </w:p>
    <w:p w14:paraId="5A985090" w14:textId="77777777" w:rsidR="008B5614" w:rsidRPr="008B5614" w:rsidRDefault="00D56142" w:rsidP="008B5614">
      <w:pPr>
        <w:spacing w:line="480" w:lineRule="auto"/>
        <w:ind w:left="360"/>
        <w:mirrorIndents/>
      </w:pPr>
      <w:hyperlink r:id="rId14" w:history="1">
        <w:r w:rsidR="008B5614" w:rsidRPr="008B5614">
          <w:rPr>
            <w:color w:val="000000"/>
          </w:rPr>
          <w:t>Jenkinson M, Bannister P, Brady M, Smith S (2002). Improved optimization for the robust and accurate linear registration and motion correction of brain images. Neuroimage 17, 825–841.</w:t>
        </w:r>
      </w:hyperlink>
      <w:r w:rsidR="008B5614" w:rsidRPr="008B5614">
        <w:t xml:space="preserve"> </w:t>
      </w:r>
      <w:r w:rsidR="008B5614" w:rsidRPr="008B5614">
        <w:rPr>
          <w:rStyle w:val="docsum-journal-citation"/>
        </w:rPr>
        <w:t>doi: 10.1016/s1053-8119(02)91132-8.</w:t>
      </w:r>
    </w:p>
    <w:p w14:paraId="12C99395" w14:textId="77777777" w:rsidR="008B5614" w:rsidRDefault="008B5614" w:rsidP="008B5614">
      <w:pPr>
        <w:spacing w:line="480" w:lineRule="auto"/>
        <w:rPr>
          <w:color w:val="212121"/>
          <w:shd w:val="clear" w:color="auto" w:fill="FFFFFF"/>
        </w:rPr>
      </w:pPr>
    </w:p>
    <w:p w14:paraId="2B7FF955" w14:textId="272D6006" w:rsidR="008B5614" w:rsidRPr="008B5614" w:rsidRDefault="008B5614" w:rsidP="008B5614">
      <w:pPr>
        <w:spacing w:line="480" w:lineRule="auto"/>
      </w:pPr>
      <w:r w:rsidRPr="008B5614">
        <w:rPr>
          <w:color w:val="212121"/>
          <w:shd w:val="clear" w:color="auto" w:fill="FFFFFF"/>
        </w:rPr>
        <w:t xml:space="preserve">Jia Z, Worhunsky PD, Carroll KM, </w:t>
      </w:r>
      <w:r w:rsidRPr="008B5614">
        <w:t>Rounsaville BJ, Stevens MC, Pearlson GD,</w:t>
      </w:r>
      <w:r w:rsidRPr="008B5614">
        <w:rPr>
          <w:color w:val="212121"/>
          <w:shd w:val="clear" w:color="auto" w:fill="FFFFFF"/>
        </w:rPr>
        <w:t xml:space="preserve"> et al. (2011). An initial study of neural responses to monetary incentives as related to treatment outcome in cocaine dependence. Biol Psychiatry. 70(6):553-60. doi: 10.1016/j.biopsych.2011.05.008. </w:t>
      </w:r>
    </w:p>
    <w:p w14:paraId="5A2F86F4" w14:textId="77777777" w:rsidR="008B5614" w:rsidRDefault="008B5614" w:rsidP="008B5614">
      <w:pPr>
        <w:spacing w:line="480" w:lineRule="auto"/>
      </w:pPr>
    </w:p>
    <w:p w14:paraId="0A41D262" w14:textId="77777777" w:rsidR="00653360" w:rsidRPr="008B5614" w:rsidRDefault="001B5E74" w:rsidP="008B5614">
      <w:pPr>
        <w:spacing w:line="480" w:lineRule="auto"/>
      </w:pPr>
      <w:r w:rsidRPr="008B5614">
        <w:t xml:space="preserve">Keuthen NJ, Makris N, Schlerf JE, </w:t>
      </w:r>
      <w:r w:rsidRPr="008B5614">
        <w:rPr>
          <w:rStyle w:val="docsum-authors"/>
        </w:rPr>
        <w:t>Martis B, Savage CR, McMullin K,</w:t>
      </w:r>
      <w:r w:rsidRPr="008B5614">
        <w:t xml:space="preserve"> et al. (2007). Evidence for reduced cerebellar volumes in trichotillomania. Biol Psychiatry. 61(3):374–381. doi:10.1016/j.biopsych.2006.06.013</w:t>
      </w:r>
    </w:p>
    <w:p w14:paraId="32CB2E1D" w14:textId="1A30A417" w:rsidR="00653360" w:rsidRPr="008B5614" w:rsidRDefault="00653360" w:rsidP="008B5614">
      <w:pPr>
        <w:spacing w:line="480" w:lineRule="auto"/>
        <w:ind w:left="360"/>
      </w:pPr>
      <w:r w:rsidRPr="008B5614">
        <w:t xml:space="preserve">Knutson B, Fong GW, Adams CM, </w:t>
      </w:r>
      <w:r w:rsidRPr="008B5614">
        <w:rPr>
          <w:rStyle w:val="docsum-authors"/>
        </w:rPr>
        <w:t>Varner JL, Hommer D.</w:t>
      </w:r>
      <w:r w:rsidRPr="008B5614">
        <w:t xml:space="preserve"> (2001). Dissociation of reward anticipation and outcome with event-related fMRI. </w:t>
      </w:r>
      <w:r w:rsidRPr="008B5614">
        <w:rPr>
          <w:color w:val="212121"/>
          <w:shd w:val="clear" w:color="auto" w:fill="FFFFFF"/>
        </w:rPr>
        <w:t xml:space="preserve">Neuroreport. 12(17):3683-7. doi: 10.1097/00001756-200112040-00016. </w:t>
      </w:r>
    </w:p>
    <w:p w14:paraId="6C5937F2" w14:textId="77777777" w:rsidR="008B5614" w:rsidRDefault="008B5614" w:rsidP="008B5614">
      <w:pPr>
        <w:autoSpaceDE w:val="0"/>
        <w:autoSpaceDN w:val="0"/>
        <w:adjustRightInd w:val="0"/>
        <w:spacing w:line="480" w:lineRule="auto"/>
        <w:ind w:left="360"/>
        <w:rPr>
          <w:color w:val="212121"/>
          <w:shd w:val="clear" w:color="auto" w:fill="FFFFFF"/>
        </w:rPr>
      </w:pPr>
    </w:p>
    <w:p w14:paraId="37B4D57E" w14:textId="77777777" w:rsidR="00653360" w:rsidRPr="008B5614" w:rsidRDefault="00653360" w:rsidP="008B5614">
      <w:pPr>
        <w:autoSpaceDE w:val="0"/>
        <w:autoSpaceDN w:val="0"/>
        <w:adjustRightInd w:val="0"/>
        <w:spacing w:line="480" w:lineRule="auto"/>
        <w:ind w:left="360"/>
        <w:rPr>
          <w:color w:val="212121"/>
          <w:shd w:val="clear" w:color="auto" w:fill="FFFFFF"/>
        </w:rPr>
      </w:pPr>
      <w:r w:rsidRPr="008B5614">
        <w:rPr>
          <w:color w:val="212121"/>
          <w:shd w:val="clear" w:color="auto" w:fill="FFFFFF"/>
        </w:rPr>
        <w:t xml:space="preserve">Knutson B, Greer SM. (2008). Anticipatory affect: neural correlates and consequences for choice. Philos Trans R Soc Lond B Biol Sci. 363(1511):3771-86. doi: 10.1098/rstb.2008.0155. </w:t>
      </w:r>
    </w:p>
    <w:p w14:paraId="6C0EA4A8" w14:textId="77777777" w:rsidR="00653360" w:rsidRPr="008B5614" w:rsidRDefault="00653360" w:rsidP="008B5614">
      <w:pPr>
        <w:shd w:val="clear" w:color="auto" w:fill="FFFFFF"/>
        <w:spacing w:line="480" w:lineRule="auto"/>
        <w:ind w:left="-360"/>
        <w:rPr>
          <w:color w:val="212121"/>
          <w:shd w:val="clear" w:color="auto" w:fill="FFFFFF"/>
        </w:rPr>
      </w:pPr>
    </w:p>
    <w:p w14:paraId="70E0FC88" w14:textId="77777777" w:rsidR="00653360" w:rsidRPr="008B5614" w:rsidRDefault="00653360" w:rsidP="008B5614">
      <w:pPr>
        <w:spacing w:line="480" w:lineRule="auto"/>
        <w:ind w:left="360"/>
        <w:rPr>
          <w:color w:val="000000"/>
          <w:shd w:val="clear" w:color="auto" w:fill="FFFFFF"/>
        </w:rPr>
      </w:pPr>
      <w:r w:rsidRPr="008B5614">
        <w:rPr>
          <w:color w:val="000000"/>
          <w:shd w:val="clear" w:color="auto" w:fill="FFFFFF"/>
        </w:rPr>
        <w:t xml:space="preserve">Lee JA, Kim CK, Jahng GH, </w:t>
      </w:r>
      <w:r w:rsidRPr="008B5614">
        <w:t>Hwang LK, Cho YW, Kim YJ,</w:t>
      </w:r>
      <w:r w:rsidRPr="008B5614">
        <w:rPr>
          <w:color w:val="000000"/>
          <w:shd w:val="clear" w:color="auto" w:fill="FFFFFF"/>
        </w:rPr>
        <w:t xml:space="preserve"> et al. (2010). A pilot study of brain activation in children with trichotillomania during a visual-tactile symptom provocation task: a functional magnetic resonance imaging study. Prog Neuropsychopharmacol Biol Psychiatry. 34(7):1250–1258.  doi:10.1016/j.pnpbp.2010.06.031</w:t>
      </w:r>
    </w:p>
    <w:p w14:paraId="232F83D3" w14:textId="77777777" w:rsidR="00653360" w:rsidRPr="008B5614" w:rsidRDefault="00653360" w:rsidP="008B5614">
      <w:pPr>
        <w:shd w:val="clear" w:color="auto" w:fill="FFFFFF"/>
        <w:spacing w:line="480" w:lineRule="auto"/>
        <w:ind w:left="-360"/>
        <w:rPr>
          <w:color w:val="212121"/>
          <w:shd w:val="clear" w:color="auto" w:fill="FFFFFF"/>
        </w:rPr>
      </w:pPr>
    </w:p>
    <w:p w14:paraId="2F6F1D23" w14:textId="77777777" w:rsidR="00653360" w:rsidRPr="008B5614" w:rsidRDefault="00653360" w:rsidP="008B5614">
      <w:pPr>
        <w:shd w:val="clear" w:color="auto" w:fill="FFFFFF"/>
        <w:spacing w:line="480" w:lineRule="auto"/>
        <w:ind w:left="360"/>
        <w:rPr>
          <w:color w:val="232323"/>
        </w:rPr>
      </w:pPr>
      <w:r w:rsidRPr="008B5614">
        <w:rPr>
          <w:color w:val="212121"/>
          <w:shd w:val="clear" w:color="auto" w:fill="FFFFFF"/>
        </w:rPr>
        <w:t>Liu X, Hairston J, Schrier M, Fan J. (2011).Common and distinct networks underlying reward valence and processing stages: a meta-analysis of functional neuroimaging studies. Neurosci Biobehav Rev. 35(5):1219-36. doi: 10.1016/j.neubiorev.2010.12.012.</w:t>
      </w:r>
    </w:p>
    <w:p w14:paraId="26FF7F81" w14:textId="77777777" w:rsidR="00653360" w:rsidRPr="008B5614" w:rsidRDefault="00653360" w:rsidP="008B5614">
      <w:pPr>
        <w:spacing w:line="480" w:lineRule="auto"/>
        <w:ind w:left="-360"/>
      </w:pPr>
    </w:p>
    <w:p w14:paraId="31F68606" w14:textId="77777777" w:rsidR="008B5614" w:rsidRPr="008B5614" w:rsidRDefault="008B5614" w:rsidP="008B5614">
      <w:pPr>
        <w:tabs>
          <w:tab w:val="left" w:pos="360"/>
        </w:tabs>
        <w:spacing w:line="480" w:lineRule="auto"/>
        <w:ind w:left="360"/>
      </w:pPr>
      <w:r w:rsidRPr="008B5614">
        <w:rPr>
          <w:color w:val="212121"/>
          <w:shd w:val="clear" w:color="auto" w:fill="FFFFFF"/>
        </w:rPr>
        <w:t xml:space="preserve">Odlaug BL, Chamberlain SR, Derbyshire KL, Leppink EW, Grant JG (2014). Impaired response inhibition and excess cortical thickness as candidate endophenotypes for trichotillomania. J Psychiatr Res. 59:167-73. doi: 10.1016/j.jpsychires.2014.08.010. </w:t>
      </w:r>
    </w:p>
    <w:p w14:paraId="2B2F93D9" w14:textId="77777777" w:rsidR="008B5614" w:rsidRPr="008B5614" w:rsidRDefault="008B5614" w:rsidP="008B5614">
      <w:pPr>
        <w:tabs>
          <w:tab w:val="left" w:pos="360"/>
        </w:tabs>
        <w:spacing w:line="480" w:lineRule="auto"/>
        <w:ind w:left="360"/>
      </w:pPr>
      <w:r w:rsidRPr="008B5614">
        <w:t>Odlaug BL, Hampshire A, Chamberlain SR, Grant JE. (2016). Abnormal brain activation in excoriation (skin-picking) disorder: evidence from an executive planning fMRI study. Br J Psychiatry. 208(2):168–174. doi:10.1192/bjp.bp.114.155192</w:t>
      </w:r>
    </w:p>
    <w:p w14:paraId="40C348FD" w14:textId="77777777" w:rsidR="001B5E74" w:rsidRPr="008B5614" w:rsidRDefault="001B5E74" w:rsidP="008B5614">
      <w:pPr>
        <w:tabs>
          <w:tab w:val="left" w:pos="360"/>
        </w:tabs>
        <w:spacing w:line="480" w:lineRule="auto"/>
        <w:ind w:left="-360"/>
      </w:pPr>
    </w:p>
    <w:p w14:paraId="24B14C27" w14:textId="77777777" w:rsidR="001B5E74" w:rsidRPr="008B5614" w:rsidRDefault="001B5E74" w:rsidP="008B5614">
      <w:pPr>
        <w:tabs>
          <w:tab w:val="left" w:pos="360"/>
        </w:tabs>
        <w:spacing w:line="480" w:lineRule="auto"/>
        <w:ind w:left="360"/>
      </w:pPr>
      <w:r w:rsidRPr="008B5614">
        <w:t xml:space="preserve">O'Sullivan RL, Rauch SL, Breiter HC, </w:t>
      </w:r>
      <w:r w:rsidRPr="008B5614">
        <w:rPr>
          <w:rStyle w:val="docsum-authors"/>
        </w:rPr>
        <w:t xml:space="preserve">Grachev ID, Baer L, Kennedy DN, </w:t>
      </w:r>
      <w:r w:rsidRPr="008B5614">
        <w:t>et al. (1997). Reduced basal ganglia volumes in trichotillomania measured via morphometric magnetic resonance imaging. Biol Psychiatry. 42(1):39–45. doi:10.1016/S0006-3223(96)00297-1</w:t>
      </w:r>
    </w:p>
    <w:p w14:paraId="35C4420A" w14:textId="77777777" w:rsidR="008B5614" w:rsidRDefault="008B5614" w:rsidP="008B5614">
      <w:pPr>
        <w:spacing w:line="480" w:lineRule="auto"/>
        <w:ind w:left="360"/>
        <w:rPr>
          <w:color w:val="000000"/>
          <w:shd w:val="clear" w:color="auto" w:fill="FFFFFF"/>
        </w:rPr>
      </w:pPr>
    </w:p>
    <w:p w14:paraId="49516E9C" w14:textId="77777777" w:rsidR="001B5E74" w:rsidRPr="008B5614" w:rsidRDefault="001B5E74" w:rsidP="008B5614">
      <w:pPr>
        <w:spacing w:line="480" w:lineRule="auto"/>
        <w:ind w:left="360"/>
        <w:rPr>
          <w:color w:val="000000"/>
          <w:shd w:val="clear" w:color="auto" w:fill="FFFFFF"/>
        </w:rPr>
      </w:pPr>
      <w:r w:rsidRPr="008B5614">
        <w:rPr>
          <w:color w:val="000000"/>
          <w:shd w:val="clear" w:color="auto" w:fill="FFFFFF"/>
        </w:rPr>
        <w:t xml:space="preserve">Rauch SL, Wright CI, Savage CR, </w:t>
      </w:r>
      <w:r w:rsidRPr="008B5614">
        <w:rPr>
          <w:rStyle w:val="docsum-authors"/>
        </w:rPr>
        <w:t>Martis B, McMullin KG, Wedig MM</w:t>
      </w:r>
      <w:r w:rsidRPr="008B5614">
        <w:rPr>
          <w:color w:val="000000"/>
          <w:shd w:val="clear" w:color="auto" w:fill="FFFFFF"/>
        </w:rPr>
        <w:t>, et al. (2007). Brain activation during implicit sequence learning in individuals with trichotillomania. Psychiatry Res. 154(3):233–240. doi:10.1016/j.pscychresns.2006.09.002</w:t>
      </w:r>
    </w:p>
    <w:p w14:paraId="45264EAD" w14:textId="77777777" w:rsidR="008B5614" w:rsidRDefault="008B5614" w:rsidP="008B5614">
      <w:pPr>
        <w:spacing w:line="480" w:lineRule="auto"/>
        <w:ind w:left="360"/>
        <w:rPr>
          <w:color w:val="000000"/>
          <w:shd w:val="clear" w:color="auto" w:fill="FFFFFF"/>
        </w:rPr>
      </w:pPr>
    </w:p>
    <w:p w14:paraId="2B95418A" w14:textId="77777777" w:rsidR="00653360" w:rsidRPr="008B5614" w:rsidRDefault="00653360" w:rsidP="008B5614">
      <w:pPr>
        <w:spacing w:line="480" w:lineRule="auto"/>
        <w:ind w:left="360"/>
        <w:rPr>
          <w:color w:val="000000"/>
          <w:shd w:val="clear" w:color="auto" w:fill="FFFFFF"/>
        </w:rPr>
      </w:pPr>
      <w:r w:rsidRPr="008B5614">
        <w:rPr>
          <w:color w:val="000000"/>
          <w:shd w:val="clear" w:color="auto" w:fill="FFFFFF"/>
        </w:rPr>
        <w:t>Roos A, Grant JE, Fouche JP, Stein DJ, Lochner C. (2015).  A comparison of brain volume and cortical thickness in excoriation (skin picking) disorder and trichotillomania (hair pulling disorder) in women. Behav Brain Res. 279:255–258. doi:10.1016/j.bbr.2014.11.029</w:t>
      </w:r>
    </w:p>
    <w:p w14:paraId="61C7BFEB" w14:textId="77777777" w:rsidR="001B5E74" w:rsidRPr="008B5614" w:rsidRDefault="001B5E74" w:rsidP="008B5614">
      <w:pPr>
        <w:tabs>
          <w:tab w:val="left" w:pos="360"/>
        </w:tabs>
        <w:spacing w:line="480" w:lineRule="auto"/>
        <w:ind w:left="-360"/>
        <w:rPr>
          <w:color w:val="000000"/>
          <w:shd w:val="clear" w:color="auto" w:fill="FFFFFF"/>
        </w:rPr>
      </w:pPr>
    </w:p>
    <w:p w14:paraId="1560FB7C" w14:textId="77777777" w:rsidR="003E5F93" w:rsidRPr="008B5614" w:rsidRDefault="006C7EFA" w:rsidP="008B5614">
      <w:pPr>
        <w:tabs>
          <w:tab w:val="left" w:pos="360"/>
        </w:tabs>
        <w:spacing w:line="480" w:lineRule="auto"/>
        <w:ind w:left="360"/>
        <w:rPr>
          <w:color w:val="000000"/>
          <w:shd w:val="clear" w:color="auto" w:fill="FFFFFF"/>
        </w:rPr>
      </w:pPr>
      <w:r w:rsidRPr="008B5614">
        <w:rPr>
          <w:color w:val="000000"/>
          <w:shd w:val="clear" w:color="auto" w:fill="FFFFFF"/>
        </w:rPr>
        <w:t xml:space="preserve">Sani G, Gualtieri I, Paolini M, </w:t>
      </w:r>
      <w:r w:rsidR="00734D43" w:rsidRPr="008B5614">
        <w:t>Bonanni L, Spinazzola E, Maggiora M,</w:t>
      </w:r>
      <w:r w:rsidR="00734D43" w:rsidRPr="008B5614">
        <w:rPr>
          <w:color w:val="000000"/>
          <w:shd w:val="clear" w:color="auto" w:fill="FFFFFF"/>
        </w:rPr>
        <w:t xml:space="preserve"> </w:t>
      </w:r>
      <w:r w:rsidRPr="008B5614">
        <w:rPr>
          <w:color w:val="000000"/>
          <w:shd w:val="clear" w:color="auto" w:fill="FFFFFF"/>
        </w:rPr>
        <w:t xml:space="preserve">et al. </w:t>
      </w:r>
      <w:r w:rsidR="00734D43" w:rsidRPr="008B5614">
        <w:rPr>
          <w:color w:val="000000"/>
          <w:shd w:val="clear" w:color="auto" w:fill="FFFFFF"/>
        </w:rPr>
        <w:t xml:space="preserve">(2019). </w:t>
      </w:r>
      <w:r w:rsidRPr="008B5614">
        <w:rPr>
          <w:color w:val="000000"/>
          <w:shd w:val="clear" w:color="auto" w:fill="FFFFFF"/>
        </w:rPr>
        <w:t>Drug Treatment of Trichotillomania (Hair-Pulling Disorder), Excoriation (Skin-picking) Disorder, and Nail-biting (Onychophagia). Curr</w:t>
      </w:r>
      <w:r w:rsidR="000B3EE9" w:rsidRPr="008B5614">
        <w:rPr>
          <w:color w:val="000000"/>
          <w:shd w:val="clear" w:color="auto" w:fill="FFFFFF"/>
        </w:rPr>
        <w:t xml:space="preserve"> </w:t>
      </w:r>
      <w:r w:rsidRPr="008B5614">
        <w:rPr>
          <w:color w:val="000000"/>
          <w:shd w:val="clear" w:color="auto" w:fill="FFFFFF"/>
        </w:rPr>
        <w:t>Neuropharmacol. 17(8):775–786. doi:10.2174/1570159X17666190320164223</w:t>
      </w:r>
    </w:p>
    <w:p w14:paraId="440945AD" w14:textId="77777777" w:rsidR="003E5F93" w:rsidRPr="008B5614" w:rsidRDefault="003E5F93" w:rsidP="008B5614">
      <w:pPr>
        <w:tabs>
          <w:tab w:val="left" w:pos="360"/>
        </w:tabs>
        <w:spacing w:line="480" w:lineRule="auto"/>
        <w:ind w:left="-360"/>
        <w:rPr>
          <w:color w:val="000000"/>
          <w:shd w:val="clear" w:color="auto" w:fill="FFFFFF"/>
        </w:rPr>
      </w:pPr>
    </w:p>
    <w:p w14:paraId="761A4356" w14:textId="77777777" w:rsidR="00653360" w:rsidRPr="008B5614" w:rsidRDefault="00653360" w:rsidP="008B5614">
      <w:pPr>
        <w:spacing w:line="480" w:lineRule="auto"/>
        <w:ind w:left="360"/>
        <w:rPr>
          <w:color w:val="000000"/>
          <w:shd w:val="clear" w:color="auto" w:fill="FFFFFF"/>
        </w:rPr>
      </w:pPr>
      <w:r w:rsidRPr="008B5614">
        <w:rPr>
          <w:color w:val="000000"/>
          <w:shd w:val="clear" w:color="auto" w:fill="FFFFFF"/>
        </w:rPr>
        <w:t>Schienle A, Übel S, Wabnegger A. (2018). Visual symptom provocation in skin picking disorder: an fMRI study. Brain Imaging Behav. 12(5):1504–1512. doi:10.1007/s11682-017-9792-x</w:t>
      </w:r>
    </w:p>
    <w:p w14:paraId="62D15E03" w14:textId="77777777" w:rsidR="008B5614" w:rsidRDefault="008B5614" w:rsidP="008B5614">
      <w:pPr>
        <w:tabs>
          <w:tab w:val="left" w:pos="360"/>
        </w:tabs>
        <w:spacing w:line="480" w:lineRule="auto"/>
        <w:ind w:left="360"/>
        <w:rPr>
          <w:color w:val="232323"/>
        </w:rPr>
      </w:pPr>
    </w:p>
    <w:p w14:paraId="74512EEF" w14:textId="5B9E4BDE" w:rsidR="008B5614" w:rsidRPr="008B5614" w:rsidRDefault="008B5614" w:rsidP="008B5614">
      <w:pPr>
        <w:tabs>
          <w:tab w:val="left" w:pos="360"/>
        </w:tabs>
        <w:spacing w:line="480" w:lineRule="auto"/>
        <w:ind w:left="360"/>
        <w:rPr>
          <w:color w:val="232323"/>
        </w:rPr>
      </w:pPr>
      <w:r w:rsidRPr="008B5614">
        <w:rPr>
          <w:color w:val="232323"/>
        </w:rPr>
        <w:t>Schlosser S, Black D W, Blum N, Goldstein R B. (1994).The demography, phenomenology, and family history of 22 persons with compulsive hair-pulling. Ann Clin Psychiatry 6:147–52.</w:t>
      </w:r>
    </w:p>
    <w:p w14:paraId="77D94C9B" w14:textId="77777777" w:rsidR="003E5F93" w:rsidRPr="008B5614" w:rsidRDefault="003E5F93" w:rsidP="008B5614">
      <w:pPr>
        <w:spacing w:line="480" w:lineRule="auto"/>
        <w:ind w:left="-360"/>
        <w:rPr>
          <w:shd w:val="clear" w:color="auto" w:fill="FFFFFF"/>
        </w:rPr>
      </w:pPr>
    </w:p>
    <w:p w14:paraId="316A237F" w14:textId="68962191" w:rsidR="00653360" w:rsidRPr="008B5614" w:rsidRDefault="00653360" w:rsidP="008B5614">
      <w:pPr>
        <w:spacing w:line="480" w:lineRule="auto"/>
        <w:ind w:left="360"/>
        <w:rPr>
          <w:color w:val="000000"/>
          <w:shd w:val="clear" w:color="auto" w:fill="FFFFFF"/>
        </w:rPr>
      </w:pPr>
      <w:r w:rsidRPr="008B5614">
        <w:rPr>
          <w:shd w:val="clear" w:color="auto" w:fill="FFFFFF"/>
        </w:rPr>
        <w:t xml:space="preserve">Sheehan, D.V., Lecrubier, Y., Sheehan, K.H., </w:t>
      </w:r>
      <w:r w:rsidRPr="008B5614">
        <w:rPr>
          <w:rStyle w:val="docsum-authors"/>
        </w:rPr>
        <w:t>Amorim P, Janavs J, Weiller E,</w:t>
      </w:r>
      <w:r w:rsidRPr="008B5614">
        <w:rPr>
          <w:shd w:val="clear" w:color="auto" w:fill="FFFFFF"/>
        </w:rPr>
        <w:t>et al. (1998). The Mini-International Neuropsychiatric Interview (M.I.N.I.): the development and validation of a structured diagnostic psychiatric interview for DSM-IV and ICD-10. </w:t>
      </w:r>
      <w:r w:rsidRPr="008B5614">
        <w:rPr>
          <w:i/>
          <w:iCs/>
          <w:shd w:val="clear" w:color="auto" w:fill="FFFFFF"/>
        </w:rPr>
        <w:t>J Clin Psychiatry</w:t>
      </w:r>
      <w:r w:rsidRPr="008B5614">
        <w:rPr>
          <w:shd w:val="clear" w:color="auto" w:fill="FFFFFF"/>
        </w:rPr>
        <w:t>.59 Suppl 20:22–57.</w:t>
      </w:r>
      <w:r w:rsidRPr="008B5614">
        <w:t xml:space="preserve"> </w:t>
      </w:r>
    </w:p>
    <w:p w14:paraId="1510752E" w14:textId="77777777" w:rsidR="008B5614" w:rsidRDefault="008B5614" w:rsidP="008B5614">
      <w:pPr>
        <w:spacing w:line="480" w:lineRule="auto"/>
        <w:ind w:left="360"/>
        <w:mirrorIndents/>
      </w:pPr>
    </w:p>
    <w:p w14:paraId="4C7DE821" w14:textId="77777777" w:rsidR="008B5614" w:rsidRPr="008B5614" w:rsidRDefault="00D56142" w:rsidP="008B5614">
      <w:pPr>
        <w:spacing w:line="480" w:lineRule="auto"/>
        <w:ind w:left="360"/>
        <w:mirrorIndents/>
      </w:pPr>
      <w:hyperlink r:id="rId15" w:history="1">
        <w:r w:rsidR="008B5614" w:rsidRPr="008B5614">
          <w:rPr>
            <w:color w:val="000000"/>
          </w:rPr>
          <w:t>Smith SM. (2002). Fast robust automated brain extraction. Hum. Brain Mapp  17: 143–155.</w:t>
        </w:r>
      </w:hyperlink>
    </w:p>
    <w:p w14:paraId="336C2241" w14:textId="77777777" w:rsidR="008B5614" w:rsidRDefault="008B5614" w:rsidP="008B5614">
      <w:pPr>
        <w:tabs>
          <w:tab w:val="left" w:pos="360"/>
        </w:tabs>
        <w:spacing w:line="480" w:lineRule="auto"/>
        <w:ind w:left="360"/>
      </w:pPr>
    </w:p>
    <w:p w14:paraId="40D48FC5" w14:textId="77777777" w:rsidR="001B5E74" w:rsidRPr="008B5614" w:rsidRDefault="001B5E74" w:rsidP="008B5614">
      <w:pPr>
        <w:tabs>
          <w:tab w:val="left" w:pos="360"/>
        </w:tabs>
        <w:spacing w:line="480" w:lineRule="auto"/>
        <w:ind w:left="360"/>
      </w:pPr>
      <w:r w:rsidRPr="008B5614">
        <w:t xml:space="preserve">Stein DJ, Coetzer R, Lee M, </w:t>
      </w:r>
      <w:r w:rsidRPr="008B5614">
        <w:rPr>
          <w:rStyle w:val="docsum-authors"/>
        </w:rPr>
        <w:t>Davids B, Bouwer C.</w:t>
      </w:r>
      <w:r w:rsidRPr="008B5614">
        <w:t xml:space="preserve"> (1997). Magnetic resonance brain imaging in women with obsessive-compulsive disorder and trichotillomania. Psychiatry Res. 74(3):177–182. doi:10.1016/s0925-4927(97)00010-3</w:t>
      </w:r>
    </w:p>
    <w:p w14:paraId="4F1A8940" w14:textId="77777777" w:rsidR="001B5E74" w:rsidRPr="008B5614" w:rsidRDefault="001B5E74" w:rsidP="008B5614">
      <w:pPr>
        <w:tabs>
          <w:tab w:val="left" w:pos="360"/>
        </w:tabs>
        <w:spacing w:line="480" w:lineRule="auto"/>
        <w:ind w:left="-360"/>
        <w:rPr>
          <w:rFonts w:eastAsia="+mn-ea"/>
          <w:color w:val="000000"/>
          <w:kern w:val="24"/>
        </w:rPr>
      </w:pPr>
    </w:p>
    <w:p w14:paraId="5EADDD95" w14:textId="77777777" w:rsidR="001B5E74" w:rsidRPr="008B5614" w:rsidRDefault="001B5E74" w:rsidP="008B5614">
      <w:pPr>
        <w:tabs>
          <w:tab w:val="left" w:pos="360"/>
        </w:tabs>
        <w:spacing w:line="480" w:lineRule="auto"/>
        <w:ind w:left="360"/>
        <w:rPr>
          <w:rFonts w:eastAsia="+mn-ea"/>
          <w:color w:val="000000"/>
          <w:kern w:val="24"/>
        </w:rPr>
      </w:pPr>
      <w:r w:rsidRPr="008B5614">
        <w:rPr>
          <w:rFonts w:eastAsia="+mn-ea"/>
          <w:color w:val="000000"/>
          <w:kern w:val="24"/>
        </w:rPr>
        <w:t>Swedo SE, Rapoport JL, Leonard HL,</w:t>
      </w:r>
      <w:r w:rsidRPr="008B5614">
        <w:t xml:space="preserve"> </w:t>
      </w:r>
      <w:r w:rsidRPr="008B5614">
        <w:rPr>
          <w:rStyle w:val="docsum-authors"/>
        </w:rPr>
        <w:t>Schapiro MB, Rapoport SI, Grady CL</w:t>
      </w:r>
      <w:r w:rsidRPr="008B5614">
        <w:rPr>
          <w:rFonts w:eastAsia="+mn-ea"/>
          <w:color w:val="000000"/>
          <w:kern w:val="24"/>
        </w:rPr>
        <w:t>. (1991). Regional cerebral glucose metabolism of women with trichotillomania. Arch Gen Psychiatry. 48(9):828–833. doi:10.1001/archpsyc.1991.01810330052008</w:t>
      </w:r>
    </w:p>
    <w:p w14:paraId="5545EF5F" w14:textId="77777777" w:rsidR="001B5E74" w:rsidRPr="008B5614" w:rsidRDefault="001B5E74" w:rsidP="008B5614">
      <w:pPr>
        <w:tabs>
          <w:tab w:val="left" w:pos="360"/>
        </w:tabs>
        <w:spacing w:line="480" w:lineRule="auto"/>
        <w:ind w:left="-360"/>
        <w:rPr>
          <w:rFonts w:eastAsia="+mn-ea"/>
          <w:color w:val="000000"/>
          <w:kern w:val="24"/>
        </w:rPr>
      </w:pPr>
    </w:p>
    <w:p w14:paraId="0AC6B07E" w14:textId="23AA3F2A" w:rsidR="001B5E74" w:rsidRPr="008B5614" w:rsidRDefault="001B5E74" w:rsidP="008B5614">
      <w:pPr>
        <w:tabs>
          <w:tab w:val="left" w:pos="360"/>
        </w:tabs>
        <w:spacing w:line="480" w:lineRule="auto"/>
        <w:ind w:left="360"/>
        <w:rPr>
          <w:rFonts w:eastAsia="+mn-ea"/>
          <w:color w:val="000000"/>
          <w:kern w:val="24"/>
        </w:rPr>
      </w:pPr>
      <w:r w:rsidRPr="008B5614">
        <w:t>Tucker BT, Woods DW, Flessner CA, Franklin SA, Franklin ME. (2011). The Skin Picking Impact Project: phenomenology, interference, and treatment utilization of pathological skin picking in a population-based sample. J Anxiety Disord. 25(1):88–95. doi:10.1016/j.janxdis.2010.08.007</w:t>
      </w:r>
    </w:p>
    <w:p w14:paraId="75C29D2B" w14:textId="77777777" w:rsidR="001B5E74" w:rsidRPr="008B5614" w:rsidRDefault="001B5E74" w:rsidP="008B5614">
      <w:pPr>
        <w:tabs>
          <w:tab w:val="left" w:pos="360"/>
        </w:tabs>
        <w:spacing w:line="480" w:lineRule="auto"/>
        <w:ind w:left="-360"/>
        <w:rPr>
          <w:rFonts w:eastAsia="+mn-ea"/>
          <w:color w:val="000000"/>
          <w:kern w:val="24"/>
        </w:rPr>
      </w:pPr>
    </w:p>
    <w:p w14:paraId="175C2815" w14:textId="77777777" w:rsidR="00653360" w:rsidRPr="008B5614" w:rsidRDefault="006C7EFA" w:rsidP="008B5614">
      <w:pPr>
        <w:spacing w:line="480" w:lineRule="auto"/>
        <w:ind w:left="360"/>
      </w:pPr>
      <w:r w:rsidRPr="008B5614">
        <w:t xml:space="preserve">Wabnegger A, Schienle A. </w:t>
      </w:r>
      <w:r w:rsidR="00E11D38" w:rsidRPr="008B5614">
        <w:t xml:space="preserve">(2019). </w:t>
      </w:r>
      <w:r w:rsidRPr="008B5614">
        <w:t>The Role of the Cerebellum in Skin-Picking Disorder. Cerebellum. 18(1):91–98. doi:10.1007/s12311-018-0957-y</w:t>
      </w:r>
    </w:p>
    <w:p w14:paraId="01FD8538" w14:textId="77777777" w:rsidR="00653360" w:rsidRPr="008B5614" w:rsidRDefault="00653360" w:rsidP="008B5614">
      <w:pPr>
        <w:spacing w:line="480" w:lineRule="auto"/>
        <w:ind w:left="-360"/>
      </w:pPr>
    </w:p>
    <w:p w14:paraId="6D10C0FA" w14:textId="2FFFA9E9" w:rsidR="00675C0C" w:rsidRDefault="006C7EFA" w:rsidP="008B5614">
      <w:pPr>
        <w:spacing w:line="480" w:lineRule="auto"/>
        <w:ind w:left="360"/>
      </w:pPr>
      <w:r w:rsidRPr="008B5614">
        <w:rPr>
          <w:color w:val="212121"/>
          <w:shd w:val="clear" w:color="auto" w:fill="FFFFFF"/>
        </w:rPr>
        <w:t xml:space="preserve">White MP, Shirer WR, Molfino MJ, </w:t>
      </w:r>
      <w:r w:rsidR="00B31857" w:rsidRPr="008B5614">
        <w:rPr>
          <w:rStyle w:val="docsum-authors"/>
        </w:rPr>
        <w:t xml:space="preserve">Tenison C, Damoiseaux JS, Greicius MD. (2013). </w:t>
      </w:r>
      <w:r w:rsidRPr="008B5614">
        <w:rPr>
          <w:color w:val="212121"/>
          <w:shd w:val="clear" w:color="auto" w:fill="FFFFFF"/>
        </w:rPr>
        <w:t xml:space="preserve">Disordered reward processing and functional connectivity in trichotillomania: a pilot study. J Psychiatr Res. 47(9):1264-72. doi: 10.1016/j.jpsychires.2013.05.014. </w:t>
      </w:r>
    </w:p>
    <w:sectPr w:rsidR="00675C0C" w:rsidSect="00A87D73">
      <w:footerReference w:type="default" r:id="rId16"/>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E333" w14:textId="77777777" w:rsidR="00BD0ED7" w:rsidRDefault="00BD0ED7">
      <w:r>
        <w:separator/>
      </w:r>
    </w:p>
  </w:endnote>
  <w:endnote w:type="continuationSeparator" w:id="0">
    <w:p w14:paraId="3B659B0E" w14:textId="77777777" w:rsidR="00BD0ED7" w:rsidRDefault="00BD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577713"/>
      <w:docPartObj>
        <w:docPartGallery w:val="Page Numbers (Bottom of Page)"/>
        <w:docPartUnique/>
      </w:docPartObj>
    </w:sdtPr>
    <w:sdtEndPr>
      <w:rPr>
        <w:noProof/>
      </w:rPr>
    </w:sdtEndPr>
    <w:sdtContent>
      <w:p w14:paraId="0D0DF3E4" w14:textId="18B773B2" w:rsidR="00CD5E71" w:rsidRDefault="00CD5E71">
        <w:pPr>
          <w:pStyle w:val="Footer"/>
          <w:jc w:val="center"/>
        </w:pPr>
        <w:r>
          <w:fldChar w:fldCharType="begin"/>
        </w:r>
        <w:r>
          <w:instrText xml:space="preserve"> PAGE   \* MERGEFORMAT </w:instrText>
        </w:r>
        <w:r>
          <w:fldChar w:fldCharType="separate"/>
        </w:r>
        <w:r w:rsidR="0060516E">
          <w:rPr>
            <w:noProof/>
          </w:rPr>
          <w:t>16</w:t>
        </w:r>
        <w:r>
          <w:rPr>
            <w:noProof/>
          </w:rPr>
          <w:fldChar w:fldCharType="end"/>
        </w:r>
      </w:p>
    </w:sdtContent>
  </w:sdt>
  <w:p w14:paraId="73A8CC1C" w14:textId="599D929A" w:rsidR="00CD5E71" w:rsidRPr="00E75B52" w:rsidRDefault="00CD5E71" w:rsidP="0058599D">
    <w:pPr>
      <w:pStyle w:val="Footer"/>
      <w:ind w:right="360"/>
      <w:rPr>
        <w:rStyle w:val="textcontro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448A" w14:textId="77777777" w:rsidR="00BD0ED7" w:rsidRDefault="00BD0ED7">
      <w:r>
        <w:separator/>
      </w:r>
    </w:p>
  </w:footnote>
  <w:footnote w:type="continuationSeparator" w:id="0">
    <w:p w14:paraId="0F0A0DB3" w14:textId="77777777" w:rsidR="00BD0ED7" w:rsidRDefault="00BD0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5618"/>
    <w:multiLevelType w:val="hybridMultilevel"/>
    <w:tmpl w:val="6CDCAB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B1B05"/>
    <w:multiLevelType w:val="hybridMultilevel"/>
    <w:tmpl w:val="2F8C5A6A"/>
    <w:lvl w:ilvl="0" w:tplc="9FC00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B1323"/>
    <w:multiLevelType w:val="hybridMultilevel"/>
    <w:tmpl w:val="ECA87E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D6EDE"/>
    <w:multiLevelType w:val="hybridMultilevel"/>
    <w:tmpl w:val="5C942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C264A"/>
    <w:multiLevelType w:val="multilevel"/>
    <w:tmpl w:val="26D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45D5"/>
    <w:multiLevelType w:val="hybridMultilevel"/>
    <w:tmpl w:val="A0D6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C3A8B"/>
    <w:multiLevelType w:val="hybridMultilevel"/>
    <w:tmpl w:val="06DA3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C3433"/>
    <w:multiLevelType w:val="hybridMultilevel"/>
    <w:tmpl w:val="F328D0E0"/>
    <w:lvl w:ilvl="0" w:tplc="AB58D96C">
      <w:start w:val="1"/>
      <w:numFmt w:val="bullet"/>
      <w:lvlText w:val=""/>
      <w:lvlJc w:val="left"/>
      <w:pPr>
        <w:tabs>
          <w:tab w:val="num" w:pos="216"/>
        </w:tabs>
        <w:ind w:left="216" w:hanging="216"/>
      </w:pPr>
      <w:rPr>
        <w:rFonts w:ascii="Symbol" w:hAnsi="Symbol" w:hint="default"/>
        <w:sz w:val="20"/>
      </w:rPr>
    </w:lvl>
    <w:lvl w:ilvl="1" w:tplc="7B060D0C">
      <w:start w:val="1"/>
      <w:numFmt w:val="bullet"/>
      <w:lvlText w:val=""/>
      <w:lvlJc w:val="left"/>
      <w:pPr>
        <w:tabs>
          <w:tab w:val="num" w:pos="936"/>
        </w:tabs>
        <w:ind w:left="936" w:hanging="216"/>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D5649D"/>
    <w:multiLevelType w:val="hybridMultilevel"/>
    <w:tmpl w:val="68A4C53A"/>
    <w:lvl w:ilvl="0" w:tplc="7B060D0C">
      <w:start w:val="1"/>
      <w:numFmt w:val="bullet"/>
      <w:lvlText w:val=""/>
      <w:lvlJc w:val="left"/>
      <w:pPr>
        <w:tabs>
          <w:tab w:val="num" w:pos="216"/>
        </w:tabs>
        <w:ind w:left="216" w:hanging="216"/>
      </w:pPr>
      <w:rPr>
        <w:rFonts w:ascii="Symbol" w:hAnsi="Symbol" w:hint="default"/>
        <w:b w:val="0"/>
        <w:i w:val="0"/>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C62DE"/>
    <w:multiLevelType w:val="hybridMultilevel"/>
    <w:tmpl w:val="338A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D3A77"/>
    <w:multiLevelType w:val="multilevel"/>
    <w:tmpl w:val="5FE4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42BE2"/>
    <w:multiLevelType w:val="hybridMultilevel"/>
    <w:tmpl w:val="2F1E09DC"/>
    <w:lvl w:ilvl="0" w:tplc="675ED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06FF2"/>
    <w:multiLevelType w:val="hybridMultilevel"/>
    <w:tmpl w:val="877E793E"/>
    <w:lvl w:ilvl="0" w:tplc="0B983862">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A3848"/>
    <w:multiLevelType w:val="hybridMultilevel"/>
    <w:tmpl w:val="B8AAD5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E26BFA"/>
    <w:multiLevelType w:val="hybridMultilevel"/>
    <w:tmpl w:val="60309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B174E"/>
    <w:multiLevelType w:val="multilevel"/>
    <w:tmpl w:val="6036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87F0E"/>
    <w:multiLevelType w:val="multilevel"/>
    <w:tmpl w:val="12DC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D2BB6"/>
    <w:multiLevelType w:val="hybridMultilevel"/>
    <w:tmpl w:val="E36EA4E2"/>
    <w:lvl w:ilvl="0" w:tplc="9D049DAE">
      <w:start w:val="1"/>
      <w:numFmt w:val="lowerLetter"/>
      <w:lvlText w:val="%1."/>
      <w:lvlJc w:val="left"/>
      <w:pPr>
        <w:tabs>
          <w:tab w:val="num" w:pos="720"/>
        </w:tabs>
        <w:ind w:left="720" w:hanging="360"/>
      </w:pPr>
      <w:rPr>
        <w:rFonts w:ascii="Times New Roman" w:eastAsia="Times New Roman" w:hAnsi="Times New Roman" w:cs="Times New Roman"/>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423EB5"/>
    <w:multiLevelType w:val="hybridMultilevel"/>
    <w:tmpl w:val="DAAC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7"/>
  </w:num>
  <w:num w:numId="5">
    <w:abstractNumId w:val="13"/>
  </w:num>
  <w:num w:numId="6">
    <w:abstractNumId w:val="3"/>
  </w:num>
  <w:num w:numId="7">
    <w:abstractNumId w:val="14"/>
  </w:num>
  <w:num w:numId="8">
    <w:abstractNumId w:val="2"/>
  </w:num>
  <w:num w:numId="9">
    <w:abstractNumId w:val="5"/>
  </w:num>
  <w:num w:numId="10">
    <w:abstractNumId w:val="16"/>
  </w:num>
  <w:num w:numId="11">
    <w:abstractNumId w:val="12"/>
  </w:num>
  <w:num w:numId="12">
    <w:abstractNumId w:val="11"/>
  </w:num>
  <w:num w:numId="13">
    <w:abstractNumId w:val="1"/>
  </w:num>
  <w:num w:numId="14">
    <w:abstractNumId w:val="10"/>
  </w:num>
  <w:num w:numId="15">
    <w:abstractNumId w:val="4"/>
  </w:num>
  <w:num w:numId="16">
    <w:abstractNumId w:val="15"/>
  </w:num>
  <w:num w:numId="17">
    <w:abstractNumId w:val="1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5A"/>
    <w:rsid w:val="00000558"/>
    <w:rsid w:val="00003309"/>
    <w:rsid w:val="00004E2A"/>
    <w:rsid w:val="00013308"/>
    <w:rsid w:val="00013311"/>
    <w:rsid w:val="000135BF"/>
    <w:rsid w:val="00015ABA"/>
    <w:rsid w:val="000203D8"/>
    <w:rsid w:val="00021DB0"/>
    <w:rsid w:val="00023841"/>
    <w:rsid w:val="000264D2"/>
    <w:rsid w:val="000325AE"/>
    <w:rsid w:val="00037CEA"/>
    <w:rsid w:val="000415AF"/>
    <w:rsid w:val="0004226A"/>
    <w:rsid w:val="0004415F"/>
    <w:rsid w:val="000442FB"/>
    <w:rsid w:val="000446F7"/>
    <w:rsid w:val="000501DF"/>
    <w:rsid w:val="00052295"/>
    <w:rsid w:val="00052317"/>
    <w:rsid w:val="00060856"/>
    <w:rsid w:val="0007754A"/>
    <w:rsid w:val="00077DDB"/>
    <w:rsid w:val="00080B1F"/>
    <w:rsid w:val="0008175F"/>
    <w:rsid w:val="000842C3"/>
    <w:rsid w:val="000848D6"/>
    <w:rsid w:val="00084C29"/>
    <w:rsid w:val="00084EB5"/>
    <w:rsid w:val="00085C5A"/>
    <w:rsid w:val="000868A4"/>
    <w:rsid w:val="00091C6C"/>
    <w:rsid w:val="000971AE"/>
    <w:rsid w:val="000A3814"/>
    <w:rsid w:val="000A53BD"/>
    <w:rsid w:val="000B023B"/>
    <w:rsid w:val="000B1F44"/>
    <w:rsid w:val="000B3EE9"/>
    <w:rsid w:val="000B594A"/>
    <w:rsid w:val="000C04BE"/>
    <w:rsid w:val="000C2015"/>
    <w:rsid w:val="000C2ED3"/>
    <w:rsid w:val="000C332E"/>
    <w:rsid w:val="000C4349"/>
    <w:rsid w:val="000C5C11"/>
    <w:rsid w:val="000C6F48"/>
    <w:rsid w:val="000D0E20"/>
    <w:rsid w:val="000D27DD"/>
    <w:rsid w:val="000E5295"/>
    <w:rsid w:val="000E7404"/>
    <w:rsid w:val="000F30C0"/>
    <w:rsid w:val="000F46E0"/>
    <w:rsid w:val="000F4D47"/>
    <w:rsid w:val="000F56C4"/>
    <w:rsid w:val="000F6389"/>
    <w:rsid w:val="00101A4D"/>
    <w:rsid w:val="00106851"/>
    <w:rsid w:val="00111DA0"/>
    <w:rsid w:val="00117E11"/>
    <w:rsid w:val="001214FA"/>
    <w:rsid w:val="00123B29"/>
    <w:rsid w:val="0012571C"/>
    <w:rsid w:val="00127C09"/>
    <w:rsid w:val="00136AA5"/>
    <w:rsid w:val="00141727"/>
    <w:rsid w:val="00142B3C"/>
    <w:rsid w:val="00143901"/>
    <w:rsid w:val="00144A31"/>
    <w:rsid w:val="00151D4A"/>
    <w:rsid w:val="00151F14"/>
    <w:rsid w:val="00152217"/>
    <w:rsid w:val="001533A2"/>
    <w:rsid w:val="001535C1"/>
    <w:rsid w:val="00154684"/>
    <w:rsid w:val="001623CD"/>
    <w:rsid w:val="00162D44"/>
    <w:rsid w:val="001711D0"/>
    <w:rsid w:val="00171E25"/>
    <w:rsid w:val="00173DFC"/>
    <w:rsid w:val="00180B86"/>
    <w:rsid w:val="001820F0"/>
    <w:rsid w:val="00182A11"/>
    <w:rsid w:val="001848FA"/>
    <w:rsid w:val="00185CE6"/>
    <w:rsid w:val="001873F6"/>
    <w:rsid w:val="00190A89"/>
    <w:rsid w:val="001925EE"/>
    <w:rsid w:val="0019387D"/>
    <w:rsid w:val="001A53E8"/>
    <w:rsid w:val="001A6B68"/>
    <w:rsid w:val="001B0BB8"/>
    <w:rsid w:val="001B445C"/>
    <w:rsid w:val="001B5E74"/>
    <w:rsid w:val="001C04D4"/>
    <w:rsid w:val="001C1085"/>
    <w:rsid w:val="001C14CB"/>
    <w:rsid w:val="001C2575"/>
    <w:rsid w:val="001C46EC"/>
    <w:rsid w:val="001C562A"/>
    <w:rsid w:val="001D013A"/>
    <w:rsid w:val="001D552D"/>
    <w:rsid w:val="001D6B61"/>
    <w:rsid w:val="001E4FFD"/>
    <w:rsid w:val="001F2D36"/>
    <w:rsid w:val="001F39A2"/>
    <w:rsid w:val="001F7BD6"/>
    <w:rsid w:val="00201895"/>
    <w:rsid w:val="002029F4"/>
    <w:rsid w:val="002064AA"/>
    <w:rsid w:val="00212B2B"/>
    <w:rsid w:val="00215C0A"/>
    <w:rsid w:val="002240B2"/>
    <w:rsid w:val="0022415B"/>
    <w:rsid w:val="00226BF9"/>
    <w:rsid w:val="00230EDA"/>
    <w:rsid w:val="00231A68"/>
    <w:rsid w:val="002320AD"/>
    <w:rsid w:val="00235D37"/>
    <w:rsid w:val="00235FE3"/>
    <w:rsid w:val="00245B37"/>
    <w:rsid w:val="00246818"/>
    <w:rsid w:val="0024743E"/>
    <w:rsid w:val="00251AC7"/>
    <w:rsid w:val="00254757"/>
    <w:rsid w:val="00254E17"/>
    <w:rsid w:val="002578E4"/>
    <w:rsid w:val="002601E4"/>
    <w:rsid w:val="0026051A"/>
    <w:rsid w:val="00265580"/>
    <w:rsid w:val="00273CD5"/>
    <w:rsid w:val="0027465B"/>
    <w:rsid w:val="00275848"/>
    <w:rsid w:val="0027615B"/>
    <w:rsid w:val="0028423E"/>
    <w:rsid w:val="00284443"/>
    <w:rsid w:val="0028607A"/>
    <w:rsid w:val="002A0A66"/>
    <w:rsid w:val="002A4A3D"/>
    <w:rsid w:val="002A56E1"/>
    <w:rsid w:val="002B30BD"/>
    <w:rsid w:val="002C0B79"/>
    <w:rsid w:val="002C25B3"/>
    <w:rsid w:val="002C2AD6"/>
    <w:rsid w:val="002C2EBB"/>
    <w:rsid w:val="002C4B08"/>
    <w:rsid w:val="002D5428"/>
    <w:rsid w:val="002D6C42"/>
    <w:rsid w:val="002D70A6"/>
    <w:rsid w:val="002D7BF8"/>
    <w:rsid w:val="002E2E9A"/>
    <w:rsid w:val="002E49D7"/>
    <w:rsid w:val="002E58F4"/>
    <w:rsid w:val="002E5F55"/>
    <w:rsid w:val="002E68BF"/>
    <w:rsid w:val="002E6BB8"/>
    <w:rsid w:val="002E78EE"/>
    <w:rsid w:val="002F3669"/>
    <w:rsid w:val="002F7710"/>
    <w:rsid w:val="00302BBA"/>
    <w:rsid w:val="003145E3"/>
    <w:rsid w:val="00315C0A"/>
    <w:rsid w:val="00321C51"/>
    <w:rsid w:val="00323517"/>
    <w:rsid w:val="00324DC3"/>
    <w:rsid w:val="00330358"/>
    <w:rsid w:val="003315F8"/>
    <w:rsid w:val="00335D23"/>
    <w:rsid w:val="003369FE"/>
    <w:rsid w:val="0033706F"/>
    <w:rsid w:val="003458C7"/>
    <w:rsid w:val="00350157"/>
    <w:rsid w:val="0035367D"/>
    <w:rsid w:val="00355A31"/>
    <w:rsid w:val="00355FF1"/>
    <w:rsid w:val="003622E6"/>
    <w:rsid w:val="00362EEC"/>
    <w:rsid w:val="003643CB"/>
    <w:rsid w:val="00364898"/>
    <w:rsid w:val="0036588D"/>
    <w:rsid w:val="00365EF4"/>
    <w:rsid w:val="00367DC9"/>
    <w:rsid w:val="00373422"/>
    <w:rsid w:val="00376B88"/>
    <w:rsid w:val="00383BB2"/>
    <w:rsid w:val="003878C3"/>
    <w:rsid w:val="00390FFF"/>
    <w:rsid w:val="00393C2F"/>
    <w:rsid w:val="0039435A"/>
    <w:rsid w:val="003A22A6"/>
    <w:rsid w:val="003A40B1"/>
    <w:rsid w:val="003A666D"/>
    <w:rsid w:val="003B4521"/>
    <w:rsid w:val="003B4813"/>
    <w:rsid w:val="003B6BAE"/>
    <w:rsid w:val="003C11FA"/>
    <w:rsid w:val="003C2640"/>
    <w:rsid w:val="003C441E"/>
    <w:rsid w:val="003C5506"/>
    <w:rsid w:val="003D2BD7"/>
    <w:rsid w:val="003D613A"/>
    <w:rsid w:val="003D6671"/>
    <w:rsid w:val="003D7CBF"/>
    <w:rsid w:val="003D7F22"/>
    <w:rsid w:val="003E0AE2"/>
    <w:rsid w:val="003E1E93"/>
    <w:rsid w:val="003E23F6"/>
    <w:rsid w:val="003E403A"/>
    <w:rsid w:val="003E5F93"/>
    <w:rsid w:val="003F065A"/>
    <w:rsid w:val="00401808"/>
    <w:rsid w:val="00406F18"/>
    <w:rsid w:val="00410E77"/>
    <w:rsid w:val="004125F8"/>
    <w:rsid w:val="004159ED"/>
    <w:rsid w:val="0041678F"/>
    <w:rsid w:val="00417C1C"/>
    <w:rsid w:val="00421646"/>
    <w:rsid w:val="00423417"/>
    <w:rsid w:val="00430F90"/>
    <w:rsid w:val="004318E6"/>
    <w:rsid w:val="00436A7C"/>
    <w:rsid w:val="00436D38"/>
    <w:rsid w:val="00440BA1"/>
    <w:rsid w:val="00441B2D"/>
    <w:rsid w:val="00442EA2"/>
    <w:rsid w:val="00443E6A"/>
    <w:rsid w:val="00447A22"/>
    <w:rsid w:val="004555AD"/>
    <w:rsid w:val="00457836"/>
    <w:rsid w:val="004628C8"/>
    <w:rsid w:val="00464930"/>
    <w:rsid w:val="00474A70"/>
    <w:rsid w:val="0047743D"/>
    <w:rsid w:val="00477760"/>
    <w:rsid w:val="0048104B"/>
    <w:rsid w:val="0048204D"/>
    <w:rsid w:val="00482BE2"/>
    <w:rsid w:val="00487C2E"/>
    <w:rsid w:val="0049368F"/>
    <w:rsid w:val="0049378A"/>
    <w:rsid w:val="00493EEF"/>
    <w:rsid w:val="00496EAE"/>
    <w:rsid w:val="00497900"/>
    <w:rsid w:val="004A1930"/>
    <w:rsid w:val="004A52BB"/>
    <w:rsid w:val="004A5758"/>
    <w:rsid w:val="004A693C"/>
    <w:rsid w:val="004B0FB7"/>
    <w:rsid w:val="004B1356"/>
    <w:rsid w:val="004B54F8"/>
    <w:rsid w:val="004B5FA7"/>
    <w:rsid w:val="004B7199"/>
    <w:rsid w:val="004C6BCB"/>
    <w:rsid w:val="004D1A4E"/>
    <w:rsid w:val="004D417A"/>
    <w:rsid w:val="004D4F79"/>
    <w:rsid w:val="004D6386"/>
    <w:rsid w:val="004D667F"/>
    <w:rsid w:val="004D722B"/>
    <w:rsid w:val="004E1D9C"/>
    <w:rsid w:val="004E4042"/>
    <w:rsid w:val="004F2934"/>
    <w:rsid w:val="004F6416"/>
    <w:rsid w:val="004F699B"/>
    <w:rsid w:val="004F7CAC"/>
    <w:rsid w:val="00500650"/>
    <w:rsid w:val="005025E6"/>
    <w:rsid w:val="00503A98"/>
    <w:rsid w:val="00510105"/>
    <w:rsid w:val="00510430"/>
    <w:rsid w:val="00512428"/>
    <w:rsid w:val="005157B4"/>
    <w:rsid w:val="005204B0"/>
    <w:rsid w:val="00521211"/>
    <w:rsid w:val="0052664B"/>
    <w:rsid w:val="00527730"/>
    <w:rsid w:val="00531084"/>
    <w:rsid w:val="0053151A"/>
    <w:rsid w:val="00540D34"/>
    <w:rsid w:val="0054245F"/>
    <w:rsid w:val="005427AD"/>
    <w:rsid w:val="0054465A"/>
    <w:rsid w:val="0054676F"/>
    <w:rsid w:val="005532DB"/>
    <w:rsid w:val="00554440"/>
    <w:rsid w:val="005575B0"/>
    <w:rsid w:val="005602D0"/>
    <w:rsid w:val="00560F0F"/>
    <w:rsid w:val="00564F36"/>
    <w:rsid w:val="00565E4A"/>
    <w:rsid w:val="00567262"/>
    <w:rsid w:val="005707C8"/>
    <w:rsid w:val="00570849"/>
    <w:rsid w:val="00577F17"/>
    <w:rsid w:val="005818BE"/>
    <w:rsid w:val="0058599D"/>
    <w:rsid w:val="00586640"/>
    <w:rsid w:val="00586BBF"/>
    <w:rsid w:val="00591FBB"/>
    <w:rsid w:val="00596082"/>
    <w:rsid w:val="005A4D52"/>
    <w:rsid w:val="005A5C2F"/>
    <w:rsid w:val="005A61A5"/>
    <w:rsid w:val="005B14A2"/>
    <w:rsid w:val="005B220F"/>
    <w:rsid w:val="005B39FC"/>
    <w:rsid w:val="005C34B3"/>
    <w:rsid w:val="005C576E"/>
    <w:rsid w:val="005C5C51"/>
    <w:rsid w:val="005D27FD"/>
    <w:rsid w:val="005D2CA6"/>
    <w:rsid w:val="005D527C"/>
    <w:rsid w:val="005D6B51"/>
    <w:rsid w:val="005E2BA4"/>
    <w:rsid w:val="005E45EB"/>
    <w:rsid w:val="005E5153"/>
    <w:rsid w:val="005F2D31"/>
    <w:rsid w:val="005F2FED"/>
    <w:rsid w:val="0060332A"/>
    <w:rsid w:val="0060516E"/>
    <w:rsid w:val="0060641D"/>
    <w:rsid w:val="00615F3E"/>
    <w:rsid w:val="00622A87"/>
    <w:rsid w:val="006237C8"/>
    <w:rsid w:val="00623FCC"/>
    <w:rsid w:val="00634403"/>
    <w:rsid w:val="00634642"/>
    <w:rsid w:val="0063670D"/>
    <w:rsid w:val="00641D78"/>
    <w:rsid w:val="00643E10"/>
    <w:rsid w:val="006465E0"/>
    <w:rsid w:val="00647F3B"/>
    <w:rsid w:val="006520AE"/>
    <w:rsid w:val="00652AC9"/>
    <w:rsid w:val="00652FD1"/>
    <w:rsid w:val="00653360"/>
    <w:rsid w:val="00655129"/>
    <w:rsid w:val="0065639F"/>
    <w:rsid w:val="00657AEA"/>
    <w:rsid w:val="00660ABC"/>
    <w:rsid w:val="006631B8"/>
    <w:rsid w:val="0066333F"/>
    <w:rsid w:val="00663572"/>
    <w:rsid w:val="0067442F"/>
    <w:rsid w:val="00675C0C"/>
    <w:rsid w:val="006761B2"/>
    <w:rsid w:val="0067770F"/>
    <w:rsid w:val="00683420"/>
    <w:rsid w:val="00685E15"/>
    <w:rsid w:val="00694002"/>
    <w:rsid w:val="006945E5"/>
    <w:rsid w:val="00696063"/>
    <w:rsid w:val="006965D4"/>
    <w:rsid w:val="00697F8B"/>
    <w:rsid w:val="006A2BA0"/>
    <w:rsid w:val="006B00A5"/>
    <w:rsid w:val="006B0C34"/>
    <w:rsid w:val="006C6D51"/>
    <w:rsid w:val="006C7EFA"/>
    <w:rsid w:val="006D0DC0"/>
    <w:rsid w:val="006D18C4"/>
    <w:rsid w:val="006D24B5"/>
    <w:rsid w:val="006E2BFC"/>
    <w:rsid w:val="006E471F"/>
    <w:rsid w:val="00704648"/>
    <w:rsid w:val="00715C77"/>
    <w:rsid w:val="00717593"/>
    <w:rsid w:val="00717FBC"/>
    <w:rsid w:val="007209A1"/>
    <w:rsid w:val="00723D29"/>
    <w:rsid w:val="00732966"/>
    <w:rsid w:val="00733175"/>
    <w:rsid w:val="00734D43"/>
    <w:rsid w:val="007352D8"/>
    <w:rsid w:val="00735F73"/>
    <w:rsid w:val="007415CD"/>
    <w:rsid w:val="00742F05"/>
    <w:rsid w:val="00747D7B"/>
    <w:rsid w:val="00751177"/>
    <w:rsid w:val="00751484"/>
    <w:rsid w:val="00751B42"/>
    <w:rsid w:val="007566AE"/>
    <w:rsid w:val="00760548"/>
    <w:rsid w:val="00760E88"/>
    <w:rsid w:val="00761038"/>
    <w:rsid w:val="00763315"/>
    <w:rsid w:val="00767B8C"/>
    <w:rsid w:val="00773A4B"/>
    <w:rsid w:val="00774ED6"/>
    <w:rsid w:val="007758D9"/>
    <w:rsid w:val="00775BA6"/>
    <w:rsid w:val="00776AE1"/>
    <w:rsid w:val="007817E2"/>
    <w:rsid w:val="00781A59"/>
    <w:rsid w:val="0078229D"/>
    <w:rsid w:val="00791A4C"/>
    <w:rsid w:val="00792895"/>
    <w:rsid w:val="00793D84"/>
    <w:rsid w:val="007943C7"/>
    <w:rsid w:val="00794DEB"/>
    <w:rsid w:val="007A085D"/>
    <w:rsid w:val="007A1618"/>
    <w:rsid w:val="007A1729"/>
    <w:rsid w:val="007A21D7"/>
    <w:rsid w:val="007A25CA"/>
    <w:rsid w:val="007A2696"/>
    <w:rsid w:val="007B1138"/>
    <w:rsid w:val="007B3F91"/>
    <w:rsid w:val="007B4F4F"/>
    <w:rsid w:val="007B6074"/>
    <w:rsid w:val="007B676C"/>
    <w:rsid w:val="007B6FA7"/>
    <w:rsid w:val="007B7304"/>
    <w:rsid w:val="007B7AB5"/>
    <w:rsid w:val="007C5024"/>
    <w:rsid w:val="007C537B"/>
    <w:rsid w:val="007C7439"/>
    <w:rsid w:val="007D331F"/>
    <w:rsid w:val="007D4092"/>
    <w:rsid w:val="007D4AC7"/>
    <w:rsid w:val="007D4D15"/>
    <w:rsid w:val="007E2C61"/>
    <w:rsid w:val="007E3BFA"/>
    <w:rsid w:val="007E3C65"/>
    <w:rsid w:val="007F69A1"/>
    <w:rsid w:val="00803980"/>
    <w:rsid w:val="008053ED"/>
    <w:rsid w:val="00805BA7"/>
    <w:rsid w:val="00807CB1"/>
    <w:rsid w:val="008102FB"/>
    <w:rsid w:val="008138BC"/>
    <w:rsid w:val="00815E13"/>
    <w:rsid w:val="008237F3"/>
    <w:rsid w:val="00823CD2"/>
    <w:rsid w:val="00831F80"/>
    <w:rsid w:val="008329F2"/>
    <w:rsid w:val="00834EBA"/>
    <w:rsid w:val="008375C9"/>
    <w:rsid w:val="00837918"/>
    <w:rsid w:val="00850D59"/>
    <w:rsid w:val="00851D65"/>
    <w:rsid w:val="00852F5B"/>
    <w:rsid w:val="0085425D"/>
    <w:rsid w:val="00857604"/>
    <w:rsid w:val="00862F30"/>
    <w:rsid w:val="00870255"/>
    <w:rsid w:val="00870CF4"/>
    <w:rsid w:val="00873861"/>
    <w:rsid w:val="00874957"/>
    <w:rsid w:val="00877E29"/>
    <w:rsid w:val="00880BA4"/>
    <w:rsid w:val="00882834"/>
    <w:rsid w:val="00885CFF"/>
    <w:rsid w:val="00887AB3"/>
    <w:rsid w:val="00890CA6"/>
    <w:rsid w:val="00890F66"/>
    <w:rsid w:val="00891228"/>
    <w:rsid w:val="00895DA7"/>
    <w:rsid w:val="008A2B4D"/>
    <w:rsid w:val="008A53C4"/>
    <w:rsid w:val="008B138A"/>
    <w:rsid w:val="008B5614"/>
    <w:rsid w:val="008C07E6"/>
    <w:rsid w:val="008C07F8"/>
    <w:rsid w:val="008C32E3"/>
    <w:rsid w:val="008C45B6"/>
    <w:rsid w:val="008C477F"/>
    <w:rsid w:val="008C67E3"/>
    <w:rsid w:val="008D395A"/>
    <w:rsid w:val="008D4587"/>
    <w:rsid w:val="008D5A90"/>
    <w:rsid w:val="008E141C"/>
    <w:rsid w:val="008E160A"/>
    <w:rsid w:val="008E36B8"/>
    <w:rsid w:val="008E41C4"/>
    <w:rsid w:val="008E5F78"/>
    <w:rsid w:val="008E6A22"/>
    <w:rsid w:val="008F3D02"/>
    <w:rsid w:val="008F4661"/>
    <w:rsid w:val="008F4BC1"/>
    <w:rsid w:val="008F7134"/>
    <w:rsid w:val="009003D9"/>
    <w:rsid w:val="00900ED0"/>
    <w:rsid w:val="00901F70"/>
    <w:rsid w:val="00905747"/>
    <w:rsid w:val="009062A8"/>
    <w:rsid w:val="009135DB"/>
    <w:rsid w:val="009146BD"/>
    <w:rsid w:val="00915CD6"/>
    <w:rsid w:val="00927E43"/>
    <w:rsid w:val="00933E25"/>
    <w:rsid w:val="00935EF2"/>
    <w:rsid w:val="009370D9"/>
    <w:rsid w:val="00940D8B"/>
    <w:rsid w:val="009416B6"/>
    <w:rsid w:val="0094590A"/>
    <w:rsid w:val="00950F0B"/>
    <w:rsid w:val="0095442B"/>
    <w:rsid w:val="009544B3"/>
    <w:rsid w:val="00962B02"/>
    <w:rsid w:val="009650E1"/>
    <w:rsid w:val="00965D0E"/>
    <w:rsid w:val="009722A7"/>
    <w:rsid w:val="009759B1"/>
    <w:rsid w:val="009763B7"/>
    <w:rsid w:val="00976416"/>
    <w:rsid w:val="00980481"/>
    <w:rsid w:val="00983487"/>
    <w:rsid w:val="00985092"/>
    <w:rsid w:val="00992E56"/>
    <w:rsid w:val="00994118"/>
    <w:rsid w:val="009954B6"/>
    <w:rsid w:val="00995C40"/>
    <w:rsid w:val="00996857"/>
    <w:rsid w:val="009A33DE"/>
    <w:rsid w:val="009A4A74"/>
    <w:rsid w:val="009A4F9A"/>
    <w:rsid w:val="009B05DC"/>
    <w:rsid w:val="009B0806"/>
    <w:rsid w:val="009B0AC6"/>
    <w:rsid w:val="009B2694"/>
    <w:rsid w:val="009B4654"/>
    <w:rsid w:val="009B5FD9"/>
    <w:rsid w:val="009B6784"/>
    <w:rsid w:val="009C0B6A"/>
    <w:rsid w:val="009C136B"/>
    <w:rsid w:val="009C314D"/>
    <w:rsid w:val="009C648F"/>
    <w:rsid w:val="009C7BA4"/>
    <w:rsid w:val="009C7E9C"/>
    <w:rsid w:val="009D130B"/>
    <w:rsid w:val="009D7A56"/>
    <w:rsid w:val="009E295C"/>
    <w:rsid w:val="009E6C13"/>
    <w:rsid w:val="009E71E0"/>
    <w:rsid w:val="009F5A01"/>
    <w:rsid w:val="00A02740"/>
    <w:rsid w:val="00A02873"/>
    <w:rsid w:val="00A02CAF"/>
    <w:rsid w:val="00A0499C"/>
    <w:rsid w:val="00A07575"/>
    <w:rsid w:val="00A1456E"/>
    <w:rsid w:val="00A156FE"/>
    <w:rsid w:val="00A245C0"/>
    <w:rsid w:val="00A257D6"/>
    <w:rsid w:val="00A26276"/>
    <w:rsid w:val="00A26FC9"/>
    <w:rsid w:val="00A30EAA"/>
    <w:rsid w:val="00A329B1"/>
    <w:rsid w:val="00A33D91"/>
    <w:rsid w:val="00A40914"/>
    <w:rsid w:val="00A42DF6"/>
    <w:rsid w:val="00A43887"/>
    <w:rsid w:val="00A452B6"/>
    <w:rsid w:val="00A50866"/>
    <w:rsid w:val="00A51643"/>
    <w:rsid w:val="00A5217D"/>
    <w:rsid w:val="00A54993"/>
    <w:rsid w:val="00A55259"/>
    <w:rsid w:val="00A55774"/>
    <w:rsid w:val="00A607A8"/>
    <w:rsid w:val="00A61038"/>
    <w:rsid w:val="00A632C4"/>
    <w:rsid w:val="00A70B44"/>
    <w:rsid w:val="00A74D18"/>
    <w:rsid w:val="00A805CA"/>
    <w:rsid w:val="00A82688"/>
    <w:rsid w:val="00A8309D"/>
    <w:rsid w:val="00A83848"/>
    <w:rsid w:val="00A869FE"/>
    <w:rsid w:val="00A87D73"/>
    <w:rsid w:val="00A90E9B"/>
    <w:rsid w:val="00A90FAE"/>
    <w:rsid w:val="00A943B9"/>
    <w:rsid w:val="00A96950"/>
    <w:rsid w:val="00AA1516"/>
    <w:rsid w:val="00AA2B75"/>
    <w:rsid w:val="00AB28EF"/>
    <w:rsid w:val="00AB4830"/>
    <w:rsid w:val="00AB7C2F"/>
    <w:rsid w:val="00AC3B2C"/>
    <w:rsid w:val="00AC3E82"/>
    <w:rsid w:val="00AC7F8D"/>
    <w:rsid w:val="00AD1E4C"/>
    <w:rsid w:val="00AD3753"/>
    <w:rsid w:val="00AD3ED0"/>
    <w:rsid w:val="00AD4C57"/>
    <w:rsid w:val="00AD6801"/>
    <w:rsid w:val="00AD6976"/>
    <w:rsid w:val="00AE20EB"/>
    <w:rsid w:val="00AE2E91"/>
    <w:rsid w:val="00AE4387"/>
    <w:rsid w:val="00AE43E4"/>
    <w:rsid w:val="00AE5F99"/>
    <w:rsid w:val="00AF1FBC"/>
    <w:rsid w:val="00AF5304"/>
    <w:rsid w:val="00B054AB"/>
    <w:rsid w:val="00B072B9"/>
    <w:rsid w:val="00B075AF"/>
    <w:rsid w:val="00B110F2"/>
    <w:rsid w:val="00B11EC7"/>
    <w:rsid w:val="00B1353B"/>
    <w:rsid w:val="00B141AA"/>
    <w:rsid w:val="00B22AEA"/>
    <w:rsid w:val="00B23E3E"/>
    <w:rsid w:val="00B252E1"/>
    <w:rsid w:val="00B26D5B"/>
    <w:rsid w:val="00B31857"/>
    <w:rsid w:val="00B33144"/>
    <w:rsid w:val="00B44469"/>
    <w:rsid w:val="00B44698"/>
    <w:rsid w:val="00B457EF"/>
    <w:rsid w:val="00B45D76"/>
    <w:rsid w:val="00B47F5F"/>
    <w:rsid w:val="00B531B1"/>
    <w:rsid w:val="00B53B8D"/>
    <w:rsid w:val="00B55BBF"/>
    <w:rsid w:val="00B5672A"/>
    <w:rsid w:val="00B568D8"/>
    <w:rsid w:val="00B60887"/>
    <w:rsid w:val="00B615D0"/>
    <w:rsid w:val="00B6395C"/>
    <w:rsid w:val="00B67557"/>
    <w:rsid w:val="00B67A82"/>
    <w:rsid w:val="00B67AB6"/>
    <w:rsid w:val="00B73CC7"/>
    <w:rsid w:val="00B80661"/>
    <w:rsid w:val="00B81C54"/>
    <w:rsid w:val="00B852E0"/>
    <w:rsid w:val="00B90B18"/>
    <w:rsid w:val="00B95D64"/>
    <w:rsid w:val="00BA195F"/>
    <w:rsid w:val="00BB152A"/>
    <w:rsid w:val="00BB2C8B"/>
    <w:rsid w:val="00BB2C95"/>
    <w:rsid w:val="00BB6B77"/>
    <w:rsid w:val="00BB7FFB"/>
    <w:rsid w:val="00BC17C6"/>
    <w:rsid w:val="00BC290D"/>
    <w:rsid w:val="00BC2C2D"/>
    <w:rsid w:val="00BC2FA9"/>
    <w:rsid w:val="00BC31CE"/>
    <w:rsid w:val="00BC6745"/>
    <w:rsid w:val="00BC7386"/>
    <w:rsid w:val="00BD0ED7"/>
    <w:rsid w:val="00BD423C"/>
    <w:rsid w:val="00BD5E58"/>
    <w:rsid w:val="00BE54FE"/>
    <w:rsid w:val="00BE655F"/>
    <w:rsid w:val="00BE7146"/>
    <w:rsid w:val="00BF11DD"/>
    <w:rsid w:val="00BF21CE"/>
    <w:rsid w:val="00BF29B9"/>
    <w:rsid w:val="00BF33F5"/>
    <w:rsid w:val="00BF3F9E"/>
    <w:rsid w:val="00C00FC0"/>
    <w:rsid w:val="00C01851"/>
    <w:rsid w:val="00C06036"/>
    <w:rsid w:val="00C07365"/>
    <w:rsid w:val="00C10B07"/>
    <w:rsid w:val="00C10FA0"/>
    <w:rsid w:val="00C137FF"/>
    <w:rsid w:val="00C1393B"/>
    <w:rsid w:val="00C16284"/>
    <w:rsid w:val="00C17E6B"/>
    <w:rsid w:val="00C215FD"/>
    <w:rsid w:val="00C24342"/>
    <w:rsid w:val="00C24842"/>
    <w:rsid w:val="00C251D3"/>
    <w:rsid w:val="00C26857"/>
    <w:rsid w:val="00C353CA"/>
    <w:rsid w:val="00C46662"/>
    <w:rsid w:val="00C506D4"/>
    <w:rsid w:val="00C50C94"/>
    <w:rsid w:val="00C50CB6"/>
    <w:rsid w:val="00C52EBF"/>
    <w:rsid w:val="00C52FA6"/>
    <w:rsid w:val="00C63D81"/>
    <w:rsid w:val="00C65177"/>
    <w:rsid w:val="00C73302"/>
    <w:rsid w:val="00C765D0"/>
    <w:rsid w:val="00C805F9"/>
    <w:rsid w:val="00C82532"/>
    <w:rsid w:val="00C85431"/>
    <w:rsid w:val="00C870ED"/>
    <w:rsid w:val="00C900FC"/>
    <w:rsid w:val="00C908B5"/>
    <w:rsid w:val="00C90B4D"/>
    <w:rsid w:val="00C918AC"/>
    <w:rsid w:val="00C93160"/>
    <w:rsid w:val="00C967BC"/>
    <w:rsid w:val="00CA319F"/>
    <w:rsid w:val="00CA3A49"/>
    <w:rsid w:val="00CA629D"/>
    <w:rsid w:val="00CB01A7"/>
    <w:rsid w:val="00CB10D0"/>
    <w:rsid w:val="00CB19D9"/>
    <w:rsid w:val="00CC059E"/>
    <w:rsid w:val="00CC067C"/>
    <w:rsid w:val="00CC34BB"/>
    <w:rsid w:val="00CC35D5"/>
    <w:rsid w:val="00CC3E40"/>
    <w:rsid w:val="00CC4675"/>
    <w:rsid w:val="00CC51BD"/>
    <w:rsid w:val="00CD14D6"/>
    <w:rsid w:val="00CD5461"/>
    <w:rsid w:val="00CD5E71"/>
    <w:rsid w:val="00CE0BFF"/>
    <w:rsid w:val="00CE0F07"/>
    <w:rsid w:val="00CE339D"/>
    <w:rsid w:val="00CF0D0B"/>
    <w:rsid w:val="00CF439C"/>
    <w:rsid w:val="00CF4415"/>
    <w:rsid w:val="00CF5922"/>
    <w:rsid w:val="00CF6982"/>
    <w:rsid w:val="00CF75C8"/>
    <w:rsid w:val="00D0208D"/>
    <w:rsid w:val="00D07897"/>
    <w:rsid w:val="00D11269"/>
    <w:rsid w:val="00D12687"/>
    <w:rsid w:val="00D13183"/>
    <w:rsid w:val="00D22E12"/>
    <w:rsid w:val="00D24DAA"/>
    <w:rsid w:val="00D32A2F"/>
    <w:rsid w:val="00D37796"/>
    <w:rsid w:val="00D50401"/>
    <w:rsid w:val="00D50583"/>
    <w:rsid w:val="00D56142"/>
    <w:rsid w:val="00D56DBC"/>
    <w:rsid w:val="00D641AB"/>
    <w:rsid w:val="00D67DA3"/>
    <w:rsid w:val="00D71E47"/>
    <w:rsid w:val="00D739B3"/>
    <w:rsid w:val="00D7504E"/>
    <w:rsid w:val="00D7706B"/>
    <w:rsid w:val="00D77A01"/>
    <w:rsid w:val="00D8043F"/>
    <w:rsid w:val="00D80C4B"/>
    <w:rsid w:val="00D92C7D"/>
    <w:rsid w:val="00D93F85"/>
    <w:rsid w:val="00DA65E7"/>
    <w:rsid w:val="00DB45F0"/>
    <w:rsid w:val="00DB70C2"/>
    <w:rsid w:val="00DC0123"/>
    <w:rsid w:val="00DC2392"/>
    <w:rsid w:val="00DD04C1"/>
    <w:rsid w:val="00DD24DC"/>
    <w:rsid w:val="00DD324D"/>
    <w:rsid w:val="00DE02FC"/>
    <w:rsid w:val="00DE3E39"/>
    <w:rsid w:val="00DF09F0"/>
    <w:rsid w:val="00DF5FFA"/>
    <w:rsid w:val="00DF7720"/>
    <w:rsid w:val="00DF7F08"/>
    <w:rsid w:val="00E06A51"/>
    <w:rsid w:val="00E07226"/>
    <w:rsid w:val="00E11D38"/>
    <w:rsid w:val="00E12E2B"/>
    <w:rsid w:val="00E16E3D"/>
    <w:rsid w:val="00E22229"/>
    <w:rsid w:val="00E23C72"/>
    <w:rsid w:val="00E2611F"/>
    <w:rsid w:val="00E26B7A"/>
    <w:rsid w:val="00E27683"/>
    <w:rsid w:val="00E27CD7"/>
    <w:rsid w:val="00E27DDD"/>
    <w:rsid w:val="00E345E7"/>
    <w:rsid w:val="00E348A8"/>
    <w:rsid w:val="00E361FA"/>
    <w:rsid w:val="00E42C39"/>
    <w:rsid w:val="00E47677"/>
    <w:rsid w:val="00E50C40"/>
    <w:rsid w:val="00E51619"/>
    <w:rsid w:val="00E5287D"/>
    <w:rsid w:val="00E53397"/>
    <w:rsid w:val="00E53862"/>
    <w:rsid w:val="00E53F2D"/>
    <w:rsid w:val="00E54B53"/>
    <w:rsid w:val="00E54C2E"/>
    <w:rsid w:val="00E62595"/>
    <w:rsid w:val="00E70138"/>
    <w:rsid w:val="00E711A6"/>
    <w:rsid w:val="00E72602"/>
    <w:rsid w:val="00E747B1"/>
    <w:rsid w:val="00E74849"/>
    <w:rsid w:val="00E764E7"/>
    <w:rsid w:val="00E82EF7"/>
    <w:rsid w:val="00E840C9"/>
    <w:rsid w:val="00E84F33"/>
    <w:rsid w:val="00E84F89"/>
    <w:rsid w:val="00E9650A"/>
    <w:rsid w:val="00EA1B64"/>
    <w:rsid w:val="00EA54AF"/>
    <w:rsid w:val="00EA7F01"/>
    <w:rsid w:val="00EB0CA8"/>
    <w:rsid w:val="00EB1AFC"/>
    <w:rsid w:val="00EB2252"/>
    <w:rsid w:val="00EB227F"/>
    <w:rsid w:val="00EC073D"/>
    <w:rsid w:val="00EC1213"/>
    <w:rsid w:val="00EC12C1"/>
    <w:rsid w:val="00EC78E0"/>
    <w:rsid w:val="00EC7D04"/>
    <w:rsid w:val="00EC7E31"/>
    <w:rsid w:val="00ED1237"/>
    <w:rsid w:val="00ED1443"/>
    <w:rsid w:val="00ED28E9"/>
    <w:rsid w:val="00ED2BCD"/>
    <w:rsid w:val="00ED4286"/>
    <w:rsid w:val="00ED4ABE"/>
    <w:rsid w:val="00EE4A5A"/>
    <w:rsid w:val="00EE6C4B"/>
    <w:rsid w:val="00EE7C39"/>
    <w:rsid w:val="00EE7D56"/>
    <w:rsid w:val="00EF0F32"/>
    <w:rsid w:val="00EF1136"/>
    <w:rsid w:val="00EF26EA"/>
    <w:rsid w:val="00EF3279"/>
    <w:rsid w:val="00EF3AC1"/>
    <w:rsid w:val="00F00973"/>
    <w:rsid w:val="00F05372"/>
    <w:rsid w:val="00F10D5A"/>
    <w:rsid w:val="00F10FAD"/>
    <w:rsid w:val="00F1102E"/>
    <w:rsid w:val="00F11E01"/>
    <w:rsid w:val="00F15695"/>
    <w:rsid w:val="00F1734E"/>
    <w:rsid w:val="00F253A3"/>
    <w:rsid w:val="00F3120E"/>
    <w:rsid w:val="00F3275C"/>
    <w:rsid w:val="00F3430C"/>
    <w:rsid w:val="00F355AD"/>
    <w:rsid w:val="00F42519"/>
    <w:rsid w:val="00F43D3B"/>
    <w:rsid w:val="00F46A2C"/>
    <w:rsid w:val="00F46E3A"/>
    <w:rsid w:val="00F47895"/>
    <w:rsid w:val="00F51999"/>
    <w:rsid w:val="00F52B57"/>
    <w:rsid w:val="00F53529"/>
    <w:rsid w:val="00F55757"/>
    <w:rsid w:val="00F55983"/>
    <w:rsid w:val="00F57FD2"/>
    <w:rsid w:val="00F6107E"/>
    <w:rsid w:val="00F610C5"/>
    <w:rsid w:val="00F6539B"/>
    <w:rsid w:val="00F80E78"/>
    <w:rsid w:val="00F81B31"/>
    <w:rsid w:val="00F83139"/>
    <w:rsid w:val="00F87FA7"/>
    <w:rsid w:val="00F9198A"/>
    <w:rsid w:val="00F96098"/>
    <w:rsid w:val="00FA1119"/>
    <w:rsid w:val="00FA5FCA"/>
    <w:rsid w:val="00FA6BC8"/>
    <w:rsid w:val="00FB5308"/>
    <w:rsid w:val="00FB65C0"/>
    <w:rsid w:val="00FB7B49"/>
    <w:rsid w:val="00FC2443"/>
    <w:rsid w:val="00FC2B8E"/>
    <w:rsid w:val="00FF08CA"/>
    <w:rsid w:val="00FF29DD"/>
    <w:rsid w:val="00FF327B"/>
    <w:rsid w:val="00FF380C"/>
    <w:rsid w:val="00FF62C3"/>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7153B"/>
  <w15:docId w15:val="{54CC6C9F-A095-4D2A-8B86-673C5D5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6B6"/>
    <w:rPr>
      <w:sz w:val="24"/>
      <w:szCs w:val="24"/>
    </w:rPr>
  </w:style>
  <w:style w:type="paragraph" w:styleId="Heading1">
    <w:name w:val="heading 1"/>
    <w:basedOn w:val="Normal"/>
    <w:next w:val="Normal"/>
    <w:link w:val="Heading1Char"/>
    <w:qFormat/>
    <w:rsid w:val="00A42DF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651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6517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1038"/>
    <w:pPr>
      <w:spacing w:before="100" w:beforeAutospacing="1" w:after="100" w:afterAutospacing="1"/>
    </w:pPr>
    <w:rPr>
      <w:rFonts w:ascii="Verdana" w:hAnsi="Verdana"/>
      <w:color w:val="000000"/>
      <w:sz w:val="17"/>
      <w:szCs w:val="17"/>
    </w:rPr>
  </w:style>
  <w:style w:type="paragraph" w:styleId="Footer">
    <w:name w:val="footer"/>
    <w:basedOn w:val="Normal"/>
    <w:link w:val="FooterChar"/>
    <w:uiPriority w:val="99"/>
    <w:rsid w:val="0067770F"/>
    <w:pPr>
      <w:tabs>
        <w:tab w:val="center" w:pos="4320"/>
        <w:tab w:val="right" w:pos="8640"/>
      </w:tabs>
    </w:pPr>
  </w:style>
  <w:style w:type="character" w:styleId="PageNumber">
    <w:name w:val="page number"/>
    <w:basedOn w:val="DefaultParagraphFont"/>
    <w:rsid w:val="0067770F"/>
  </w:style>
  <w:style w:type="character" w:customStyle="1" w:styleId="textcontrol">
    <w:name w:val="textcontrol"/>
    <w:basedOn w:val="DefaultParagraphFont"/>
    <w:rsid w:val="0067770F"/>
  </w:style>
  <w:style w:type="paragraph" w:styleId="Header">
    <w:name w:val="header"/>
    <w:basedOn w:val="Normal"/>
    <w:rsid w:val="0067770F"/>
    <w:pPr>
      <w:tabs>
        <w:tab w:val="center" w:pos="4320"/>
        <w:tab w:val="right" w:pos="8640"/>
      </w:tabs>
    </w:pPr>
  </w:style>
  <w:style w:type="paragraph" w:styleId="BalloonText">
    <w:name w:val="Balloon Text"/>
    <w:basedOn w:val="Normal"/>
    <w:semiHidden/>
    <w:rsid w:val="00A869FE"/>
    <w:rPr>
      <w:rFonts w:ascii="Tahoma" w:hAnsi="Tahoma" w:cs="Tahoma"/>
      <w:sz w:val="16"/>
      <w:szCs w:val="16"/>
    </w:rPr>
  </w:style>
  <w:style w:type="character" w:styleId="CommentReference">
    <w:name w:val="annotation reference"/>
    <w:uiPriority w:val="99"/>
    <w:rsid w:val="003C11FA"/>
    <w:rPr>
      <w:sz w:val="16"/>
      <w:szCs w:val="16"/>
    </w:rPr>
  </w:style>
  <w:style w:type="paragraph" w:styleId="CommentText">
    <w:name w:val="annotation text"/>
    <w:basedOn w:val="Normal"/>
    <w:link w:val="CommentTextChar"/>
    <w:uiPriority w:val="99"/>
    <w:rsid w:val="003C11FA"/>
    <w:rPr>
      <w:sz w:val="20"/>
      <w:szCs w:val="20"/>
    </w:rPr>
  </w:style>
  <w:style w:type="character" w:customStyle="1" w:styleId="CommentTextChar">
    <w:name w:val="Comment Text Char"/>
    <w:basedOn w:val="DefaultParagraphFont"/>
    <w:link w:val="CommentText"/>
    <w:uiPriority w:val="99"/>
    <w:rsid w:val="003C11FA"/>
  </w:style>
  <w:style w:type="paragraph" w:styleId="CommentSubject">
    <w:name w:val="annotation subject"/>
    <w:basedOn w:val="CommentText"/>
    <w:next w:val="CommentText"/>
    <w:link w:val="CommentSubjectChar"/>
    <w:rsid w:val="003C11FA"/>
    <w:rPr>
      <w:b/>
      <w:bCs/>
    </w:rPr>
  </w:style>
  <w:style w:type="character" w:customStyle="1" w:styleId="CommentSubjectChar">
    <w:name w:val="Comment Subject Char"/>
    <w:link w:val="CommentSubject"/>
    <w:rsid w:val="003C11FA"/>
    <w:rPr>
      <w:b/>
      <w:bCs/>
    </w:rPr>
  </w:style>
  <w:style w:type="character" w:styleId="Hyperlink">
    <w:name w:val="Hyperlink"/>
    <w:rsid w:val="00A26276"/>
    <w:rPr>
      <w:color w:val="0563C1"/>
      <w:u w:val="single"/>
    </w:rPr>
  </w:style>
  <w:style w:type="table" w:styleId="TableGrid">
    <w:name w:val="Table Grid"/>
    <w:basedOn w:val="TableNormal"/>
    <w:rsid w:val="00A0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73D"/>
    <w:pPr>
      <w:spacing w:after="160" w:line="259" w:lineRule="auto"/>
      <w:ind w:left="720"/>
      <w:contextualSpacing/>
    </w:pPr>
    <w:rPr>
      <w:rFonts w:ascii="Calibri" w:eastAsia="Calibri" w:hAnsi="Calibri"/>
      <w:sz w:val="22"/>
      <w:szCs w:val="22"/>
    </w:rPr>
  </w:style>
  <w:style w:type="paragraph" w:customStyle="1" w:styleId="Default">
    <w:name w:val="Default"/>
    <w:rsid w:val="008237F3"/>
    <w:pPr>
      <w:autoSpaceDE w:val="0"/>
      <w:autoSpaceDN w:val="0"/>
      <w:adjustRightInd w:val="0"/>
    </w:pPr>
    <w:rPr>
      <w:color w:val="000000"/>
      <w:sz w:val="24"/>
      <w:szCs w:val="24"/>
    </w:rPr>
  </w:style>
  <w:style w:type="character" w:customStyle="1" w:styleId="Heading1Char">
    <w:name w:val="Heading 1 Char"/>
    <w:link w:val="Heading1"/>
    <w:rsid w:val="00A42DF6"/>
    <w:rPr>
      <w:rFonts w:ascii="Cambria" w:eastAsia="Times New Roman" w:hAnsi="Cambria" w:cs="Times New Roman"/>
      <w:b/>
      <w:bCs/>
      <w:kern w:val="32"/>
      <w:sz w:val="32"/>
      <w:szCs w:val="32"/>
    </w:rPr>
  </w:style>
  <w:style w:type="character" w:customStyle="1" w:styleId="element-citation">
    <w:name w:val="element-citation"/>
    <w:rsid w:val="007B676C"/>
  </w:style>
  <w:style w:type="character" w:customStyle="1" w:styleId="apple-converted-space">
    <w:name w:val="apple-converted-space"/>
    <w:rsid w:val="007B676C"/>
  </w:style>
  <w:style w:type="character" w:customStyle="1" w:styleId="ref-journal">
    <w:name w:val="ref-journal"/>
    <w:rsid w:val="007B676C"/>
  </w:style>
  <w:style w:type="character" w:styleId="Emphasis">
    <w:name w:val="Emphasis"/>
    <w:uiPriority w:val="20"/>
    <w:qFormat/>
    <w:rsid w:val="007B676C"/>
    <w:rPr>
      <w:i/>
      <w:iCs/>
    </w:rPr>
  </w:style>
  <w:style w:type="character" w:customStyle="1" w:styleId="mixed-citation">
    <w:name w:val="mixed-citation"/>
    <w:rsid w:val="007B676C"/>
  </w:style>
  <w:style w:type="paragraph" w:styleId="BodyText">
    <w:name w:val="Body Text"/>
    <w:basedOn w:val="Normal"/>
    <w:link w:val="BodyTextChar"/>
    <w:rsid w:val="001C14CB"/>
    <w:pPr>
      <w:jc w:val="center"/>
    </w:pPr>
    <w:rPr>
      <w:b/>
      <w:sz w:val="36"/>
      <w:szCs w:val="20"/>
    </w:rPr>
  </w:style>
  <w:style w:type="character" w:customStyle="1" w:styleId="BodyTextChar">
    <w:name w:val="Body Text Char"/>
    <w:basedOn w:val="DefaultParagraphFont"/>
    <w:link w:val="BodyText"/>
    <w:rsid w:val="001C14CB"/>
    <w:rPr>
      <w:b/>
      <w:sz w:val="36"/>
    </w:rPr>
  </w:style>
  <w:style w:type="character" w:customStyle="1" w:styleId="Heading2Char">
    <w:name w:val="Heading 2 Char"/>
    <w:basedOn w:val="DefaultParagraphFont"/>
    <w:link w:val="Heading2"/>
    <w:semiHidden/>
    <w:rsid w:val="00C651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65177"/>
    <w:rPr>
      <w:rFonts w:asciiTheme="majorHAnsi" w:eastAsiaTheme="majorEastAsia" w:hAnsiTheme="majorHAnsi" w:cstheme="majorBidi"/>
      <w:color w:val="1F4D78" w:themeColor="accent1" w:themeShade="7F"/>
      <w:sz w:val="24"/>
      <w:szCs w:val="24"/>
    </w:rPr>
  </w:style>
  <w:style w:type="paragraph" w:customStyle="1" w:styleId="CAMSText">
    <w:name w:val="CAMS Text"/>
    <w:basedOn w:val="Normal"/>
    <w:rsid w:val="00C65177"/>
    <w:pPr>
      <w:spacing w:after="120"/>
    </w:pPr>
    <w:rPr>
      <w:rFonts w:ascii="Arial" w:hAnsi="Arial" w:cs="Arial"/>
      <w:sz w:val="22"/>
      <w:szCs w:val="22"/>
    </w:rPr>
  </w:style>
  <w:style w:type="paragraph" w:styleId="PlainText">
    <w:name w:val="Plain Text"/>
    <w:basedOn w:val="Normal"/>
    <w:link w:val="PlainTextChar"/>
    <w:uiPriority w:val="99"/>
    <w:rsid w:val="00E840C9"/>
    <w:rPr>
      <w:rFonts w:ascii="Consolas" w:hAnsi="Consolas"/>
      <w:sz w:val="21"/>
      <w:szCs w:val="21"/>
    </w:rPr>
  </w:style>
  <w:style w:type="character" w:customStyle="1" w:styleId="PlainTextChar">
    <w:name w:val="Plain Text Char"/>
    <w:basedOn w:val="DefaultParagraphFont"/>
    <w:link w:val="PlainText"/>
    <w:uiPriority w:val="99"/>
    <w:rsid w:val="00E840C9"/>
    <w:rPr>
      <w:rFonts w:ascii="Consolas" w:hAnsi="Consolas"/>
      <w:sz w:val="21"/>
      <w:szCs w:val="21"/>
    </w:rPr>
  </w:style>
  <w:style w:type="character" w:customStyle="1" w:styleId="FooterChar">
    <w:name w:val="Footer Char"/>
    <w:basedOn w:val="DefaultParagraphFont"/>
    <w:link w:val="Footer"/>
    <w:uiPriority w:val="99"/>
    <w:rsid w:val="0067442F"/>
    <w:rPr>
      <w:sz w:val="24"/>
      <w:szCs w:val="24"/>
    </w:rPr>
  </w:style>
  <w:style w:type="table" w:customStyle="1" w:styleId="TableGrid1">
    <w:name w:val="Table Grid1"/>
    <w:basedOn w:val="TableNormal"/>
    <w:next w:val="TableGrid"/>
    <w:uiPriority w:val="39"/>
    <w:rsid w:val="002029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C2392"/>
    <w:pPr>
      <w:spacing w:before="100" w:beforeAutospacing="1" w:after="100" w:afterAutospacing="1"/>
    </w:pPr>
    <w:rPr>
      <w:rFonts w:eastAsiaTheme="minorHAnsi"/>
    </w:rPr>
  </w:style>
  <w:style w:type="character" w:customStyle="1" w:styleId="docsum-authors">
    <w:name w:val="docsum-authors"/>
    <w:basedOn w:val="DefaultParagraphFont"/>
    <w:rsid w:val="00734D43"/>
  </w:style>
  <w:style w:type="character" w:customStyle="1" w:styleId="docsum-journal-citation">
    <w:name w:val="docsum-journal-citation"/>
    <w:basedOn w:val="DefaultParagraphFont"/>
    <w:rsid w:val="00B3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8112">
      <w:bodyDiv w:val="1"/>
      <w:marLeft w:val="0"/>
      <w:marRight w:val="0"/>
      <w:marTop w:val="0"/>
      <w:marBottom w:val="0"/>
      <w:divBdr>
        <w:top w:val="none" w:sz="0" w:space="0" w:color="auto"/>
        <w:left w:val="none" w:sz="0" w:space="0" w:color="auto"/>
        <w:bottom w:val="none" w:sz="0" w:space="0" w:color="auto"/>
        <w:right w:val="none" w:sz="0" w:space="0" w:color="auto"/>
      </w:divBdr>
    </w:div>
    <w:div w:id="220867299">
      <w:bodyDiv w:val="1"/>
      <w:marLeft w:val="0"/>
      <w:marRight w:val="0"/>
      <w:marTop w:val="0"/>
      <w:marBottom w:val="0"/>
      <w:divBdr>
        <w:top w:val="none" w:sz="0" w:space="0" w:color="auto"/>
        <w:left w:val="none" w:sz="0" w:space="0" w:color="auto"/>
        <w:bottom w:val="none" w:sz="0" w:space="0" w:color="auto"/>
        <w:right w:val="none" w:sz="0" w:space="0" w:color="auto"/>
      </w:divBdr>
    </w:div>
    <w:div w:id="414134368">
      <w:bodyDiv w:val="1"/>
      <w:marLeft w:val="0"/>
      <w:marRight w:val="0"/>
      <w:marTop w:val="0"/>
      <w:marBottom w:val="0"/>
      <w:divBdr>
        <w:top w:val="none" w:sz="0" w:space="0" w:color="auto"/>
        <w:left w:val="none" w:sz="0" w:space="0" w:color="auto"/>
        <w:bottom w:val="none" w:sz="0" w:space="0" w:color="auto"/>
        <w:right w:val="none" w:sz="0" w:space="0" w:color="auto"/>
      </w:divBdr>
    </w:div>
    <w:div w:id="471560111">
      <w:bodyDiv w:val="1"/>
      <w:marLeft w:val="0"/>
      <w:marRight w:val="0"/>
      <w:marTop w:val="0"/>
      <w:marBottom w:val="0"/>
      <w:divBdr>
        <w:top w:val="none" w:sz="0" w:space="0" w:color="auto"/>
        <w:left w:val="none" w:sz="0" w:space="0" w:color="auto"/>
        <w:bottom w:val="none" w:sz="0" w:space="0" w:color="auto"/>
        <w:right w:val="none" w:sz="0" w:space="0" w:color="auto"/>
      </w:divBdr>
    </w:div>
    <w:div w:id="615867468">
      <w:bodyDiv w:val="1"/>
      <w:marLeft w:val="0"/>
      <w:marRight w:val="0"/>
      <w:marTop w:val="0"/>
      <w:marBottom w:val="0"/>
      <w:divBdr>
        <w:top w:val="none" w:sz="0" w:space="0" w:color="auto"/>
        <w:left w:val="none" w:sz="0" w:space="0" w:color="auto"/>
        <w:bottom w:val="none" w:sz="0" w:space="0" w:color="auto"/>
        <w:right w:val="none" w:sz="0" w:space="0" w:color="auto"/>
      </w:divBdr>
    </w:div>
    <w:div w:id="616332516">
      <w:bodyDiv w:val="1"/>
      <w:marLeft w:val="0"/>
      <w:marRight w:val="0"/>
      <w:marTop w:val="0"/>
      <w:marBottom w:val="0"/>
      <w:divBdr>
        <w:top w:val="none" w:sz="0" w:space="0" w:color="auto"/>
        <w:left w:val="none" w:sz="0" w:space="0" w:color="auto"/>
        <w:bottom w:val="none" w:sz="0" w:space="0" w:color="auto"/>
        <w:right w:val="none" w:sz="0" w:space="0" w:color="auto"/>
      </w:divBdr>
    </w:div>
    <w:div w:id="757990554">
      <w:bodyDiv w:val="1"/>
      <w:marLeft w:val="0"/>
      <w:marRight w:val="0"/>
      <w:marTop w:val="0"/>
      <w:marBottom w:val="0"/>
      <w:divBdr>
        <w:top w:val="none" w:sz="0" w:space="0" w:color="auto"/>
        <w:left w:val="none" w:sz="0" w:space="0" w:color="auto"/>
        <w:bottom w:val="none" w:sz="0" w:space="0" w:color="auto"/>
        <w:right w:val="none" w:sz="0" w:space="0" w:color="auto"/>
      </w:divBdr>
    </w:div>
    <w:div w:id="781925179">
      <w:bodyDiv w:val="1"/>
      <w:marLeft w:val="0"/>
      <w:marRight w:val="0"/>
      <w:marTop w:val="0"/>
      <w:marBottom w:val="0"/>
      <w:divBdr>
        <w:top w:val="none" w:sz="0" w:space="0" w:color="auto"/>
        <w:left w:val="none" w:sz="0" w:space="0" w:color="auto"/>
        <w:bottom w:val="none" w:sz="0" w:space="0" w:color="auto"/>
        <w:right w:val="none" w:sz="0" w:space="0" w:color="auto"/>
      </w:divBdr>
    </w:div>
    <w:div w:id="862861433">
      <w:bodyDiv w:val="1"/>
      <w:marLeft w:val="0"/>
      <w:marRight w:val="0"/>
      <w:marTop w:val="0"/>
      <w:marBottom w:val="0"/>
      <w:divBdr>
        <w:top w:val="none" w:sz="0" w:space="0" w:color="auto"/>
        <w:left w:val="none" w:sz="0" w:space="0" w:color="auto"/>
        <w:bottom w:val="none" w:sz="0" w:space="0" w:color="auto"/>
        <w:right w:val="none" w:sz="0" w:space="0" w:color="auto"/>
      </w:divBdr>
      <w:divsChild>
        <w:div w:id="136343672">
          <w:marLeft w:val="0"/>
          <w:marRight w:val="0"/>
          <w:marTop w:val="0"/>
          <w:marBottom w:val="0"/>
          <w:divBdr>
            <w:top w:val="none" w:sz="0" w:space="0" w:color="auto"/>
            <w:left w:val="none" w:sz="0" w:space="0" w:color="auto"/>
            <w:bottom w:val="none" w:sz="0" w:space="0" w:color="auto"/>
            <w:right w:val="none" w:sz="0" w:space="0" w:color="auto"/>
          </w:divBdr>
          <w:divsChild>
            <w:div w:id="1153327878">
              <w:marLeft w:val="0"/>
              <w:marRight w:val="0"/>
              <w:marTop w:val="0"/>
              <w:marBottom w:val="0"/>
              <w:divBdr>
                <w:top w:val="none" w:sz="0" w:space="0" w:color="auto"/>
                <w:left w:val="none" w:sz="0" w:space="0" w:color="auto"/>
                <w:bottom w:val="none" w:sz="0" w:space="0" w:color="auto"/>
                <w:right w:val="none" w:sz="0" w:space="0" w:color="auto"/>
              </w:divBdr>
            </w:div>
          </w:divsChild>
        </w:div>
        <w:div w:id="695623209">
          <w:marLeft w:val="0"/>
          <w:marRight w:val="0"/>
          <w:marTop w:val="0"/>
          <w:marBottom w:val="0"/>
          <w:divBdr>
            <w:top w:val="none" w:sz="0" w:space="0" w:color="auto"/>
            <w:left w:val="none" w:sz="0" w:space="0" w:color="auto"/>
            <w:bottom w:val="none" w:sz="0" w:space="0" w:color="auto"/>
            <w:right w:val="none" w:sz="0" w:space="0" w:color="auto"/>
          </w:divBdr>
          <w:divsChild>
            <w:div w:id="903881368">
              <w:marLeft w:val="0"/>
              <w:marRight w:val="0"/>
              <w:marTop w:val="0"/>
              <w:marBottom w:val="0"/>
              <w:divBdr>
                <w:top w:val="none" w:sz="0" w:space="0" w:color="auto"/>
                <w:left w:val="none" w:sz="0" w:space="0" w:color="auto"/>
                <w:bottom w:val="none" w:sz="0" w:space="0" w:color="auto"/>
                <w:right w:val="none" w:sz="0" w:space="0" w:color="auto"/>
              </w:divBdr>
            </w:div>
          </w:divsChild>
        </w:div>
        <w:div w:id="1024744031">
          <w:marLeft w:val="0"/>
          <w:marRight w:val="0"/>
          <w:marTop w:val="0"/>
          <w:marBottom w:val="0"/>
          <w:divBdr>
            <w:top w:val="none" w:sz="0" w:space="0" w:color="auto"/>
            <w:left w:val="none" w:sz="0" w:space="0" w:color="auto"/>
            <w:bottom w:val="none" w:sz="0" w:space="0" w:color="auto"/>
            <w:right w:val="none" w:sz="0" w:space="0" w:color="auto"/>
          </w:divBdr>
          <w:divsChild>
            <w:div w:id="372848575">
              <w:marLeft w:val="0"/>
              <w:marRight w:val="0"/>
              <w:marTop w:val="0"/>
              <w:marBottom w:val="0"/>
              <w:divBdr>
                <w:top w:val="none" w:sz="0" w:space="0" w:color="auto"/>
                <w:left w:val="none" w:sz="0" w:space="0" w:color="auto"/>
                <w:bottom w:val="none" w:sz="0" w:space="0" w:color="auto"/>
                <w:right w:val="none" w:sz="0" w:space="0" w:color="auto"/>
              </w:divBdr>
            </w:div>
          </w:divsChild>
        </w:div>
        <w:div w:id="1679113735">
          <w:marLeft w:val="0"/>
          <w:marRight w:val="0"/>
          <w:marTop w:val="0"/>
          <w:marBottom w:val="0"/>
          <w:divBdr>
            <w:top w:val="none" w:sz="0" w:space="0" w:color="auto"/>
            <w:left w:val="none" w:sz="0" w:space="0" w:color="auto"/>
            <w:bottom w:val="none" w:sz="0" w:space="0" w:color="auto"/>
            <w:right w:val="none" w:sz="0" w:space="0" w:color="auto"/>
          </w:divBdr>
        </w:div>
      </w:divsChild>
    </w:div>
    <w:div w:id="866942213">
      <w:bodyDiv w:val="1"/>
      <w:marLeft w:val="0"/>
      <w:marRight w:val="0"/>
      <w:marTop w:val="0"/>
      <w:marBottom w:val="0"/>
      <w:divBdr>
        <w:top w:val="none" w:sz="0" w:space="0" w:color="auto"/>
        <w:left w:val="none" w:sz="0" w:space="0" w:color="auto"/>
        <w:bottom w:val="none" w:sz="0" w:space="0" w:color="auto"/>
        <w:right w:val="none" w:sz="0" w:space="0" w:color="auto"/>
      </w:divBdr>
      <w:divsChild>
        <w:div w:id="1914775820">
          <w:marLeft w:val="0"/>
          <w:marRight w:val="0"/>
          <w:marTop w:val="0"/>
          <w:marBottom w:val="0"/>
          <w:divBdr>
            <w:top w:val="none" w:sz="0" w:space="0" w:color="auto"/>
            <w:left w:val="none" w:sz="0" w:space="0" w:color="auto"/>
            <w:bottom w:val="none" w:sz="0" w:space="0" w:color="auto"/>
            <w:right w:val="none" w:sz="0" w:space="0" w:color="auto"/>
          </w:divBdr>
        </w:div>
      </w:divsChild>
    </w:div>
    <w:div w:id="912472452">
      <w:bodyDiv w:val="1"/>
      <w:marLeft w:val="0"/>
      <w:marRight w:val="0"/>
      <w:marTop w:val="0"/>
      <w:marBottom w:val="0"/>
      <w:divBdr>
        <w:top w:val="none" w:sz="0" w:space="0" w:color="auto"/>
        <w:left w:val="none" w:sz="0" w:space="0" w:color="auto"/>
        <w:bottom w:val="none" w:sz="0" w:space="0" w:color="auto"/>
        <w:right w:val="none" w:sz="0" w:space="0" w:color="auto"/>
      </w:divBdr>
    </w:div>
    <w:div w:id="1159659804">
      <w:bodyDiv w:val="1"/>
      <w:marLeft w:val="0"/>
      <w:marRight w:val="0"/>
      <w:marTop w:val="0"/>
      <w:marBottom w:val="0"/>
      <w:divBdr>
        <w:top w:val="none" w:sz="0" w:space="0" w:color="auto"/>
        <w:left w:val="none" w:sz="0" w:space="0" w:color="auto"/>
        <w:bottom w:val="none" w:sz="0" w:space="0" w:color="auto"/>
        <w:right w:val="none" w:sz="0" w:space="0" w:color="auto"/>
      </w:divBdr>
      <w:divsChild>
        <w:div w:id="569539254">
          <w:marLeft w:val="0"/>
          <w:marRight w:val="0"/>
          <w:marTop w:val="0"/>
          <w:marBottom w:val="0"/>
          <w:divBdr>
            <w:top w:val="none" w:sz="0" w:space="0" w:color="auto"/>
            <w:left w:val="none" w:sz="0" w:space="0" w:color="auto"/>
            <w:bottom w:val="none" w:sz="0" w:space="0" w:color="auto"/>
            <w:right w:val="none" w:sz="0" w:space="0" w:color="auto"/>
          </w:divBdr>
        </w:div>
      </w:divsChild>
    </w:div>
    <w:div w:id="1235049258">
      <w:bodyDiv w:val="1"/>
      <w:marLeft w:val="0"/>
      <w:marRight w:val="0"/>
      <w:marTop w:val="0"/>
      <w:marBottom w:val="0"/>
      <w:divBdr>
        <w:top w:val="none" w:sz="0" w:space="0" w:color="auto"/>
        <w:left w:val="none" w:sz="0" w:space="0" w:color="auto"/>
        <w:bottom w:val="none" w:sz="0" w:space="0" w:color="auto"/>
        <w:right w:val="none" w:sz="0" w:space="0" w:color="auto"/>
      </w:divBdr>
    </w:div>
    <w:div w:id="1462266815">
      <w:bodyDiv w:val="1"/>
      <w:marLeft w:val="0"/>
      <w:marRight w:val="0"/>
      <w:marTop w:val="0"/>
      <w:marBottom w:val="0"/>
      <w:divBdr>
        <w:top w:val="none" w:sz="0" w:space="0" w:color="auto"/>
        <w:left w:val="none" w:sz="0" w:space="0" w:color="auto"/>
        <w:bottom w:val="none" w:sz="0" w:space="0" w:color="auto"/>
        <w:right w:val="none" w:sz="0" w:space="0" w:color="auto"/>
      </w:divBdr>
    </w:div>
    <w:div w:id="1518420830">
      <w:bodyDiv w:val="1"/>
      <w:marLeft w:val="0"/>
      <w:marRight w:val="0"/>
      <w:marTop w:val="0"/>
      <w:marBottom w:val="0"/>
      <w:divBdr>
        <w:top w:val="none" w:sz="0" w:space="0" w:color="auto"/>
        <w:left w:val="none" w:sz="0" w:space="0" w:color="auto"/>
        <w:bottom w:val="none" w:sz="0" w:space="0" w:color="auto"/>
        <w:right w:val="none" w:sz="0" w:space="0" w:color="auto"/>
      </w:divBdr>
    </w:div>
    <w:div w:id="1685547196">
      <w:bodyDiv w:val="1"/>
      <w:marLeft w:val="0"/>
      <w:marRight w:val="0"/>
      <w:marTop w:val="0"/>
      <w:marBottom w:val="0"/>
      <w:divBdr>
        <w:top w:val="none" w:sz="0" w:space="0" w:color="auto"/>
        <w:left w:val="none" w:sz="0" w:space="0" w:color="auto"/>
        <w:bottom w:val="none" w:sz="0" w:space="0" w:color="auto"/>
        <w:right w:val="none" w:sz="0" w:space="0" w:color="auto"/>
      </w:divBdr>
    </w:div>
    <w:div w:id="1781335776">
      <w:bodyDiv w:val="1"/>
      <w:marLeft w:val="0"/>
      <w:marRight w:val="0"/>
      <w:marTop w:val="0"/>
      <w:marBottom w:val="0"/>
      <w:divBdr>
        <w:top w:val="none" w:sz="0" w:space="0" w:color="auto"/>
        <w:left w:val="none" w:sz="0" w:space="0" w:color="auto"/>
        <w:bottom w:val="none" w:sz="0" w:space="0" w:color="auto"/>
        <w:right w:val="none" w:sz="0" w:space="0" w:color="auto"/>
      </w:divBdr>
    </w:div>
    <w:div w:id="1783307593">
      <w:bodyDiv w:val="1"/>
      <w:marLeft w:val="0"/>
      <w:marRight w:val="0"/>
      <w:marTop w:val="0"/>
      <w:marBottom w:val="0"/>
      <w:divBdr>
        <w:top w:val="none" w:sz="0" w:space="0" w:color="auto"/>
        <w:left w:val="none" w:sz="0" w:space="0" w:color="auto"/>
        <w:bottom w:val="none" w:sz="0" w:space="0" w:color="auto"/>
        <w:right w:val="none" w:sz="0" w:space="0" w:color="auto"/>
      </w:divBdr>
    </w:div>
    <w:div w:id="1986620119">
      <w:bodyDiv w:val="1"/>
      <w:marLeft w:val="0"/>
      <w:marRight w:val="0"/>
      <w:marTop w:val="0"/>
      <w:marBottom w:val="0"/>
      <w:divBdr>
        <w:top w:val="none" w:sz="0" w:space="0" w:color="auto"/>
        <w:left w:val="none" w:sz="0" w:space="0" w:color="auto"/>
        <w:bottom w:val="none" w:sz="0" w:space="0" w:color="auto"/>
        <w:right w:val="none" w:sz="0" w:space="0" w:color="auto"/>
      </w:divBdr>
    </w:div>
    <w:div w:id="2037920891">
      <w:bodyDiv w:val="1"/>
      <w:marLeft w:val="0"/>
      <w:marRight w:val="0"/>
      <w:marTop w:val="0"/>
      <w:marBottom w:val="0"/>
      <w:divBdr>
        <w:top w:val="none" w:sz="0" w:space="0" w:color="auto"/>
        <w:left w:val="none" w:sz="0" w:space="0" w:color="auto"/>
        <w:bottom w:val="none" w:sz="0" w:space="0" w:color="auto"/>
        <w:right w:val="none" w:sz="0" w:space="0" w:color="auto"/>
      </w:divBdr>
    </w:div>
    <w:div w:id="212600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pile.com/c/9jtXcE/dXcA+G9v0" TargetMode="External"/><Relationship Id="rId13" Type="http://schemas.openxmlformats.org/officeDocument/2006/relationships/hyperlink" Target="http://paperpile.com/b/9jtXcE/BFp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perpile.com/c/9jtXcE/5KuM+R63H" TargetMode="External"/><Relationship Id="rId12" Type="http://schemas.openxmlformats.org/officeDocument/2006/relationships/hyperlink" Target="http://paperpile.com/b/9jtXcE/dX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pile.com/c/9jtXcE/BFpk" TargetMode="External"/><Relationship Id="rId5" Type="http://schemas.openxmlformats.org/officeDocument/2006/relationships/footnotes" Target="footnotes.xml"/><Relationship Id="rId15" Type="http://schemas.openxmlformats.org/officeDocument/2006/relationships/hyperlink" Target="http://paperpile.com/b/9jtXcE/JA2e" TargetMode="External"/><Relationship Id="rId10" Type="http://schemas.openxmlformats.org/officeDocument/2006/relationships/hyperlink" Target="https://paperpile.com/c/9jtXcE/JA2e" TargetMode="External"/><Relationship Id="rId4" Type="http://schemas.openxmlformats.org/officeDocument/2006/relationships/webSettings" Target="webSettings.xml"/><Relationship Id="rId9" Type="http://schemas.openxmlformats.org/officeDocument/2006/relationships/hyperlink" Target="https://paperpile.com/c/9jtXcE/R63H" TargetMode="External"/><Relationship Id="rId14" Type="http://schemas.openxmlformats.org/officeDocument/2006/relationships/hyperlink" Target="http://paperpile.com/b/9jtXcE/R63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6059</Words>
  <Characters>34539</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I</vt:lpstr>
    </vt:vector>
  </TitlesOfParts>
  <Company>Strong Health</Company>
  <LinksUpToDate>false</LinksUpToDate>
  <CharactersWithSpaces>40517</CharactersWithSpaces>
  <SharedDoc>false</SharedDoc>
  <HLinks>
    <vt:vector size="6" baseType="variant">
      <vt:variant>
        <vt:i4>5636125</vt:i4>
      </vt:variant>
      <vt:variant>
        <vt:i4>0</vt:i4>
      </vt:variant>
      <vt:variant>
        <vt:i4>0</vt:i4>
      </vt:variant>
      <vt:variant>
        <vt:i4>5</vt:i4>
      </vt:variant>
      <vt:variant>
        <vt:lpwstr>http://www.trich.org/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sjee</dc:creator>
  <cp:lastModifiedBy>Mary Houston</cp:lastModifiedBy>
  <cp:revision>2</cp:revision>
  <cp:lastPrinted>2020-10-25T08:04:00Z</cp:lastPrinted>
  <dcterms:created xsi:type="dcterms:W3CDTF">2021-10-05T09:27:00Z</dcterms:created>
  <dcterms:modified xsi:type="dcterms:W3CDTF">2021-10-05T09:27:00Z</dcterms:modified>
</cp:coreProperties>
</file>