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FD557" w14:textId="77777777" w:rsidR="0047454E" w:rsidRPr="00DB5B50" w:rsidRDefault="0047454E" w:rsidP="0047454E">
      <w:pPr>
        <w:rPr>
          <w:b/>
        </w:rPr>
      </w:pPr>
      <w:r w:rsidRPr="00DB5B50">
        <w:rPr>
          <w:b/>
        </w:rPr>
        <w:t>AN EVALUATION OF THE LIVING WAGE: IDENTIFYING PATHWAYS OUT OF IN-WORK POVERTY</w:t>
      </w:r>
    </w:p>
    <w:p w14:paraId="3B728264" w14:textId="77777777" w:rsidR="00E90853" w:rsidRDefault="00E90853" w:rsidP="00E90853"/>
    <w:p w14:paraId="1B079605" w14:textId="77777777" w:rsidR="00E90853" w:rsidRPr="00DB5B50" w:rsidRDefault="00E90853" w:rsidP="00E90853">
      <w:r w:rsidRPr="00DB5B50">
        <w:t>Jo Swaffield</w:t>
      </w:r>
      <w:r w:rsidRPr="00DB5B50">
        <w:rPr>
          <w:rStyle w:val="FootnoteReference"/>
        </w:rPr>
        <w:footnoteReference w:id="1"/>
      </w:r>
      <w:r w:rsidRPr="00DB5B50">
        <w:t>, Ca</w:t>
      </w:r>
      <w:r>
        <w:t>rolyn</w:t>
      </w:r>
      <w:r w:rsidRPr="00DB5B50">
        <w:t xml:space="preserve"> Snell</w:t>
      </w:r>
      <w:r w:rsidRPr="00DB5B50">
        <w:rPr>
          <w:rStyle w:val="FootnoteReference"/>
        </w:rPr>
        <w:footnoteReference w:id="2"/>
      </w:r>
      <w:r w:rsidRPr="00DB5B50">
        <w:t>, Becky Tunstall</w:t>
      </w:r>
      <w:r w:rsidRPr="00DB5B50">
        <w:rPr>
          <w:rStyle w:val="FootnoteReference"/>
        </w:rPr>
        <w:footnoteReference w:id="3"/>
      </w:r>
      <w:r w:rsidRPr="00DB5B50">
        <w:t xml:space="preserve"> and Jonathan Bradshaw</w:t>
      </w:r>
      <w:r w:rsidRPr="00DB5B50">
        <w:rPr>
          <w:rStyle w:val="FootnoteReference"/>
        </w:rPr>
        <w:footnoteReference w:id="4"/>
      </w:r>
    </w:p>
    <w:p w14:paraId="0D12EE4C" w14:textId="77777777" w:rsidR="00E90853" w:rsidRDefault="00E90853" w:rsidP="00E90853"/>
    <w:p w14:paraId="2A4CA118" w14:textId="77777777" w:rsidR="00E90853" w:rsidRDefault="00E90853" w:rsidP="00E90853">
      <w:r>
        <w:t>Contact author Jonathan Bradshaw email: jonathan.bradshaw@york.ac.uk</w:t>
      </w:r>
    </w:p>
    <w:p w14:paraId="50181670" w14:textId="77777777" w:rsidR="0047454E" w:rsidRDefault="0047454E" w:rsidP="0047454E"/>
    <w:p w14:paraId="330118A3" w14:textId="5BB5EA8F" w:rsidR="00E90853" w:rsidRDefault="00E90853" w:rsidP="0047454E">
      <w:r>
        <w:t>6</w:t>
      </w:r>
      <w:r w:rsidR="00B20AE7">
        <w:t>377</w:t>
      </w:r>
      <w:bookmarkStart w:id="0" w:name="_GoBack"/>
      <w:bookmarkEnd w:id="0"/>
      <w:r>
        <w:t xml:space="preserve"> words</w:t>
      </w:r>
    </w:p>
    <w:p w14:paraId="4C1AE4AE" w14:textId="77777777" w:rsidR="00E90853" w:rsidRPr="00DB5B50" w:rsidRDefault="00E90853" w:rsidP="0047454E"/>
    <w:p w14:paraId="630CDA60" w14:textId="77777777" w:rsidR="0069235A" w:rsidRPr="00DB5B50" w:rsidRDefault="00AA48FB" w:rsidP="00647393">
      <w:pPr>
        <w:spacing w:line="360" w:lineRule="auto"/>
        <w:rPr>
          <w:b/>
        </w:rPr>
      </w:pPr>
      <w:r w:rsidRPr="00DB5B50">
        <w:rPr>
          <w:b/>
        </w:rPr>
        <w:t>Abstract</w:t>
      </w:r>
    </w:p>
    <w:p w14:paraId="7F2286FD" w14:textId="77777777" w:rsidR="00231264" w:rsidRDefault="00231264" w:rsidP="00647393">
      <w:pPr>
        <w:spacing w:line="360" w:lineRule="auto"/>
      </w:pPr>
    </w:p>
    <w:p w14:paraId="6AA18A40" w14:textId="7DA65914" w:rsidR="00AA48FB" w:rsidRPr="00647393" w:rsidRDefault="00063971" w:rsidP="00647393">
      <w:pPr>
        <w:spacing w:line="360" w:lineRule="auto"/>
        <w:rPr>
          <w:i/>
        </w:rPr>
      </w:pPr>
      <w:r>
        <w:rPr>
          <w:i/>
        </w:rPr>
        <w:t xml:space="preserve">This </w:t>
      </w:r>
      <w:r w:rsidR="009B2756">
        <w:rPr>
          <w:i/>
        </w:rPr>
        <w:t>article</w:t>
      </w:r>
      <w:r>
        <w:rPr>
          <w:i/>
        </w:rPr>
        <w:t xml:space="preserve"> reports </w:t>
      </w:r>
      <w:r w:rsidR="009B2756">
        <w:rPr>
          <w:i/>
        </w:rPr>
        <w:t xml:space="preserve">the results of </w:t>
      </w:r>
      <w:r>
        <w:rPr>
          <w:i/>
        </w:rPr>
        <w:t>a case study of the introd</w:t>
      </w:r>
      <w:r w:rsidR="004C2A2C">
        <w:rPr>
          <w:i/>
        </w:rPr>
        <w:t>u</w:t>
      </w:r>
      <w:r>
        <w:rPr>
          <w:i/>
        </w:rPr>
        <w:t xml:space="preserve">ction of the living wage. </w:t>
      </w:r>
      <w:r w:rsidR="0069235A" w:rsidRPr="00647393">
        <w:rPr>
          <w:i/>
        </w:rPr>
        <w:t>Three employers in the City of York became Living Wage employers. Using data derived from a sample survey of the</w:t>
      </w:r>
      <w:r w:rsidR="00382002" w:rsidRPr="00647393">
        <w:rPr>
          <w:i/>
        </w:rPr>
        <w:t>ir</w:t>
      </w:r>
      <w:r w:rsidR="0069235A" w:rsidRPr="00647393">
        <w:rPr>
          <w:i/>
        </w:rPr>
        <w:t xml:space="preserve"> employees and qualitative interviews this paper explores what impact the receipt</w:t>
      </w:r>
      <w:r w:rsidR="00382002" w:rsidRPr="00647393">
        <w:rPr>
          <w:i/>
        </w:rPr>
        <w:t xml:space="preserve"> of the living wage had on poverty</w:t>
      </w:r>
      <w:r w:rsidR="003D4329" w:rsidRPr="00647393">
        <w:rPr>
          <w:i/>
        </w:rPr>
        <w:t xml:space="preserve"> </w:t>
      </w:r>
      <w:r w:rsidR="005B2CAD">
        <w:rPr>
          <w:i/>
        </w:rPr>
        <w:t>and deprivation</w:t>
      </w:r>
      <w:r w:rsidR="00382002" w:rsidRPr="00647393">
        <w:rPr>
          <w:i/>
        </w:rPr>
        <w:t>.</w:t>
      </w:r>
      <w:r>
        <w:rPr>
          <w:i/>
        </w:rPr>
        <w:t xml:space="preserve"> </w:t>
      </w:r>
      <w:r w:rsidR="009B2756">
        <w:rPr>
          <w:i/>
        </w:rPr>
        <w:t>I</w:t>
      </w:r>
      <w:r w:rsidR="00382002" w:rsidRPr="00647393">
        <w:rPr>
          <w:i/>
        </w:rPr>
        <w:t xml:space="preserve">t found that not all living wage employees were income poor or deprived although those on </w:t>
      </w:r>
      <w:r w:rsidR="00493DEB">
        <w:rPr>
          <w:i/>
        </w:rPr>
        <w:t>l</w:t>
      </w:r>
      <w:r w:rsidR="00382002" w:rsidRPr="00647393">
        <w:rPr>
          <w:i/>
        </w:rPr>
        <w:t xml:space="preserve">iving </w:t>
      </w:r>
      <w:r w:rsidR="00493DEB">
        <w:rPr>
          <w:i/>
        </w:rPr>
        <w:t>w</w:t>
      </w:r>
      <w:r w:rsidR="00382002" w:rsidRPr="00647393">
        <w:rPr>
          <w:i/>
        </w:rPr>
        <w:t xml:space="preserve">age rates were more likely to be poor </w:t>
      </w:r>
      <w:r w:rsidR="004C2A2C">
        <w:rPr>
          <w:i/>
        </w:rPr>
        <w:t xml:space="preserve">and deprived </w:t>
      </w:r>
      <w:r w:rsidR="00382002" w:rsidRPr="00647393">
        <w:rPr>
          <w:i/>
        </w:rPr>
        <w:t>than those on slightly higher wages. The more important determinant of the employees</w:t>
      </w:r>
      <w:r>
        <w:rPr>
          <w:i/>
        </w:rPr>
        <w:t>’</w:t>
      </w:r>
      <w:r w:rsidR="00382002" w:rsidRPr="00647393">
        <w:rPr>
          <w:i/>
        </w:rPr>
        <w:t xml:space="preserve"> living standards was the household they lived in and there </w:t>
      </w:r>
      <w:r w:rsidR="00FC580E">
        <w:rPr>
          <w:i/>
        </w:rPr>
        <w:t>w</w:t>
      </w:r>
      <w:r w:rsidR="00407B91">
        <w:rPr>
          <w:i/>
        </w:rPr>
        <w:t>ere</w:t>
      </w:r>
      <w:r w:rsidR="00382002" w:rsidRPr="00647393">
        <w:rPr>
          <w:i/>
        </w:rPr>
        <w:t xml:space="preserve"> a high proportion of living wage employees living in multi-unit households. Also important were the number of earners in the household and the hours worked by the living wage employee. </w:t>
      </w:r>
      <w:r w:rsidR="006400C9" w:rsidRPr="00647393">
        <w:rPr>
          <w:i/>
        </w:rPr>
        <w:t xml:space="preserve">Lone parent families and single people appeared to be most vulnerable to poverty and deprivation. </w:t>
      </w:r>
      <w:r w:rsidR="00382002" w:rsidRPr="00647393">
        <w:rPr>
          <w:i/>
        </w:rPr>
        <w:t>In addition</w:t>
      </w:r>
      <w:r w:rsidR="005B2CAD">
        <w:rPr>
          <w:i/>
        </w:rPr>
        <w:t xml:space="preserve">, </w:t>
      </w:r>
      <w:r w:rsidR="00382002" w:rsidRPr="00647393">
        <w:rPr>
          <w:i/>
        </w:rPr>
        <w:t>whether the employee took up their entitlement to in-work benefits was critical and</w:t>
      </w:r>
      <w:r>
        <w:rPr>
          <w:i/>
        </w:rPr>
        <w:t>,</w:t>
      </w:r>
      <w:r w:rsidR="00382002" w:rsidRPr="00647393">
        <w:rPr>
          <w:i/>
        </w:rPr>
        <w:t xml:space="preserve"> using benefit checks by welfare rights experts</w:t>
      </w:r>
      <w:r>
        <w:rPr>
          <w:i/>
        </w:rPr>
        <w:t>,</w:t>
      </w:r>
      <w:r w:rsidR="00382002" w:rsidRPr="00647393">
        <w:rPr>
          <w:i/>
        </w:rPr>
        <w:t xml:space="preserve"> </w:t>
      </w:r>
      <w:r w:rsidR="0031280C">
        <w:rPr>
          <w:i/>
        </w:rPr>
        <w:t>it was</w:t>
      </w:r>
      <w:r w:rsidR="00382002" w:rsidRPr="00647393">
        <w:rPr>
          <w:i/>
        </w:rPr>
        <w:t xml:space="preserve"> found that </w:t>
      </w:r>
      <w:r w:rsidR="004C2A2C">
        <w:rPr>
          <w:i/>
        </w:rPr>
        <w:t xml:space="preserve">some </w:t>
      </w:r>
      <w:r w:rsidR="00382002" w:rsidRPr="00647393">
        <w:rPr>
          <w:i/>
        </w:rPr>
        <w:t xml:space="preserve">were not. </w:t>
      </w:r>
    </w:p>
    <w:p w14:paraId="52419A48" w14:textId="77777777" w:rsidR="00B07F4E" w:rsidRDefault="00B07F4E" w:rsidP="00647393">
      <w:pPr>
        <w:spacing w:line="360" w:lineRule="auto"/>
        <w:rPr>
          <w:b/>
        </w:rPr>
      </w:pPr>
    </w:p>
    <w:p w14:paraId="39C89E9D" w14:textId="77777777" w:rsidR="00647393" w:rsidRPr="00647393" w:rsidRDefault="00647393" w:rsidP="00647393">
      <w:pPr>
        <w:spacing w:line="360" w:lineRule="auto"/>
      </w:pPr>
      <w:r>
        <w:rPr>
          <w:b/>
        </w:rPr>
        <w:t xml:space="preserve">Key words: </w:t>
      </w:r>
      <w:r w:rsidRPr="00647393">
        <w:t>Living wage, poverty, deprivation, low pay, minimum wage</w:t>
      </w:r>
    </w:p>
    <w:p w14:paraId="6079BA6F" w14:textId="77777777" w:rsidR="00647393" w:rsidRPr="00647393" w:rsidRDefault="00647393" w:rsidP="00647393">
      <w:pPr>
        <w:spacing w:line="360" w:lineRule="auto"/>
      </w:pPr>
    </w:p>
    <w:p w14:paraId="38F22684" w14:textId="77777777" w:rsidR="001708C9" w:rsidRPr="00DB5B50" w:rsidRDefault="0005401D" w:rsidP="00647393">
      <w:pPr>
        <w:spacing w:line="360" w:lineRule="auto"/>
        <w:rPr>
          <w:b/>
        </w:rPr>
      </w:pPr>
      <w:r w:rsidRPr="00DB5B50">
        <w:rPr>
          <w:b/>
        </w:rPr>
        <w:t>Introduction</w:t>
      </w:r>
    </w:p>
    <w:p w14:paraId="3CBC68E6" w14:textId="130D1EFD" w:rsidR="00786BCD" w:rsidRPr="00786BCD" w:rsidRDefault="00786BCD" w:rsidP="005B2CAD">
      <w:pPr>
        <w:spacing w:line="360" w:lineRule="auto"/>
      </w:pPr>
      <w:r w:rsidRPr="00786BCD">
        <w:t xml:space="preserve">In a time of austerity and low economic growth the challenges faced by low-waged workers in earning enough to support themselves and their families to achieve a socially acceptable standard of living are immense. Identifying effective and sustainable pathways out of in-work poverty for these workers holds significant benefit for the workers, their families and the state. However for employers facing increasing expectations to view their employees’ wage through a lens of social responsibility rather than purely productivity or market comparison, </w:t>
      </w:r>
      <w:r w:rsidRPr="00786BCD">
        <w:lastRenderedPageBreak/>
        <w:t xml:space="preserve">this can amount to another significant cost pressure, to be set against a general background of competing wage demands throughout the organisation’s workforce. Understanding how effective different anti-poverty measures actually are for workers, and how sustainable they are as long-term measures to be engaged with by employers, is therefore crucial to the in-work poverty policy debate. A debate that is increasingly urgent as recent UK figures </w:t>
      </w:r>
      <w:r w:rsidR="00407B91">
        <w:t xml:space="preserve">(DWP 2016) </w:t>
      </w:r>
      <w:r w:rsidRPr="00786BCD">
        <w:t xml:space="preserve">show in-work poverty </w:t>
      </w:r>
      <w:r w:rsidR="00407B91">
        <w:t>is</w:t>
      </w:r>
      <w:r w:rsidRPr="00786BCD">
        <w:t xml:space="preserve"> </w:t>
      </w:r>
      <w:r w:rsidR="00FF2F39">
        <w:t xml:space="preserve">increasing faster than </w:t>
      </w:r>
      <w:r w:rsidRPr="00786BCD">
        <w:t>poverty in workless households.</w:t>
      </w:r>
      <w:r w:rsidR="00FC580E">
        <w:t xml:space="preserve"> </w:t>
      </w:r>
    </w:p>
    <w:p w14:paraId="23111C51" w14:textId="77777777" w:rsidR="00231264" w:rsidRDefault="00231264" w:rsidP="00647393">
      <w:pPr>
        <w:spacing w:line="360" w:lineRule="auto"/>
      </w:pPr>
    </w:p>
    <w:p w14:paraId="62782451" w14:textId="27C9E18D" w:rsidR="001708C9" w:rsidRPr="00DB5B50" w:rsidRDefault="001708C9" w:rsidP="00647393">
      <w:pPr>
        <w:spacing w:line="360" w:lineRule="auto"/>
        <w:rPr>
          <w:rFonts w:eastAsia="Times New Roman"/>
          <w:lang w:eastAsia="en-GB"/>
        </w:rPr>
      </w:pPr>
      <w:r w:rsidRPr="00DB5B50">
        <w:t>In 201</w:t>
      </w:r>
      <w:r w:rsidR="00B61F9D" w:rsidRPr="00DB5B50">
        <w:t>3</w:t>
      </w:r>
      <w:r w:rsidRPr="00DB5B50">
        <w:t xml:space="preserve"> three large em</w:t>
      </w:r>
      <w:r w:rsidR="0005401D" w:rsidRPr="00DB5B50">
        <w:t>ployers in the City o</w:t>
      </w:r>
      <w:r w:rsidRPr="00DB5B50">
        <w:t xml:space="preserve">f York </w:t>
      </w:r>
      <w:r w:rsidR="00B61F9D" w:rsidRPr="00DB5B50">
        <w:t>beca</w:t>
      </w:r>
      <w:r w:rsidRPr="00DB5B50">
        <w:t xml:space="preserve">me </w:t>
      </w:r>
      <w:r w:rsidR="009B2756">
        <w:t xml:space="preserve">Voluntary </w:t>
      </w:r>
      <w:r w:rsidRPr="00DB5B50">
        <w:t xml:space="preserve">Living Wage </w:t>
      </w:r>
      <w:r w:rsidR="009B2756">
        <w:t>(VL</w:t>
      </w:r>
      <w:r w:rsidR="004F6EB9">
        <w:t>W</w:t>
      </w:r>
      <w:r w:rsidR="009B2756">
        <w:t xml:space="preserve">) </w:t>
      </w:r>
      <w:r w:rsidR="00407B91">
        <w:t>e</w:t>
      </w:r>
      <w:r w:rsidRPr="00DB5B50">
        <w:t xml:space="preserve">mployers. They were the </w:t>
      </w:r>
      <w:r w:rsidR="00B61F9D" w:rsidRPr="00DB5B50">
        <w:rPr>
          <w:rFonts w:eastAsia="Times New Roman"/>
          <w:lang w:eastAsia="en-GB"/>
        </w:rPr>
        <w:t xml:space="preserve">City of York Council (CYC), Joseph Rowntree Foundation/Joseph Rowntree Housing Trust (JRF/JRHT) and York St John University (YSJU). </w:t>
      </w:r>
      <w:r w:rsidR="00751943">
        <w:rPr>
          <w:rFonts w:eastAsia="Times New Roman"/>
          <w:lang w:eastAsia="en-GB"/>
        </w:rPr>
        <w:t>It is notable that all three are public or voluntary sector organisations, while p</w:t>
      </w:r>
      <w:r w:rsidR="00751943">
        <w:t>rivate sector employees ha</w:t>
      </w:r>
      <w:r w:rsidR="009B2756">
        <w:t>ve</w:t>
      </w:r>
      <w:r w:rsidR="00751943">
        <w:t xml:space="preserve"> a higher risk of low pay (Cooke and Lawton 2008). However, o</w:t>
      </w:r>
      <w:r w:rsidR="0005401D" w:rsidRPr="00DB5B50">
        <w:t xml:space="preserve">ther </w:t>
      </w:r>
      <w:r w:rsidR="00B61F9D" w:rsidRPr="00DB5B50">
        <w:t xml:space="preserve">York </w:t>
      </w:r>
      <w:r w:rsidR="0005401D" w:rsidRPr="00DB5B50">
        <w:t xml:space="preserve">employers subsequently also became </w:t>
      </w:r>
      <w:r w:rsidR="009B2756">
        <w:t>VL</w:t>
      </w:r>
      <w:r w:rsidR="00407B91">
        <w:t>W</w:t>
      </w:r>
      <w:r w:rsidR="0005401D" w:rsidRPr="00DB5B50">
        <w:t xml:space="preserve"> employers</w:t>
      </w:r>
      <w:r w:rsidR="0041117D">
        <w:t>,</w:t>
      </w:r>
      <w:r w:rsidR="0005401D" w:rsidRPr="00DB5B50">
        <w:t xml:space="preserve"> including </w:t>
      </w:r>
      <w:r w:rsidR="00751943">
        <w:t xml:space="preserve">the private companies </w:t>
      </w:r>
      <w:r w:rsidR="0005401D" w:rsidRPr="00DB5B50">
        <w:t>Nestl</w:t>
      </w:r>
      <w:r w:rsidR="00D1193B">
        <w:t>é</w:t>
      </w:r>
      <w:r w:rsidR="00B07F4E">
        <w:t xml:space="preserve"> and Aviva.</w:t>
      </w:r>
      <w:r w:rsidR="00751943">
        <w:t xml:space="preserve"> </w:t>
      </w:r>
      <w:r w:rsidR="0005401D" w:rsidRPr="00DB5B50">
        <w:t xml:space="preserve"> </w:t>
      </w:r>
      <w:r w:rsidR="0031280C">
        <w:t>It was</w:t>
      </w:r>
      <w:r w:rsidRPr="00DB5B50">
        <w:t xml:space="preserve"> decided that this was a good opportunity to undertake research on the </w:t>
      </w:r>
      <w:r w:rsidR="00D1193B">
        <w:t>impact of the</w:t>
      </w:r>
      <w:r w:rsidR="00D64C44">
        <w:t xml:space="preserve"> </w:t>
      </w:r>
      <w:r w:rsidR="009B2756">
        <w:t>VLW</w:t>
      </w:r>
      <w:r w:rsidRPr="00DB5B50">
        <w:t xml:space="preserve"> </w:t>
      </w:r>
      <w:r w:rsidR="00D1193B">
        <w:t>on poverty</w:t>
      </w:r>
      <w:r w:rsidR="0041117D">
        <w:t xml:space="preserve">, </w:t>
      </w:r>
      <w:r w:rsidRPr="00DB5B50">
        <w:t xml:space="preserve">and </w:t>
      </w:r>
      <w:r w:rsidR="0031280C">
        <w:t xml:space="preserve">funding was </w:t>
      </w:r>
      <w:r w:rsidRPr="00DB5B50">
        <w:t>obtained from the ESRC</w:t>
      </w:r>
      <w:r w:rsidR="0005401D" w:rsidRPr="00DB5B50">
        <w:t xml:space="preserve"> under the</w:t>
      </w:r>
      <w:r w:rsidR="00B61F9D" w:rsidRPr="00DB5B50">
        <w:t>ir</w:t>
      </w:r>
      <w:r w:rsidR="0005401D" w:rsidRPr="00DB5B50">
        <w:t xml:space="preserve"> Knowledge Exchange Programme. </w:t>
      </w:r>
    </w:p>
    <w:p w14:paraId="36162FE9" w14:textId="77777777" w:rsidR="0005401D" w:rsidRPr="00DB5B50" w:rsidRDefault="0005401D" w:rsidP="00647393">
      <w:pPr>
        <w:spacing w:line="360" w:lineRule="auto"/>
      </w:pPr>
    </w:p>
    <w:p w14:paraId="0C38DA7C" w14:textId="2D47F2A3" w:rsidR="0005401D" w:rsidRDefault="0005401D">
      <w:pPr>
        <w:spacing w:line="360" w:lineRule="auto"/>
      </w:pPr>
      <w:r w:rsidRPr="00DB5B50">
        <w:t xml:space="preserve">The research project included </w:t>
      </w:r>
      <w:r w:rsidR="00D64C44">
        <w:t xml:space="preserve">i) </w:t>
      </w:r>
      <w:r w:rsidRPr="00DB5B50">
        <w:t xml:space="preserve">a </w:t>
      </w:r>
      <w:r w:rsidR="00B61F9D" w:rsidRPr="00DB5B50">
        <w:t>pre</w:t>
      </w:r>
      <w:r w:rsidR="00D64C44">
        <w:t>-</w:t>
      </w:r>
      <w:r w:rsidR="00B61F9D" w:rsidRPr="00DB5B50">
        <w:t>living wage survey of a small sample of JRF</w:t>
      </w:r>
      <w:r w:rsidR="00AA48FB" w:rsidRPr="00DB5B50">
        <w:t>/JRHT</w:t>
      </w:r>
      <w:r w:rsidR="00B61F9D" w:rsidRPr="00DB5B50">
        <w:t xml:space="preserve"> employees; </w:t>
      </w:r>
      <w:r w:rsidR="00D64C44">
        <w:t xml:space="preserve">ii) </w:t>
      </w:r>
      <w:r w:rsidR="00B61F9D" w:rsidRPr="00DB5B50">
        <w:t xml:space="preserve">a </w:t>
      </w:r>
      <w:r w:rsidRPr="00DB5B50">
        <w:t xml:space="preserve">structured sample survey </w:t>
      </w:r>
      <w:r w:rsidR="00B61F9D" w:rsidRPr="00DB5B50">
        <w:t>post</w:t>
      </w:r>
      <w:r w:rsidR="00D64C44">
        <w:t>-</w:t>
      </w:r>
      <w:r w:rsidR="00B61F9D" w:rsidRPr="00DB5B50">
        <w:t xml:space="preserve">living wage </w:t>
      </w:r>
      <w:r w:rsidRPr="00DB5B50">
        <w:t>of 500</w:t>
      </w:r>
      <w:r w:rsidR="004301C1" w:rsidRPr="00DB5B50">
        <w:t xml:space="preserve"> employees</w:t>
      </w:r>
      <w:r w:rsidR="00D1193B">
        <w:t>.</w:t>
      </w:r>
      <w:r w:rsidR="00D64C44">
        <w:t xml:space="preserve"> </w:t>
      </w:r>
      <w:r w:rsidR="00D1193B">
        <w:t xml:space="preserve">Two-fifths of these were newly on the </w:t>
      </w:r>
      <w:r w:rsidR="00493DEB">
        <w:t>VLW</w:t>
      </w:r>
      <w:r w:rsidR="00D1193B">
        <w:t xml:space="preserve"> and the rest</w:t>
      </w:r>
      <w:r w:rsidR="009B2756">
        <w:t>,</w:t>
      </w:r>
      <w:r w:rsidR="00D1193B">
        <w:t xml:space="preserve"> a comparator group</w:t>
      </w:r>
      <w:r w:rsidR="009B2756">
        <w:t>,</w:t>
      </w:r>
      <w:r w:rsidR="00D1193B">
        <w:t xml:space="preserve"> were other low paid</w:t>
      </w:r>
      <w:r w:rsidRPr="00DB5B50">
        <w:t xml:space="preserve"> employe</w:t>
      </w:r>
      <w:r w:rsidR="00D1193B">
        <w:t>e</w:t>
      </w:r>
      <w:r w:rsidRPr="00DB5B50">
        <w:t>s</w:t>
      </w:r>
      <w:r w:rsidR="004301C1" w:rsidRPr="00DB5B50">
        <w:t xml:space="preserve"> earning up to £10 per hour</w:t>
      </w:r>
      <w:r w:rsidRPr="00DB5B50">
        <w:t xml:space="preserve">; </w:t>
      </w:r>
      <w:r w:rsidR="00D64C44">
        <w:t xml:space="preserve">iii) </w:t>
      </w:r>
      <w:r w:rsidRPr="00DB5B50">
        <w:t xml:space="preserve">a follow-up qualitative survey of a sub-sample of employees who had had a wage increase as a result of the introduction of the living wage; </w:t>
      </w:r>
      <w:r w:rsidR="00D64C44">
        <w:t xml:space="preserve">iv) </w:t>
      </w:r>
      <w:r w:rsidR="00B61F9D" w:rsidRPr="00DB5B50">
        <w:t xml:space="preserve">a benefits assessment undertaken by welfare rights specialist at the York Welfare Benefits Unit; </w:t>
      </w:r>
      <w:r w:rsidRPr="00DB5B50">
        <w:t xml:space="preserve">and </w:t>
      </w:r>
      <w:r w:rsidR="00D64C44">
        <w:t xml:space="preserve">v) </w:t>
      </w:r>
      <w:r w:rsidRPr="00DB5B50">
        <w:t xml:space="preserve">interviews with employers and analysis of the implementation of the </w:t>
      </w:r>
      <w:r w:rsidR="00493DEB">
        <w:t>VLW</w:t>
      </w:r>
      <w:r w:rsidRPr="00DB5B50">
        <w:t xml:space="preserve"> by the three partner employers. This article is focussed on the lessons that can be learned for in-work poverty </w:t>
      </w:r>
      <w:r w:rsidR="00055E8C">
        <w:t xml:space="preserve">and deprivation </w:t>
      </w:r>
      <w:r w:rsidR="004301C1" w:rsidRPr="00DB5B50">
        <w:t>alleviation</w:t>
      </w:r>
      <w:r w:rsidR="00DE5C3C" w:rsidRPr="00DB5B50">
        <w:t>,</w:t>
      </w:r>
      <w:r w:rsidR="004301C1" w:rsidRPr="00DB5B50">
        <w:t xml:space="preserve"> drawing on the evidence of </w:t>
      </w:r>
      <w:r w:rsidR="004301C1" w:rsidRPr="004F69F6">
        <w:t>the qualitative</w:t>
      </w:r>
      <w:r w:rsidR="004301C1" w:rsidRPr="00DB5B50">
        <w:t xml:space="preserve"> and quantitative surveys</w:t>
      </w:r>
      <w:r w:rsidR="00055E8C">
        <w:t>.</w:t>
      </w:r>
    </w:p>
    <w:p w14:paraId="7C227C8B" w14:textId="77777777" w:rsidR="00786BCD" w:rsidRDefault="00786BCD">
      <w:pPr>
        <w:spacing w:line="360" w:lineRule="auto"/>
      </w:pPr>
    </w:p>
    <w:p w14:paraId="5013A590" w14:textId="77777777" w:rsidR="004301C1" w:rsidRPr="00DB5B50" w:rsidRDefault="004301C1">
      <w:pPr>
        <w:spacing w:line="360" w:lineRule="auto"/>
        <w:rPr>
          <w:b/>
        </w:rPr>
      </w:pPr>
      <w:r w:rsidRPr="00DB5B50">
        <w:rPr>
          <w:b/>
        </w:rPr>
        <w:t xml:space="preserve">Policy </w:t>
      </w:r>
      <w:r w:rsidR="00055E8C">
        <w:rPr>
          <w:b/>
        </w:rPr>
        <w:t xml:space="preserve">and evidence </w:t>
      </w:r>
      <w:r w:rsidRPr="00DB5B50">
        <w:rPr>
          <w:b/>
        </w:rPr>
        <w:t>background</w:t>
      </w:r>
    </w:p>
    <w:p w14:paraId="1CC360F4" w14:textId="47800DC3" w:rsidR="00055E8C" w:rsidRDefault="00055E8C" w:rsidP="00AC6042">
      <w:pPr>
        <w:spacing w:line="360" w:lineRule="auto"/>
      </w:pPr>
      <w:r w:rsidRPr="00511992">
        <w:t>Hood et al. said,</w:t>
      </w:r>
      <w:r>
        <w:rPr>
          <w:i/>
        </w:rPr>
        <w:t xml:space="preserve"> </w:t>
      </w:r>
      <w:r w:rsidRPr="008135FC">
        <w:rPr>
          <w:i/>
        </w:rPr>
        <w:t>“Those with the lowest incomes are generally not in work at all</w:t>
      </w:r>
      <w:r>
        <w:t>” (Ho</w:t>
      </w:r>
      <w:r w:rsidR="00FF2F39">
        <w:t>od et al. 2014 p170). UK out-of-</w:t>
      </w:r>
      <w:r>
        <w:t xml:space="preserve">work benefit rates for non-working households by definition mean claimant households are </w:t>
      </w:r>
      <w:r w:rsidR="006F0598">
        <w:t xml:space="preserve">likely to be </w:t>
      </w:r>
      <w:r>
        <w:t>poor</w:t>
      </w:r>
      <w:r w:rsidR="00AC6042">
        <w:t xml:space="preserve">. </w:t>
      </w:r>
      <w:r>
        <w:t>In contrast, most people in work are not in poor households (Gardiner and Millar 2006). 89</w:t>
      </w:r>
      <w:r w:rsidRPr="000B059E">
        <w:t xml:space="preserve">% of people living in </w:t>
      </w:r>
      <w:r>
        <w:t xml:space="preserve">households </w:t>
      </w:r>
      <w:r w:rsidRPr="000B059E">
        <w:t xml:space="preserve">where someone works are in </w:t>
      </w:r>
      <w:r>
        <w:t xml:space="preserve">not in </w:t>
      </w:r>
      <w:r w:rsidRPr="000B059E">
        <w:t>poverty</w:t>
      </w:r>
      <w:r>
        <w:t xml:space="preserve"> (Hood et al. 2014</w:t>
      </w:r>
      <w:r w:rsidR="009B2756">
        <w:t>)</w:t>
      </w:r>
      <w:r w:rsidRPr="00A335D3">
        <w:t>.</w:t>
      </w:r>
      <w:r>
        <w:t>Thus evidence suggests, “</w:t>
      </w:r>
      <w:r w:rsidRPr="00A335D3">
        <w:rPr>
          <w:i/>
        </w:rPr>
        <w:t>There</w:t>
      </w:r>
      <w:r>
        <w:rPr>
          <w:i/>
        </w:rPr>
        <w:t xml:space="preserve"> is much truth </w:t>
      </w:r>
      <w:r w:rsidRPr="00A335D3">
        <w:rPr>
          <w:i/>
        </w:rPr>
        <w:lastRenderedPageBreak/>
        <w:t>in</w:t>
      </w:r>
      <w:r>
        <w:rPr>
          <w:i/>
        </w:rPr>
        <w:t xml:space="preserve"> the [then Labour] Government’s claim that work is the best route out of </w:t>
      </w:r>
      <w:r w:rsidRPr="00A335D3">
        <w:rPr>
          <w:i/>
        </w:rPr>
        <w:t>poverty”</w:t>
      </w:r>
      <w:r>
        <w:t xml:space="preserve"> (Cooke and Lawton 2008 p35). </w:t>
      </w:r>
    </w:p>
    <w:p w14:paraId="0E6B29BD" w14:textId="77777777" w:rsidR="00055E8C" w:rsidRDefault="00055E8C" w:rsidP="00AC6042">
      <w:pPr>
        <w:spacing w:line="360" w:lineRule="auto"/>
      </w:pPr>
    </w:p>
    <w:p w14:paraId="456C06E9" w14:textId="784F7897" w:rsidR="00055E8C" w:rsidRDefault="00055E8C">
      <w:pPr>
        <w:spacing w:line="360" w:lineRule="auto"/>
      </w:pPr>
      <w:r>
        <w:t xml:space="preserve">However, those in work are not immune from poverty. </w:t>
      </w:r>
      <w:r w:rsidR="00B4133A">
        <w:t>In 2014/15 2</w:t>
      </w:r>
      <w:r w:rsidR="00B3186E">
        <w:t>2</w:t>
      </w:r>
      <w:r>
        <w:t xml:space="preserve">% </w:t>
      </w:r>
      <w:r w:rsidR="00B3186E">
        <w:t xml:space="preserve">of households in poverty have at least one person working full-time </w:t>
      </w:r>
      <w:r>
        <w:t>(</w:t>
      </w:r>
      <w:r w:rsidR="00B3186E">
        <w:t>DWP 2016)</w:t>
      </w:r>
      <w:r>
        <w:t xml:space="preserve">. </w:t>
      </w:r>
      <w:r w:rsidR="00832278">
        <w:rPr>
          <w:rFonts w:eastAsia="Times New Roman"/>
          <w:lang w:eastAsia="en-GB"/>
        </w:rPr>
        <w:t>The prevalence of in</w:t>
      </w:r>
      <w:r w:rsidR="00493DEB">
        <w:rPr>
          <w:rFonts w:eastAsia="Times New Roman"/>
          <w:lang w:eastAsia="en-GB"/>
        </w:rPr>
        <w:t>-</w:t>
      </w:r>
      <w:r w:rsidR="00832278">
        <w:rPr>
          <w:rFonts w:eastAsia="Times New Roman"/>
          <w:lang w:eastAsia="en-GB"/>
        </w:rPr>
        <w:t>work poverty has been increasing.</w:t>
      </w:r>
      <w:r w:rsidR="00C63EAA" w:rsidRPr="00DB5B50">
        <w:rPr>
          <w:rFonts w:eastAsia="Times New Roman"/>
          <w:lang w:eastAsia="en-GB"/>
        </w:rPr>
        <w:t xml:space="preserve"> </w:t>
      </w:r>
      <w:r w:rsidR="00832278">
        <w:rPr>
          <w:rFonts w:eastAsia="Times New Roman"/>
          <w:lang w:eastAsia="en-GB"/>
        </w:rPr>
        <w:t>For example a</w:t>
      </w:r>
      <w:r w:rsidR="00EA49FE" w:rsidRPr="00DB5B50">
        <w:rPr>
          <w:rFonts w:eastAsia="Times New Roman"/>
          <w:lang w:eastAsia="en-GB"/>
        </w:rPr>
        <w:t xml:space="preserve">ccording </w:t>
      </w:r>
      <w:r w:rsidR="00FC580E">
        <w:rPr>
          <w:rFonts w:eastAsia="Times New Roman"/>
          <w:lang w:eastAsia="en-GB"/>
        </w:rPr>
        <w:t xml:space="preserve">to </w:t>
      </w:r>
      <w:r w:rsidR="00EA49FE" w:rsidRPr="00DB5B50">
        <w:rPr>
          <w:rFonts w:eastAsia="Times New Roman"/>
          <w:lang w:eastAsia="en-GB"/>
        </w:rPr>
        <w:t xml:space="preserve">the </w:t>
      </w:r>
      <w:r w:rsidR="00EA49FE" w:rsidRPr="00DB5B50">
        <w:rPr>
          <w:rFonts w:eastAsia="Times New Roman"/>
          <w:i/>
          <w:lang w:eastAsia="en-GB"/>
        </w:rPr>
        <w:t xml:space="preserve">Households </w:t>
      </w:r>
      <w:r w:rsidR="007060E8">
        <w:rPr>
          <w:rFonts w:eastAsia="Times New Roman"/>
          <w:i/>
          <w:lang w:eastAsia="en-GB"/>
        </w:rPr>
        <w:t>B</w:t>
      </w:r>
      <w:r w:rsidR="00EA49FE" w:rsidRPr="00DB5B50">
        <w:rPr>
          <w:rFonts w:eastAsia="Times New Roman"/>
          <w:i/>
          <w:lang w:eastAsia="en-GB"/>
        </w:rPr>
        <w:t xml:space="preserve">elow </w:t>
      </w:r>
      <w:r w:rsidR="007060E8">
        <w:rPr>
          <w:rFonts w:eastAsia="Times New Roman"/>
          <w:i/>
          <w:lang w:eastAsia="en-GB"/>
        </w:rPr>
        <w:t>A</w:t>
      </w:r>
      <w:r w:rsidR="00EA49FE" w:rsidRPr="00DB5B50">
        <w:rPr>
          <w:rFonts w:eastAsia="Times New Roman"/>
          <w:i/>
          <w:lang w:eastAsia="en-GB"/>
        </w:rPr>
        <w:t xml:space="preserve">verage </w:t>
      </w:r>
      <w:r w:rsidR="007060E8">
        <w:rPr>
          <w:rFonts w:eastAsia="Times New Roman"/>
          <w:i/>
          <w:lang w:eastAsia="en-GB"/>
        </w:rPr>
        <w:t>I</w:t>
      </w:r>
      <w:r w:rsidR="00EA49FE" w:rsidRPr="00DB5B50">
        <w:rPr>
          <w:rFonts w:eastAsia="Times New Roman"/>
          <w:i/>
          <w:lang w:eastAsia="en-GB"/>
        </w:rPr>
        <w:t>ncomes</w:t>
      </w:r>
      <w:r w:rsidR="009B2756">
        <w:rPr>
          <w:rFonts w:eastAsia="Times New Roman"/>
          <w:i/>
          <w:lang w:eastAsia="en-GB"/>
        </w:rPr>
        <w:t xml:space="preserve"> </w:t>
      </w:r>
      <w:r w:rsidR="00FC580E">
        <w:rPr>
          <w:rFonts w:eastAsia="Times New Roman"/>
          <w:lang w:eastAsia="en-GB"/>
        </w:rPr>
        <w:t xml:space="preserve">figures </w:t>
      </w:r>
      <w:r w:rsidR="009B2756" w:rsidRPr="009B2756">
        <w:rPr>
          <w:rFonts w:eastAsia="Times New Roman"/>
          <w:lang w:eastAsia="en-GB"/>
        </w:rPr>
        <w:t>(DWP 2016)</w:t>
      </w:r>
      <w:r w:rsidR="00493DEB" w:rsidRPr="009B2756">
        <w:rPr>
          <w:rFonts w:eastAsia="Times New Roman"/>
          <w:lang w:eastAsia="en-GB"/>
        </w:rPr>
        <w:t>,</w:t>
      </w:r>
      <w:r w:rsidR="00EA49FE" w:rsidRPr="00DB5B50">
        <w:rPr>
          <w:rFonts w:eastAsia="Times New Roman"/>
          <w:lang w:eastAsia="en-GB"/>
        </w:rPr>
        <w:t xml:space="preserve"> b</w:t>
      </w:r>
      <w:r w:rsidR="008E3AF7" w:rsidRPr="00DB5B50">
        <w:rPr>
          <w:rFonts w:eastAsia="Times New Roman"/>
          <w:lang w:eastAsia="en-GB"/>
        </w:rPr>
        <w:t>etween 2007/8 and 201</w:t>
      </w:r>
      <w:r w:rsidR="00832278">
        <w:rPr>
          <w:rFonts w:eastAsia="Times New Roman"/>
          <w:lang w:eastAsia="en-GB"/>
        </w:rPr>
        <w:t>4</w:t>
      </w:r>
      <w:r w:rsidR="008E3AF7" w:rsidRPr="00DB5B50">
        <w:rPr>
          <w:rFonts w:eastAsia="Times New Roman"/>
          <w:lang w:eastAsia="en-GB"/>
        </w:rPr>
        <w:t>/1</w:t>
      </w:r>
      <w:r w:rsidR="00832278">
        <w:rPr>
          <w:rFonts w:eastAsia="Times New Roman"/>
          <w:lang w:eastAsia="en-GB"/>
        </w:rPr>
        <w:t>5</w:t>
      </w:r>
      <w:r w:rsidR="008E3AF7" w:rsidRPr="00DB5B50">
        <w:rPr>
          <w:rFonts w:eastAsia="Times New Roman"/>
          <w:lang w:eastAsia="en-GB"/>
        </w:rPr>
        <w:t xml:space="preserve"> the </w:t>
      </w:r>
      <w:r w:rsidR="008E3AF7" w:rsidRPr="00DB5B50">
        <w:t xml:space="preserve">percentage of children </w:t>
      </w:r>
      <w:r w:rsidR="00FC580E">
        <w:t xml:space="preserve">living in households </w:t>
      </w:r>
      <w:r w:rsidR="00FC580E" w:rsidRPr="00DB5B50">
        <w:t xml:space="preserve">with equivalent income less than 60 per cent of median before housing costs </w:t>
      </w:r>
      <w:r w:rsidR="00FC580E">
        <w:t xml:space="preserve">which had at least one earning adult </w:t>
      </w:r>
      <w:r w:rsidR="008E3AF7" w:rsidRPr="00DB5B50">
        <w:t xml:space="preserve">increased from </w:t>
      </w:r>
      <w:r w:rsidR="00870C21">
        <w:t>57</w:t>
      </w:r>
      <w:r w:rsidR="008E3AF7" w:rsidRPr="00DB5B50">
        <w:t xml:space="preserve">% to </w:t>
      </w:r>
      <w:r w:rsidR="00EA49FE" w:rsidRPr="00DB5B50">
        <w:t>67</w:t>
      </w:r>
      <w:r w:rsidR="008E3AF7" w:rsidRPr="00DB5B50">
        <w:t>%.</w:t>
      </w:r>
      <w:r w:rsidR="00FC580E">
        <w:t xml:space="preserve"> </w:t>
      </w:r>
    </w:p>
    <w:p w14:paraId="5C51FA80" w14:textId="77777777" w:rsidR="00055E8C" w:rsidRDefault="00055E8C">
      <w:pPr>
        <w:spacing w:line="360" w:lineRule="auto"/>
      </w:pPr>
    </w:p>
    <w:p w14:paraId="5003E2E1" w14:textId="23E44D90" w:rsidR="00055E8C" w:rsidRPr="00DB5B50" w:rsidRDefault="00055E8C" w:rsidP="00055E8C">
      <w:pPr>
        <w:spacing w:line="360" w:lineRule="auto"/>
        <w:rPr>
          <w:rFonts w:eastAsia="Times New Roman"/>
          <w:lang w:eastAsia="en-GB"/>
        </w:rPr>
      </w:pPr>
      <w:r>
        <w:t xml:space="preserve">The idea that the wage should not just be compensation for labour but also a means of securing a living goes back at least to Adam Smith (1776). </w:t>
      </w:r>
      <w:r w:rsidRPr="001156F9">
        <w:t>Pope Leo XIII</w:t>
      </w:r>
      <w:r>
        <w:t xml:space="preserve"> in </w:t>
      </w:r>
      <w:r w:rsidRPr="00511992">
        <w:rPr>
          <w:i/>
        </w:rPr>
        <w:t xml:space="preserve">Rerum </w:t>
      </w:r>
      <w:proofErr w:type="spellStart"/>
      <w:r w:rsidRPr="00511992">
        <w:rPr>
          <w:i/>
        </w:rPr>
        <w:t>Novarum</w:t>
      </w:r>
      <w:proofErr w:type="spellEnd"/>
      <w:r>
        <w:t xml:space="preserve"> (1891) launched the concept of a family wage. The regulation of wages in the UK began with the Fair Wages Resolution 1891, followed by the </w:t>
      </w:r>
      <w:r w:rsidRPr="001156F9">
        <w:t>Trade Boards Act 1909, and the Wages Councils Act 1945</w:t>
      </w:r>
      <w:r>
        <w:t>. Eventually a statutory National Minimum Wage (NMW) was introduced from 1999. The term ‘living wage’ emerged amongst campaigners in the USA in the 1870s (Glickman 1997</w:t>
      </w:r>
      <w:r w:rsidRPr="001C2E02">
        <w:t>)</w:t>
      </w:r>
      <w:r>
        <w:t xml:space="preserve">, and </w:t>
      </w:r>
      <w:proofErr w:type="spellStart"/>
      <w:r>
        <w:t>Seebohm</w:t>
      </w:r>
      <w:proofErr w:type="spellEnd"/>
      <w:r>
        <w:t xml:space="preserve"> Rowntree called for a living wage to allow a male worker t</w:t>
      </w:r>
      <w:r w:rsidR="009B2756">
        <w:t>o support a wife and family (</w:t>
      </w:r>
      <w:r>
        <w:t xml:space="preserve">Cooke and Lawton 2008). </w:t>
      </w:r>
      <w:r w:rsidR="00FF2F39">
        <w:t>In the UK t</w:t>
      </w:r>
      <w:r w:rsidRPr="00DB5B50">
        <w:t xml:space="preserve">he </w:t>
      </w:r>
      <w:r>
        <w:t xml:space="preserve">modern idea of a VLW, at a rate higher than the NMW, </w:t>
      </w:r>
      <w:r w:rsidRPr="00DB5B50">
        <w:t xml:space="preserve">emerged </w:t>
      </w:r>
      <w:r>
        <w:t xml:space="preserve">in 2001 </w:t>
      </w:r>
      <w:r w:rsidRPr="00DB5B50">
        <w:t xml:space="preserve">from a campaign began by a group of NGOs and </w:t>
      </w:r>
      <w:r>
        <w:t>t</w:t>
      </w:r>
      <w:r w:rsidRPr="00DB5B50">
        <w:t xml:space="preserve">rades </w:t>
      </w:r>
      <w:r>
        <w:t>u</w:t>
      </w:r>
      <w:r w:rsidRPr="00DB5B50">
        <w:t>nions in London</w:t>
      </w:r>
      <w:r>
        <w:t xml:space="preserve"> (Bennett 2014)</w:t>
      </w:r>
      <w:r w:rsidRPr="00DB5B50">
        <w:t>, who now operate under the aegis of the Living Wage Foundation (</w:t>
      </w:r>
      <w:hyperlink r:id="rId9" w:history="1">
        <w:r w:rsidRPr="00DB5B50">
          <w:rPr>
            <w:rStyle w:val="Hyperlink"/>
          </w:rPr>
          <w:t>http://www.livingwage.org.uk/what-living-wage</w:t>
        </w:r>
      </w:hyperlink>
      <w:r w:rsidRPr="00DB5B50">
        <w:t xml:space="preserve">). The </w:t>
      </w:r>
      <w:r>
        <w:t>VLW</w:t>
      </w:r>
      <w:r w:rsidRPr="00DB5B50">
        <w:t xml:space="preserve"> </w:t>
      </w:r>
      <w:r w:rsidR="00FF2F39">
        <w:t>was</w:t>
      </w:r>
      <w:r w:rsidRPr="00DB5B50">
        <w:t xml:space="preserve"> £8.25 per hour and £9.40 per hour in London</w:t>
      </w:r>
      <w:r w:rsidR="00FF2F39">
        <w:t xml:space="preserve"> in October 2015</w:t>
      </w:r>
      <w:r w:rsidRPr="00DB5B50">
        <w:t>.</w:t>
      </w:r>
      <w:r w:rsidR="00FF2F39">
        <w:t xml:space="preserve"> </w:t>
      </w:r>
      <w:r w:rsidRPr="00DB5B50">
        <w:t xml:space="preserve">The </w:t>
      </w:r>
      <w:r w:rsidR="00B4133A">
        <w:t>NMW</w:t>
      </w:r>
      <w:r w:rsidRPr="00DB5B50">
        <w:t xml:space="preserve"> </w:t>
      </w:r>
      <w:r w:rsidR="00FF2F39">
        <w:t>was</w:t>
      </w:r>
      <w:r w:rsidRPr="00DB5B50">
        <w:t xml:space="preserve"> £6.70 per hour</w:t>
      </w:r>
      <w:r w:rsidR="00FF2F39">
        <w:t xml:space="preserve"> at the same time</w:t>
      </w:r>
      <w:r w:rsidRPr="00DB5B50">
        <w:t xml:space="preserve">. The </w:t>
      </w:r>
      <w:r>
        <w:t>VLW</w:t>
      </w:r>
      <w:r w:rsidRPr="00DB5B50">
        <w:t xml:space="preserve"> is a </w:t>
      </w:r>
      <w:r w:rsidRPr="00DB5B50">
        <w:rPr>
          <w:rFonts w:eastAsia="Times New Roman"/>
          <w:lang w:eastAsia="en-GB"/>
        </w:rPr>
        <w:t>voluntary hourly rate, set independently, and updated annually according to the basic cost of living published by the Minimum Income Standard</w:t>
      </w:r>
      <w:r>
        <w:rPr>
          <w:rFonts w:eastAsia="Times New Roman"/>
          <w:lang w:eastAsia="en-GB"/>
        </w:rPr>
        <w:t xml:space="preserve"> (MIS) </w:t>
      </w:r>
      <w:r w:rsidRPr="00DB5B50">
        <w:rPr>
          <w:rFonts w:eastAsia="Times New Roman"/>
          <w:lang w:eastAsia="en-GB"/>
        </w:rPr>
        <w:t>project</w:t>
      </w:r>
      <w:r w:rsidR="00FF2F39">
        <w:rPr>
          <w:rFonts w:eastAsia="Times New Roman"/>
          <w:lang w:eastAsia="en-GB"/>
        </w:rPr>
        <w:t xml:space="preserve"> (though it is now calculated for London by the </w:t>
      </w:r>
      <w:r w:rsidR="00AC427B">
        <w:rPr>
          <w:rFonts w:eastAsia="Times New Roman"/>
          <w:lang w:eastAsia="en-GB"/>
        </w:rPr>
        <w:t>Living Wage Commission for London</w:t>
      </w:r>
      <w:r w:rsidR="00407B91">
        <w:rPr>
          <w:rFonts w:eastAsia="Times New Roman"/>
          <w:lang w:eastAsia="en-GB"/>
        </w:rPr>
        <w:t>).</w:t>
      </w:r>
      <w:r w:rsidR="00AC427B">
        <w:rPr>
          <w:rFonts w:eastAsia="Times New Roman"/>
          <w:lang w:eastAsia="en-GB"/>
        </w:rPr>
        <w:t xml:space="preserve"> </w:t>
      </w:r>
      <w:r w:rsidRPr="00DB5B50">
        <w:rPr>
          <w:rFonts w:eastAsia="Times New Roman"/>
          <w:lang w:eastAsia="en-GB"/>
        </w:rPr>
        <w:t xml:space="preserve">Employers choose to pay the </w:t>
      </w:r>
      <w:r>
        <w:rPr>
          <w:rFonts w:eastAsia="Times New Roman"/>
          <w:lang w:eastAsia="en-GB"/>
        </w:rPr>
        <w:t xml:space="preserve">VLW </w:t>
      </w:r>
      <w:r w:rsidRPr="00DB5B50">
        <w:rPr>
          <w:rFonts w:eastAsia="Times New Roman"/>
          <w:lang w:eastAsia="en-GB"/>
        </w:rPr>
        <w:t xml:space="preserve">and, in exchange, </w:t>
      </w:r>
      <w:r w:rsidR="00FD214C">
        <w:rPr>
          <w:rFonts w:eastAsia="Times New Roman"/>
          <w:lang w:eastAsia="en-GB"/>
        </w:rPr>
        <w:t xml:space="preserve">can </w:t>
      </w:r>
      <w:r w:rsidRPr="00DB5B50">
        <w:rPr>
          <w:rFonts w:eastAsia="Times New Roman"/>
          <w:lang w:eastAsia="en-GB"/>
        </w:rPr>
        <w:t>receive the Living Wage Employer Mark, an ethical badge for responsible pay</w:t>
      </w:r>
      <w:r w:rsidR="00FD214C">
        <w:rPr>
          <w:rFonts w:eastAsia="Times New Roman"/>
          <w:lang w:eastAsia="en-GB"/>
        </w:rPr>
        <w:t>, if they apply for accreditation</w:t>
      </w:r>
      <w:r w:rsidRPr="00DB5B50">
        <w:rPr>
          <w:rFonts w:eastAsia="Times New Roman"/>
          <w:lang w:eastAsia="en-GB"/>
        </w:rPr>
        <w:t xml:space="preserve">. </w:t>
      </w:r>
    </w:p>
    <w:p w14:paraId="4023BE89" w14:textId="77777777" w:rsidR="00055E8C" w:rsidRDefault="00055E8C">
      <w:pPr>
        <w:spacing w:line="360" w:lineRule="auto"/>
      </w:pPr>
    </w:p>
    <w:p w14:paraId="36515DB8" w14:textId="3533E327" w:rsidR="002D5CA4" w:rsidRPr="00DB5B50" w:rsidRDefault="007060E8">
      <w:pPr>
        <w:spacing w:line="360" w:lineRule="auto"/>
      </w:pPr>
      <w:r>
        <w:t xml:space="preserve">Initially after introduction, the NMW was uprated ahead of median wages, but </w:t>
      </w:r>
      <w:r w:rsidR="003B3D5B">
        <w:t>after</w:t>
      </w:r>
      <w:r>
        <w:t xml:space="preserve"> 2008 </w:t>
      </w:r>
      <w:r w:rsidR="003B3D5B">
        <w:t>fell</w:t>
      </w:r>
      <w:r>
        <w:t xml:space="preserve"> back in real terms (</w:t>
      </w:r>
      <w:r w:rsidR="003B3D5B">
        <w:t xml:space="preserve">Cooke and Lawton 2008, </w:t>
      </w:r>
      <w:r>
        <w:t xml:space="preserve">Hood et al. 2014). </w:t>
      </w:r>
      <w:r w:rsidR="008E3AF7" w:rsidRPr="00DB5B50">
        <w:t xml:space="preserve">In the </w:t>
      </w:r>
      <w:r w:rsidR="00623428" w:rsidRPr="00DB5B50">
        <w:t>s</w:t>
      </w:r>
      <w:r w:rsidR="008E3AF7" w:rsidRPr="00DB5B50">
        <w:t xml:space="preserve">ummer budget in 2015 the Chancellor announced that </w:t>
      </w:r>
      <w:r w:rsidR="00623428" w:rsidRPr="00DB5B50">
        <w:t>he w</w:t>
      </w:r>
      <w:r w:rsidR="00FD1172" w:rsidRPr="00DB5B50">
        <w:t>ould</w:t>
      </w:r>
      <w:r w:rsidR="00623428" w:rsidRPr="00DB5B50">
        <w:t xml:space="preserve"> raise the </w:t>
      </w:r>
      <w:r w:rsidR="0030666B">
        <w:t xml:space="preserve">NMW </w:t>
      </w:r>
      <w:r w:rsidR="00623428" w:rsidRPr="00DB5B50">
        <w:t>for</w:t>
      </w:r>
      <w:r w:rsidR="00DC7BDA">
        <w:t xml:space="preserve"> those aged 25 and over</w:t>
      </w:r>
      <w:r w:rsidR="00623428" w:rsidRPr="00DB5B50">
        <w:t xml:space="preserve"> to £7.20 per hour in April 2016 and to the equivalent of 60% of median earnings or £9 per hour in 2020.  </w:t>
      </w:r>
      <w:r w:rsidR="009B2756">
        <w:t xml:space="preserve">The Labour Party has now promised a </w:t>
      </w:r>
      <w:r w:rsidR="004E433F">
        <w:t xml:space="preserve">NMW of £10 per hour by 2020. </w:t>
      </w:r>
      <w:r w:rsidR="00623428" w:rsidRPr="00DB5B50">
        <w:t xml:space="preserve">In some ways </w:t>
      </w:r>
      <w:r w:rsidR="00623428" w:rsidRPr="00DB5B50">
        <w:lastRenderedPageBreak/>
        <w:t xml:space="preserve">this is a </w:t>
      </w:r>
      <w:r w:rsidR="00B5037D">
        <w:t>notable</w:t>
      </w:r>
      <w:r w:rsidR="00623428" w:rsidRPr="00DB5B50">
        <w:t xml:space="preserve"> achievement for the </w:t>
      </w:r>
      <w:hyperlink r:id="rId10" w:history="1">
        <w:r w:rsidR="00623428" w:rsidRPr="00F73E60">
          <w:t>Living Wage Foundation</w:t>
        </w:r>
      </w:hyperlink>
      <w:r w:rsidR="00FD1172" w:rsidRPr="00F73E60">
        <w:t>,</w:t>
      </w:r>
      <w:r w:rsidR="00623428" w:rsidRPr="00DB5B50">
        <w:t xml:space="preserve"> and the research on budget standards showing that the present </w:t>
      </w:r>
      <w:r w:rsidR="00493DEB">
        <w:t>NMW</w:t>
      </w:r>
      <w:r w:rsidR="00623428" w:rsidRPr="00DB5B50">
        <w:t xml:space="preserve"> </w:t>
      </w:r>
      <w:r w:rsidR="003B3D5B">
        <w:t>d</w:t>
      </w:r>
      <w:r w:rsidR="00D14FC8">
        <w:t>id</w:t>
      </w:r>
      <w:r w:rsidR="003B3D5B">
        <w:t xml:space="preserve"> not provide a ‘living wage’</w:t>
      </w:r>
      <w:r w:rsidR="00FD1172" w:rsidRPr="00DB5B50">
        <w:t xml:space="preserve"> (Hirsch 2015)</w:t>
      </w:r>
      <w:r w:rsidR="00623428" w:rsidRPr="00DB5B50">
        <w:t xml:space="preserve">. </w:t>
      </w:r>
    </w:p>
    <w:p w14:paraId="6A852E6A" w14:textId="77777777" w:rsidR="002D5CA4" w:rsidRPr="00DB5B50" w:rsidRDefault="002D5CA4">
      <w:pPr>
        <w:spacing w:line="360" w:lineRule="auto"/>
      </w:pPr>
    </w:p>
    <w:p w14:paraId="4B4DDD98" w14:textId="74A332A4" w:rsidR="002D5CA4" w:rsidRPr="004E433F" w:rsidRDefault="00FD1172">
      <w:pPr>
        <w:spacing w:line="360" w:lineRule="auto"/>
        <w:rPr>
          <w:rFonts w:eastAsia="Calibri"/>
        </w:rPr>
      </w:pPr>
      <w:r w:rsidRPr="00DB5B50">
        <w:t xml:space="preserve">The Chancellor’s higher </w:t>
      </w:r>
      <w:r w:rsidR="0030666B">
        <w:t xml:space="preserve">minimum </w:t>
      </w:r>
      <w:r w:rsidRPr="00DB5B50">
        <w:t xml:space="preserve">wage </w:t>
      </w:r>
      <w:r w:rsidR="00650086">
        <w:t xml:space="preserve">was </w:t>
      </w:r>
      <w:r w:rsidRPr="00DB5B50">
        <w:t>b</w:t>
      </w:r>
      <w:r w:rsidR="00623428" w:rsidRPr="00DB5B50">
        <w:t xml:space="preserve">adged as a </w:t>
      </w:r>
      <w:r w:rsidR="0030666B">
        <w:rPr>
          <w:i/>
        </w:rPr>
        <w:t>N</w:t>
      </w:r>
      <w:r w:rsidR="00623428" w:rsidRPr="00DB5B50">
        <w:rPr>
          <w:i/>
        </w:rPr>
        <w:t xml:space="preserve">ational </w:t>
      </w:r>
      <w:r w:rsidR="0030666B">
        <w:rPr>
          <w:i/>
        </w:rPr>
        <w:t>L</w:t>
      </w:r>
      <w:r w:rsidR="00623428" w:rsidRPr="00DB5B50">
        <w:rPr>
          <w:i/>
        </w:rPr>
        <w:t xml:space="preserve">iving </w:t>
      </w:r>
      <w:r w:rsidR="0030666B">
        <w:rPr>
          <w:i/>
        </w:rPr>
        <w:t>W</w:t>
      </w:r>
      <w:r w:rsidR="00623428" w:rsidRPr="00DB5B50">
        <w:rPr>
          <w:i/>
        </w:rPr>
        <w:t>age</w:t>
      </w:r>
      <w:r w:rsidR="0030666B">
        <w:rPr>
          <w:i/>
        </w:rPr>
        <w:t xml:space="preserve"> (N</w:t>
      </w:r>
      <w:r w:rsidR="00FD1FC2">
        <w:rPr>
          <w:i/>
        </w:rPr>
        <w:t>LW</w:t>
      </w:r>
      <w:r w:rsidR="0030666B">
        <w:rPr>
          <w:i/>
        </w:rPr>
        <w:t>)</w:t>
      </w:r>
      <w:r w:rsidR="00F227CA">
        <w:rPr>
          <w:i/>
        </w:rPr>
        <w:t xml:space="preserve">. </w:t>
      </w:r>
      <w:r w:rsidR="00F227CA">
        <w:t xml:space="preserve">This is confusing because </w:t>
      </w:r>
      <w:r w:rsidR="00D14FC8">
        <w:t>the rate</w:t>
      </w:r>
      <w:r w:rsidR="00F227CA">
        <w:t xml:space="preserve"> is not based on the same methodology as the </w:t>
      </w:r>
      <w:r w:rsidR="00FD1FC2">
        <w:t>VLW</w:t>
      </w:r>
      <w:r w:rsidR="00F227CA">
        <w:t xml:space="preserve">. </w:t>
      </w:r>
      <w:r w:rsidR="006D023D">
        <w:t>I</w:t>
      </w:r>
      <w:r w:rsidR="00F227CA">
        <w:t>t</w:t>
      </w:r>
      <w:r w:rsidR="007060E8">
        <w:t xml:space="preserve"> </w:t>
      </w:r>
      <w:r w:rsidR="00EA49FE" w:rsidRPr="00DB5B50">
        <w:t xml:space="preserve">will give </w:t>
      </w:r>
      <w:r w:rsidR="00797A96">
        <w:t xml:space="preserve">welcome help, especially for </w:t>
      </w:r>
      <w:r w:rsidR="00EC1206" w:rsidRPr="00DB5B50">
        <w:t>single people and childless couples</w:t>
      </w:r>
      <w:r w:rsidR="00797A96">
        <w:t>,</w:t>
      </w:r>
      <w:r w:rsidR="00EC1206" w:rsidRPr="00DB5B50">
        <w:t xml:space="preserve"> </w:t>
      </w:r>
      <w:r w:rsidR="00623428" w:rsidRPr="00DB5B50">
        <w:t xml:space="preserve">towards reaching a </w:t>
      </w:r>
      <w:r w:rsidR="00F227CA">
        <w:t xml:space="preserve">higher </w:t>
      </w:r>
      <w:r w:rsidR="00623428" w:rsidRPr="00DB5B50">
        <w:t xml:space="preserve">living standard </w:t>
      </w:r>
      <w:r w:rsidR="00F227CA">
        <w:t xml:space="preserve">than </w:t>
      </w:r>
      <w:r w:rsidR="00623428" w:rsidRPr="00DB5B50">
        <w:t xml:space="preserve">the </w:t>
      </w:r>
      <w:r w:rsidR="00650086">
        <w:t>NMW</w:t>
      </w:r>
      <w:r w:rsidR="00623428" w:rsidRPr="00DB5B50">
        <w:t xml:space="preserve"> </w:t>
      </w:r>
      <w:r w:rsidR="00F227CA">
        <w:t xml:space="preserve">has </w:t>
      </w:r>
      <w:r w:rsidR="00623428" w:rsidRPr="00DB5B50">
        <w:t>achieve</w:t>
      </w:r>
      <w:r w:rsidR="00F227CA">
        <w:t>d</w:t>
      </w:r>
      <w:r w:rsidR="00623428" w:rsidRPr="00DB5B50">
        <w:t xml:space="preserve">. </w:t>
      </w:r>
      <w:r w:rsidR="00EC1206" w:rsidRPr="00DB5B50">
        <w:t>However</w:t>
      </w:r>
      <w:r w:rsidR="003B3D5B">
        <w:t>,</w:t>
      </w:r>
      <w:r w:rsidR="00EC1206" w:rsidRPr="00DB5B50">
        <w:t xml:space="preserve"> </w:t>
      </w:r>
      <w:r w:rsidR="009D57A8">
        <w:t xml:space="preserve">the announcement was associated with </w:t>
      </w:r>
      <w:r w:rsidR="004E433F">
        <w:t xml:space="preserve">a </w:t>
      </w:r>
      <w:r w:rsidR="00407B91">
        <w:rPr>
          <w:rFonts w:eastAsia="Calibri"/>
        </w:rPr>
        <w:t>freeze i</w:t>
      </w:r>
      <w:r w:rsidR="002D5CA4" w:rsidRPr="00DB5B50">
        <w:rPr>
          <w:rFonts w:eastAsia="Calibri"/>
        </w:rPr>
        <w:t>n benefit levels</w:t>
      </w:r>
      <w:r w:rsidR="003B3D5B">
        <w:rPr>
          <w:rFonts w:eastAsia="Calibri"/>
        </w:rPr>
        <w:t xml:space="preserve"> </w:t>
      </w:r>
      <w:r w:rsidR="002D5CA4" w:rsidRPr="00DB5B50">
        <w:rPr>
          <w:rFonts w:eastAsia="Calibri"/>
        </w:rPr>
        <w:t xml:space="preserve">and </w:t>
      </w:r>
      <w:r w:rsidR="004E433F">
        <w:rPr>
          <w:rFonts w:eastAsia="Calibri"/>
        </w:rPr>
        <w:t xml:space="preserve">cuts to Universal Credit and </w:t>
      </w:r>
      <w:r w:rsidR="002D5CA4" w:rsidRPr="00DB5B50">
        <w:rPr>
          <w:rFonts w:eastAsia="Calibri"/>
        </w:rPr>
        <w:t xml:space="preserve">a new earnings floor </w:t>
      </w:r>
      <w:r w:rsidR="008C04CA">
        <w:rPr>
          <w:rFonts w:eastAsia="Calibri"/>
        </w:rPr>
        <w:t xml:space="preserve">within that </w:t>
      </w:r>
      <w:r w:rsidR="002D5CA4" w:rsidRPr="00DB5B50">
        <w:rPr>
          <w:rFonts w:eastAsia="Calibri"/>
        </w:rPr>
        <w:t xml:space="preserve">for the self-employed </w:t>
      </w:r>
      <w:r w:rsidRPr="00DB5B50">
        <w:rPr>
          <w:rFonts w:eastAsia="Calibri"/>
        </w:rPr>
        <w:t>(</w:t>
      </w:r>
      <w:r w:rsidR="002D5CA4" w:rsidRPr="00DB5B50">
        <w:rPr>
          <w:rFonts w:eastAsia="Calibri"/>
        </w:rPr>
        <w:t xml:space="preserve">which assumes that they are earning the </w:t>
      </w:r>
      <w:r w:rsidR="007E223B">
        <w:rPr>
          <w:rFonts w:eastAsia="Calibri"/>
        </w:rPr>
        <w:t>NL</w:t>
      </w:r>
      <w:r w:rsidR="00FD1FC2">
        <w:rPr>
          <w:rFonts w:eastAsia="Calibri"/>
        </w:rPr>
        <w:t>W</w:t>
      </w:r>
      <w:r w:rsidRPr="00DB5B50">
        <w:rPr>
          <w:rFonts w:eastAsia="Calibri"/>
        </w:rPr>
        <w:t>)</w:t>
      </w:r>
      <w:r w:rsidR="004E433F">
        <w:rPr>
          <w:rFonts w:eastAsia="Calibri"/>
        </w:rPr>
        <w:t xml:space="preserve">. </w:t>
      </w:r>
      <w:r w:rsidR="002D5CA4" w:rsidRPr="00DB5B50">
        <w:rPr>
          <w:rFonts w:eastAsia="Calibri"/>
        </w:rPr>
        <w:t>The Resolution Foundation estimate that average losses in 2020 will be £1000</w:t>
      </w:r>
      <w:r w:rsidR="003B3D5B">
        <w:rPr>
          <w:rFonts w:eastAsia="Calibri"/>
        </w:rPr>
        <w:t xml:space="preserve"> per year per household</w:t>
      </w:r>
      <w:r w:rsidR="002D5CA4" w:rsidRPr="00DB5B50">
        <w:rPr>
          <w:rFonts w:eastAsia="Calibri"/>
        </w:rPr>
        <w:t xml:space="preserve">, </w:t>
      </w:r>
      <w:r w:rsidR="003B3D5B">
        <w:rPr>
          <w:rFonts w:eastAsia="Calibri"/>
        </w:rPr>
        <w:t xml:space="preserve">and </w:t>
      </w:r>
      <w:r w:rsidR="002D5CA4" w:rsidRPr="00DB5B50">
        <w:rPr>
          <w:rFonts w:eastAsia="Calibri"/>
        </w:rPr>
        <w:t>£1300 for families with children, and that the distributional consequences are heavily regressive (Whittaker 2015)</w:t>
      </w:r>
      <w:r w:rsidR="000417F4">
        <w:rPr>
          <w:rFonts w:eastAsia="Calibri"/>
        </w:rPr>
        <w:t xml:space="preserve">. </w:t>
      </w:r>
      <w:r w:rsidR="008C04CA">
        <w:rPr>
          <w:rFonts w:eastAsia="Calibri"/>
        </w:rPr>
        <w:t>Recent</w:t>
      </w:r>
      <w:r w:rsidR="000417F4">
        <w:rPr>
          <w:rFonts w:eastAsia="Calibri"/>
        </w:rPr>
        <w:t xml:space="preserve"> projections by the Institute for Fiscal Studies indicate that </w:t>
      </w:r>
      <w:r w:rsidR="002D5CA4" w:rsidRPr="00DB5B50">
        <w:t>child poverty w</w:t>
      </w:r>
      <w:r w:rsidR="000417F4">
        <w:t xml:space="preserve">ill </w:t>
      </w:r>
      <w:r w:rsidR="002D5CA4" w:rsidRPr="00DB5B50">
        <w:t xml:space="preserve">increase by as much as </w:t>
      </w:r>
      <w:r w:rsidR="000417F4">
        <w:t xml:space="preserve">1.3 million by </w:t>
      </w:r>
      <w:r w:rsidR="002D5CA4" w:rsidRPr="00DB5B50">
        <w:t>2020</w:t>
      </w:r>
      <w:r w:rsidR="000417F4">
        <w:t>/21</w:t>
      </w:r>
      <w:r w:rsidR="003B3D5B">
        <w:t xml:space="preserve"> (Brown and Hood 2016)</w:t>
      </w:r>
      <w:r w:rsidR="002D5CA4" w:rsidRPr="00DB5B50">
        <w:t>.</w:t>
      </w:r>
    </w:p>
    <w:p w14:paraId="053AE381" w14:textId="77777777" w:rsidR="00B61F9D" w:rsidRPr="00DB5B50" w:rsidRDefault="00B61F9D">
      <w:pPr>
        <w:autoSpaceDE w:val="0"/>
        <w:autoSpaceDN w:val="0"/>
        <w:adjustRightInd w:val="0"/>
        <w:spacing w:line="360" w:lineRule="auto"/>
        <w:rPr>
          <w:rFonts w:eastAsia="Times New Roman"/>
          <w:lang w:eastAsia="en-GB"/>
        </w:rPr>
      </w:pPr>
    </w:p>
    <w:p w14:paraId="3F368E66" w14:textId="4C88C829" w:rsidR="00601668" w:rsidRDefault="00055E8C" w:rsidP="00F73E60">
      <w:pPr>
        <w:spacing w:line="360" w:lineRule="auto"/>
      </w:pPr>
      <w:r>
        <w:rPr>
          <w:rFonts w:eastAsia="Times New Roman"/>
          <w:lang w:eastAsia="en-GB"/>
        </w:rPr>
        <w:t>The main justification</w:t>
      </w:r>
      <w:r w:rsidR="00601668">
        <w:rPr>
          <w:rFonts w:eastAsia="Times New Roman"/>
          <w:lang w:eastAsia="en-GB"/>
        </w:rPr>
        <w:t xml:space="preserve"> for the </w:t>
      </w:r>
      <w:r w:rsidR="00F73E60">
        <w:rPr>
          <w:rFonts w:eastAsia="Times New Roman"/>
          <w:lang w:eastAsia="en-GB"/>
        </w:rPr>
        <w:t>N</w:t>
      </w:r>
      <w:r w:rsidR="00601668">
        <w:rPr>
          <w:rFonts w:eastAsia="Times New Roman"/>
          <w:lang w:eastAsia="en-GB"/>
        </w:rPr>
        <w:t xml:space="preserve">LW is, like the justification for the NMW, that it can raise living standards for the workers that receive it, including providing a route out of poverty for some of those in working poverty. </w:t>
      </w:r>
      <w:r w:rsidR="007F5FC9">
        <w:rPr>
          <w:rFonts w:eastAsia="Times New Roman"/>
          <w:lang w:eastAsia="en-GB"/>
        </w:rPr>
        <w:t>Other justifications include</w:t>
      </w:r>
      <w:r w:rsidR="00BA5B8C">
        <w:rPr>
          <w:rFonts w:eastAsia="Times New Roman"/>
          <w:lang w:eastAsia="en-GB"/>
        </w:rPr>
        <w:t xml:space="preserve"> </w:t>
      </w:r>
      <w:r w:rsidR="00BA5B8C">
        <w:t xml:space="preserve">improved self-esteem and work–life balance for employees, improvements in productivity, recruitment and retention for employers (Bennett 2014), and healthier and more socially engaged citizens (Glickman 1997). </w:t>
      </w:r>
      <w:r w:rsidR="007F5FC9" w:rsidRPr="00DB5B50">
        <w:rPr>
          <w:rFonts w:eastAsia="Times New Roman"/>
          <w:lang w:eastAsia="en-GB"/>
        </w:rPr>
        <w:t>The Living Wage Foundation believes that paying the living wage is</w:t>
      </w:r>
      <w:r w:rsidR="007F5FC9">
        <w:rPr>
          <w:rFonts w:eastAsia="Times New Roman"/>
          <w:lang w:eastAsia="en-GB"/>
        </w:rPr>
        <w:t xml:space="preserve"> not just good for employees, but also</w:t>
      </w:r>
      <w:r w:rsidR="007F5FC9" w:rsidRPr="00DB5B50">
        <w:rPr>
          <w:rFonts w:eastAsia="Times New Roman"/>
          <w:lang w:eastAsia="en-GB"/>
        </w:rPr>
        <w:t xml:space="preserve"> </w:t>
      </w:r>
      <w:r w:rsidR="007F5FC9">
        <w:rPr>
          <w:rFonts w:eastAsia="Times New Roman"/>
          <w:lang w:eastAsia="en-GB"/>
        </w:rPr>
        <w:t>“</w:t>
      </w:r>
      <w:r w:rsidR="007F5FC9" w:rsidRPr="00511992">
        <w:rPr>
          <w:rFonts w:eastAsia="Times New Roman"/>
          <w:i/>
          <w:lang w:eastAsia="en-GB"/>
        </w:rPr>
        <w:t>good for business</w:t>
      </w:r>
      <w:r w:rsidR="007F5FC9">
        <w:rPr>
          <w:rFonts w:eastAsia="Times New Roman"/>
          <w:i/>
          <w:lang w:eastAsia="en-GB"/>
        </w:rPr>
        <w:t>…</w:t>
      </w:r>
      <w:r w:rsidR="007F5FC9" w:rsidRPr="00511992">
        <w:rPr>
          <w:rFonts w:eastAsia="Times New Roman"/>
          <w:i/>
          <w:lang w:eastAsia="en-GB"/>
        </w:rPr>
        <w:t xml:space="preserve"> and good for society”.</w:t>
      </w:r>
      <w:r w:rsidR="007F5FC9">
        <w:rPr>
          <w:rFonts w:eastAsia="Times New Roman"/>
          <w:i/>
          <w:lang w:eastAsia="en-GB"/>
        </w:rPr>
        <w:t xml:space="preserve"> </w:t>
      </w:r>
      <w:r w:rsidR="00601668">
        <w:rPr>
          <w:rFonts w:eastAsia="Times New Roman"/>
          <w:lang w:eastAsia="en-GB"/>
        </w:rPr>
        <w:t xml:space="preserve">Commentators have said, </w:t>
      </w:r>
      <w:r w:rsidR="00601668" w:rsidRPr="00D2768B">
        <w:rPr>
          <w:i/>
        </w:rPr>
        <w:t>“</w:t>
      </w:r>
      <w:r w:rsidR="00601668">
        <w:rPr>
          <w:i/>
        </w:rPr>
        <w:t xml:space="preserve">Low pay </w:t>
      </w:r>
      <w:r w:rsidR="00601668" w:rsidRPr="00D2768B">
        <w:rPr>
          <w:i/>
        </w:rPr>
        <w:t>is</w:t>
      </w:r>
      <w:r w:rsidR="00601668">
        <w:rPr>
          <w:i/>
        </w:rPr>
        <w:t xml:space="preserve"> </w:t>
      </w:r>
      <w:r w:rsidR="00601668" w:rsidRPr="00D2768B">
        <w:rPr>
          <w:i/>
        </w:rPr>
        <w:t>a</w:t>
      </w:r>
      <w:r w:rsidR="00601668">
        <w:rPr>
          <w:i/>
        </w:rPr>
        <w:t xml:space="preserve"> </w:t>
      </w:r>
      <w:r w:rsidR="00601668" w:rsidRPr="00D2768B">
        <w:rPr>
          <w:i/>
        </w:rPr>
        <w:t>significant</w:t>
      </w:r>
      <w:r w:rsidR="00601668">
        <w:rPr>
          <w:i/>
        </w:rPr>
        <w:t xml:space="preserve"> </w:t>
      </w:r>
      <w:r w:rsidR="00601668" w:rsidRPr="00D2768B">
        <w:rPr>
          <w:i/>
        </w:rPr>
        <w:t>factor</w:t>
      </w:r>
      <w:r w:rsidR="00601668">
        <w:rPr>
          <w:i/>
        </w:rPr>
        <w:t xml:space="preserve"> </w:t>
      </w:r>
      <w:r w:rsidR="00601668" w:rsidRPr="00D2768B">
        <w:rPr>
          <w:i/>
        </w:rPr>
        <w:t>contributing</w:t>
      </w:r>
      <w:r w:rsidR="00601668">
        <w:rPr>
          <w:i/>
        </w:rPr>
        <w:t xml:space="preserve"> </w:t>
      </w:r>
      <w:r w:rsidR="00601668" w:rsidRPr="00D2768B">
        <w:rPr>
          <w:i/>
        </w:rPr>
        <w:t>to</w:t>
      </w:r>
      <w:r w:rsidR="00601668">
        <w:rPr>
          <w:i/>
        </w:rPr>
        <w:t xml:space="preserve"> </w:t>
      </w:r>
      <w:r w:rsidR="00601668" w:rsidRPr="00D2768B">
        <w:rPr>
          <w:i/>
        </w:rPr>
        <w:t>high</w:t>
      </w:r>
      <w:r w:rsidR="00601668">
        <w:rPr>
          <w:i/>
        </w:rPr>
        <w:t xml:space="preserve"> </w:t>
      </w:r>
      <w:r w:rsidR="00601668" w:rsidRPr="00D2768B">
        <w:rPr>
          <w:i/>
        </w:rPr>
        <w:t>levels</w:t>
      </w:r>
      <w:r w:rsidR="00601668">
        <w:rPr>
          <w:i/>
        </w:rPr>
        <w:t xml:space="preserve"> </w:t>
      </w:r>
      <w:r w:rsidR="00601668" w:rsidRPr="00D2768B">
        <w:rPr>
          <w:i/>
        </w:rPr>
        <w:t>of working</w:t>
      </w:r>
      <w:r w:rsidR="00601668">
        <w:rPr>
          <w:i/>
        </w:rPr>
        <w:t xml:space="preserve"> </w:t>
      </w:r>
      <w:r w:rsidR="00601668" w:rsidRPr="00D2768B">
        <w:rPr>
          <w:i/>
        </w:rPr>
        <w:t xml:space="preserve">poverty” </w:t>
      </w:r>
      <w:r w:rsidR="00601668">
        <w:t>(Cooke and Lawton 2008 p26)</w:t>
      </w:r>
      <w:proofErr w:type="gramStart"/>
      <w:r w:rsidR="00601668">
        <w:t>;</w:t>
      </w:r>
      <w:r w:rsidR="00601668" w:rsidRPr="00511992">
        <w:rPr>
          <w:i/>
        </w:rPr>
        <w:t>“</w:t>
      </w:r>
      <w:proofErr w:type="gramEnd"/>
      <w:r w:rsidR="00601668" w:rsidRPr="00511992">
        <w:rPr>
          <w:i/>
        </w:rPr>
        <w:t xml:space="preserve">Boosting the incomes of the low paid would therefore help reduce in-work poverty” </w:t>
      </w:r>
      <w:r w:rsidR="00601668">
        <w:t>(Hood et al. 2014 p150).</w:t>
      </w:r>
    </w:p>
    <w:p w14:paraId="2B01C449" w14:textId="77777777" w:rsidR="00601668" w:rsidRDefault="00601668" w:rsidP="00F73E60">
      <w:pPr>
        <w:spacing w:line="360" w:lineRule="auto"/>
      </w:pPr>
    </w:p>
    <w:p w14:paraId="7DD3E734" w14:textId="54200D12" w:rsidR="00577D08" w:rsidRDefault="00217E7B" w:rsidP="00F73E60">
      <w:pPr>
        <w:spacing w:line="360" w:lineRule="auto"/>
        <w:rPr>
          <w:rFonts w:eastAsia="Times New Roman"/>
          <w:lang w:eastAsia="en-GB"/>
        </w:rPr>
      </w:pPr>
      <w:r>
        <w:t>US studies of compulsory local ‘living wages’ showed increases in the wages of low-paid workers, small reductions in employment rates and a net effect of some reductions in overall poverty rates in the participating cities (</w:t>
      </w:r>
      <w:proofErr w:type="spellStart"/>
      <w:r>
        <w:t>eg</w:t>
      </w:r>
      <w:proofErr w:type="spellEnd"/>
      <w:r>
        <w:t xml:space="preserve">. </w:t>
      </w:r>
      <w:proofErr w:type="spellStart"/>
      <w:proofErr w:type="gramStart"/>
      <w:r>
        <w:t>Neumark</w:t>
      </w:r>
      <w:proofErr w:type="spellEnd"/>
      <w:r>
        <w:t xml:space="preserve"> and Adams 2001).</w:t>
      </w:r>
      <w:proofErr w:type="gramEnd"/>
      <w:r>
        <w:t xml:space="preserve"> </w:t>
      </w:r>
      <w:r w:rsidR="00577D08">
        <w:t xml:space="preserve">The extensive research on the NMW in </w:t>
      </w:r>
      <w:r w:rsidR="008C04CA">
        <w:t xml:space="preserve">the </w:t>
      </w:r>
      <w:r>
        <w:t xml:space="preserve">UK in </w:t>
      </w:r>
      <w:r w:rsidR="00577D08">
        <w:t xml:space="preserve">the 2000s has suggested that the policy </w:t>
      </w:r>
      <w:r w:rsidR="004E6A27">
        <w:t xml:space="preserve">successfully </w:t>
      </w:r>
      <w:r w:rsidR="00577D08">
        <w:t>reduced the prevalence of low pay and contributed to reduced poverty, while having no negative effect on employment (Cooke and Lawton 2008).</w:t>
      </w:r>
      <w:r w:rsidR="00577D08">
        <w:rPr>
          <w:rFonts w:eastAsia="Times New Roman"/>
          <w:lang w:eastAsia="en-GB"/>
        </w:rPr>
        <w:t xml:space="preserve"> </w:t>
      </w:r>
      <w:r w:rsidR="00FF2F39" w:rsidRPr="00FF2F39">
        <w:rPr>
          <w:rFonts w:eastAsia="Times New Roman"/>
          <w:lang w:eastAsia="en-GB"/>
        </w:rPr>
        <w:t>However, working poverty persisted and in fact grew</w:t>
      </w:r>
      <w:r w:rsidR="00FF2F39">
        <w:rPr>
          <w:rFonts w:eastAsia="Times New Roman"/>
          <w:lang w:eastAsia="en-GB"/>
        </w:rPr>
        <w:t>. R</w:t>
      </w:r>
      <w:r w:rsidR="00577D08">
        <w:rPr>
          <w:rFonts w:eastAsia="Times New Roman"/>
          <w:lang w:eastAsia="en-GB"/>
        </w:rPr>
        <w:t xml:space="preserve">esearch showed that the impact varied according to the level of the NMW and the </w:t>
      </w:r>
      <w:r w:rsidR="00D14FC8">
        <w:rPr>
          <w:rFonts w:eastAsia="Times New Roman"/>
          <w:lang w:eastAsia="en-GB"/>
        </w:rPr>
        <w:t>local labour market. For example, i</w:t>
      </w:r>
      <w:r w:rsidR="00D14FC8">
        <w:t xml:space="preserve">t was less effective in London which </w:t>
      </w:r>
      <w:r w:rsidR="00D14FC8">
        <w:lastRenderedPageBreak/>
        <w:t xml:space="preserve">had lower initial rates of low pay and higher wage inequality than other regions (Cooke and Lawton 2008). </w:t>
      </w:r>
    </w:p>
    <w:p w14:paraId="4559A90E" w14:textId="77777777" w:rsidR="00577D08" w:rsidRDefault="00577D08" w:rsidP="00F73E60">
      <w:pPr>
        <w:spacing w:line="360" w:lineRule="auto"/>
      </w:pPr>
    </w:p>
    <w:p w14:paraId="1BB75EF9" w14:textId="359ECFB1" w:rsidR="003600FA" w:rsidRPr="003600FA" w:rsidRDefault="004E433F" w:rsidP="00F73E60">
      <w:pPr>
        <w:spacing w:line="360" w:lineRule="auto"/>
      </w:pPr>
      <w:r>
        <w:t>T</w:t>
      </w:r>
      <w:r w:rsidR="00577D08">
        <w:t xml:space="preserve">he connection between working </w:t>
      </w:r>
      <w:r w:rsidR="00BA5B8C">
        <w:t>status</w:t>
      </w:r>
      <w:r w:rsidR="00577D08">
        <w:t xml:space="preserve"> and poverty status is complex. </w:t>
      </w:r>
      <w:r w:rsidR="00BA5B8C">
        <w:t xml:space="preserve">Bennett </w:t>
      </w:r>
      <w:r w:rsidR="00DA6686">
        <w:t xml:space="preserve">(2014) </w:t>
      </w:r>
      <w:r w:rsidR="00BA5B8C">
        <w:t>pointed out that while there “</w:t>
      </w:r>
      <w:r w:rsidR="00BA5B8C" w:rsidRPr="006B3E2D">
        <w:rPr>
          <w:i/>
        </w:rPr>
        <w:t>certainly is some overlap”</w:t>
      </w:r>
      <w:r w:rsidR="00DF5421">
        <w:t>,</w:t>
      </w:r>
      <w:r w:rsidR="00BA5B8C">
        <w:t xml:space="preserve"> low pay and in-work poverty are not the same thing</w:t>
      </w:r>
      <w:r w:rsidR="003600FA">
        <w:t>,</w:t>
      </w:r>
      <w:r w:rsidR="00BA5B8C">
        <w:t xml:space="preserve"> and do not necessarily refer to the same individuals and households. </w:t>
      </w:r>
      <w:r w:rsidR="00577D08">
        <w:t xml:space="preserve">This means that </w:t>
      </w:r>
      <w:r w:rsidR="00BA5B8C">
        <w:t>targeting</w:t>
      </w:r>
      <w:r w:rsidR="00577D08">
        <w:t xml:space="preserve"> low</w:t>
      </w:r>
      <w:r w:rsidR="008C04CA">
        <w:t>-</w:t>
      </w:r>
      <w:r w:rsidR="00577D08">
        <w:t xml:space="preserve">paid individuals via </w:t>
      </w:r>
      <w:r w:rsidR="00577D08" w:rsidRPr="003600FA">
        <w:t xml:space="preserve">policy </w:t>
      </w:r>
      <w:r w:rsidR="00BA5B8C" w:rsidRPr="003600FA">
        <w:t>initiatives</w:t>
      </w:r>
      <w:r w:rsidR="00577D08" w:rsidRPr="003600FA">
        <w:t xml:space="preserve"> on individual pay is not a fully eff</w:t>
      </w:r>
      <w:r w:rsidR="00BA5B8C" w:rsidRPr="003600FA">
        <w:t>icient means of tar</w:t>
      </w:r>
      <w:r w:rsidR="00577D08" w:rsidRPr="003600FA">
        <w:t>g</w:t>
      </w:r>
      <w:r w:rsidR="00BA5B8C" w:rsidRPr="003600FA">
        <w:t>eting</w:t>
      </w:r>
      <w:r w:rsidR="00577D08" w:rsidRPr="003600FA">
        <w:t xml:space="preserve"> people in poor households.</w:t>
      </w:r>
      <w:r w:rsidR="003600FA" w:rsidRPr="003600FA">
        <w:t xml:space="preserve"> </w:t>
      </w:r>
      <w:r w:rsidR="003600FA" w:rsidRPr="00F73E60">
        <w:t>In fact, the “</w:t>
      </w:r>
      <w:r w:rsidR="003600FA" w:rsidRPr="00F73E60">
        <w:rPr>
          <w:i/>
        </w:rPr>
        <w:t>vast majority”</w:t>
      </w:r>
      <w:r w:rsidR="003600FA" w:rsidRPr="00F73E60">
        <w:t xml:space="preserve"> of low</w:t>
      </w:r>
      <w:r w:rsidR="008C04CA">
        <w:t>-</w:t>
      </w:r>
      <w:r w:rsidR="003600FA" w:rsidRPr="00F73E60">
        <w:t xml:space="preserve">paid people (defined as those earning less than two-thirds of the median wage) are not poor (defined as </w:t>
      </w:r>
      <w:r w:rsidR="008C04CA">
        <w:t>those living i</w:t>
      </w:r>
      <w:r w:rsidR="008C04CA" w:rsidRPr="00F73E60">
        <w:t xml:space="preserve">n </w:t>
      </w:r>
      <w:r w:rsidR="003600FA" w:rsidRPr="00F73E60">
        <w:t xml:space="preserve">households with </w:t>
      </w:r>
      <w:proofErr w:type="spellStart"/>
      <w:r w:rsidR="003600FA" w:rsidRPr="00F73E60">
        <w:t>equivalised</w:t>
      </w:r>
      <w:proofErr w:type="spellEnd"/>
      <w:r w:rsidR="003600FA" w:rsidRPr="00F73E60">
        <w:t xml:space="preserve"> income below 60% of the median) (Gardiner and Millar 2006 p353). </w:t>
      </w:r>
      <w:r w:rsidR="009D7D6F" w:rsidRPr="00F73E60">
        <w:t>An important distinction is between households where a low</w:t>
      </w:r>
      <w:r w:rsidR="008C04CA">
        <w:t>-</w:t>
      </w:r>
      <w:r w:rsidR="009D7D6F" w:rsidRPr="00F73E60">
        <w:t xml:space="preserve">paid job is the main or only </w:t>
      </w:r>
      <w:proofErr w:type="gramStart"/>
      <w:r w:rsidR="009D7D6F" w:rsidRPr="00F73E60">
        <w:t>job,</w:t>
      </w:r>
      <w:proofErr w:type="gramEnd"/>
      <w:r w:rsidR="009D7D6F" w:rsidRPr="00F73E60">
        <w:t xml:space="preserve"> and those where it is a secondary job (Hood et al. 2014). </w:t>
      </w:r>
      <w:r w:rsidR="003600FA" w:rsidRPr="00F73E60">
        <w:t xml:space="preserve"> </w:t>
      </w:r>
      <w:r w:rsidR="00BA5B8C" w:rsidRPr="003600FA">
        <w:t>Low-</w:t>
      </w:r>
      <w:r w:rsidR="00577D08" w:rsidRPr="003600FA">
        <w:t>p</w:t>
      </w:r>
      <w:r w:rsidR="00BA5B8C" w:rsidRPr="003600FA">
        <w:t>ai</w:t>
      </w:r>
      <w:r w:rsidR="00577D08" w:rsidRPr="003600FA">
        <w:t>d workers are found in every household i</w:t>
      </w:r>
      <w:r w:rsidR="00BA5B8C" w:rsidRPr="003600FA">
        <w:t>ncome decile, and are most conce</w:t>
      </w:r>
      <w:r w:rsidR="00577D08" w:rsidRPr="003600FA">
        <w:t>nt</w:t>
      </w:r>
      <w:r w:rsidR="00BA5B8C" w:rsidRPr="003600FA">
        <w:t>ra</w:t>
      </w:r>
      <w:r w:rsidR="00577D08" w:rsidRPr="003600FA">
        <w:t>ted just below av</w:t>
      </w:r>
      <w:r w:rsidR="00BA5B8C" w:rsidRPr="003600FA">
        <w:t>era</w:t>
      </w:r>
      <w:r w:rsidR="00577D08" w:rsidRPr="003600FA">
        <w:t xml:space="preserve">ge household income rather than amongst the poorest households (Hood et al. 2014). </w:t>
      </w:r>
    </w:p>
    <w:p w14:paraId="64C3249C" w14:textId="77777777" w:rsidR="003600FA" w:rsidRPr="003600FA" w:rsidRDefault="003600FA" w:rsidP="00F73E60">
      <w:pPr>
        <w:spacing w:line="360" w:lineRule="auto"/>
      </w:pPr>
    </w:p>
    <w:p w14:paraId="2D6070AE" w14:textId="3D3CE940" w:rsidR="003600FA" w:rsidRPr="00F73E60" w:rsidRDefault="00577D08" w:rsidP="00F73E60">
      <w:pPr>
        <w:spacing w:line="360" w:lineRule="auto"/>
      </w:pPr>
      <w:r w:rsidRPr="003600FA">
        <w:t xml:space="preserve">In-work poverty at household level could be due </w:t>
      </w:r>
      <w:r w:rsidR="008C04CA">
        <w:t xml:space="preserve">to </w:t>
      </w:r>
      <w:r w:rsidRPr="003600FA">
        <w:t>low hourly wage rate</w:t>
      </w:r>
      <w:r w:rsidR="00BA5B8C" w:rsidRPr="003600FA">
        <w:t xml:space="preserve">s, but it could also be due to </w:t>
      </w:r>
      <w:r w:rsidRPr="003600FA">
        <w:t>low work intensity, with short hours or periods of</w:t>
      </w:r>
      <w:r w:rsidR="004E433F">
        <w:t>f</w:t>
      </w:r>
      <w:r w:rsidRPr="003600FA">
        <w:t xml:space="preserve"> work, and/or not all adults in a household being employed relative to the number of dependents, whether non-working adults</w:t>
      </w:r>
      <w:r w:rsidR="00BA5B8C" w:rsidRPr="003600FA">
        <w:t xml:space="preserve"> </w:t>
      </w:r>
      <w:r w:rsidRPr="003600FA">
        <w:t>or children (</w:t>
      </w:r>
      <w:proofErr w:type="spellStart"/>
      <w:r w:rsidRPr="003600FA">
        <w:t>Luce</w:t>
      </w:r>
      <w:proofErr w:type="spellEnd"/>
      <w:r w:rsidRPr="003600FA">
        <w:t xml:space="preserve"> 2004)</w:t>
      </w:r>
      <w:r w:rsidR="00730F87">
        <w:t xml:space="preserve">. It could also be due to </w:t>
      </w:r>
      <w:r w:rsidR="00DA6686">
        <w:t>poor coverage</w:t>
      </w:r>
      <w:r w:rsidRPr="003600FA">
        <w:t xml:space="preserve"> or poor enforcement of minimum wage rules</w:t>
      </w:r>
      <w:r w:rsidR="00730F87">
        <w:t xml:space="preserve">. </w:t>
      </w:r>
      <w:r w:rsidR="003600FA" w:rsidRPr="00F73E60">
        <w:t>People on low hourly pay rates may avoid poverty through long working hours, living with others, or claiming benefits (</w:t>
      </w:r>
      <w:proofErr w:type="spellStart"/>
      <w:r w:rsidR="003600FA" w:rsidRPr="00F73E60">
        <w:t>Luce</w:t>
      </w:r>
      <w:proofErr w:type="spellEnd"/>
      <w:r w:rsidR="003600FA" w:rsidRPr="00F73E60">
        <w:t xml:space="preserve"> 2004, Gardiner and Millar 2006). </w:t>
      </w:r>
      <w:r w:rsidR="00881FB3" w:rsidRPr="003600FA">
        <w:t>Analysis of the 2000/01 Labour Force Survey suggests that in practice, the most common route out of poverty for low</w:t>
      </w:r>
      <w:r w:rsidR="008C04CA">
        <w:t>-</w:t>
      </w:r>
      <w:r w:rsidR="00881FB3" w:rsidRPr="003600FA">
        <w:t xml:space="preserve">paid workers was not more hours, or benefits, but living with a partner and/or others (Gardiner and Millar 2006). </w:t>
      </w:r>
      <w:r w:rsidR="003600FA" w:rsidRPr="00F73E60">
        <w:t>Low wage earners live in households, and poverty is assessed on the basis of household not individual resources. Previous studies have found considerable diversity amongst households containing low</w:t>
      </w:r>
      <w:r w:rsidR="008C04CA">
        <w:t>-</w:t>
      </w:r>
      <w:r w:rsidR="003600FA" w:rsidRPr="00F73E60">
        <w:t>paid workers, in their size, demography, employment status, and in terms of their poverty status (Bennett 2014). In developing policies to reduce in-work poverty, “</w:t>
      </w:r>
      <w:r w:rsidR="003600FA" w:rsidRPr="00F73E60">
        <w:rPr>
          <w:i/>
        </w:rPr>
        <w:t>Policymakers should be clear about whether they want to help low-paid individuals or low-paid families… policies that help all low-paid individuals would also help some relatively high-income families”</w:t>
      </w:r>
      <w:r w:rsidR="003600FA" w:rsidRPr="00F73E60">
        <w:t xml:space="preserve"> (Hood et al. 2014 p141). </w:t>
      </w:r>
    </w:p>
    <w:p w14:paraId="67CF8E49" w14:textId="77777777" w:rsidR="003600FA" w:rsidRDefault="003600FA" w:rsidP="00F73E60">
      <w:pPr>
        <w:spacing w:line="360" w:lineRule="auto"/>
      </w:pPr>
    </w:p>
    <w:p w14:paraId="209286E0" w14:textId="05E65F4D" w:rsidR="00217E7B" w:rsidRPr="00F73E60" w:rsidRDefault="00086D07" w:rsidP="00F73E60">
      <w:pPr>
        <w:spacing w:line="360" w:lineRule="auto"/>
        <w:rPr>
          <w:b/>
        </w:rPr>
      </w:pPr>
      <w:r>
        <w:lastRenderedPageBreak/>
        <w:t>A</w:t>
      </w:r>
      <w:r w:rsidR="00881FB3">
        <w:t>nalysis of the DWP’s tax benefit model tables for 2006 showed that amongst low</w:t>
      </w:r>
      <w:r w:rsidR="008C04CA">
        <w:t>-</w:t>
      </w:r>
      <w:r w:rsidR="00881FB3">
        <w:t>wage</w:t>
      </w:r>
      <w:r w:rsidR="008C04CA">
        <w:t>d</w:t>
      </w:r>
      <w:r w:rsidR="00881FB3">
        <w:t xml:space="preserve"> workers, </w:t>
      </w:r>
      <w:r w:rsidR="00881FB3" w:rsidRPr="00A86532">
        <w:rPr>
          <w:i/>
        </w:rPr>
        <w:t>“very</w:t>
      </w:r>
      <w:r w:rsidR="00881FB3">
        <w:rPr>
          <w:i/>
        </w:rPr>
        <w:t xml:space="preserve"> </w:t>
      </w:r>
      <w:r w:rsidR="00881FB3" w:rsidRPr="00A86532">
        <w:rPr>
          <w:i/>
        </w:rPr>
        <w:t>few</w:t>
      </w:r>
      <w:r w:rsidR="00881FB3">
        <w:rPr>
          <w:i/>
        </w:rPr>
        <w:t xml:space="preserve"> </w:t>
      </w:r>
      <w:r w:rsidR="00881FB3" w:rsidRPr="00A86532">
        <w:rPr>
          <w:i/>
        </w:rPr>
        <w:t>family</w:t>
      </w:r>
      <w:r w:rsidR="00881FB3">
        <w:rPr>
          <w:i/>
        </w:rPr>
        <w:t xml:space="preserve"> </w:t>
      </w:r>
      <w:r w:rsidR="00881FB3" w:rsidRPr="00A86532">
        <w:rPr>
          <w:i/>
        </w:rPr>
        <w:t>types</w:t>
      </w:r>
      <w:r w:rsidR="00881FB3">
        <w:rPr>
          <w:i/>
        </w:rPr>
        <w:t xml:space="preserve"> were able to avoid poverty </w:t>
      </w:r>
      <w:r w:rsidR="00881FB3" w:rsidRPr="00A86532">
        <w:rPr>
          <w:i/>
        </w:rPr>
        <w:t>through</w:t>
      </w:r>
      <w:r w:rsidR="00881FB3">
        <w:rPr>
          <w:i/>
        </w:rPr>
        <w:t xml:space="preserve"> </w:t>
      </w:r>
      <w:r w:rsidR="00881FB3" w:rsidRPr="00A86532">
        <w:rPr>
          <w:i/>
        </w:rPr>
        <w:t>their</w:t>
      </w:r>
      <w:r w:rsidR="00881FB3">
        <w:rPr>
          <w:i/>
        </w:rPr>
        <w:t xml:space="preserve"> own wages </w:t>
      </w:r>
      <w:r w:rsidR="00881FB3" w:rsidRPr="00A86532">
        <w:rPr>
          <w:i/>
        </w:rPr>
        <w:t>alone</w:t>
      </w:r>
      <w:r w:rsidR="00881FB3">
        <w:rPr>
          <w:i/>
        </w:rPr>
        <w:t xml:space="preserve">. The only exceptions are single, childless people working full time and smaller couple families in which both adults worked full </w:t>
      </w:r>
      <w:r w:rsidR="00881FB3" w:rsidRPr="00A86532">
        <w:rPr>
          <w:i/>
        </w:rPr>
        <w:t>time”</w:t>
      </w:r>
      <w:r w:rsidR="00881FB3">
        <w:t xml:space="preserve"> (Cooke and Lawton 2008 p45). </w:t>
      </w:r>
      <w:r w:rsidR="00217E7B" w:rsidRPr="00F212FC">
        <w:rPr>
          <w:rFonts w:eastAsia="Times New Roman"/>
          <w:lang w:val="en-US"/>
        </w:rPr>
        <w:t>Modelling has shown that “</w:t>
      </w:r>
      <w:r w:rsidR="00217E7B" w:rsidRPr="00F212FC">
        <w:rPr>
          <w:rFonts w:eastAsia="Times New Roman"/>
          <w:i/>
          <w:lang w:val="en-US"/>
        </w:rPr>
        <w:t xml:space="preserve">households around the middle of the income distribution </w:t>
      </w:r>
      <w:r w:rsidR="00217E7B">
        <w:rPr>
          <w:rFonts w:eastAsia="Times New Roman"/>
          <w:i/>
          <w:lang w:val="en-US"/>
        </w:rPr>
        <w:t xml:space="preserve">[rather than the lowest end] </w:t>
      </w:r>
      <w:r w:rsidR="00217E7B" w:rsidRPr="00F212FC">
        <w:rPr>
          <w:rFonts w:eastAsia="Times New Roman"/>
          <w:i/>
          <w:lang w:val="en-US"/>
        </w:rPr>
        <w:t>would gain disproportionately from the living wage as lots of low earners live with others who are not necessarily low</w:t>
      </w:r>
      <w:r>
        <w:rPr>
          <w:rFonts w:eastAsia="Times New Roman"/>
          <w:i/>
          <w:lang w:val="en-US"/>
        </w:rPr>
        <w:t xml:space="preserve"> </w:t>
      </w:r>
      <w:r w:rsidR="00217E7B" w:rsidRPr="00F212FC">
        <w:rPr>
          <w:rFonts w:eastAsia="Times New Roman"/>
          <w:i/>
          <w:lang w:val="en-US"/>
        </w:rPr>
        <w:t xml:space="preserve">paid” </w:t>
      </w:r>
      <w:r w:rsidR="00217E7B">
        <w:rPr>
          <w:rFonts w:eastAsia="Times New Roman"/>
          <w:lang w:val="en-US"/>
        </w:rPr>
        <w:t>(Lawton and Pennycook 2014 p5; also Bennett 2014). However, those at the lowest end of the income distribution would gain a higher percentage of income (Hood et al. 2014).</w:t>
      </w:r>
    </w:p>
    <w:p w14:paraId="304CF89F" w14:textId="77777777" w:rsidR="00881FB3" w:rsidRDefault="00881FB3" w:rsidP="00F73E60">
      <w:pPr>
        <w:spacing w:line="360" w:lineRule="auto"/>
      </w:pPr>
    </w:p>
    <w:p w14:paraId="13EABCE9" w14:textId="71E2C863" w:rsidR="004E6A27" w:rsidRPr="00DB5B50" w:rsidRDefault="00BA5B8C" w:rsidP="00F73E60">
      <w:pPr>
        <w:spacing w:line="360" w:lineRule="auto"/>
        <w:rPr>
          <w:rFonts w:eastAsia="Times New Roman"/>
          <w:lang w:eastAsia="en-GB"/>
        </w:rPr>
      </w:pPr>
      <w:r w:rsidRPr="00DB5B50">
        <w:rPr>
          <w:rFonts w:eastAsia="Times New Roman"/>
          <w:lang w:eastAsia="en-GB"/>
        </w:rPr>
        <w:t xml:space="preserve">The Living Wage Foundation </w:t>
      </w:r>
      <w:r>
        <w:rPr>
          <w:rFonts w:eastAsia="Times New Roman"/>
          <w:lang w:eastAsia="en-GB"/>
        </w:rPr>
        <w:t xml:space="preserve">has recognised this </w:t>
      </w:r>
      <w:r w:rsidR="00055E8C">
        <w:rPr>
          <w:rFonts w:eastAsia="Times New Roman"/>
          <w:lang w:eastAsia="en-GB"/>
        </w:rPr>
        <w:t xml:space="preserve">complexity </w:t>
      </w:r>
      <w:r>
        <w:rPr>
          <w:rFonts w:eastAsia="Times New Roman"/>
          <w:lang w:eastAsia="en-GB"/>
        </w:rPr>
        <w:t>when it stated, “</w:t>
      </w:r>
      <w:r w:rsidRPr="00511992">
        <w:rPr>
          <w:rFonts w:eastAsia="Times New Roman"/>
          <w:i/>
          <w:lang w:eastAsia="en-GB"/>
        </w:rPr>
        <w:t>The causes of poverty are complex and in order to improve lives there should be a package of solutions across policy areas. The Living Wage can be part of the solution</w:t>
      </w:r>
      <w:r w:rsidRPr="00832278">
        <w:rPr>
          <w:rFonts w:eastAsia="Times New Roman"/>
          <w:lang w:eastAsia="en-GB"/>
        </w:rPr>
        <w:t>.</w:t>
      </w:r>
      <w:r>
        <w:rPr>
          <w:rFonts w:eastAsia="Times New Roman"/>
          <w:lang w:eastAsia="en-GB"/>
        </w:rPr>
        <w:t>” (</w:t>
      </w:r>
      <w:r w:rsidRPr="00493DEB">
        <w:rPr>
          <w:rFonts w:eastAsia="Times New Roman"/>
          <w:lang w:eastAsia="en-GB"/>
        </w:rPr>
        <w:t>http://www.livingwage.org.uk/</w:t>
      </w:r>
      <w:r>
        <w:rPr>
          <w:rFonts w:eastAsia="Times New Roman"/>
          <w:lang w:eastAsia="en-GB"/>
        </w:rPr>
        <w:t>).</w:t>
      </w:r>
      <w:r w:rsidR="00601668">
        <w:rPr>
          <w:rFonts w:eastAsia="Times New Roman"/>
          <w:lang w:eastAsia="en-GB"/>
        </w:rPr>
        <w:t xml:space="preserve">The Institute </w:t>
      </w:r>
      <w:r w:rsidR="008C04CA">
        <w:rPr>
          <w:rFonts w:eastAsia="Times New Roman"/>
          <w:lang w:eastAsia="en-GB"/>
        </w:rPr>
        <w:t>for</w:t>
      </w:r>
      <w:r w:rsidR="00601668">
        <w:rPr>
          <w:rFonts w:eastAsia="Times New Roman"/>
          <w:lang w:eastAsia="en-GB"/>
        </w:rPr>
        <w:t xml:space="preserve"> Fiscal Studies suggested alternatives and complements to a higher NMW</w:t>
      </w:r>
      <w:r w:rsidR="008C04CA">
        <w:rPr>
          <w:rFonts w:eastAsia="Times New Roman"/>
          <w:lang w:eastAsia="en-GB"/>
        </w:rPr>
        <w:t>,</w:t>
      </w:r>
      <w:r w:rsidR="00601668">
        <w:rPr>
          <w:rFonts w:eastAsia="Times New Roman"/>
          <w:lang w:eastAsia="en-GB"/>
        </w:rPr>
        <w:t xml:space="preserve"> including</w:t>
      </w:r>
      <w:r>
        <w:t xml:space="preserve"> incentives to employers for higher wages such as the VLW, increased in-work benefits, </w:t>
      </w:r>
      <w:r w:rsidR="008C04CA">
        <w:t xml:space="preserve">and </w:t>
      </w:r>
      <w:r>
        <w:t xml:space="preserve">changing national insurance or personal income tax allowances and rates (Hood et al. 2014). </w:t>
      </w:r>
      <w:r>
        <w:rPr>
          <w:rFonts w:eastAsia="Times New Roman"/>
          <w:lang w:eastAsia="en-GB"/>
        </w:rPr>
        <w:t xml:space="preserve">Researchers </w:t>
      </w:r>
      <w:r w:rsidR="008C04CA">
        <w:rPr>
          <w:rFonts w:eastAsia="Times New Roman"/>
          <w:lang w:eastAsia="en-GB"/>
        </w:rPr>
        <w:t xml:space="preserve">have </w:t>
      </w:r>
      <w:r>
        <w:rPr>
          <w:rFonts w:eastAsia="Times New Roman"/>
          <w:lang w:eastAsia="en-GB"/>
        </w:rPr>
        <w:t xml:space="preserve">also argued that a NMW could only form part of an anti-poverty strategy and needed to be complemented by other measures to increase the supply and quality of both jobs and workers (Cooke and Lawton 2008). </w:t>
      </w:r>
    </w:p>
    <w:p w14:paraId="2F5E059F" w14:textId="77777777" w:rsidR="00601668" w:rsidRDefault="00601668" w:rsidP="00F73E60">
      <w:pPr>
        <w:spacing w:line="360" w:lineRule="auto"/>
        <w:rPr>
          <w:rFonts w:eastAsia="Times New Roman"/>
          <w:lang w:eastAsia="en-GB"/>
        </w:rPr>
      </w:pPr>
    </w:p>
    <w:p w14:paraId="3B7D1016" w14:textId="3A9A9FBF" w:rsidR="002D5CA4" w:rsidRPr="00DB5B50" w:rsidRDefault="0041117D">
      <w:pPr>
        <w:spacing w:line="360" w:lineRule="auto"/>
      </w:pPr>
      <w:r>
        <w:rPr>
          <w:rFonts w:eastAsia="Times New Roman"/>
          <w:lang w:eastAsia="en-GB"/>
        </w:rPr>
        <w:t>If policy seeks to reduce poverty, what co</w:t>
      </w:r>
      <w:r w:rsidR="00826623">
        <w:rPr>
          <w:rFonts w:eastAsia="Times New Roman"/>
          <w:lang w:eastAsia="en-GB"/>
        </w:rPr>
        <w:t xml:space="preserve">ntribution can </w:t>
      </w:r>
      <w:r>
        <w:rPr>
          <w:rFonts w:eastAsia="Times New Roman"/>
          <w:lang w:eastAsia="en-GB"/>
        </w:rPr>
        <w:t xml:space="preserve">the </w:t>
      </w:r>
      <w:r w:rsidR="00DF5421">
        <w:rPr>
          <w:rFonts w:eastAsia="Times New Roman"/>
          <w:lang w:eastAsia="en-GB"/>
        </w:rPr>
        <w:t>V</w:t>
      </w:r>
      <w:r>
        <w:rPr>
          <w:rFonts w:eastAsia="Times New Roman"/>
          <w:lang w:eastAsia="en-GB"/>
        </w:rPr>
        <w:t>LW make?</w:t>
      </w:r>
      <w:r w:rsidR="00826623">
        <w:rPr>
          <w:rFonts w:eastAsia="Times New Roman"/>
          <w:lang w:eastAsia="en-GB"/>
        </w:rPr>
        <w:t xml:space="preserve"> </w:t>
      </w:r>
    </w:p>
    <w:p w14:paraId="7EF119D7" w14:textId="77777777" w:rsidR="00EA5BF6" w:rsidRDefault="00EA5BF6">
      <w:pPr>
        <w:spacing w:line="360" w:lineRule="auto"/>
        <w:rPr>
          <w:b/>
        </w:rPr>
      </w:pPr>
    </w:p>
    <w:p w14:paraId="47DF009F" w14:textId="77777777" w:rsidR="002D5CA4" w:rsidRPr="00DB5B50" w:rsidRDefault="00684A4B">
      <w:pPr>
        <w:spacing w:line="360" w:lineRule="auto"/>
        <w:rPr>
          <w:b/>
        </w:rPr>
      </w:pPr>
      <w:r w:rsidRPr="00DB5B50">
        <w:rPr>
          <w:b/>
        </w:rPr>
        <w:t>The survey</w:t>
      </w:r>
    </w:p>
    <w:p w14:paraId="79E8625D" w14:textId="7B0270EF" w:rsidR="00684A4B" w:rsidRPr="00DB5B50" w:rsidRDefault="00684A4B">
      <w:pPr>
        <w:spacing w:line="360" w:lineRule="auto"/>
      </w:pPr>
      <w:r w:rsidRPr="00DB5B50">
        <w:t xml:space="preserve">The survey was run over late spring and summer 2014 with face-to-face interviews undertaken in the respondent’s home (or at the survey company’s offices in York) by a professional survey company, </w:t>
      </w:r>
      <w:proofErr w:type="spellStart"/>
      <w:r w:rsidRPr="00DB5B50">
        <w:rPr>
          <w:i/>
        </w:rPr>
        <w:t>Qa</w:t>
      </w:r>
      <w:proofErr w:type="spellEnd"/>
      <w:r w:rsidRPr="00DB5B50">
        <w:rPr>
          <w:i/>
        </w:rPr>
        <w:t xml:space="preserve"> Research</w:t>
      </w:r>
      <w:r w:rsidRPr="00DB5B50">
        <w:t xml:space="preserve">. The respondents invited to take part in the survey were employees of the three project partners </w:t>
      </w:r>
      <w:r w:rsidR="00730F87">
        <w:t>(</w:t>
      </w:r>
      <w:r w:rsidR="00730F87" w:rsidRPr="00730F87">
        <w:t>City of York Council (CYC), Joseph Rowntree Foundation/Joseph Rowntree Housing Trust (JRF/JRHT) and York St John University (YSJU</w:t>
      </w:r>
      <w:r w:rsidR="00730F87">
        <w:t xml:space="preserve">)) </w:t>
      </w:r>
      <w:r w:rsidRPr="00DB5B50">
        <w:t>earning at or below £10 per hour. The total sample recruited and interviewed by the survey company produced 494 completed interviews</w:t>
      </w:r>
      <w:r w:rsidR="008C04CA">
        <w:t>,</w:t>
      </w:r>
      <w:r w:rsidRPr="00DB5B50">
        <w:t xml:space="preserve"> providing a useable sample for analysis of 491 employee</w:t>
      </w:r>
      <w:r w:rsidR="008C04CA">
        <w:t xml:space="preserve"> interview</w:t>
      </w:r>
      <w:r w:rsidRPr="00DB5B50">
        <w:t>s.</w:t>
      </w:r>
    </w:p>
    <w:p w14:paraId="63128DF5" w14:textId="77777777" w:rsidR="00EC1206" w:rsidRPr="00DB5B50" w:rsidRDefault="00EC1206" w:rsidP="00647393">
      <w:pPr>
        <w:autoSpaceDE w:val="0"/>
        <w:autoSpaceDN w:val="0"/>
        <w:adjustRightInd w:val="0"/>
        <w:spacing w:line="360" w:lineRule="auto"/>
        <w:rPr>
          <w:rFonts w:eastAsia="Times New Roman"/>
          <w:lang w:eastAsia="en-GB"/>
        </w:rPr>
      </w:pPr>
    </w:p>
    <w:p w14:paraId="59DCD9BA" w14:textId="27B384A0" w:rsidR="00684A4B" w:rsidRPr="00DB5B50" w:rsidRDefault="00684A4B" w:rsidP="00647393">
      <w:pPr>
        <w:autoSpaceDE w:val="0"/>
        <w:autoSpaceDN w:val="0"/>
        <w:adjustRightInd w:val="0"/>
        <w:spacing w:line="360" w:lineRule="auto"/>
        <w:rPr>
          <w:rFonts w:eastAsia="Times New Roman"/>
          <w:lang w:eastAsia="en-GB"/>
        </w:rPr>
      </w:pPr>
      <w:r w:rsidRPr="00DB5B50">
        <w:rPr>
          <w:rFonts w:eastAsia="Times New Roman"/>
          <w:lang w:eastAsia="en-GB"/>
        </w:rPr>
        <w:t xml:space="preserve">The survey questions were informed by existing national surveys of household resources </w:t>
      </w:r>
      <w:r w:rsidR="003B3D5B">
        <w:rPr>
          <w:rFonts w:eastAsia="Times New Roman"/>
          <w:lang w:eastAsia="en-GB"/>
        </w:rPr>
        <w:t>including the</w:t>
      </w:r>
      <w:r w:rsidRPr="00DB5B50">
        <w:rPr>
          <w:rFonts w:eastAsia="Times New Roman"/>
          <w:lang w:eastAsia="en-GB"/>
        </w:rPr>
        <w:t xml:space="preserve"> Family Resources Survey, Understanding Society and the Poverty and Social </w:t>
      </w:r>
      <w:r w:rsidRPr="00DB5B50">
        <w:rPr>
          <w:rFonts w:eastAsia="Times New Roman"/>
          <w:lang w:eastAsia="en-GB"/>
        </w:rPr>
        <w:lastRenderedPageBreak/>
        <w:t>Exclusion Survey. The survey contained details of earnings</w:t>
      </w:r>
      <w:r w:rsidR="008C04CA">
        <w:rPr>
          <w:rFonts w:eastAsia="Times New Roman"/>
          <w:lang w:eastAsia="en-GB"/>
        </w:rPr>
        <w:t xml:space="preserve"> and</w:t>
      </w:r>
      <w:r w:rsidRPr="00DB5B50">
        <w:rPr>
          <w:rFonts w:eastAsia="Times New Roman"/>
          <w:lang w:eastAsia="en-GB"/>
        </w:rPr>
        <w:t xml:space="preserve"> income from other sources including benefits</w:t>
      </w:r>
      <w:r w:rsidR="003B3D5B">
        <w:rPr>
          <w:rFonts w:eastAsia="Times New Roman"/>
          <w:lang w:eastAsia="en-GB"/>
        </w:rPr>
        <w:t xml:space="preserve"> and </w:t>
      </w:r>
      <w:r w:rsidRPr="00DB5B50">
        <w:rPr>
          <w:rFonts w:eastAsia="Times New Roman"/>
          <w:lang w:eastAsia="en-GB"/>
        </w:rPr>
        <w:t xml:space="preserve">tax credits, as well as expenditures. The themes covered </w:t>
      </w:r>
      <w:r w:rsidR="006016C3" w:rsidRPr="00DB5B50">
        <w:rPr>
          <w:rFonts w:eastAsia="Times New Roman"/>
          <w:lang w:eastAsia="en-GB"/>
        </w:rPr>
        <w:t>i</w:t>
      </w:r>
      <w:r w:rsidRPr="00DB5B50">
        <w:rPr>
          <w:rFonts w:eastAsia="Times New Roman"/>
          <w:lang w:eastAsia="en-GB"/>
        </w:rPr>
        <w:t>n the quantitative survey (in addition to detailed standard household survey questions on composition) include</w:t>
      </w:r>
      <w:r w:rsidR="006016C3" w:rsidRPr="00DB5B50">
        <w:rPr>
          <w:rFonts w:eastAsia="Times New Roman"/>
          <w:lang w:eastAsia="en-GB"/>
        </w:rPr>
        <w:t>d</w:t>
      </w:r>
      <w:r w:rsidRPr="00DB5B50">
        <w:rPr>
          <w:rFonts w:eastAsia="Times New Roman"/>
          <w:lang w:eastAsia="en-GB"/>
        </w:rPr>
        <w:t xml:space="preserve"> employment and training (hours, wage and future career), housing, transport, fuel, water, council tax and finances (debt, savings, pensions and benefits). </w:t>
      </w:r>
    </w:p>
    <w:p w14:paraId="089999BA" w14:textId="77777777" w:rsidR="00684A4B" w:rsidRPr="00DB5B50" w:rsidRDefault="00684A4B" w:rsidP="00647393">
      <w:pPr>
        <w:spacing w:line="360" w:lineRule="auto"/>
      </w:pPr>
    </w:p>
    <w:p w14:paraId="07AB304B" w14:textId="2AE0C183" w:rsidR="00684A4B" w:rsidRPr="00DB5B50" w:rsidRDefault="00684A4B" w:rsidP="00647393">
      <w:pPr>
        <w:spacing w:line="360" w:lineRule="auto"/>
        <w:rPr>
          <w:rFonts w:eastAsia="Times New Roman"/>
          <w:lang w:eastAsia="en-GB"/>
        </w:rPr>
      </w:pPr>
      <w:r w:rsidRPr="00DB5B50">
        <w:rPr>
          <w:rFonts w:eastAsia="Times New Roman"/>
          <w:lang w:eastAsia="en-GB"/>
        </w:rPr>
        <w:t xml:space="preserve">The aim of the project was to understand how effective and sustainable the </w:t>
      </w:r>
      <w:r w:rsidR="00650086">
        <w:rPr>
          <w:rFonts w:eastAsia="Times New Roman"/>
          <w:lang w:eastAsia="en-GB"/>
        </w:rPr>
        <w:t>VLW</w:t>
      </w:r>
      <w:r w:rsidRPr="00DB5B50">
        <w:rPr>
          <w:rFonts w:eastAsia="Times New Roman"/>
          <w:lang w:eastAsia="en-GB"/>
        </w:rPr>
        <w:t xml:space="preserve"> </w:t>
      </w:r>
      <w:r w:rsidR="00730F87">
        <w:rPr>
          <w:rFonts w:eastAsia="Times New Roman"/>
          <w:lang w:eastAsia="en-GB"/>
        </w:rPr>
        <w:t xml:space="preserve">in the context of </w:t>
      </w:r>
      <w:r w:rsidRPr="00DB5B50">
        <w:rPr>
          <w:rFonts w:eastAsia="Times New Roman"/>
          <w:lang w:eastAsia="en-GB"/>
        </w:rPr>
        <w:t>other anti-poverty policies</w:t>
      </w:r>
      <w:r w:rsidR="00730F87">
        <w:rPr>
          <w:rFonts w:eastAsia="Times New Roman"/>
          <w:lang w:eastAsia="en-GB"/>
        </w:rPr>
        <w:t xml:space="preserve"> </w:t>
      </w:r>
      <w:r w:rsidRPr="00DB5B50">
        <w:rPr>
          <w:rFonts w:eastAsia="Times New Roman"/>
          <w:lang w:eastAsia="en-GB"/>
        </w:rPr>
        <w:t xml:space="preserve">might be for employees at risk of in-work poverty. Clearly not all employees </w:t>
      </w:r>
      <w:r w:rsidR="003B3D5B">
        <w:rPr>
          <w:rFonts w:eastAsia="Times New Roman"/>
          <w:lang w:eastAsia="en-GB"/>
        </w:rPr>
        <w:t>eligible for</w:t>
      </w:r>
      <w:r w:rsidR="00055E8C">
        <w:rPr>
          <w:rFonts w:eastAsia="Times New Roman"/>
          <w:lang w:eastAsia="en-GB"/>
        </w:rPr>
        <w:t xml:space="preserve"> or </w:t>
      </w:r>
      <w:r w:rsidR="008C04CA">
        <w:rPr>
          <w:rFonts w:eastAsia="Times New Roman"/>
          <w:lang w:eastAsia="en-GB"/>
        </w:rPr>
        <w:t>receiving</w:t>
      </w:r>
      <w:r w:rsidRPr="00DB5B50">
        <w:rPr>
          <w:rFonts w:eastAsia="Times New Roman"/>
          <w:lang w:eastAsia="en-GB"/>
        </w:rPr>
        <w:t xml:space="preserve"> the </w:t>
      </w:r>
      <w:r w:rsidR="00FD1FC2">
        <w:rPr>
          <w:rFonts w:eastAsia="Times New Roman"/>
          <w:lang w:eastAsia="en-GB"/>
        </w:rPr>
        <w:t>VLW</w:t>
      </w:r>
      <w:r w:rsidRPr="00DB5B50">
        <w:rPr>
          <w:rFonts w:eastAsia="Times New Roman"/>
          <w:lang w:eastAsia="en-GB"/>
        </w:rPr>
        <w:t xml:space="preserve"> are at risk of in-work poverty, </w:t>
      </w:r>
      <w:r w:rsidR="006016C3" w:rsidRPr="00DB5B50">
        <w:rPr>
          <w:rFonts w:eastAsia="Times New Roman"/>
          <w:lang w:eastAsia="en-GB"/>
        </w:rPr>
        <w:t>n</w:t>
      </w:r>
      <w:r w:rsidRPr="00DB5B50">
        <w:rPr>
          <w:rFonts w:eastAsia="Times New Roman"/>
          <w:lang w:eastAsia="en-GB"/>
        </w:rPr>
        <w:t>or indeed are those above this wage</w:t>
      </w:r>
      <w:r w:rsidR="00DA6686">
        <w:rPr>
          <w:rFonts w:eastAsia="Times New Roman"/>
          <w:lang w:eastAsia="en-GB"/>
        </w:rPr>
        <w:t>-</w:t>
      </w:r>
      <w:r w:rsidRPr="00DB5B50">
        <w:rPr>
          <w:rFonts w:eastAsia="Times New Roman"/>
          <w:lang w:eastAsia="en-GB"/>
        </w:rPr>
        <w:t xml:space="preserve">rate free of risk. As a result it was agreed to sample employees </w:t>
      </w:r>
      <w:r w:rsidR="00086D07">
        <w:rPr>
          <w:rFonts w:eastAsia="Times New Roman"/>
          <w:lang w:eastAsia="en-GB"/>
        </w:rPr>
        <w:t xml:space="preserve">on rates </w:t>
      </w:r>
      <w:r w:rsidR="008C04CA">
        <w:rPr>
          <w:rFonts w:eastAsia="Times New Roman"/>
          <w:lang w:eastAsia="en-GB"/>
        </w:rPr>
        <w:t xml:space="preserve">of </w:t>
      </w:r>
      <w:r w:rsidRPr="00DB5B50">
        <w:rPr>
          <w:rFonts w:eastAsia="Times New Roman"/>
          <w:lang w:eastAsia="en-GB"/>
        </w:rPr>
        <w:t xml:space="preserve">up to £10 per hour to investigate the question of in-work poverty - as the living wage adoption and any improvements that flow from this to the household resources will only affect those workers </w:t>
      </w:r>
      <w:r w:rsidR="00F227CA">
        <w:rPr>
          <w:rFonts w:eastAsia="Times New Roman"/>
          <w:lang w:eastAsia="en-GB"/>
        </w:rPr>
        <w:t xml:space="preserve">towards </w:t>
      </w:r>
      <w:r w:rsidR="00DF5421">
        <w:rPr>
          <w:rFonts w:eastAsia="Times New Roman"/>
          <w:lang w:eastAsia="en-GB"/>
        </w:rPr>
        <w:t xml:space="preserve">the </w:t>
      </w:r>
      <w:r w:rsidRPr="00DB5B50">
        <w:rPr>
          <w:rFonts w:eastAsia="Times New Roman"/>
          <w:lang w:eastAsia="en-GB"/>
        </w:rPr>
        <w:t xml:space="preserve">bottom </w:t>
      </w:r>
      <w:r w:rsidR="00F227CA">
        <w:rPr>
          <w:rFonts w:eastAsia="Times New Roman"/>
          <w:lang w:eastAsia="en-GB"/>
        </w:rPr>
        <w:t xml:space="preserve">end </w:t>
      </w:r>
      <w:r w:rsidRPr="00DB5B50">
        <w:rPr>
          <w:rFonts w:eastAsia="Times New Roman"/>
          <w:lang w:eastAsia="en-GB"/>
        </w:rPr>
        <w:t xml:space="preserve">of the wage distribution, whereas significant challenges </w:t>
      </w:r>
      <w:r w:rsidR="003B3D5B">
        <w:rPr>
          <w:rFonts w:eastAsia="Times New Roman"/>
          <w:lang w:eastAsia="en-GB"/>
        </w:rPr>
        <w:t xml:space="preserve">may </w:t>
      </w:r>
      <w:r w:rsidRPr="00DB5B50">
        <w:rPr>
          <w:rFonts w:eastAsia="Times New Roman"/>
          <w:lang w:eastAsia="en-GB"/>
        </w:rPr>
        <w:t>also be faced by workers slightly further up the wage distribution. This consideration is particularly relevant if the possibility of increasing the ‘wage envelope’</w:t>
      </w:r>
      <w:r w:rsidR="001115F7">
        <w:rPr>
          <w:rFonts w:eastAsia="Times New Roman"/>
          <w:lang w:eastAsia="en-GB"/>
        </w:rPr>
        <w:t xml:space="preserve"> </w:t>
      </w:r>
      <w:r w:rsidRPr="00DB5B50">
        <w:rPr>
          <w:rFonts w:eastAsia="Times New Roman"/>
          <w:lang w:eastAsia="en-GB"/>
        </w:rPr>
        <w:t>to improve the wages of workers (even above that of the living wage) is limited</w:t>
      </w:r>
      <w:r w:rsidR="00730F87">
        <w:rPr>
          <w:rFonts w:eastAsia="Times New Roman"/>
          <w:lang w:eastAsia="en-GB"/>
        </w:rPr>
        <w:t>.</w:t>
      </w:r>
      <w:r w:rsidR="00F227CA">
        <w:rPr>
          <w:rFonts w:eastAsia="Times New Roman"/>
          <w:lang w:eastAsia="en-GB"/>
        </w:rPr>
        <w:t xml:space="preserve"> It also enabled us to compare the circumstances of those who had benefited from the introduction of the </w:t>
      </w:r>
      <w:r w:rsidR="00650086">
        <w:rPr>
          <w:rFonts w:eastAsia="Times New Roman"/>
          <w:lang w:eastAsia="en-GB"/>
        </w:rPr>
        <w:t>VLW</w:t>
      </w:r>
      <w:r w:rsidR="00F227CA">
        <w:rPr>
          <w:rFonts w:eastAsia="Times New Roman"/>
          <w:lang w:eastAsia="en-GB"/>
        </w:rPr>
        <w:t xml:space="preserve"> and those who were already on wages slightly above that level.</w:t>
      </w:r>
    </w:p>
    <w:p w14:paraId="4D6857CE" w14:textId="77777777" w:rsidR="00684A4B" w:rsidRPr="00DB5B50" w:rsidRDefault="00684A4B" w:rsidP="00647393">
      <w:pPr>
        <w:spacing w:line="360" w:lineRule="auto"/>
        <w:rPr>
          <w:rFonts w:eastAsia="Times New Roman"/>
          <w:lang w:eastAsia="en-GB"/>
        </w:rPr>
      </w:pPr>
    </w:p>
    <w:p w14:paraId="40C95F16" w14:textId="0B6C8780" w:rsidR="00684A4B" w:rsidRPr="00DB5B50" w:rsidRDefault="006016C3" w:rsidP="00647393">
      <w:pPr>
        <w:spacing w:line="360" w:lineRule="auto"/>
        <w:rPr>
          <w:rFonts w:eastAsia="Times New Roman"/>
          <w:bCs/>
          <w:lang w:eastAsia="en-GB"/>
        </w:rPr>
      </w:pPr>
      <w:r w:rsidRPr="00DB5B50">
        <w:rPr>
          <w:rFonts w:eastAsia="Times New Roman"/>
          <w:bCs/>
          <w:lang w:eastAsia="en-GB"/>
        </w:rPr>
        <w:t xml:space="preserve">55% of the </w:t>
      </w:r>
      <w:r w:rsidR="00684A4B" w:rsidRPr="00DB5B50">
        <w:rPr>
          <w:rFonts w:eastAsia="Times New Roman"/>
          <w:bCs/>
          <w:lang w:eastAsia="en-GB"/>
        </w:rPr>
        <w:t xml:space="preserve">CYC total directly employed workforce </w:t>
      </w:r>
      <w:r w:rsidRPr="00DB5B50">
        <w:rPr>
          <w:rFonts w:eastAsia="Times New Roman"/>
          <w:bCs/>
          <w:lang w:eastAsia="en-GB"/>
        </w:rPr>
        <w:t>were</w:t>
      </w:r>
      <w:r w:rsidR="00684A4B" w:rsidRPr="00DB5B50">
        <w:rPr>
          <w:rFonts w:eastAsia="Times New Roman"/>
          <w:bCs/>
          <w:lang w:eastAsia="en-GB"/>
        </w:rPr>
        <w:t xml:space="preserve"> paid at or below the £10 threshold, for JRF/JRHT th</w:t>
      </w:r>
      <w:r w:rsidR="00AD3F08">
        <w:rPr>
          <w:rFonts w:eastAsia="Times New Roman"/>
          <w:bCs/>
          <w:lang w:eastAsia="en-GB"/>
        </w:rPr>
        <w:t>e figure was</w:t>
      </w:r>
      <w:r w:rsidR="00684A4B" w:rsidRPr="00DB5B50">
        <w:rPr>
          <w:rFonts w:eastAsia="Times New Roman"/>
          <w:bCs/>
          <w:lang w:eastAsia="en-GB"/>
        </w:rPr>
        <w:t xml:space="preserve"> 72% and for YSJU just 26%. </w:t>
      </w:r>
      <w:r w:rsidR="00DF5421">
        <w:rPr>
          <w:rFonts w:eastAsia="Times New Roman"/>
          <w:bCs/>
          <w:lang w:eastAsia="en-GB"/>
        </w:rPr>
        <w:t>T</w:t>
      </w:r>
      <w:r w:rsidR="0072232B">
        <w:rPr>
          <w:rFonts w:eastAsia="Times New Roman"/>
          <w:bCs/>
          <w:lang w:eastAsia="en-GB"/>
        </w:rPr>
        <w:t xml:space="preserve">he </w:t>
      </w:r>
      <w:r w:rsidR="00684A4B" w:rsidRPr="00DB5B50">
        <w:rPr>
          <w:rFonts w:eastAsia="Times New Roman"/>
          <w:bCs/>
          <w:lang w:eastAsia="en-GB"/>
        </w:rPr>
        <w:t>difference i</w:t>
      </w:r>
      <w:r w:rsidR="00231264">
        <w:rPr>
          <w:rFonts w:eastAsia="Times New Roman"/>
          <w:bCs/>
          <w:lang w:eastAsia="en-GB"/>
        </w:rPr>
        <w:t>n</w:t>
      </w:r>
      <w:r w:rsidR="00684A4B" w:rsidRPr="00DB5B50">
        <w:rPr>
          <w:rFonts w:eastAsia="Times New Roman"/>
          <w:bCs/>
          <w:lang w:eastAsia="en-GB"/>
        </w:rPr>
        <w:t xml:space="preserve"> internal wage distribution is a function of the activity of the organisation: CYC </w:t>
      </w:r>
      <w:proofErr w:type="gramStart"/>
      <w:r w:rsidR="0072232B">
        <w:rPr>
          <w:rFonts w:eastAsia="Times New Roman"/>
          <w:bCs/>
          <w:lang w:eastAsia="en-GB"/>
        </w:rPr>
        <w:t>staff include</w:t>
      </w:r>
      <w:proofErr w:type="gramEnd"/>
      <w:r w:rsidR="0072232B">
        <w:rPr>
          <w:rFonts w:eastAsia="Times New Roman"/>
          <w:bCs/>
          <w:lang w:eastAsia="en-GB"/>
        </w:rPr>
        <w:t xml:space="preserve"> a large number of ancillary education workers,</w:t>
      </w:r>
      <w:r w:rsidR="00684A4B" w:rsidRPr="00DB5B50">
        <w:rPr>
          <w:rFonts w:eastAsia="Times New Roman"/>
          <w:bCs/>
          <w:lang w:eastAsia="en-GB"/>
        </w:rPr>
        <w:t xml:space="preserve"> </w:t>
      </w:r>
      <w:r w:rsidR="00281192" w:rsidRPr="00DB5B50">
        <w:rPr>
          <w:rFonts w:eastAsia="Times New Roman"/>
          <w:bCs/>
          <w:lang w:eastAsia="en-GB"/>
        </w:rPr>
        <w:t xml:space="preserve">JRF/JRHT </w:t>
      </w:r>
      <w:r w:rsidR="00281192">
        <w:rPr>
          <w:rFonts w:eastAsia="Times New Roman"/>
          <w:bCs/>
          <w:lang w:eastAsia="en-GB"/>
        </w:rPr>
        <w:t xml:space="preserve">employees </w:t>
      </w:r>
      <w:r w:rsidR="00281192" w:rsidRPr="00DB5B50">
        <w:rPr>
          <w:rFonts w:eastAsia="Times New Roman"/>
          <w:bCs/>
          <w:lang w:eastAsia="en-GB"/>
        </w:rPr>
        <w:t>predomina</w:t>
      </w:r>
      <w:r w:rsidR="005A229A">
        <w:rPr>
          <w:rFonts w:eastAsia="Times New Roman"/>
          <w:bCs/>
          <w:lang w:eastAsia="en-GB"/>
        </w:rPr>
        <w:t>nt</w:t>
      </w:r>
      <w:r w:rsidR="00281192" w:rsidRPr="00DB5B50">
        <w:rPr>
          <w:rFonts w:eastAsia="Times New Roman"/>
          <w:bCs/>
          <w:lang w:eastAsia="en-GB"/>
        </w:rPr>
        <w:t xml:space="preserve">ly </w:t>
      </w:r>
      <w:r w:rsidR="00281192">
        <w:rPr>
          <w:rFonts w:eastAsia="Times New Roman"/>
          <w:bCs/>
          <w:lang w:eastAsia="en-GB"/>
        </w:rPr>
        <w:t xml:space="preserve">provide </w:t>
      </w:r>
      <w:r w:rsidR="00281192" w:rsidRPr="00DB5B50">
        <w:rPr>
          <w:rFonts w:eastAsia="Times New Roman"/>
          <w:bCs/>
          <w:lang w:eastAsia="en-GB"/>
        </w:rPr>
        <w:t>adult social care</w:t>
      </w:r>
      <w:r w:rsidR="00281192">
        <w:rPr>
          <w:rFonts w:eastAsia="Times New Roman"/>
          <w:bCs/>
          <w:lang w:eastAsia="en-GB"/>
        </w:rPr>
        <w:t xml:space="preserve">, </w:t>
      </w:r>
      <w:r w:rsidR="00684A4B" w:rsidRPr="00DB5B50">
        <w:rPr>
          <w:rFonts w:eastAsia="Times New Roman"/>
          <w:bCs/>
          <w:lang w:eastAsia="en-GB"/>
        </w:rPr>
        <w:t xml:space="preserve">and YSJU employs academic, administrative and ancillary staff. </w:t>
      </w:r>
      <w:r w:rsidR="00281192">
        <w:rPr>
          <w:rFonts w:eastAsia="Times New Roman"/>
          <w:bCs/>
          <w:lang w:eastAsia="en-GB"/>
        </w:rPr>
        <w:t>This demonstrates that different employers will have different prop</w:t>
      </w:r>
      <w:r w:rsidR="003B6E10">
        <w:rPr>
          <w:rFonts w:eastAsia="Times New Roman"/>
          <w:bCs/>
          <w:lang w:eastAsia="en-GB"/>
        </w:rPr>
        <w:t>o</w:t>
      </w:r>
      <w:r w:rsidR="00281192">
        <w:rPr>
          <w:rFonts w:eastAsia="Times New Roman"/>
          <w:bCs/>
          <w:lang w:eastAsia="en-GB"/>
        </w:rPr>
        <w:t>rtions of employees who are potential beneficiaries of the VLW</w:t>
      </w:r>
      <w:r w:rsidR="003B6E10">
        <w:rPr>
          <w:rFonts w:eastAsia="Times New Roman"/>
          <w:bCs/>
          <w:lang w:eastAsia="en-GB"/>
        </w:rPr>
        <w:t>,</w:t>
      </w:r>
      <w:r w:rsidR="00281192">
        <w:rPr>
          <w:rFonts w:eastAsia="Times New Roman"/>
          <w:bCs/>
          <w:lang w:eastAsia="en-GB"/>
        </w:rPr>
        <w:t xml:space="preserve"> and will face different scales of challenges in becoming VLW employers. </w:t>
      </w:r>
      <w:r w:rsidR="005E0D8D" w:rsidRPr="00DB5B50">
        <w:rPr>
          <w:rFonts w:eastAsia="Times New Roman"/>
          <w:bCs/>
          <w:lang w:eastAsia="en-GB"/>
        </w:rPr>
        <w:t xml:space="preserve">In the case of each employer </w:t>
      </w:r>
      <w:r w:rsidR="002355A5">
        <w:rPr>
          <w:rFonts w:eastAsia="Times New Roman"/>
          <w:bCs/>
          <w:lang w:eastAsia="en-GB"/>
        </w:rPr>
        <w:t xml:space="preserve">it is important to note that </w:t>
      </w:r>
      <w:r w:rsidR="005E0D8D" w:rsidRPr="00DB5B50">
        <w:rPr>
          <w:rFonts w:eastAsia="Times New Roman"/>
          <w:bCs/>
          <w:lang w:eastAsia="en-GB"/>
        </w:rPr>
        <w:t>the majority of those earning less than £10 per hour were female (</w:t>
      </w:r>
      <w:r w:rsidR="003B6E10">
        <w:rPr>
          <w:rFonts w:eastAsia="Times New Roman"/>
          <w:bCs/>
          <w:lang w:eastAsia="en-GB"/>
        </w:rPr>
        <w:t xml:space="preserve">79% at </w:t>
      </w:r>
      <w:r w:rsidR="005E0D8D" w:rsidRPr="00DB5B50">
        <w:rPr>
          <w:rFonts w:eastAsia="Times New Roman"/>
          <w:bCs/>
          <w:lang w:eastAsia="en-GB"/>
        </w:rPr>
        <w:t>CYC</w:t>
      </w:r>
      <w:r w:rsidR="003B6E10">
        <w:rPr>
          <w:rFonts w:eastAsia="Times New Roman"/>
          <w:bCs/>
          <w:lang w:eastAsia="en-GB"/>
        </w:rPr>
        <w:t>,</w:t>
      </w:r>
      <w:r w:rsidR="005E0D8D" w:rsidRPr="00DB5B50">
        <w:rPr>
          <w:rFonts w:eastAsia="Times New Roman"/>
          <w:bCs/>
          <w:lang w:eastAsia="en-GB"/>
        </w:rPr>
        <w:t xml:space="preserve"> </w:t>
      </w:r>
      <w:r w:rsidR="003B6E10">
        <w:rPr>
          <w:rFonts w:eastAsia="Times New Roman"/>
          <w:bCs/>
          <w:lang w:eastAsia="en-GB"/>
        </w:rPr>
        <w:t xml:space="preserve">81% at </w:t>
      </w:r>
      <w:r w:rsidR="005E0D8D" w:rsidRPr="00DB5B50">
        <w:rPr>
          <w:rFonts w:eastAsia="Times New Roman"/>
          <w:bCs/>
          <w:lang w:eastAsia="en-GB"/>
        </w:rPr>
        <w:t xml:space="preserve">JRF/JRHT and </w:t>
      </w:r>
      <w:r w:rsidR="003B6E10">
        <w:rPr>
          <w:rFonts w:eastAsia="Times New Roman"/>
          <w:bCs/>
          <w:lang w:eastAsia="en-GB"/>
        </w:rPr>
        <w:t xml:space="preserve">72% at </w:t>
      </w:r>
      <w:r w:rsidR="005E0D8D" w:rsidRPr="00DB5B50">
        <w:rPr>
          <w:rFonts w:eastAsia="Times New Roman"/>
          <w:bCs/>
          <w:lang w:eastAsia="en-GB"/>
        </w:rPr>
        <w:t>YSJU)</w:t>
      </w:r>
      <w:r w:rsidR="00281192">
        <w:rPr>
          <w:rFonts w:eastAsia="Times New Roman"/>
          <w:bCs/>
          <w:lang w:eastAsia="en-GB"/>
        </w:rPr>
        <w:t xml:space="preserve">. </w:t>
      </w:r>
      <w:r w:rsidR="003B6E10">
        <w:rPr>
          <w:rFonts w:eastAsia="Times New Roman"/>
          <w:bCs/>
          <w:lang w:eastAsia="en-GB"/>
        </w:rPr>
        <w:t>Nationwide, women are at greater risk of low pay than men</w:t>
      </w:r>
      <w:r w:rsidR="003B6E10" w:rsidRPr="003B6E10">
        <w:t xml:space="preserve"> </w:t>
      </w:r>
      <w:r w:rsidR="003B6E10">
        <w:t>(Cooke and Lawton 2008, Hood et al. 2014)</w:t>
      </w:r>
      <w:r w:rsidR="003B6E10">
        <w:rPr>
          <w:rFonts w:eastAsia="Times New Roman"/>
          <w:bCs/>
          <w:lang w:eastAsia="en-GB"/>
        </w:rPr>
        <w:t>, but t</w:t>
      </w:r>
      <w:r w:rsidR="00281192">
        <w:rPr>
          <w:rFonts w:eastAsia="Times New Roman"/>
          <w:bCs/>
          <w:lang w:eastAsia="en-GB"/>
        </w:rPr>
        <w:t>h</w:t>
      </w:r>
      <w:r w:rsidR="003B6E10">
        <w:rPr>
          <w:rFonts w:eastAsia="Times New Roman"/>
          <w:bCs/>
          <w:lang w:eastAsia="en-GB"/>
        </w:rPr>
        <w:t>e case studies show a more marked pattern than that seen at national level, and suggest that</w:t>
      </w:r>
      <w:r w:rsidR="00281192">
        <w:rPr>
          <w:rFonts w:eastAsia="Times New Roman"/>
          <w:bCs/>
          <w:lang w:eastAsia="en-GB"/>
        </w:rPr>
        <w:t xml:space="preserve"> the potential gendered impact on poverty from the VLW may be magnified</w:t>
      </w:r>
      <w:r w:rsidR="003B6E10">
        <w:rPr>
          <w:rFonts w:eastAsia="Times New Roman"/>
          <w:bCs/>
          <w:lang w:eastAsia="en-GB"/>
        </w:rPr>
        <w:t xml:space="preserve"> at industry and organisational level</w:t>
      </w:r>
      <w:r w:rsidR="005E0D8D" w:rsidRPr="00DB5B50">
        <w:rPr>
          <w:rFonts w:eastAsia="Times New Roman"/>
          <w:bCs/>
          <w:lang w:eastAsia="en-GB"/>
        </w:rPr>
        <w:t>.</w:t>
      </w:r>
    </w:p>
    <w:p w14:paraId="085197D4" w14:textId="77777777" w:rsidR="00684A4B" w:rsidRPr="00DB5B50" w:rsidRDefault="00684A4B" w:rsidP="00647393">
      <w:pPr>
        <w:spacing w:line="360" w:lineRule="auto"/>
        <w:rPr>
          <w:rFonts w:eastAsia="Times New Roman"/>
          <w:bCs/>
          <w:lang w:eastAsia="en-GB"/>
        </w:rPr>
      </w:pPr>
    </w:p>
    <w:p w14:paraId="3D3A4269" w14:textId="4689AC78" w:rsidR="0065465B" w:rsidRPr="00DB5B50" w:rsidRDefault="00684A4B" w:rsidP="00647393">
      <w:pPr>
        <w:spacing w:line="360" w:lineRule="auto"/>
        <w:rPr>
          <w:rFonts w:eastAsia="Times New Roman"/>
          <w:bCs/>
          <w:lang w:eastAsia="en-GB"/>
        </w:rPr>
      </w:pPr>
      <w:r w:rsidRPr="00DB5B50">
        <w:rPr>
          <w:rFonts w:eastAsia="Times New Roman"/>
          <w:lang w:eastAsia="en-GB"/>
        </w:rPr>
        <w:lastRenderedPageBreak/>
        <w:t>In addition to the sampling by employer</w:t>
      </w:r>
      <w:r w:rsidR="00086D07">
        <w:rPr>
          <w:rFonts w:eastAsia="Times New Roman"/>
          <w:lang w:eastAsia="en-GB"/>
        </w:rPr>
        <w:t>,</w:t>
      </w:r>
      <w:r w:rsidRPr="00DB5B50">
        <w:rPr>
          <w:rFonts w:eastAsia="Times New Roman"/>
          <w:lang w:eastAsia="en-GB"/>
        </w:rPr>
        <w:t xml:space="preserve"> the recruitment was also stratified by wage rate and job type. </w:t>
      </w:r>
      <w:r w:rsidR="0065465B" w:rsidRPr="00DB5B50">
        <w:rPr>
          <w:rFonts w:eastAsia="Times New Roman"/>
          <w:bCs/>
          <w:lang w:eastAsia="en-GB"/>
        </w:rPr>
        <w:t>The survey sample was recruited by phone, email and letter by the survey company using a list of employees shared by the project partners with the survey company. The names of the employees shared with the survey company were those who had not opted</w:t>
      </w:r>
      <w:r w:rsidR="005A229A">
        <w:rPr>
          <w:rFonts w:eastAsia="Times New Roman"/>
          <w:bCs/>
          <w:lang w:eastAsia="en-GB"/>
        </w:rPr>
        <w:t xml:space="preserve"> </w:t>
      </w:r>
      <w:r w:rsidR="0065465B" w:rsidRPr="00DB5B50">
        <w:rPr>
          <w:rFonts w:eastAsia="Times New Roman"/>
          <w:bCs/>
          <w:lang w:eastAsia="en-GB"/>
        </w:rPr>
        <w:t>out of the survey recruitment after correspondence from the employer (</w:t>
      </w:r>
      <w:r w:rsidR="003B6E10">
        <w:rPr>
          <w:rFonts w:eastAsia="Times New Roman"/>
          <w:bCs/>
          <w:lang w:eastAsia="en-GB"/>
        </w:rPr>
        <w:t>i.e.</w:t>
      </w:r>
      <w:r w:rsidR="0065465B" w:rsidRPr="00DB5B50">
        <w:rPr>
          <w:rFonts w:eastAsia="Times New Roman"/>
          <w:bCs/>
          <w:lang w:eastAsia="en-GB"/>
        </w:rPr>
        <w:t xml:space="preserve"> the approach was a survey opt-out rather than opt-in). </w:t>
      </w:r>
    </w:p>
    <w:p w14:paraId="7F1277EE" w14:textId="77777777" w:rsidR="0065465B" w:rsidRPr="00DB5B50" w:rsidRDefault="0065465B" w:rsidP="00647393">
      <w:pPr>
        <w:spacing w:line="360" w:lineRule="auto"/>
        <w:rPr>
          <w:rFonts w:eastAsia="Times New Roman"/>
          <w:bCs/>
          <w:lang w:eastAsia="en-GB"/>
        </w:rPr>
      </w:pPr>
    </w:p>
    <w:p w14:paraId="028FD1BD" w14:textId="2AAA5FD2" w:rsidR="0065465B" w:rsidRPr="00DB5B50" w:rsidRDefault="00DC4B34" w:rsidP="00DC4B34">
      <w:pPr>
        <w:spacing w:line="360" w:lineRule="auto"/>
        <w:rPr>
          <w:rFonts w:eastAsia="Times New Roman"/>
          <w:bCs/>
          <w:lang w:eastAsia="en-GB"/>
        </w:rPr>
      </w:pPr>
      <w:r w:rsidRPr="00DC4B34">
        <w:rPr>
          <w:rFonts w:eastAsia="Times New Roman"/>
          <w:bCs/>
          <w:lang w:eastAsia="en-GB"/>
        </w:rPr>
        <w:t>The survey sample included appropriate proportional representation of employees from the three partner organisations earning below £10 per hour. For the full population of employees (earnings at or below £10 per hour) across the three partner organisations the proportion of CYC employees was c.86% compared to 10% at JRF/JRHT and 3.5% at YSJU. The final sample recruited reflected closely these original population proportions, e.g. 77.4% at CYC, 17.5% at JRF/JRHT and 5.1% at YSJU</w:t>
      </w:r>
      <w:r w:rsidR="005A229A">
        <w:rPr>
          <w:rFonts w:eastAsia="Times New Roman"/>
          <w:bCs/>
          <w:lang w:eastAsia="en-GB"/>
        </w:rPr>
        <w:t>,</w:t>
      </w:r>
      <w:r w:rsidRPr="00DC4B34">
        <w:rPr>
          <w:rFonts w:eastAsia="Times New Roman"/>
          <w:bCs/>
          <w:lang w:eastAsia="en-GB"/>
        </w:rPr>
        <w:t xml:space="preserve"> albeit with a small degree of under</w:t>
      </w:r>
      <w:r w:rsidR="005A229A">
        <w:rPr>
          <w:rFonts w:eastAsia="Times New Roman"/>
          <w:bCs/>
          <w:lang w:eastAsia="en-GB"/>
        </w:rPr>
        <w:t>-</w:t>
      </w:r>
      <w:r w:rsidRPr="00DC4B34">
        <w:rPr>
          <w:rFonts w:eastAsia="Times New Roman"/>
          <w:bCs/>
          <w:lang w:eastAsia="en-GB"/>
        </w:rPr>
        <w:t>sampling from CYC (77.4% vs 86%).</w:t>
      </w:r>
      <w:r>
        <w:rPr>
          <w:rFonts w:eastAsia="Times New Roman"/>
          <w:bCs/>
          <w:lang w:eastAsia="en-GB"/>
        </w:rPr>
        <w:t xml:space="preserve"> </w:t>
      </w:r>
      <w:r w:rsidR="005E0D8D" w:rsidRPr="00DB5B50">
        <w:rPr>
          <w:rFonts w:eastAsia="Times New Roman"/>
          <w:bCs/>
          <w:lang w:eastAsia="en-GB"/>
        </w:rPr>
        <w:t xml:space="preserve">Table 1 provides a </w:t>
      </w:r>
      <w:r w:rsidR="0065465B" w:rsidRPr="00DB5B50">
        <w:rPr>
          <w:rFonts w:eastAsia="Times New Roman"/>
          <w:bCs/>
          <w:lang w:eastAsia="en-GB"/>
        </w:rPr>
        <w:t xml:space="preserve">summary of the recruited sample of 491 respondents. </w:t>
      </w:r>
      <w:r w:rsidR="005E0D8D" w:rsidRPr="00DB5B50">
        <w:rPr>
          <w:rFonts w:eastAsia="Times New Roman"/>
          <w:bCs/>
          <w:lang w:eastAsia="en-GB"/>
        </w:rPr>
        <w:t>T</w:t>
      </w:r>
      <w:r w:rsidR="0065465B" w:rsidRPr="00DB5B50">
        <w:rPr>
          <w:rFonts w:eastAsia="Times New Roman"/>
          <w:bCs/>
          <w:lang w:eastAsia="en-GB"/>
        </w:rPr>
        <w:t xml:space="preserve">he final sample recruited reflected closely the original population proportions. </w:t>
      </w:r>
    </w:p>
    <w:p w14:paraId="7271B464" w14:textId="77777777" w:rsidR="00086D07" w:rsidRDefault="00086D07" w:rsidP="00647393">
      <w:pPr>
        <w:spacing w:line="360" w:lineRule="auto"/>
        <w:rPr>
          <w:rFonts w:eastAsia="Times New Roman"/>
          <w:bCs/>
          <w:lang w:eastAsia="en-GB"/>
        </w:rPr>
      </w:pPr>
    </w:p>
    <w:p w14:paraId="626DDEE7" w14:textId="755C568F" w:rsidR="0065465B" w:rsidRPr="00086D07" w:rsidRDefault="00086D07" w:rsidP="00647393">
      <w:pPr>
        <w:spacing w:line="360" w:lineRule="auto"/>
        <w:rPr>
          <w:rFonts w:eastAsia="Times New Roman"/>
          <w:b/>
          <w:bCs/>
          <w:lang w:eastAsia="en-GB"/>
        </w:rPr>
      </w:pPr>
      <w:r w:rsidRPr="00086D07">
        <w:rPr>
          <w:rFonts w:eastAsia="Times New Roman"/>
          <w:b/>
          <w:bCs/>
          <w:lang w:eastAsia="en-GB"/>
        </w:rPr>
        <w:t>Insert Table 1 here</w:t>
      </w:r>
    </w:p>
    <w:p w14:paraId="6C1B86FA" w14:textId="77777777" w:rsidR="001A5A5F" w:rsidRDefault="001A5A5F" w:rsidP="00647393">
      <w:pPr>
        <w:spacing w:line="360" w:lineRule="auto"/>
        <w:rPr>
          <w:rFonts w:eastAsia="Times New Roman"/>
          <w:lang w:eastAsia="en-GB"/>
        </w:rPr>
      </w:pPr>
    </w:p>
    <w:p w14:paraId="7542E2BA" w14:textId="68E93A8A" w:rsidR="0065465B" w:rsidRPr="00DB5B50" w:rsidRDefault="0065465B" w:rsidP="00647393">
      <w:pPr>
        <w:spacing w:line="360" w:lineRule="auto"/>
        <w:rPr>
          <w:rFonts w:eastAsia="Times New Roman"/>
          <w:lang w:eastAsia="en-GB"/>
        </w:rPr>
      </w:pPr>
      <w:r w:rsidRPr="00DB5B50">
        <w:rPr>
          <w:rFonts w:eastAsia="Times New Roman"/>
          <w:lang w:eastAsia="en-GB"/>
        </w:rPr>
        <w:t>Of the full 491 observations</w:t>
      </w:r>
      <w:r w:rsidR="005A229A">
        <w:rPr>
          <w:rFonts w:eastAsia="Times New Roman"/>
          <w:lang w:eastAsia="en-GB"/>
        </w:rPr>
        <w:t>,</w:t>
      </w:r>
      <w:r w:rsidRPr="00DB5B50">
        <w:rPr>
          <w:rFonts w:eastAsia="Times New Roman"/>
          <w:lang w:eastAsia="en-GB"/>
        </w:rPr>
        <w:t xml:space="preserve"> five were apprentices earning at or below the </w:t>
      </w:r>
      <w:r w:rsidR="005A229A">
        <w:rPr>
          <w:rFonts w:eastAsia="Times New Roman"/>
          <w:lang w:eastAsia="en-GB"/>
        </w:rPr>
        <w:t xml:space="preserve">then </w:t>
      </w:r>
      <w:r w:rsidR="007D6FF8">
        <w:rPr>
          <w:rFonts w:eastAsia="Times New Roman"/>
          <w:lang w:eastAsia="en-GB"/>
        </w:rPr>
        <w:t>(</w:t>
      </w:r>
      <w:r w:rsidR="005A229A">
        <w:rPr>
          <w:rFonts w:eastAsia="Times New Roman"/>
          <w:lang w:eastAsia="en-GB"/>
        </w:rPr>
        <w:t>outside London</w:t>
      </w:r>
      <w:r w:rsidR="007D6FF8">
        <w:rPr>
          <w:rFonts w:eastAsia="Times New Roman"/>
          <w:lang w:eastAsia="en-GB"/>
        </w:rPr>
        <w:t>)</w:t>
      </w:r>
      <w:r w:rsidR="005A229A">
        <w:rPr>
          <w:rFonts w:eastAsia="Times New Roman"/>
          <w:lang w:eastAsia="en-GB"/>
        </w:rPr>
        <w:t xml:space="preserve"> </w:t>
      </w:r>
      <w:r w:rsidR="00FD1FC2">
        <w:rPr>
          <w:rFonts w:eastAsia="Times New Roman"/>
          <w:lang w:eastAsia="en-GB"/>
        </w:rPr>
        <w:t>VLW</w:t>
      </w:r>
      <w:r w:rsidRPr="00DB5B50">
        <w:rPr>
          <w:rFonts w:eastAsia="Times New Roman"/>
          <w:lang w:eastAsia="en-GB"/>
        </w:rPr>
        <w:t xml:space="preserve"> rate of £7.65</w:t>
      </w:r>
      <w:r w:rsidR="005A229A">
        <w:rPr>
          <w:rFonts w:eastAsia="Times New Roman"/>
          <w:lang w:eastAsia="en-GB"/>
        </w:rPr>
        <w:t xml:space="preserve"> per hour</w:t>
      </w:r>
      <w:r w:rsidRPr="00DB5B50">
        <w:rPr>
          <w:rFonts w:eastAsia="Times New Roman"/>
          <w:lang w:eastAsia="en-GB"/>
        </w:rPr>
        <w:t xml:space="preserve">, 193 were </w:t>
      </w:r>
      <w:r w:rsidR="007D6FF8">
        <w:rPr>
          <w:rFonts w:eastAsia="Times New Roman"/>
          <w:lang w:eastAsia="en-GB"/>
        </w:rPr>
        <w:t xml:space="preserve">receiving the </w:t>
      </w:r>
      <w:r w:rsidR="00FD1FC2">
        <w:rPr>
          <w:rFonts w:eastAsia="Times New Roman"/>
          <w:lang w:eastAsia="en-GB"/>
        </w:rPr>
        <w:t>VLW</w:t>
      </w:r>
      <w:r w:rsidRPr="00DB5B50">
        <w:rPr>
          <w:rFonts w:eastAsia="Times New Roman"/>
          <w:lang w:eastAsia="en-GB"/>
        </w:rPr>
        <w:t xml:space="preserve"> </w:t>
      </w:r>
      <w:r w:rsidR="007D6FF8">
        <w:rPr>
          <w:rFonts w:eastAsia="Times New Roman"/>
          <w:lang w:eastAsia="en-GB"/>
        </w:rPr>
        <w:t xml:space="preserve">as </w:t>
      </w:r>
      <w:r w:rsidRPr="00DB5B50">
        <w:rPr>
          <w:rFonts w:eastAsia="Times New Roman"/>
          <w:lang w:eastAsia="en-GB"/>
        </w:rPr>
        <w:t xml:space="preserve">employees and 293 were above the </w:t>
      </w:r>
      <w:r w:rsidR="00FD1FC2">
        <w:rPr>
          <w:rFonts w:eastAsia="Times New Roman"/>
          <w:lang w:eastAsia="en-GB"/>
        </w:rPr>
        <w:t>VLW</w:t>
      </w:r>
      <w:r w:rsidRPr="00DB5B50">
        <w:rPr>
          <w:rFonts w:eastAsia="Times New Roman"/>
          <w:lang w:eastAsia="en-GB"/>
        </w:rPr>
        <w:t xml:space="preserve"> (up to £10 per hour). </w:t>
      </w:r>
      <w:r w:rsidR="001A5A5F">
        <w:rPr>
          <w:rFonts w:eastAsia="Times New Roman"/>
          <w:lang w:eastAsia="en-GB"/>
        </w:rPr>
        <w:t xml:space="preserve">See </w:t>
      </w:r>
      <w:r w:rsidR="005E0D8D" w:rsidRPr="00DB5B50">
        <w:rPr>
          <w:rFonts w:eastAsia="Times New Roman"/>
          <w:lang w:eastAsia="en-GB"/>
        </w:rPr>
        <w:t>Table 2</w:t>
      </w:r>
      <w:r w:rsidRPr="00DB5B50">
        <w:rPr>
          <w:rFonts w:eastAsia="Times New Roman"/>
          <w:lang w:eastAsia="en-GB"/>
        </w:rPr>
        <w:t>.</w:t>
      </w:r>
    </w:p>
    <w:p w14:paraId="2200F49B" w14:textId="77777777" w:rsidR="0065465B" w:rsidRDefault="0065465B" w:rsidP="00647393">
      <w:pPr>
        <w:spacing w:line="360" w:lineRule="auto"/>
        <w:rPr>
          <w:rFonts w:eastAsia="Times New Roman"/>
          <w:lang w:eastAsia="en-GB"/>
        </w:rPr>
      </w:pPr>
    </w:p>
    <w:p w14:paraId="4758D66B" w14:textId="3626934D" w:rsidR="001A5A5F" w:rsidRPr="001A5A5F" w:rsidRDefault="001A5A5F" w:rsidP="00647393">
      <w:pPr>
        <w:spacing w:line="360" w:lineRule="auto"/>
        <w:rPr>
          <w:rFonts w:eastAsia="Times New Roman"/>
          <w:b/>
          <w:lang w:eastAsia="en-GB"/>
        </w:rPr>
      </w:pPr>
      <w:r w:rsidRPr="001A5A5F">
        <w:rPr>
          <w:rFonts w:eastAsia="Times New Roman"/>
          <w:b/>
          <w:lang w:eastAsia="en-GB"/>
        </w:rPr>
        <w:t>Insert Table 2 here</w:t>
      </w:r>
    </w:p>
    <w:p w14:paraId="7825FC04" w14:textId="70A156D4" w:rsidR="0065465B" w:rsidRPr="00DB5B50" w:rsidRDefault="005E0D8D" w:rsidP="00086D07">
      <w:pPr>
        <w:spacing w:line="360" w:lineRule="auto"/>
        <w:rPr>
          <w:rFonts w:eastAsia="Times New Roman"/>
          <w:lang w:eastAsia="en-GB"/>
        </w:rPr>
      </w:pPr>
      <w:r w:rsidRPr="00A37D53">
        <w:rPr>
          <w:rFonts w:eastAsia="Times New Roman"/>
          <w:b/>
          <w:lang w:eastAsia="en-GB"/>
        </w:rPr>
        <w:t xml:space="preserve"> </w:t>
      </w:r>
    </w:p>
    <w:p w14:paraId="644215C5" w14:textId="6012E11C" w:rsidR="00921BF7" w:rsidRPr="00DB5B50" w:rsidRDefault="00B5037D" w:rsidP="00647393">
      <w:pPr>
        <w:spacing w:line="360" w:lineRule="auto"/>
        <w:rPr>
          <w:rFonts w:eastAsia="Times New Roman"/>
          <w:lang w:eastAsia="en-GB"/>
        </w:rPr>
      </w:pPr>
      <w:r w:rsidRPr="00DB5B50">
        <w:t>The main job</w:t>
      </w:r>
      <w:r w:rsidR="003B6E10">
        <w:t xml:space="preserve"> </w:t>
      </w:r>
      <w:r w:rsidRPr="00DB5B50">
        <w:t xml:space="preserve">types covered in the survey were </w:t>
      </w:r>
      <w:r>
        <w:t xml:space="preserve">61 </w:t>
      </w:r>
      <w:r w:rsidRPr="00DB5B50">
        <w:t>Midday Supervisory Assistant</w:t>
      </w:r>
      <w:r w:rsidR="003B6E10">
        <w:t>s</w:t>
      </w:r>
      <w:r w:rsidRPr="00DB5B50">
        <w:t xml:space="preserve"> (MSA)</w:t>
      </w:r>
      <w:r>
        <w:t>,</w:t>
      </w:r>
      <w:r w:rsidRPr="00DB5B50">
        <w:t xml:space="preserve"> </w:t>
      </w:r>
      <w:r>
        <w:t xml:space="preserve">80 </w:t>
      </w:r>
      <w:r w:rsidRPr="00DB5B50">
        <w:t xml:space="preserve">Teaching Assistants, </w:t>
      </w:r>
      <w:r>
        <w:t>39 Carers (assistants and ILSW)</w:t>
      </w:r>
      <w:r w:rsidRPr="00DB5B50">
        <w:t xml:space="preserve"> and </w:t>
      </w:r>
      <w:r>
        <w:t>36 Cleaners</w:t>
      </w:r>
      <w:r w:rsidRPr="00DB5B50">
        <w:t>.</w:t>
      </w:r>
      <w:r w:rsidRPr="00DB5B50">
        <w:rPr>
          <w:rFonts w:eastAsia="Times New Roman"/>
          <w:lang w:eastAsia="en-GB"/>
        </w:rPr>
        <w:t xml:space="preserve"> </w:t>
      </w:r>
      <w:r w:rsidR="005E0D8D" w:rsidRPr="00DB5B50">
        <w:rPr>
          <w:rFonts w:eastAsia="Times New Roman"/>
          <w:lang w:eastAsia="en-GB"/>
        </w:rPr>
        <w:t>The</w:t>
      </w:r>
      <w:r w:rsidR="00B13E0B" w:rsidRPr="00DB5B50">
        <w:rPr>
          <w:rFonts w:eastAsia="Times New Roman"/>
          <w:lang w:eastAsia="en-GB"/>
        </w:rPr>
        <w:t xml:space="preserve"> proportion of full-time employees (defined as 30 hours per week or more</w:t>
      </w:r>
      <w:r w:rsidR="0029354D">
        <w:rPr>
          <w:rFonts w:eastAsia="Times New Roman"/>
          <w:lang w:eastAsia="en-GB"/>
        </w:rPr>
        <w:t xml:space="preserve"> </w:t>
      </w:r>
      <w:r w:rsidR="00960089">
        <w:rPr>
          <w:rFonts w:eastAsia="Times New Roman"/>
          <w:lang w:eastAsia="en-GB"/>
        </w:rPr>
        <w:t>(</w:t>
      </w:r>
      <w:r w:rsidR="0029354D">
        <w:rPr>
          <w:rFonts w:eastAsia="Times New Roman"/>
          <w:lang w:eastAsia="en-GB"/>
        </w:rPr>
        <w:t>on the grounds that it is the point that a premium is paid in Working Tax Credit</w:t>
      </w:r>
      <w:r w:rsidR="00B13E0B" w:rsidRPr="00DB5B50">
        <w:rPr>
          <w:rFonts w:eastAsia="Times New Roman"/>
          <w:lang w:eastAsia="en-GB"/>
        </w:rPr>
        <w:t>)</w:t>
      </w:r>
      <w:r w:rsidR="00960089">
        <w:rPr>
          <w:rFonts w:eastAsia="Times New Roman"/>
          <w:lang w:eastAsia="en-GB"/>
        </w:rPr>
        <w:t>)</w:t>
      </w:r>
      <w:r w:rsidR="007D6FF8">
        <w:rPr>
          <w:rFonts w:eastAsia="Times New Roman"/>
          <w:lang w:eastAsia="en-GB"/>
        </w:rPr>
        <w:t xml:space="preserve"> </w:t>
      </w:r>
      <w:r w:rsidR="00B13E0B" w:rsidRPr="00DB5B50">
        <w:rPr>
          <w:rFonts w:eastAsia="Times New Roman"/>
          <w:lang w:eastAsia="en-GB"/>
        </w:rPr>
        <w:t xml:space="preserve">was 28% for the full sample, 28.3% at CYC, 26.7% at JRF/JRHT and 36% at YSJU. </w:t>
      </w:r>
      <w:r w:rsidR="003B6E10">
        <w:rPr>
          <w:rFonts w:eastAsia="Times New Roman"/>
          <w:bCs/>
          <w:lang w:eastAsia="en-GB"/>
        </w:rPr>
        <w:t>Nationwide, part-time workers are at greater risk of low hourly pay than full-time workers</w:t>
      </w:r>
      <w:r w:rsidR="003B6E10" w:rsidRPr="003B6E10">
        <w:t xml:space="preserve"> </w:t>
      </w:r>
      <w:r w:rsidR="003B6E10">
        <w:t>(Cooke and Lawton 2008, Hood et al. 2014)</w:t>
      </w:r>
      <w:r w:rsidR="003B6E10">
        <w:rPr>
          <w:rFonts w:eastAsia="Times New Roman"/>
          <w:bCs/>
          <w:lang w:eastAsia="en-GB"/>
        </w:rPr>
        <w:t xml:space="preserve">, but </w:t>
      </w:r>
      <w:r w:rsidR="005F3BA5">
        <w:rPr>
          <w:rFonts w:eastAsia="Times New Roman"/>
          <w:bCs/>
          <w:lang w:eastAsia="en-GB"/>
        </w:rPr>
        <w:t xml:space="preserve">again </w:t>
      </w:r>
      <w:r w:rsidR="003B6E10">
        <w:rPr>
          <w:rFonts w:eastAsia="Times New Roman"/>
          <w:bCs/>
          <w:lang w:eastAsia="en-GB"/>
        </w:rPr>
        <w:t xml:space="preserve">the case studies show a more marked pattern than that seen at national level. </w:t>
      </w:r>
      <w:r w:rsidR="00921BF7" w:rsidRPr="00DB5B50">
        <w:rPr>
          <w:rFonts w:eastAsia="Times New Roman"/>
          <w:lang w:eastAsia="en-GB"/>
        </w:rPr>
        <w:t>The mean (median) age of the employees is just over 44.5 (47) years of age and this is again very similar across the three organisations.  The sample is predomin</w:t>
      </w:r>
      <w:r w:rsidR="00231264">
        <w:rPr>
          <w:rFonts w:eastAsia="Times New Roman"/>
          <w:lang w:eastAsia="en-GB"/>
        </w:rPr>
        <w:t>ant</w:t>
      </w:r>
      <w:r w:rsidR="00921BF7" w:rsidRPr="00DB5B50">
        <w:rPr>
          <w:rFonts w:eastAsia="Times New Roman"/>
          <w:lang w:eastAsia="en-GB"/>
        </w:rPr>
        <w:t xml:space="preserve">ly </w:t>
      </w:r>
      <w:r w:rsidR="003B6E10">
        <w:rPr>
          <w:rFonts w:eastAsia="Times New Roman"/>
          <w:lang w:eastAsia="en-GB"/>
        </w:rPr>
        <w:t>W</w:t>
      </w:r>
      <w:r w:rsidR="00921BF7" w:rsidRPr="00DB5B50">
        <w:rPr>
          <w:rFonts w:eastAsia="Times New Roman"/>
          <w:lang w:eastAsia="en-GB"/>
        </w:rPr>
        <w:t xml:space="preserve">hite with over 94% of </w:t>
      </w:r>
      <w:r w:rsidR="00921BF7" w:rsidRPr="00DB5B50">
        <w:rPr>
          <w:rFonts w:eastAsia="Times New Roman"/>
          <w:lang w:eastAsia="en-GB"/>
        </w:rPr>
        <w:lastRenderedPageBreak/>
        <w:t>the sample reporting their own ethnicity as White (UK or Irish)</w:t>
      </w:r>
      <w:r w:rsidR="003B6E10">
        <w:rPr>
          <w:rFonts w:eastAsia="Times New Roman"/>
          <w:lang w:eastAsia="en-GB"/>
        </w:rPr>
        <w:t>, reflecting the composition of the local population</w:t>
      </w:r>
      <w:r w:rsidR="005E0D8D" w:rsidRPr="00DB5B50">
        <w:rPr>
          <w:rFonts w:eastAsia="Times New Roman"/>
          <w:lang w:eastAsia="en-GB"/>
        </w:rPr>
        <w:t>.</w:t>
      </w:r>
    </w:p>
    <w:p w14:paraId="564A0B32" w14:textId="77777777" w:rsidR="00684A4B" w:rsidRPr="00DB5B50" w:rsidRDefault="00684A4B" w:rsidP="00647393">
      <w:pPr>
        <w:spacing w:line="360" w:lineRule="auto"/>
        <w:rPr>
          <w:rFonts w:eastAsia="Times New Roman"/>
          <w:bCs/>
          <w:lang w:eastAsia="en-GB"/>
        </w:rPr>
      </w:pPr>
    </w:p>
    <w:p w14:paraId="719C54D4" w14:textId="0F3D41B1" w:rsidR="002D5CA4" w:rsidRPr="00DB5B50" w:rsidRDefault="00A36CD7" w:rsidP="00647393">
      <w:pPr>
        <w:spacing w:line="360" w:lineRule="auto"/>
        <w:rPr>
          <w:b/>
        </w:rPr>
      </w:pPr>
      <w:r>
        <w:rPr>
          <w:b/>
        </w:rPr>
        <w:t xml:space="preserve">Main findings </w:t>
      </w:r>
      <w:r w:rsidR="002D5CA4" w:rsidRPr="00DB5B50">
        <w:rPr>
          <w:b/>
        </w:rPr>
        <w:t xml:space="preserve">from the </w:t>
      </w:r>
      <w:r w:rsidR="00A0061B">
        <w:rPr>
          <w:b/>
        </w:rPr>
        <w:t>study</w:t>
      </w:r>
    </w:p>
    <w:p w14:paraId="156F36CA" w14:textId="77777777" w:rsidR="002D5CA4" w:rsidRPr="00DB5B50" w:rsidRDefault="002D5CA4" w:rsidP="00647393">
      <w:pPr>
        <w:spacing w:line="360" w:lineRule="auto"/>
        <w:rPr>
          <w:b/>
        </w:rPr>
      </w:pPr>
    </w:p>
    <w:p w14:paraId="66959AE7" w14:textId="7C4A47C8" w:rsidR="002D5CA4" w:rsidRPr="00DB5B50" w:rsidRDefault="002D5CA4" w:rsidP="00647393">
      <w:pPr>
        <w:spacing w:line="360" w:lineRule="auto"/>
        <w:rPr>
          <w:u w:val="single"/>
        </w:rPr>
      </w:pPr>
      <w:r w:rsidRPr="00DB5B50">
        <w:rPr>
          <w:u w:val="single"/>
        </w:rPr>
        <w:t>Not all low</w:t>
      </w:r>
      <w:r w:rsidR="00E306C1">
        <w:rPr>
          <w:u w:val="single"/>
        </w:rPr>
        <w:t>-</w:t>
      </w:r>
      <w:r w:rsidRPr="00DB5B50">
        <w:rPr>
          <w:u w:val="single"/>
        </w:rPr>
        <w:t xml:space="preserve">paid employees are living in </w:t>
      </w:r>
      <w:r w:rsidR="00E132A2">
        <w:rPr>
          <w:u w:val="single"/>
        </w:rPr>
        <w:t>units</w:t>
      </w:r>
      <w:r w:rsidR="00960089">
        <w:rPr>
          <w:rStyle w:val="FootnoteReference"/>
          <w:u w:val="single"/>
        </w:rPr>
        <w:footnoteReference w:id="5"/>
      </w:r>
      <w:r w:rsidRPr="00DB5B50">
        <w:rPr>
          <w:u w:val="single"/>
        </w:rPr>
        <w:t xml:space="preserve"> in poverty</w:t>
      </w:r>
    </w:p>
    <w:p w14:paraId="1464809D" w14:textId="43C45D43" w:rsidR="002D5CA4" w:rsidRPr="00DB5B50" w:rsidRDefault="001A5A5F" w:rsidP="00647393">
      <w:pPr>
        <w:spacing w:line="360" w:lineRule="auto"/>
      </w:pPr>
      <w:r>
        <w:t>L</w:t>
      </w:r>
      <w:r w:rsidR="006E2E1A" w:rsidRPr="00DB5B50">
        <w:t>ow wage earners were</w:t>
      </w:r>
      <w:r w:rsidR="00E306C1">
        <w:t xml:space="preserve"> often</w:t>
      </w:r>
      <w:r w:rsidR="006E2E1A" w:rsidRPr="00DB5B50">
        <w:t xml:space="preserve"> living in unusually complex households. Indeed it may be that they could only manage as low</w:t>
      </w:r>
      <w:r w:rsidR="00E306C1">
        <w:t>-</w:t>
      </w:r>
      <w:r w:rsidR="006E2E1A" w:rsidRPr="00DB5B50">
        <w:t xml:space="preserve">paid workers because they were living in </w:t>
      </w:r>
      <w:r w:rsidR="00E132A2">
        <w:t>units</w:t>
      </w:r>
      <w:r w:rsidR="005C67C3" w:rsidRPr="00DB5B50">
        <w:t xml:space="preserve"> with higher earners, </w:t>
      </w:r>
      <w:r w:rsidR="006E2E1A" w:rsidRPr="00DB5B50">
        <w:t>or more than one other earner, or sharing household expenses, or not having sole responsibility for mortgages, rents, utility bills and council taxes.</w:t>
      </w:r>
    </w:p>
    <w:p w14:paraId="6EA6C1B4" w14:textId="77777777" w:rsidR="00081E94" w:rsidRPr="00DB5B50" w:rsidRDefault="00081E94" w:rsidP="00647393">
      <w:pPr>
        <w:spacing w:line="360" w:lineRule="auto"/>
      </w:pPr>
    </w:p>
    <w:p w14:paraId="5F946A62" w14:textId="1DD26425" w:rsidR="00081E94" w:rsidRPr="00DB5B50" w:rsidRDefault="00081E94" w:rsidP="005A2FC6">
      <w:pPr>
        <w:spacing w:line="360" w:lineRule="auto"/>
      </w:pPr>
      <w:r w:rsidRPr="00DB5B50">
        <w:t xml:space="preserve">Table </w:t>
      </w:r>
      <w:r w:rsidR="005C67C3" w:rsidRPr="00DB5B50">
        <w:t>3</w:t>
      </w:r>
      <w:r w:rsidRPr="00DB5B50">
        <w:t xml:space="preserve"> summarises the complexity of the households that the low wage employees were living in</w:t>
      </w:r>
      <w:r w:rsidR="00E16AC4">
        <w:t>, in terms of number of units, number of adults and relationships in the household</w:t>
      </w:r>
      <w:r w:rsidRPr="00DB5B50">
        <w:t xml:space="preserve">. </w:t>
      </w:r>
      <w:r w:rsidR="001A5A5F">
        <w:t>T</w:t>
      </w:r>
      <w:r w:rsidR="005A2FC6">
        <w:t xml:space="preserve">he percentage </w:t>
      </w:r>
      <w:r w:rsidR="004770D3">
        <w:t xml:space="preserve">of </w:t>
      </w:r>
      <w:r w:rsidR="005A2FC6">
        <w:t xml:space="preserve">working age adults in </w:t>
      </w:r>
      <w:r w:rsidR="00A36CD7">
        <w:t xml:space="preserve">the </w:t>
      </w:r>
      <w:r w:rsidR="005A2FC6">
        <w:t xml:space="preserve">sample in multi-unit households is 65.6% and the percentage of all adults including pensioners in </w:t>
      </w:r>
      <w:r w:rsidR="00E306C1">
        <w:t xml:space="preserve">the </w:t>
      </w:r>
      <w:r w:rsidR="005A2FC6">
        <w:t xml:space="preserve">sample in multi-unit households 63.9%. In the Family </w:t>
      </w:r>
      <w:r w:rsidR="00A36CD7">
        <w:t>R</w:t>
      </w:r>
      <w:r w:rsidR="005A2FC6">
        <w:t xml:space="preserve">esources </w:t>
      </w:r>
      <w:r w:rsidR="00A36CD7">
        <w:t>S</w:t>
      </w:r>
      <w:r w:rsidR="005A2FC6">
        <w:t xml:space="preserve">urvey </w:t>
      </w:r>
      <w:r w:rsidR="001A5A5F">
        <w:t xml:space="preserve">2013/14 </w:t>
      </w:r>
      <w:r w:rsidR="005A2FC6">
        <w:t>the equivalent percentages are 39.8% and 32.1%</w:t>
      </w:r>
      <w:r w:rsidR="00055E8C">
        <w:t xml:space="preserve"> (DWP 2015</w:t>
      </w:r>
      <w:r w:rsidR="00E16AC4">
        <w:t>)</w:t>
      </w:r>
      <w:r w:rsidR="005A2FC6">
        <w:t>.</w:t>
      </w:r>
    </w:p>
    <w:p w14:paraId="5BC20B5D" w14:textId="77777777" w:rsidR="00081E94" w:rsidRPr="00DB5B50" w:rsidRDefault="00081E94" w:rsidP="00647393">
      <w:pPr>
        <w:spacing w:line="360" w:lineRule="auto"/>
      </w:pPr>
    </w:p>
    <w:p w14:paraId="3E3ADFDA" w14:textId="7BAF9E6C" w:rsidR="00081E94" w:rsidRPr="00DB5B50" w:rsidRDefault="00081E94" w:rsidP="00647393">
      <w:pPr>
        <w:spacing w:line="360" w:lineRule="auto"/>
      </w:pPr>
      <w:r w:rsidRPr="00DB5B50">
        <w:t>Only 12% of the respondents were single people without children entirely reliant on their net earnings (and any working tax credit that they claimed).</w:t>
      </w:r>
      <w:r w:rsidR="0029354D">
        <w:t xml:space="preserve"> </w:t>
      </w:r>
      <w:r w:rsidR="00426D52" w:rsidRPr="00DB5B50">
        <w:t xml:space="preserve">Another 8% were lone parents with children who were reliant on their earnings but with </w:t>
      </w:r>
      <w:r w:rsidR="002342C0" w:rsidRPr="00DB5B50">
        <w:t xml:space="preserve">the </w:t>
      </w:r>
      <w:r w:rsidR="00426D52" w:rsidRPr="00DB5B50">
        <w:t xml:space="preserve">addition of child benefits and tax credits </w:t>
      </w:r>
      <w:r w:rsidR="00A36CD7">
        <w:t xml:space="preserve">and other benefits </w:t>
      </w:r>
      <w:r w:rsidR="00426D52" w:rsidRPr="00DB5B50">
        <w:t>that they claimed. All the other single unit households were couples with potentially two earners</w:t>
      </w:r>
      <w:r w:rsidR="00E16AC4">
        <w:t>.</w:t>
      </w:r>
      <w:r w:rsidR="000C2872" w:rsidRPr="00DB5B50">
        <w:t xml:space="preserve"> 21% were childless couples </w:t>
      </w:r>
      <w:r w:rsidR="00426D52" w:rsidRPr="00DB5B50">
        <w:t xml:space="preserve">and </w:t>
      </w:r>
      <w:r w:rsidR="002342C0" w:rsidRPr="00DB5B50">
        <w:t>75</w:t>
      </w:r>
      <w:r w:rsidR="00426D52" w:rsidRPr="00DB5B50">
        <w:t xml:space="preserve">% of these had two earners. 26% were couples with children and </w:t>
      </w:r>
      <w:r w:rsidR="00F03AF0" w:rsidRPr="00DB5B50">
        <w:t>92</w:t>
      </w:r>
      <w:r w:rsidR="00426D52" w:rsidRPr="00DB5B50">
        <w:t xml:space="preserve">% of these had two earners in the </w:t>
      </w:r>
      <w:r w:rsidR="00E132A2">
        <w:t>family</w:t>
      </w:r>
      <w:r w:rsidR="00426D52" w:rsidRPr="00DB5B50">
        <w:t>.</w:t>
      </w:r>
      <w:r w:rsidR="00F03AF0" w:rsidRPr="00DB5B50">
        <w:t xml:space="preserve"> </w:t>
      </w:r>
      <w:r w:rsidR="002342C0" w:rsidRPr="00DB5B50">
        <w:t xml:space="preserve">Indeed twelve single unit </w:t>
      </w:r>
      <w:r w:rsidR="00D04E8E">
        <w:t>households</w:t>
      </w:r>
      <w:r w:rsidR="002342C0" w:rsidRPr="00DB5B50">
        <w:t xml:space="preserve"> had older </w:t>
      </w:r>
      <w:r w:rsidR="00E132A2">
        <w:t xml:space="preserve">but still dependent </w:t>
      </w:r>
      <w:r w:rsidR="002342C0" w:rsidRPr="00DB5B50">
        <w:t>children with some earnings</w:t>
      </w:r>
      <w:r w:rsidR="0029354D">
        <w:t xml:space="preserve">. </w:t>
      </w:r>
      <w:r w:rsidR="00F03AF0" w:rsidRPr="00DB5B50">
        <w:t>In the multi-unit households</w:t>
      </w:r>
      <w:r w:rsidR="0058196B">
        <w:t>,</w:t>
      </w:r>
      <w:r w:rsidR="00F03AF0" w:rsidRPr="00DB5B50">
        <w:t xml:space="preserve"> </w:t>
      </w:r>
      <w:r w:rsidR="00A36CD7">
        <w:t xml:space="preserve">in </w:t>
      </w:r>
      <w:r w:rsidR="00F03AF0" w:rsidRPr="00DB5B50">
        <w:t>only 17% was the respondent the only employed person, 51% had three o</w:t>
      </w:r>
      <w:r w:rsidR="00BD4AF9">
        <w:t>r</w:t>
      </w:r>
      <w:r w:rsidR="00F03AF0" w:rsidRPr="00DB5B50">
        <w:t xml:space="preserve"> more people working in the household</w:t>
      </w:r>
      <w:r w:rsidR="004770D3">
        <w:t>, and eleven households had five or more earners</w:t>
      </w:r>
      <w:r w:rsidR="00F03AF0" w:rsidRPr="00DB5B50">
        <w:t>.</w:t>
      </w:r>
      <w:r w:rsidR="004770D3">
        <w:t xml:space="preserve"> </w:t>
      </w:r>
    </w:p>
    <w:p w14:paraId="73AA8BB4" w14:textId="77777777" w:rsidR="006E2E1A" w:rsidRPr="00DB5B50" w:rsidRDefault="006E2E1A" w:rsidP="00647393">
      <w:pPr>
        <w:spacing w:line="360" w:lineRule="auto"/>
      </w:pPr>
    </w:p>
    <w:p w14:paraId="70BE6C9A" w14:textId="3A75D6E6" w:rsidR="006E2E1A" w:rsidRPr="00DB5B50" w:rsidRDefault="00A66C6C" w:rsidP="00647393">
      <w:pPr>
        <w:spacing w:line="360" w:lineRule="auto"/>
      </w:pPr>
      <w:r>
        <w:t>W</w:t>
      </w:r>
      <w:r w:rsidR="006E2E1A" w:rsidRPr="00DB5B50">
        <w:t xml:space="preserve">here low wage earners </w:t>
      </w:r>
      <w:r w:rsidR="0029354D">
        <w:t>we</w:t>
      </w:r>
      <w:r w:rsidR="006E2E1A" w:rsidRPr="00DB5B50">
        <w:t xml:space="preserve">re the main contributor to household resources they </w:t>
      </w:r>
      <w:r w:rsidR="00E16AC4">
        <w:t>we</w:t>
      </w:r>
      <w:r w:rsidR="006E2E1A" w:rsidRPr="00DB5B50">
        <w:t xml:space="preserve">re commonly only supporting themselves </w:t>
      </w:r>
      <w:r w:rsidR="00CF3D5C" w:rsidRPr="00DB5B50">
        <w:t>and a partner</w:t>
      </w:r>
      <w:r w:rsidR="00651379">
        <w:t>,</w:t>
      </w:r>
      <w:r w:rsidR="00CF3D5C" w:rsidRPr="00DB5B50">
        <w:t xml:space="preserve"> and their net earnings and in-work </w:t>
      </w:r>
      <w:r w:rsidR="00CF3D5C" w:rsidRPr="00DB5B50">
        <w:lastRenderedPageBreak/>
        <w:t>benefits lift</w:t>
      </w:r>
      <w:r w:rsidR="00BD4AF9">
        <w:t>ed</w:t>
      </w:r>
      <w:r w:rsidR="00A37D53">
        <w:t xml:space="preserve"> many of </w:t>
      </w:r>
      <w:r w:rsidR="00CF3D5C" w:rsidRPr="00DB5B50">
        <w:t>them above the poverty threshold. The poverty risk for employed single earners on the living wage is very small</w:t>
      </w:r>
      <w:r w:rsidR="004770D3">
        <w:t>,</w:t>
      </w:r>
      <w:r w:rsidR="00CF3D5C" w:rsidRPr="00DB5B50">
        <w:t xml:space="preserve"> and it is normally associated with less than full-time working, </w:t>
      </w:r>
      <w:r w:rsidR="00E16AC4">
        <w:t xml:space="preserve">or </w:t>
      </w:r>
      <w:r w:rsidR="00CF3D5C" w:rsidRPr="00DB5B50">
        <w:t>not claiming in</w:t>
      </w:r>
      <w:r w:rsidR="00E16AC4">
        <w:t>-</w:t>
      </w:r>
      <w:r w:rsidR="00CF3D5C" w:rsidRPr="00DB5B50">
        <w:t>work benefits</w:t>
      </w:r>
      <w:r w:rsidR="00A36CD7">
        <w:t>,</w:t>
      </w:r>
      <w:r w:rsidR="00CF3D5C" w:rsidRPr="00DB5B50">
        <w:t xml:space="preserve"> </w:t>
      </w:r>
      <w:r w:rsidR="00E16AC4">
        <w:t>rather than</w:t>
      </w:r>
      <w:r w:rsidR="00CF3D5C" w:rsidRPr="00DB5B50">
        <w:t xml:space="preserve"> </w:t>
      </w:r>
      <w:r w:rsidR="00BD4AF9">
        <w:t xml:space="preserve">with </w:t>
      </w:r>
      <w:r w:rsidR="00CF3D5C" w:rsidRPr="00DB5B50">
        <w:t>low pay.</w:t>
      </w:r>
    </w:p>
    <w:p w14:paraId="143521AE" w14:textId="77777777" w:rsidR="001A5A5F" w:rsidRDefault="001A5A5F" w:rsidP="00647393">
      <w:pPr>
        <w:spacing w:line="360" w:lineRule="auto"/>
        <w:rPr>
          <w:b/>
        </w:rPr>
      </w:pPr>
    </w:p>
    <w:p w14:paraId="545945A8" w14:textId="195ED4F9" w:rsidR="00B9751B" w:rsidRPr="001A5A5F" w:rsidRDefault="001A5A5F" w:rsidP="00647393">
      <w:pPr>
        <w:spacing w:line="360" w:lineRule="auto"/>
        <w:rPr>
          <w:b/>
        </w:rPr>
      </w:pPr>
      <w:r w:rsidRPr="001A5A5F">
        <w:rPr>
          <w:b/>
        </w:rPr>
        <w:t>Insert Table 3 here</w:t>
      </w:r>
    </w:p>
    <w:p w14:paraId="5559C6AF" w14:textId="77777777" w:rsidR="001A5A5F" w:rsidRDefault="001A5A5F" w:rsidP="00647393">
      <w:pPr>
        <w:spacing w:line="360" w:lineRule="auto"/>
        <w:rPr>
          <w:u w:val="single"/>
        </w:rPr>
      </w:pPr>
    </w:p>
    <w:p w14:paraId="6899A715" w14:textId="77777777" w:rsidR="00CF3D5C" w:rsidRPr="00B30CF9" w:rsidRDefault="00CF3D5C" w:rsidP="00647393">
      <w:pPr>
        <w:spacing w:line="360" w:lineRule="auto"/>
        <w:rPr>
          <w:u w:val="single"/>
        </w:rPr>
      </w:pPr>
      <w:r w:rsidRPr="00B30CF9">
        <w:rPr>
          <w:u w:val="single"/>
        </w:rPr>
        <w:t>Poverty is not just about wages</w:t>
      </w:r>
      <w:r w:rsidR="00A82850" w:rsidRPr="00B30CF9">
        <w:rPr>
          <w:u w:val="single"/>
        </w:rPr>
        <w:t>,</w:t>
      </w:r>
      <w:r w:rsidRPr="00B30CF9">
        <w:rPr>
          <w:u w:val="single"/>
        </w:rPr>
        <w:t xml:space="preserve"> it is also about hours </w:t>
      </w:r>
    </w:p>
    <w:p w14:paraId="69ABB927" w14:textId="327F9388" w:rsidR="007C2CBD" w:rsidRPr="00DB5B50" w:rsidRDefault="00DF7A5B" w:rsidP="00647393">
      <w:pPr>
        <w:spacing w:line="360" w:lineRule="auto"/>
        <w:rPr>
          <w:rFonts w:eastAsia="Times New Roman"/>
          <w:lang w:eastAsia="en-GB"/>
        </w:rPr>
      </w:pPr>
      <w:r w:rsidRPr="00B30CF9">
        <w:t>Previous</w:t>
      </w:r>
      <w:r>
        <w:t xml:space="preserve"> research has shown that </w:t>
      </w:r>
      <w:r w:rsidR="00D01B98">
        <w:t xml:space="preserve">people on low hourly pay rates </w:t>
      </w:r>
      <w:r w:rsidR="00803C30">
        <w:t>can</w:t>
      </w:r>
      <w:r w:rsidR="00D01B98">
        <w:t xml:space="preserve"> avoid poverty through long working hours (Gardiner and Millar 2006). </w:t>
      </w:r>
      <w:r>
        <w:t xml:space="preserve">This </w:t>
      </w:r>
      <w:r w:rsidR="00803C30">
        <w:t xml:space="preserve">latter pattern </w:t>
      </w:r>
      <w:r>
        <w:t>was refle</w:t>
      </w:r>
      <w:r w:rsidR="0058196B">
        <w:t>cted in the sample</w:t>
      </w:r>
      <w:r>
        <w:t xml:space="preserve">. </w:t>
      </w:r>
      <w:r w:rsidR="007C2CBD" w:rsidRPr="00DB5B50">
        <w:rPr>
          <w:rFonts w:eastAsia="Times New Roman"/>
          <w:color w:val="000000"/>
          <w:kern w:val="24"/>
          <w:lang w:eastAsia="en-GB"/>
        </w:rPr>
        <w:t>91% of re</w:t>
      </w:r>
      <w:r w:rsidR="00A37D53">
        <w:rPr>
          <w:rFonts w:eastAsia="Times New Roman"/>
          <w:color w:val="000000"/>
          <w:kern w:val="24"/>
          <w:lang w:eastAsia="en-GB"/>
        </w:rPr>
        <w:t>s</w:t>
      </w:r>
      <w:r w:rsidR="007C2CBD" w:rsidRPr="00DB5B50">
        <w:rPr>
          <w:rFonts w:eastAsia="Times New Roman"/>
          <w:color w:val="000000"/>
          <w:kern w:val="24"/>
          <w:lang w:eastAsia="en-GB"/>
        </w:rPr>
        <w:t xml:space="preserve">pondents said that their </w:t>
      </w:r>
      <w:r w:rsidR="00731DF2">
        <w:rPr>
          <w:rFonts w:eastAsia="Times New Roman"/>
          <w:color w:val="000000"/>
          <w:kern w:val="24"/>
          <w:lang w:eastAsia="en-GB"/>
        </w:rPr>
        <w:t xml:space="preserve">low wage </w:t>
      </w:r>
      <w:r w:rsidR="007C2CBD" w:rsidRPr="00DB5B50">
        <w:rPr>
          <w:rFonts w:eastAsia="Times New Roman"/>
          <w:color w:val="000000"/>
          <w:kern w:val="24"/>
          <w:lang w:eastAsia="en-GB"/>
        </w:rPr>
        <w:t>job</w:t>
      </w:r>
      <w:r w:rsidR="00A36CD7">
        <w:rPr>
          <w:rFonts w:eastAsia="Times New Roman"/>
          <w:color w:val="000000"/>
          <w:kern w:val="24"/>
          <w:lang w:eastAsia="en-GB"/>
        </w:rPr>
        <w:t xml:space="preserve"> (with </w:t>
      </w:r>
      <w:r w:rsidR="00E16AC4">
        <w:rPr>
          <w:rFonts w:eastAsia="Times New Roman"/>
          <w:color w:val="000000"/>
          <w:kern w:val="24"/>
          <w:lang w:eastAsia="en-GB"/>
        </w:rPr>
        <w:t xml:space="preserve">one of </w:t>
      </w:r>
      <w:r w:rsidR="00A36CD7">
        <w:rPr>
          <w:rFonts w:eastAsia="Times New Roman"/>
          <w:color w:val="000000"/>
          <w:kern w:val="24"/>
          <w:lang w:eastAsia="en-GB"/>
        </w:rPr>
        <w:t xml:space="preserve">the three </w:t>
      </w:r>
      <w:r w:rsidR="00E16AC4">
        <w:rPr>
          <w:rFonts w:eastAsia="Times New Roman"/>
          <w:color w:val="000000"/>
          <w:kern w:val="24"/>
          <w:lang w:eastAsia="en-GB"/>
        </w:rPr>
        <w:t xml:space="preserve">VLW </w:t>
      </w:r>
      <w:r w:rsidR="00A36CD7">
        <w:rPr>
          <w:rFonts w:eastAsia="Times New Roman"/>
          <w:color w:val="000000"/>
          <w:kern w:val="24"/>
          <w:lang w:eastAsia="en-GB"/>
        </w:rPr>
        <w:t>employers)</w:t>
      </w:r>
      <w:r w:rsidR="007C2CBD" w:rsidRPr="00DB5B50">
        <w:rPr>
          <w:rFonts w:eastAsia="Times New Roman"/>
          <w:color w:val="000000"/>
          <w:kern w:val="24"/>
          <w:lang w:eastAsia="en-GB"/>
        </w:rPr>
        <w:t xml:space="preserve"> was the main or only job that they had. Of the 42 who said it was not their main job</w:t>
      </w:r>
      <w:r w:rsidR="00A36CD7">
        <w:rPr>
          <w:rFonts w:eastAsia="Times New Roman"/>
          <w:color w:val="000000"/>
          <w:kern w:val="24"/>
          <w:lang w:eastAsia="en-GB"/>
        </w:rPr>
        <w:t>,</w:t>
      </w:r>
      <w:r w:rsidR="007C2CBD" w:rsidRPr="00DB5B50">
        <w:rPr>
          <w:rFonts w:eastAsia="Times New Roman"/>
          <w:color w:val="000000"/>
          <w:kern w:val="24"/>
          <w:lang w:eastAsia="en-GB"/>
        </w:rPr>
        <w:t xml:space="preserve"> </w:t>
      </w:r>
      <w:r w:rsidR="007C2CBD" w:rsidRPr="00DB5B50">
        <w:rPr>
          <w:rFonts w:eastAsia="Times New Roman"/>
          <w:lang w:eastAsia="en-GB"/>
        </w:rPr>
        <w:t>37 w</w:t>
      </w:r>
      <w:r w:rsidR="00E16AC4">
        <w:rPr>
          <w:rFonts w:eastAsia="Times New Roman"/>
          <w:lang w:eastAsia="en-GB"/>
        </w:rPr>
        <w:t>orked for</w:t>
      </w:r>
      <w:r w:rsidR="007C2CBD" w:rsidRPr="00DB5B50">
        <w:rPr>
          <w:rFonts w:eastAsia="Times New Roman"/>
          <w:lang w:eastAsia="en-GB"/>
        </w:rPr>
        <w:t xml:space="preserve"> CYC as midday supervisor assistants (MSA</w:t>
      </w:r>
      <w:r w:rsidR="00E16AC4">
        <w:rPr>
          <w:rFonts w:eastAsia="Times New Roman"/>
          <w:lang w:eastAsia="en-GB"/>
        </w:rPr>
        <w:t>s</w:t>
      </w:r>
      <w:r w:rsidR="007C2CBD" w:rsidRPr="00DB5B50">
        <w:rPr>
          <w:rFonts w:eastAsia="Times New Roman"/>
          <w:lang w:eastAsia="en-GB"/>
        </w:rPr>
        <w:t xml:space="preserve">) in a York school. 30% of respondents held two jobs and 5% held more than two jobs at the time of interview. </w:t>
      </w:r>
    </w:p>
    <w:p w14:paraId="7BEAF5EA" w14:textId="77777777" w:rsidR="00C93562" w:rsidRPr="00DB5B50" w:rsidRDefault="00C93562" w:rsidP="00647393">
      <w:pPr>
        <w:spacing w:line="360" w:lineRule="auto"/>
        <w:rPr>
          <w:rFonts w:eastAsia="Times New Roman"/>
          <w:lang w:eastAsia="en-GB"/>
        </w:rPr>
      </w:pPr>
    </w:p>
    <w:p w14:paraId="7FE90FA9" w14:textId="28310DBF" w:rsidR="00C93562" w:rsidRPr="00DB5B50" w:rsidRDefault="00C93562" w:rsidP="00647393">
      <w:pPr>
        <w:spacing w:line="360" w:lineRule="auto"/>
        <w:rPr>
          <w:rFonts w:eastAsia="Times New Roman"/>
          <w:lang w:eastAsia="en-GB"/>
        </w:rPr>
      </w:pPr>
      <w:r w:rsidRPr="00DB5B50">
        <w:rPr>
          <w:rFonts w:eastAsia="Times New Roman"/>
          <w:lang w:eastAsia="en-GB"/>
        </w:rPr>
        <w:t>Table 4 presents a breakdown of the hours worked</w:t>
      </w:r>
      <w:r w:rsidR="00DF7A5B">
        <w:rPr>
          <w:rFonts w:eastAsia="Times New Roman"/>
          <w:lang w:eastAsia="en-GB"/>
        </w:rPr>
        <w:t>,</w:t>
      </w:r>
      <w:r w:rsidRPr="00DB5B50">
        <w:rPr>
          <w:rFonts w:eastAsia="Times New Roman"/>
          <w:lang w:eastAsia="en-GB"/>
        </w:rPr>
        <w:t xml:space="preserve"> including overtime</w:t>
      </w:r>
      <w:r w:rsidR="00DF7A5B">
        <w:rPr>
          <w:rFonts w:eastAsia="Times New Roman"/>
          <w:lang w:eastAsia="en-GB"/>
        </w:rPr>
        <w:t>,</w:t>
      </w:r>
      <w:r w:rsidRPr="00DB5B50">
        <w:rPr>
          <w:rFonts w:eastAsia="Times New Roman"/>
          <w:lang w:eastAsia="en-GB"/>
        </w:rPr>
        <w:t xml:space="preserve"> in the l</w:t>
      </w:r>
      <w:r w:rsidR="00731DF2">
        <w:rPr>
          <w:rFonts w:eastAsia="Times New Roman"/>
          <w:lang w:eastAsia="en-GB"/>
        </w:rPr>
        <w:t>ow wage job</w:t>
      </w:r>
      <w:r w:rsidRPr="00DB5B50">
        <w:rPr>
          <w:rFonts w:eastAsia="Times New Roman"/>
          <w:lang w:eastAsia="en-GB"/>
        </w:rPr>
        <w:t xml:space="preserve"> and in all jobs. Just over a quarter of </w:t>
      </w:r>
      <w:r w:rsidR="00731DF2">
        <w:rPr>
          <w:rFonts w:eastAsia="Times New Roman"/>
          <w:lang w:eastAsia="en-GB"/>
        </w:rPr>
        <w:t>low wage</w:t>
      </w:r>
      <w:r w:rsidRPr="00DB5B50">
        <w:rPr>
          <w:rFonts w:eastAsia="Times New Roman"/>
          <w:lang w:eastAsia="en-GB"/>
        </w:rPr>
        <w:t xml:space="preserve"> employees </w:t>
      </w:r>
      <w:r w:rsidR="00DF7A5B">
        <w:rPr>
          <w:rFonts w:eastAsia="Times New Roman"/>
          <w:lang w:eastAsia="en-GB"/>
        </w:rPr>
        <w:t>we</w:t>
      </w:r>
      <w:r w:rsidRPr="00DB5B50">
        <w:rPr>
          <w:rFonts w:eastAsia="Times New Roman"/>
          <w:lang w:eastAsia="en-GB"/>
        </w:rPr>
        <w:t xml:space="preserve">re working for less than 16 hours </w:t>
      </w:r>
      <w:r w:rsidR="001224A8">
        <w:rPr>
          <w:rFonts w:eastAsia="Times New Roman"/>
          <w:lang w:eastAsia="en-GB"/>
        </w:rPr>
        <w:t>per</w:t>
      </w:r>
      <w:r w:rsidRPr="00DB5B50">
        <w:rPr>
          <w:rFonts w:eastAsia="Times New Roman"/>
          <w:lang w:eastAsia="en-GB"/>
        </w:rPr>
        <w:t xml:space="preserve"> week and only just over a third of </w:t>
      </w:r>
      <w:r w:rsidR="00731DF2">
        <w:rPr>
          <w:rFonts w:eastAsia="Times New Roman"/>
          <w:lang w:eastAsia="en-GB"/>
        </w:rPr>
        <w:t>low wage</w:t>
      </w:r>
      <w:r w:rsidRPr="00DB5B50">
        <w:rPr>
          <w:rFonts w:eastAsia="Times New Roman"/>
          <w:lang w:eastAsia="en-GB"/>
        </w:rPr>
        <w:t xml:space="preserve"> employees </w:t>
      </w:r>
      <w:r w:rsidR="00DF7A5B">
        <w:rPr>
          <w:rFonts w:eastAsia="Times New Roman"/>
          <w:lang w:eastAsia="en-GB"/>
        </w:rPr>
        <w:t>we</w:t>
      </w:r>
      <w:r w:rsidRPr="00DB5B50">
        <w:rPr>
          <w:rFonts w:eastAsia="Times New Roman"/>
          <w:lang w:eastAsia="en-GB"/>
        </w:rPr>
        <w:t xml:space="preserve">re working more than 30 hours </w:t>
      </w:r>
      <w:r w:rsidR="001224A8">
        <w:rPr>
          <w:rFonts w:eastAsia="Times New Roman"/>
          <w:lang w:eastAsia="en-GB"/>
        </w:rPr>
        <w:t>per</w:t>
      </w:r>
      <w:r w:rsidRPr="00DB5B50">
        <w:rPr>
          <w:rFonts w:eastAsia="Times New Roman"/>
          <w:lang w:eastAsia="en-GB"/>
        </w:rPr>
        <w:t xml:space="preserve"> week. </w:t>
      </w:r>
      <w:r w:rsidR="00FD1FC2">
        <w:rPr>
          <w:rFonts w:eastAsia="Times New Roman"/>
          <w:lang w:eastAsia="en-GB"/>
        </w:rPr>
        <w:t>L</w:t>
      </w:r>
      <w:r w:rsidR="00731DF2">
        <w:rPr>
          <w:rFonts w:eastAsia="Times New Roman"/>
          <w:lang w:eastAsia="en-GB"/>
        </w:rPr>
        <w:t>ow wage</w:t>
      </w:r>
      <w:r w:rsidR="00A55097" w:rsidRPr="00DB5B50">
        <w:rPr>
          <w:rFonts w:eastAsia="Times New Roman"/>
          <w:lang w:eastAsia="en-GB"/>
        </w:rPr>
        <w:t xml:space="preserve"> employment is clearly predomina</w:t>
      </w:r>
      <w:r w:rsidR="001224A8">
        <w:rPr>
          <w:rFonts w:eastAsia="Times New Roman"/>
          <w:lang w:eastAsia="en-GB"/>
        </w:rPr>
        <w:t>n</w:t>
      </w:r>
      <w:r w:rsidR="00A55097" w:rsidRPr="00DB5B50">
        <w:rPr>
          <w:rFonts w:eastAsia="Times New Roman"/>
          <w:lang w:eastAsia="en-GB"/>
        </w:rPr>
        <w:t xml:space="preserve">tly part-time. This picture </w:t>
      </w:r>
      <w:r w:rsidR="00D60E52" w:rsidRPr="00DB5B50">
        <w:rPr>
          <w:rFonts w:eastAsia="Times New Roman"/>
          <w:lang w:eastAsia="en-GB"/>
        </w:rPr>
        <w:t xml:space="preserve">remains </w:t>
      </w:r>
      <w:r w:rsidR="00A55097" w:rsidRPr="00DB5B50">
        <w:rPr>
          <w:rFonts w:eastAsia="Times New Roman"/>
          <w:lang w:eastAsia="en-GB"/>
        </w:rPr>
        <w:t>if we just explore the hours of those</w:t>
      </w:r>
      <w:r w:rsidR="006E6D9D" w:rsidRPr="00DB5B50">
        <w:rPr>
          <w:rFonts w:eastAsia="Times New Roman"/>
          <w:lang w:eastAsia="en-GB"/>
        </w:rPr>
        <w:t xml:space="preserve"> who are the sole earners in the household</w:t>
      </w:r>
      <w:r w:rsidR="00D60E52" w:rsidRPr="00DB5B50">
        <w:rPr>
          <w:rFonts w:eastAsia="Times New Roman"/>
          <w:lang w:eastAsia="en-GB"/>
        </w:rPr>
        <w:t xml:space="preserve"> – the proportion working less than 16 hours and over 30 hours </w:t>
      </w:r>
      <w:r w:rsidR="001224A8">
        <w:rPr>
          <w:rFonts w:eastAsia="Times New Roman"/>
          <w:lang w:eastAsia="en-GB"/>
        </w:rPr>
        <w:t>per</w:t>
      </w:r>
      <w:r w:rsidR="00D60E52" w:rsidRPr="00DB5B50">
        <w:rPr>
          <w:rFonts w:eastAsia="Times New Roman"/>
          <w:lang w:eastAsia="en-GB"/>
        </w:rPr>
        <w:t xml:space="preserve"> week both increase slightly</w:t>
      </w:r>
      <w:r w:rsidR="006E6D9D" w:rsidRPr="00DB5B50">
        <w:rPr>
          <w:rFonts w:eastAsia="Times New Roman"/>
          <w:lang w:eastAsia="en-GB"/>
        </w:rPr>
        <w:t>.</w:t>
      </w:r>
    </w:p>
    <w:p w14:paraId="2B0AB7C3" w14:textId="77777777" w:rsidR="006E6D9D" w:rsidRPr="00DB5B50" w:rsidRDefault="006E6D9D" w:rsidP="00647393">
      <w:pPr>
        <w:spacing w:line="360" w:lineRule="auto"/>
        <w:rPr>
          <w:rFonts w:eastAsia="Times New Roman"/>
          <w:lang w:eastAsia="en-GB"/>
        </w:rPr>
      </w:pPr>
    </w:p>
    <w:p w14:paraId="6B68FD09" w14:textId="77777777" w:rsidR="00274A18" w:rsidRPr="00274A18" w:rsidRDefault="00274A18" w:rsidP="00647393">
      <w:pPr>
        <w:spacing w:line="360" w:lineRule="auto"/>
        <w:rPr>
          <w:rFonts w:eastAsia="Times New Roman"/>
          <w:b/>
          <w:lang w:eastAsia="en-GB"/>
        </w:rPr>
      </w:pPr>
      <w:r w:rsidRPr="00274A18">
        <w:rPr>
          <w:rFonts w:eastAsia="Times New Roman"/>
          <w:b/>
          <w:lang w:eastAsia="en-GB"/>
        </w:rPr>
        <w:t>Insert Table 4 here</w:t>
      </w:r>
    </w:p>
    <w:p w14:paraId="2A501E50" w14:textId="77777777" w:rsidR="00274A18" w:rsidRDefault="00274A18" w:rsidP="00647393">
      <w:pPr>
        <w:spacing w:line="360" w:lineRule="auto"/>
        <w:rPr>
          <w:rFonts w:eastAsia="Times New Roman"/>
          <w:lang w:eastAsia="en-GB"/>
        </w:rPr>
      </w:pPr>
    </w:p>
    <w:p w14:paraId="4D10234D" w14:textId="220BE951" w:rsidR="00D60E52" w:rsidRPr="00DB5B50" w:rsidRDefault="00D60E52" w:rsidP="00647393">
      <w:pPr>
        <w:spacing w:line="360" w:lineRule="auto"/>
        <w:rPr>
          <w:rFonts w:eastAsia="Times New Roman"/>
          <w:lang w:eastAsia="en-GB"/>
        </w:rPr>
      </w:pPr>
      <w:r w:rsidRPr="00DB5B50">
        <w:rPr>
          <w:rFonts w:eastAsia="Times New Roman"/>
          <w:lang w:eastAsia="en-GB"/>
        </w:rPr>
        <w:t xml:space="preserve">In terms of the job(s) profile the majority of the sample </w:t>
      </w:r>
      <w:r w:rsidR="00A66C6C">
        <w:rPr>
          <w:rFonts w:eastAsia="Times New Roman"/>
          <w:lang w:eastAsia="en-GB"/>
        </w:rPr>
        <w:t>w</w:t>
      </w:r>
      <w:r w:rsidR="00D01B98">
        <w:rPr>
          <w:rFonts w:eastAsia="Times New Roman"/>
          <w:lang w:eastAsia="en-GB"/>
        </w:rPr>
        <w:t>as</w:t>
      </w:r>
      <w:r w:rsidRPr="00DB5B50">
        <w:rPr>
          <w:rFonts w:eastAsia="Times New Roman"/>
          <w:lang w:eastAsia="en-GB"/>
        </w:rPr>
        <w:t xml:space="preserve"> working in part-time employment, and just over a third </w:t>
      </w:r>
      <w:r w:rsidR="00A66C6C">
        <w:rPr>
          <w:rFonts w:eastAsia="Times New Roman"/>
          <w:lang w:eastAsia="en-GB"/>
        </w:rPr>
        <w:t>were</w:t>
      </w:r>
      <w:r w:rsidRPr="00DB5B50">
        <w:rPr>
          <w:rFonts w:eastAsia="Times New Roman"/>
          <w:lang w:eastAsia="en-GB"/>
        </w:rPr>
        <w:t xml:space="preserve"> holding multiple jobs.  In terms of working weeks in the last year</w:t>
      </w:r>
      <w:r w:rsidR="00877822">
        <w:rPr>
          <w:rFonts w:eastAsia="Times New Roman"/>
          <w:lang w:eastAsia="en-GB"/>
        </w:rPr>
        <w:t>,</w:t>
      </w:r>
      <w:r w:rsidRPr="00DB5B50">
        <w:rPr>
          <w:rFonts w:eastAsia="Times New Roman"/>
          <w:lang w:eastAsia="en-GB"/>
        </w:rPr>
        <w:t xml:space="preserve"> respondents report that they ha</w:t>
      </w:r>
      <w:r w:rsidR="00A66C6C">
        <w:rPr>
          <w:rFonts w:eastAsia="Times New Roman"/>
          <w:lang w:eastAsia="en-GB"/>
        </w:rPr>
        <w:t>d</w:t>
      </w:r>
      <w:r w:rsidRPr="00DB5B50">
        <w:rPr>
          <w:rFonts w:eastAsia="Times New Roman"/>
          <w:lang w:eastAsia="en-GB"/>
        </w:rPr>
        <w:t xml:space="preserve"> undertaken a mean (median) of 44.5 (47) weeks of regular paid work (full-time or part-time) with almost a quarter of the sample reporting 52 paid working weeks in the last 12 months. </w:t>
      </w:r>
    </w:p>
    <w:p w14:paraId="7F27187C" w14:textId="77777777" w:rsidR="00D60E52" w:rsidRPr="00DB5B50" w:rsidRDefault="00D60E52" w:rsidP="00647393">
      <w:pPr>
        <w:spacing w:line="360" w:lineRule="auto"/>
        <w:rPr>
          <w:rFonts w:eastAsia="Times New Roman"/>
          <w:lang w:eastAsia="en-GB"/>
        </w:rPr>
      </w:pPr>
    </w:p>
    <w:p w14:paraId="19E3533F" w14:textId="6C0C479A" w:rsidR="007C2CBD" w:rsidRPr="00DB5B50" w:rsidRDefault="00803C30">
      <w:pPr>
        <w:spacing w:line="360" w:lineRule="auto"/>
        <w:rPr>
          <w:rFonts w:eastAsia="Times New Roman"/>
          <w:color w:val="000000"/>
          <w:kern w:val="24"/>
          <w:lang w:eastAsia="en-GB"/>
        </w:rPr>
      </w:pPr>
      <w:r>
        <w:t>Thus</w:t>
      </w:r>
      <w:r w:rsidR="001224A8">
        <w:t>,</w:t>
      </w:r>
      <w:r>
        <w:t xml:space="preserve"> even though </w:t>
      </w:r>
      <w:r w:rsidR="001224A8">
        <w:t xml:space="preserve">an individual </w:t>
      </w:r>
      <w:r>
        <w:t>w</w:t>
      </w:r>
      <w:r w:rsidR="001224A8">
        <w:t>as</w:t>
      </w:r>
      <w:r>
        <w:t xml:space="preserve"> receiving </w:t>
      </w:r>
      <w:r w:rsidR="001224A8">
        <w:t xml:space="preserve">the </w:t>
      </w:r>
      <w:r>
        <w:t xml:space="preserve">VLW, they were not working the hours assumed by </w:t>
      </w:r>
      <w:r w:rsidR="007B2C76">
        <w:t xml:space="preserve">living wage </w:t>
      </w:r>
      <w:r>
        <w:t>calculations</w:t>
      </w:r>
      <w:r w:rsidR="0029354D">
        <w:t xml:space="preserve">. </w:t>
      </w:r>
      <w:r>
        <w:t xml:space="preserve"> However, i</w:t>
      </w:r>
      <w:r w:rsidR="00D60E52" w:rsidRPr="00DB5B50">
        <w:rPr>
          <w:rFonts w:eastAsia="Times New Roman"/>
          <w:lang w:eastAsia="en-GB"/>
        </w:rPr>
        <w:t>n terms of working hours</w:t>
      </w:r>
      <w:r w:rsidR="005D70D2">
        <w:rPr>
          <w:rFonts w:eastAsia="Times New Roman"/>
          <w:lang w:eastAsia="en-GB"/>
        </w:rPr>
        <w:t>’</w:t>
      </w:r>
      <w:r w:rsidR="00D60E52" w:rsidRPr="00DB5B50">
        <w:rPr>
          <w:rFonts w:eastAsia="Times New Roman"/>
          <w:lang w:eastAsia="en-GB"/>
        </w:rPr>
        <w:t xml:space="preserve"> preference</w:t>
      </w:r>
      <w:r w:rsidR="001224A8">
        <w:rPr>
          <w:rFonts w:eastAsia="Times New Roman"/>
          <w:lang w:eastAsia="en-GB"/>
        </w:rPr>
        <w:t>s</w:t>
      </w:r>
      <w:r w:rsidR="00D60E52" w:rsidRPr="00DB5B50">
        <w:rPr>
          <w:rFonts w:eastAsia="Times New Roman"/>
          <w:lang w:eastAsia="en-GB"/>
        </w:rPr>
        <w:t>, overall just over 30%</w:t>
      </w:r>
      <w:r w:rsidR="00790427">
        <w:rPr>
          <w:rFonts w:eastAsia="Times New Roman"/>
          <w:lang w:eastAsia="en-GB"/>
        </w:rPr>
        <w:t xml:space="preserve"> </w:t>
      </w:r>
      <w:r w:rsidR="00D60E52" w:rsidRPr="00DB5B50">
        <w:rPr>
          <w:rFonts w:eastAsia="Times New Roman"/>
          <w:lang w:eastAsia="en-GB"/>
        </w:rPr>
        <w:t xml:space="preserve">of the respondents would </w:t>
      </w:r>
      <w:r w:rsidR="00DF7A5B">
        <w:rPr>
          <w:rFonts w:eastAsia="Times New Roman"/>
          <w:lang w:eastAsia="en-GB"/>
        </w:rPr>
        <w:t xml:space="preserve">have </w:t>
      </w:r>
      <w:r w:rsidR="00D60E52" w:rsidRPr="00DB5B50">
        <w:rPr>
          <w:rFonts w:eastAsia="Times New Roman"/>
          <w:lang w:eastAsia="en-GB"/>
        </w:rPr>
        <w:t>like</w:t>
      </w:r>
      <w:r w:rsidR="00DF7A5B">
        <w:rPr>
          <w:rFonts w:eastAsia="Times New Roman"/>
          <w:lang w:eastAsia="en-GB"/>
        </w:rPr>
        <w:t>d</w:t>
      </w:r>
      <w:r w:rsidR="00D60E52" w:rsidRPr="00DB5B50">
        <w:rPr>
          <w:rFonts w:eastAsia="Times New Roman"/>
          <w:lang w:eastAsia="en-GB"/>
        </w:rPr>
        <w:t xml:space="preserve"> to work more hours</w:t>
      </w:r>
      <w:r w:rsidR="00DF7A5B">
        <w:rPr>
          <w:rFonts w:eastAsia="Times New Roman"/>
          <w:lang w:eastAsia="en-GB"/>
        </w:rPr>
        <w:t>. T</w:t>
      </w:r>
      <w:r w:rsidR="00D60E52" w:rsidRPr="00DB5B50">
        <w:rPr>
          <w:rFonts w:eastAsia="Times New Roman"/>
          <w:lang w:eastAsia="en-GB"/>
        </w:rPr>
        <w:t xml:space="preserve">his preference </w:t>
      </w:r>
      <w:r w:rsidR="00DF7A5B">
        <w:rPr>
          <w:rFonts w:eastAsia="Times New Roman"/>
          <w:lang w:eastAsia="en-GB"/>
        </w:rPr>
        <w:t>wa</w:t>
      </w:r>
      <w:r w:rsidR="00D60E52" w:rsidRPr="00DB5B50">
        <w:rPr>
          <w:rFonts w:eastAsia="Times New Roman"/>
          <w:lang w:eastAsia="en-GB"/>
        </w:rPr>
        <w:t>s much higher within the part-time (less than 30 hours per week) sample</w:t>
      </w:r>
      <w:r w:rsidR="00DF7A5B">
        <w:rPr>
          <w:rFonts w:eastAsia="Times New Roman"/>
          <w:lang w:eastAsia="en-GB"/>
        </w:rPr>
        <w:t xml:space="preserve">. </w:t>
      </w:r>
      <w:r w:rsidR="00D60E52" w:rsidRPr="00DB5B50">
        <w:rPr>
          <w:rFonts w:eastAsia="Times New Roman"/>
          <w:lang w:eastAsia="en-GB"/>
        </w:rPr>
        <w:t>38.8% of part-time employees report th</w:t>
      </w:r>
      <w:r w:rsidR="001224A8">
        <w:rPr>
          <w:rFonts w:eastAsia="Times New Roman"/>
          <w:lang w:eastAsia="en-GB"/>
        </w:rPr>
        <w:t>at th</w:t>
      </w:r>
      <w:r w:rsidR="00D60E52" w:rsidRPr="00DB5B50">
        <w:rPr>
          <w:rFonts w:eastAsia="Times New Roman"/>
          <w:lang w:eastAsia="en-GB"/>
        </w:rPr>
        <w:t>ey would like more hours</w:t>
      </w:r>
      <w:r w:rsidR="00DF7A5B">
        <w:rPr>
          <w:rFonts w:eastAsia="Times New Roman"/>
          <w:lang w:eastAsia="en-GB"/>
        </w:rPr>
        <w:t>,</w:t>
      </w:r>
      <w:r w:rsidR="00D60E52" w:rsidRPr="00DB5B50">
        <w:rPr>
          <w:rFonts w:eastAsia="Times New Roman"/>
          <w:lang w:eastAsia="en-GB"/>
        </w:rPr>
        <w:t xml:space="preserve"> compared with 17.9% </w:t>
      </w:r>
      <w:r w:rsidR="00D60E52" w:rsidRPr="00DB5B50">
        <w:rPr>
          <w:rFonts w:eastAsia="Times New Roman"/>
          <w:lang w:eastAsia="en-GB"/>
        </w:rPr>
        <w:lastRenderedPageBreak/>
        <w:t xml:space="preserve">of the full-time sample. Further the preference for more working hours is greater (and statistically significant) for the </w:t>
      </w:r>
      <w:r w:rsidR="00731DF2">
        <w:rPr>
          <w:rFonts w:eastAsia="Times New Roman"/>
          <w:lang w:eastAsia="en-GB"/>
        </w:rPr>
        <w:t>VLW</w:t>
      </w:r>
      <w:r w:rsidR="00D60E52" w:rsidRPr="00DB5B50">
        <w:rPr>
          <w:rFonts w:eastAsia="Times New Roman"/>
          <w:lang w:eastAsia="en-GB"/>
        </w:rPr>
        <w:t xml:space="preserve"> group. 10% of </w:t>
      </w:r>
      <w:r w:rsidR="00D84E31">
        <w:rPr>
          <w:rFonts w:eastAsia="Times New Roman"/>
          <w:lang w:eastAsia="en-GB"/>
        </w:rPr>
        <w:t xml:space="preserve">all </w:t>
      </w:r>
      <w:r w:rsidR="00D60E52" w:rsidRPr="00DB5B50">
        <w:rPr>
          <w:rFonts w:eastAsia="Times New Roman"/>
          <w:lang w:eastAsia="en-GB"/>
        </w:rPr>
        <w:t>respondents wanted to work fewer hours.</w:t>
      </w:r>
    </w:p>
    <w:p w14:paraId="40FD57A7" w14:textId="77777777" w:rsidR="00CF3D5C" w:rsidRDefault="00CF3D5C">
      <w:pPr>
        <w:spacing w:line="360" w:lineRule="auto"/>
        <w:rPr>
          <w:rFonts w:eastAsia="Times New Roman"/>
          <w:color w:val="000000"/>
          <w:kern w:val="24"/>
        </w:rPr>
      </w:pPr>
    </w:p>
    <w:p w14:paraId="52186B3F" w14:textId="2FCB8A63" w:rsidR="00793412" w:rsidRPr="00DB5B50" w:rsidRDefault="00793412" w:rsidP="00790427">
      <w:pPr>
        <w:spacing w:line="360" w:lineRule="auto"/>
        <w:rPr>
          <w:rFonts w:eastAsia="Times New Roman"/>
          <w:color w:val="000000"/>
          <w:kern w:val="24"/>
          <w:lang w:val="en-US" w:eastAsia="en-GB"/>
        </w:rPr>
      </w:pPr>
      <w:r w:rsidRPr="00DB5B50">
        <w:rPr>
          <w:rFonts w:eastAsia="Times New Roman"/>
          <w:lang w:eastAsia="en-GB"/>
        </w:rPr>
        <w:t xml:space="preserve">In a series of direct question about aspirations and progression, </w:t>
      </w:r>
      <w:r w:rsidRPr="00DB5B50">
        <w:rPr>
          <w:rFonts w:eastAsia="Times New Roman"/>
          <w:color w:val="000000"/>
          <w:kern w:val="24"/>
          <w:lang w:val="en-US" w:eastAsia="en-GB"/>
        </w:rPr>
        <w:t>more than half of the sample responded that they were not looking for progression. The follow-up qualitative interviews provided some useful context to these findings</w:t>
      </w:r>
      <w:r w:rsidR="001224A8">
        <w:rPr>
          <w:rFonts w:eastAsia="Times New Roman"/>
          <w:color w:val="000000"/>
          <w:kern w:val="24"/>
          <w:lang w:val="en-US" w:eastAsia="en-GB"/>
        </w:rPr>
        <w:t xml:space="preserve"> - f</w:t>
      </w:r>
      <w:r w:rsidRPr="00DB5B50">
        <w:rPr>
          <w:rFonts w:eastAsia="Times New Roman"/>
          <w:color w:val="000000"/>
          <w:kern w:val="24"/>
          <w:lang w:val="en-US" w:eastAsia="en-GB"/>
        </w:rPr>
        <w:t xml:space="preserve">or example, that a lack of confidence in themselves and their skills by lower-waged employees might explain lack of engagement with ‘career advancement’ when offered. </w:t>
      </w:r>
      <w:r w:rsidR="00877822">
        <w:rPr>
          <w:rFonts w:eastAsia="Times New Roman"/>
          <w:color w:val="000000"/>
          <w:kern w:val="24"/>
          <w:lang w:val="en-US" w:eastAsia="en-GB"/>
        </w:rPr>
        <w:t>There were no differences in working hours</w:t>
      </w:r>
      <w:r w:rsidR="005D70D2">
        <w:rPr>
          <w:rFonts w:eastAsia="Times New Roman"/>
          <w:color w:val="000000"/>
          <w:kern w:val="24"/>
          <w:lang w:val="en-US" w:eastAsia="en-GB"/>
        </w:rPr>
        <w:t>’</w:t>
      </w:r>
      <w:r w:rsidR="00877822">
        <w:rPr>
          <w:rFonts w:eastAsia="Times New Roman"/>
          <w:color w:val="000000"/>
          <w:kern w:val="24"/>
          <w:lang w:val="en-US" w:eastAsia="en-GB"/>
        </w:rPr>
        <w:t xml:space="preserve"> </w:t>
      </w:r>
      <w:r w:rsidR="00274A18">
        <w:rPr>
          <w:rFonts w:eastAsia="Times New Roman"/>
          <w:color w:val="000000"/>
          <w:kern w:val="24"/>
          <w:lang w:val="en-US" w:eastAsia="en-GB"/>
        </w:rPr>
        <w:t>p</w:t>
      </w:r>
      <w:r w:rsidR="00877822">
        <w:rPr>
          <w:rFonts w:eastAsia="Times New Roman"/>
          <w:color w:val="000000"/>
          <w:kern w:val="24"/>
          <w:lang w:val="en-US" w:eastAsia="en-GB"/>
        </w:rPr>
        <w:t>references between thos</w:t>
      </w:r>
      <w:r w:rsidR="00D01B98">
        <w:rPr>
          <w:rFonts w:eastAsia="Times New Roman"/>
          <w:color w:val="000000"/>
          <w:kern w:val="24"/>
          <w:lang w:val="en-US" w:eastAsia="en-GB"/>
        </w:rPr>
        <w:t>e</w:t>
      </w:r>
      <w:r w:rsidR="00877822">
        <w:rPr>
          <w:rFonts w:eastAsia="Times New Roman"/>
          <w:color w:val="000000"/>
          <w:kern w:val="24"/>
          <w:lang w:val="en-US" w:eastAsia="en-GB"/>
        </w:rPr>
        <w:t xml:space="preserve"> responde</w:t>
      </w:r>
      <w:r w:rsidR="00D01B98">
        <w:rPr>
          <w:rFonts w:eastAsia="Times New Roman"/>
          <w:color w:val="000000"/>
          <w:kern w:val="24"/>
          <w:lang w:val="en-US" w:eastAsia="en-GB"/>
        </w:rPr>
        <w:t>nt</w:t>
      </w:r>
      <w:r w:rsidR="00877822">
        <w:rPr>
          <w:rFonts w:eastAsia="Times New Roman"/>
          <w:color w:val="000000"/>
          <w:kern w:val="24"/>
          <w:lang w:val="en-US" w:eastAsia="en-GB"/>
        </w:rPr>
        <w:t xml:space="preserve">s who were </w:t>
      </w:r>
      <w:r w:rsidR="001224A8">
        <w:rPr>
          <w:rFonts w:eastAsia="Times New Roman"/>
          <w:color w:val="000000"/>
          <w:kern w:val="24"/>
          <w:lang w:val="en-US" w:eastAsia="en-GB"/>
        </w:rPr>
        <w:t xml:space="preserve">living </w:t>
      </w:r>
      <w:r w:rsidR="00877822">
        <w:rPr>
          <w:rFonts w:eastAsia="Times New Roman"/>
          <w:color w:val="000000"/>
          <w:kern w:val="24"/>
          <w:lang w:val="en-US" w:eastAsia="en-GB"/>
        </w:rPr>
        <w:t>in households above and below the poverty threshold.</w:t>
      </w:r>
    </w:p>
    <w:p w14:paraId="0DD737F7" w14:textId="77777777" w:rsidR="00793412" w:rsidRPr="00DB5B50" w:rsidRDefault="00793412">
      <w:pPr>
        <w:spacing w:line="360" w:lineRule="auto"/>
        <w:rPr>
          <w:rFonts w:eastAsia="Times New Roman"/>
          <w:color w:val="000000"/>
          <w:kern w:val="24"/>
        </w:rPr>
      </w:pPr>
    </w:p>
    <w:p w14:paraId="148ABDAC" w14:textId="604B3D5D" w:rsidR="00CF3D5C" w:rsidRPr="00DB5B50" w:rsidRDefault="00CF3D5C">
      <w:pPr>
        <w:spacing w:line="360" w:lineRule="auto"/>
        <w:rPr>
          <w:rFonts w:eastAsia="Times New Roman"/>
          <w:color w:val="000000"/>
          <w:kern w:val="24"/>
          <w:u w:val="single"/>
        </w:rPr>
      </w:pPr>
      <w:r w:rsidRPr="00DB5B50">
        <w:rPr>
          <w:rFonts w:eastAsia="Times New Roman"/>
          <w:color w:val="000000"/>
          <w:kern w:val="24"/>
          <w:u w:val="single"/>
        </w:rPr>
        <w:t>Poverty is not just about wages</w:t>
      </w:r>
      <w:r w:rsidR="00D01B98">
        <w:rPr>
          <w:rFonts w:eastAsia="Times New Roman"/>
          <w:color w:val="000000"/>
          <w:kern w:val="24"/>
          <w:u w:val="single"/>
        </w:rPr>
        <w:t>,</w:t>
      </w:r>
      <w:r w:rsidRPr="00DB5B50">
        <w:rPr>
          <w:rFonts w:eastAsia="Times New Roman"/>
          <w:color w:val="000000"/>
          <w:kern w:val="24"/>
          <w:u w:val="single"/>
        </w:rPr>
        <w:t xml:space="preserve"> it is also about </w:t>
      </w:r>
      <w:r w:rsidR="00274A18">
        <w:rPr>
          <w:rFonts w:eastAsia="Times New Roman"/>
          <w:color w:val="000000"/>
          <w:kern w:val="24"/>
          <w:u w:val="single"/>
        </w:rPr>
        <w:t xml:space="preserve">cash </w:t>
      </w:r>
      <w:r w:rsidRPr="00DB5B50">
        <w:rPr>
          <w:rFonts w:eastAsia="Times New Roman"/>
          <w:color w:val="000000"/>
          <w:kern w:val="24"/>
          <w:u w:val="single"/>
        </w:rPr>
        <w:t>benefits</w:t>
      </w:r>
    </w:p>
    <w:p w14:paraId="299B3924" w14:textId="093BCE9A" w:rsidR="00D01B98" w:rsidRDefault="00D01B98" w:rsidP="00790427">
      <w:pPr>
        <w:spacing w:line="360" w:lineRule="auto"/>
      </w:pPr>
      <w:r>
        <w:t xml:space="preserve">Calculations of </w:t>
      </w:r>
      <w:r w:rsidR="00790427">
        <w:t>V</w:t>
      </w:r>
      <w:r w:rsidR="00803C30">
        <w:t>LW</w:t>
      </w:r>
      <w:r>
        <w:t xml:space="preserve"> rates in the UK </w:t>
      </w:r>
      <w:r w:rsidR="00803C30">
        <w:t xml:space="preserve">assume that </w:t>
      </w:r>
      <w:r>
        <w:t xml:space="preserve">pay </w:t>
      </w:r>
      <w:r w:rsidR="00803C30">
        <w:t xml:space="preserve">is </w:t>
      </w:r>
      <w:r>
        <w:t>complement</w:t>
      </w:r>
      <w:r w:rsidR="00803C30">
        <w:t>ed by</w:t>
      </w:r>
      <w:r>
        <w:t xml:space="preserve"> benefits and tax credits to create total income, and assume that people are aware of and claim benefits successfully (Hirsch 2015).</w:t>
      </w:r>
    </w:p>
    <w:p w14:paraId="42EBE2C2" w14:textId="77777777" w:rsidR="00D01B98" w:rsidRDefault="00D01B98">
      <w:pPr>
        <w:spacing w:line="360" w:lineRule="auto"/>
      </w:pPr>
    </w:p>
    <w:p w14:paraId="6E670DA8" w14:textId="2E88CE5C" w:rsidR="003436CA" w:rsidRDefault="004B5F67">
      <w:pPr>
        <w:spacing w:line="360" w:lineRule="auto"/>
        <w:rPr>
          <w:rFonts w:eastAsia="Times New Roman"/>
          <w:lang w:eastAsia="en-GB"/>
        </w:rPr>
      </w:pPr>
      <w:r w:rsidRPr="00DB5B50">
        <w:rPr>
          <w:rFonts w:eastAsia="Times New Roman"/>
          <w:lang w:eastAsia="en-GB"/>
        </w:rPr>
        <w:t>For the full sample of 491 respondents</w:t>
      </w:r>
      <w:r w:rsidR="00D01B98">
        <w:rPr>
          <w:rFonts w:eastAsia="Times New Roman"/>
          <w:lang w:eastAsia="en-GB"/>
        </w:rPr>
        <w:t>,</w:t>
      </w:r>
      <w:r w:rsidRPr="00DB5B50">
        <w:rPr>
          <w:rFonts w:eastAsia="Times New Roman"/>
          <w:lang w:eastAsia="en-GB"/>
        </w:rPr>
        <w:t xml:space="preserve"> 99 (approximately 20% of the sample) report</w:t>
      </w:r>
      <w:r w:rsidR="00877822">
        <w:rPr>
          <w:rFonts w:eastAsia="Times New Roman"/>
          <w:lang w:eastAsia="en-GB"/>
        </w:rPr>
        <w:t>ed</w:t>
      </w:r>
      <w:r w:rsidRPr="00DB5B50">
        <w:rPr>
          <w:rFonts w:eastAsia="Times New Roman"/>
          <w:lang w:eastAsia="en-GB"/>
        </w:rPr>
        <w:t xml:space="preserve"> receiving working and/or child tax credits. The proportion of </w:t>
      </w:r>
      <w:r w:rsidR="00731DF2">
        <w:rPr>
          <w:rFonts w:eastAsia="Times New Roman"/>
          <w:lang w:eastAsia="en-GB"/>
        </w:rPr>
        <w:t>VLW</w:t>
      </w:r>
      <w:r w:rsidRPr="00DB5B50">
        <w:rPr>
          <w:rFonts w:eastAsia="Times New Roman"/>
          <w:lang w:eastAsia="en-GB"/>
        </w:rPr>
        <w:t xml:space="preserve"> employees in receipt of tax credits is significantly higher than the rest of the sample. </w:t>
      </w:r>
      <w:r w:rsidR="0031280C">
        <w:rPr>
          <w:rFonts w:eastAsia="Times New Roman"/>
          <w:lang w:eastAsia="en-GB"/>
        </w:rPr>
        <w:t>It</w:t>
      </w:r>
      <w:r w:rsidRPr="00DB5B50">
        <w:rPr>
          <w:rFonts w:eastAsia="Times New Roman"/>
          <w:lang w:eastAsia="en-GB"/>
        </w:rPr>
        <w:t xml:space="preserve"> can also </w:t>
      </w:r>
      <w:r w:rsidR="0031280C">
        <w:rPr>
          <w:rFonts w:eastAsia="Times New Roman"/>
          <w:lang w:eastAsia="en-GB"/>
        </w:rPr>
        <w:t xml:space="preserve">be </w:t>
      </w:r>
      <w:r w:rsidRPr="00DB5B50">
        <w:rPr>
          <w:rFonts w:eastAsia="Times New Roman"/>
          <w:lang w:eastAsia="en-GB"/>
        </w:rPr>
        <w:t>assume</w:t>
      </w:r>
      <w:r w:rsidR="0031280C">
        <w:rPr>
          <w:rFonts w:eastAsia="Times New Roman"/>
          <w:lang w:eastAsia="en-GB"/>
        </w:rPr>
        <w:t>d</w:t>
      </w:r>
      <w:r w:rsidRPr="00DB5B50">
        <w:rPr>
          <w:rFonts w:eastAsia="Times New Roman"/>
          <w:lang w:eastAsia="en-GB"/>
        </w:rPr>
        <w:t xml:space="preserve"> that all the </w:t>
      </w:r>
      <w:r w:rsidR="00A87FB1" w:rsidRPr="00DB5B50">
        <w:rPr>
          <w:rFonts w:eastAsia="Times New Roman"/>
          <w:lang w:eastAsia="en-GB"/>
        </w:rPr>
        <w:t xml:space="preserve">respondents with dependent children were receiving child benefit. </w:t>
      </w:r>
      <w:r w:rsidR="00070C6B" w:rsidRPr="00DB5B50">
        <w:rPr>
          <w:rFonts w:eastAsia="Times New Roman"/>
          <w:lang w:eastAsia="en-GB"/>
        </w:rPr>
        <w:t xml:space="preserve">30% of the respondents were tenants with roughly equal proportions </w:t>
      </w:r>
      <w:r w:rsidR="005D70D2">
        <w:rPr>
          <w:rFonts w:eastAsia="Times New Roman"/>
          <w:lang w:eastAsia="en-GB"/>
        </w:rPr>
        <w:t xml:space="preserve">of </w:t>
      </w:r>
      <w:r w:rsidR="0019367B">
        <w:rPr>
          <w:rFonts w:eastAsia="Times New Roman"/>
          <w:lang w:eastAsia="en-GB"/>
        </w:rPr>
        <w:t>local authority/housing association (</w:t>
      </w:r>
      <w:r w:rsidR="00070C6B" w:rsidRPr="00DB5B50">
        <w:rPr>
          <w:rFonts w:eastAsia="Times New Roman"/>
          <w:lang w:eastAsia="en-GB"/>
        </w:rPr>
        <w:t>LA/HA</w:t>
      </w:r>
      <w:r w:rsidR="0019367B">
        <w:rPr>
          <w:rFonts w:eastAsia="Times New Roman"/>
          <w:lang w:eastAsia="en-GB"/>
        </w:rPr>
        <w:t>)</w:t>
      </w:r>
      <w:r w:rsidR="00070C6B" w:rsidRPr="00DB5B50">
        <w:rPr>
          <w:rFonts w:eastAsia="Times New Roman"/>
          <w:lang w:eastAsia="en-GB"/>
        </w:rPr>
        <w:t xml:space="preserve"> (47%) tenants and private tenants (41%). 18% of </w:t>
      </w:r>
      <w:r w:rsidR="006C667F">
        <w:rPr>
          <w:rFonts w:eastAsia="Times New Roman"/>
          <w:lang w:eastAsia="en-GB"/>
        </w:rPr>
        <w:t xml:space="preserve">LA/HA </w:t>
      </w:r>
      <w:r w:rsidR="00790427">
        <w:rPr>
          <w:rFonts w:eastAsia="Times New Roman"/>
          <w:lang w:eastAsia="en-GB"/>
        </w:rPr>
        <w:t xml:space="preserve">tenants </w:t>
      </w:r>
      <w:r w:rsidR="00070C6B" w:rsidRPr="00DB5B50">
        <w:rPr>
          <w:rFonts w:eastAsia="Times New Roman"/>
          <w:lang w:eastAsia="en-GB"/>
        </w:rPr>
        <w:t>and 10% of private tenants were receiving housing benefit. The sub</w:t>
      </w:r>
      <w:r w:rsidR="00877822">
        <w:rPr>
          <w:rFonts w:eastAsia="Times New Roman"/>
          <w:lang w:eastAsia="en-GB"/>
        </w:rPr>
        <w:t>-</w:t>
      </w:r>
      <w:r w:rsidR="00070C6B" w:rsidRPr="00DB5B50">
        <w:rPr>
          <w:rFonts w:eastAsia="Times New Roman"/>
          <w:lang w:eastAsia="en-GB"/>
        </w:rPr>
        <w:t xml:space="preserve">sample receiving the </w:t>
      </w:r>
      <w:r w:rsidR="00FD1FC2">
        <w:rPr>
          <w:rFonts w:eastAsia="Times New Roman"/>
          <w:lang w:eastAsia="en-GB"/>
        </w:rPr>
        <w:t>VLW</w:t>
      </w:r>
      <w:r w:rsidR="00070C6B" w:rsidRPr="00DB5B50">
        <w:rPr>
          <w:rFonts w:eastAsia="Times New Roman"/>
          <w:lang w:eastAsia="en-GB"/>
        </w:rPr>
        <w:t xml:space="preserve"> </w:t>
      </w:r>
      <w:r w:rsidR="00393790" w:rsidRPr="00DB5B50">
        <w:rPr>
          <w:rFonts w:eastAsia="Times New Roman"/>
          <w:lang w:eastAsia="en-GB"/>
        </w:rPr>
        <w:t>was</w:t>
      </w:r>
      <w:r w:rsidR="00070C6B" w:rsidRPr="00DB5B50">
        <w:rPr>
          <w:rFonts w:eastAsia="Times New Roman"/>
          <w:lang w:eastAsia="en-GB"/>
        </w:rPr>
        <w:t xml:space="preserve"> more likely to be receiving housing benefit (24%).  </w:t>
      </w:r>
    </w:p>
    <w:p w14:paraId="0283D66E" w14:textId="77777777" w:rsidR="00E65651" w:rsidRPr="00DB5B50" w:rsidRDefault="00E65651">
      <w:pPr>
        <w:spacing w:line="360" w:lineRule="auto"/>
        <w:rPr>
          <w:rFonts w:eastAsia="Times New Roman"/>
          <w:lang w:eastAsia="en-GB"/>
        </w:rPr>
      </w:pPr>
    </w:p>
    <w:p w14:paraId="16C5D8C2" w14:textId="2064A022" w:rsidR="004B5F67" w:rsidRPr="00DB5B50" w:rsidRDefault="004B5F67">
      <w:pPr>
        <w:spacing w:line="360" w:lineRule="auto"/>
        <w:rPr>
          <w:rFonts w:eastAsia="Times New Roman"/>
          <w:lang w:eastAsia="en-GB"/>
        </w:rPr>
      </w:pPr>
      <w:r w:rsidRPr="00DB5B50">
        <w:rPr>
          <w:rFonts w:eastAsia="Times New Roman"/>
          <w:lang w:eastAsia="en-GB"/>
        </w:rPr>
        <w:t>Respondents were asked directly about how much they (themselves) thought they received from all the benefits and tax credits per week. For those that were able to respond to this question</w:t>
      </w:r>
      <w:r w:rsidR="005D70D2">
        <w:rPr>
          <w:rFonts w:eastAsia="Times New Roman"/>
          <w:lang w:eastAsia="en-GB"/>
        </w:rPr>
        <w:t xml:space="preserve"> </w:t>
      </w:r>
      <w:r w:rsidR="003436CA" w:rsidRPr="00DB5B50">
        <w:rPr>
          <w:rFonts w:eastAsia="Times New Roman"/>
          <w:lang w:eastAsia="en-GB"/>
        </w:rPr>
        <w:t xml:space="preserve">37% </w:t>
      </w:r>
      <w:r w:rsidR="005D70D2">
        <w:rPr>
          <w:rFonts w:eastAsia="Times New Roman"/>
          <w:lang w:eastAsia="en-GB"/>
        </w:rPr>
        <w:t>said they were receiving some benefit.</w:t>
      </w:r>
      <w:r w:rsidR="003A37C1">
        <w:rPr>
          <w:rFonts w:eastAsia="Times New Roman"/>
          <w:lang w:eastAsia="en-GB"/>
        </w:rPr>
        <w:t xml:space="preserve"> </w:t>
      </w:r>
      <w:r w:rsidR="00877822">
        <w:rPr>
          <w:rFonts w:eastAsia="Times New Roman"/>
          <w:lang w:eastAsia="en-GB"/>
        </w:rPr>
        <w:t>T</w:t>
      </w:r>
      <w:r w:rsidRPr="00DB5B50">
        <w:rPr>
          <w:rFonts w:eastAsia="Times New Roman"/>
          <w:lang w:eastAsia="en-GB"/>
        </w:rPr>
        <w:t xml:space="preserve">he mean (median) figures per week were £92.94 (£47). For these 185 respondents the mean (median) figures for </w:t>
      </w:r>
      <w:r w:rsidR="00FD1FC2">
        <w:rPr>
          <w:rFonts w:eastAsia="Times New Roman"/>
          <w:lang w:eastAsia="en-GB"/>
        </w:rPr>
        <w:t>VLW</w:t>
      </w:r>
      <w:r w:rsidRPr="00DB5B50">
        <w:rPr>
          <w:rFonts w:eastAsia="Times New Roman"/>
          <w:lang w:eastAsia="en-GB"/>
        </w:rPr>
        <w:t xml:space="preserve"> workers within this group were very slightly higher at £103 (£48)</w:t>
      </w:r>
      <w:r w:rsidR="003C0D56">
        <w:rPr>
          <w:rFonts w:eastAsia="Times New Roman"/>
          <w:lang w:eastAsia="en-GB"/>
        </w:rPr>
        <w:t xml:space="preserve">, </w:t>
      </w:r>
      <w:r w:rsidRPr="00DB5B50">
        <w:rPr>
          <w:rFonts w:eastAsia="Times New Roman"/>
          <w:lang w:eastAsia="en-GB"/>
        </w:rPr>
        <w:t>but th</w:t>
      </w:r>
      <w:r w:rsidR="003436CA" w:rsidRPr="00DB5B50">
        <w:rPr>
          <w:rFonts w:eastAsia="Times New Roman"/>
          <w:lang w:eastAsia="en-GB"/>
        </w:rPr>
        <w:t>is</w:t>
      </w:r>
      <w:r w:rsidRPr="00DB5B50">
        <w:rPr>
          <w:rFonts w:eastAsia="Times New Roman"/>
          <w:lang w:eastAsia="en-GB"/>
        </w:rPr>
        <w:t xml:space="preserve"> </w:t>
      </w:r>
      <w:r w:rsidR="00B5037D" w:rsidRPr="00DB5B50">
        <w:rPr>
          <w:rFonts w:eastAsia="Times New Roman"/>
          <w:lang w:eastAsia="en-GB"/>
        </w:rPr>
        <w:t>difference</w:t>
      </w:r>
      <w:r w:rsidRPr="00DB5B50">
        <w:rPr>
          <w:rFonts w:eastAsia="Times New Roman"/>
          <w:lang w:eastAsia="en-GB"/>
        </w:rPr>
        <w:t xml:space="preserve"> w</w:t>
      </w:r>
      <w:r w:rsidR="003436CA" w:rsidRPr="00DB5B50">
        <w:rPr>
          <w:rFonts w:eastAsia="Times New Roman"/>
          <w:lang w:eastAsia="en-GB"/>
        </w:rPr>
        <w:t>as</w:t>
      </w:r>
      <w:r w:rsidRPr="00DB5B50">
        <w:rPr>
          <w:rFonts w:eastAsia="Times New Roman"/>
          <w:lang w:eastAsia="en-GB"/>
        </w:rPr>
        <w:t xml:space="preserve"> not statistically significant. </w:t>
      </w:r>
    </w:p>
    <w:p w14:paraId="3F19570E" w14:textId="77777777" w:rsidR="003436CA" w:rsidRPr="00DB5B50" w:rsidRDefault="003436CA" w:rsidP="00647393">
      <w:pPr>
        <w:spacing w:line="360" w:lineRule="auto"/>
        <w:rPr>
          <w:rFonts w:eastAsia="Times New Roman"/>
          <w:lang w:eastAsia="en-GB"/>
        </w:rPr>
      </w:pPr>
    </w:p>
    <w:p w14:paraId="4A2D96FE" w14:textId="77777777" w:rsidR="00A37D53" w:rsidRDefault="003436CA" w:rsidP="00647393">
      <w:pPr>
        <w:spacing w:line="360" w:lineRule="auto"/>
      </w:pPr>
      <w:r w:rsidRPr="00DB5B50">
        <w:rPr>
          <w:rFonts w:eastAsia="Times New Roman"/>
          <w:lang w:eastAsia="en-GB"/>
        </w:rPr>
        <w:lastRenderedPageBreak/>
        <w:t>We sought to answer two other questions in relation to benefits. Were respondents receiving all the benefits to which they were entitled and what would be the impact of Universal Credit on their living standards?</w:t>
      </w:r>
      <w:r w:rsidR="00A37D53">
        <w:rPr>
          <w:rFonts w:eastAsia="Times New Roman"/>
          <w:lang w:eastAsia="en-GB"/>
        </w:rPr>
        <w:t xml:space="preserve"> In order to answer these questions t</w:t>
      </w:r>
      <w:r w:rsidR="00477CEC" w:rsidRPr="00DB5B50">
        <w:t xml:space="preserve">he </w:t>
      </w:r>
      <w:r w:rsidRPr="00DB5B50">
        <w:t xml:space="preserve">welfare rights experts in the York </w:t>
      </w:r>
      <w:r w:rsidR="00477CEC" w:rsidRPr="00DB5B50">
        <w:t xml:space="preserve">Welfare Benefits Unit were asked to assess whether a sub-set of respondents were receiving all the benefits they were entitled to, and to simulate the implications of a move to Universal Credit. </w:t>
      </w:r>
    </w:p>
    <w:p w14:paraId="52065F1F" w14:textId="77777777" w:rsidR="00A37D53" w:rsidRDefault="00A37D53" w:rsidP="00647393">
      <w:pPr>
        <w:spacing w:line="360" w:lineRule="auto"/>
      </w:pPr>
    </w:p>
    <w:p w14:paraId="597C01BA" w14:textId="3F49A016" w:rsidR="00477CEC" w:rsidRPr="00DB5B50" w:rsidRDefault="00477CEC" w:rsidP="00647393">
      <w:pPr>
        <w:spacing w:line="360" w:lineRule="auto"/>
      </w:pPr>
      <w:r w:rsidRPr="00DB5B50">
        <w:t xml:space="preserve">A </w:t>
      </w:r>
      <w:r w:rsidR="00E65651">
        <w:t>sub-</w:t>
      </w:r>
      <w:r w:rsidRPr="00DB5B50">
        <w:t xml:space="preserve">sample of approximately 40% of the survey </w:t>
      </w:r>
      <w:r w:rsidR="00A37D53">
        <w:t xml:space="preserve">respondents </w:t>
      </w:r>
      <w:r w:rsidRPr="00DB5B50">
        <w:t>w</w:t>
      </w:r>
      <w:r w:rsidR="005D70D2">
        <w:t>as</w:t>
      </w:r>
      <w:r w:rsidRPr="00DB5B50">
        <w:t xml:space="preserve"> </w:t>
      </w:r>
      <w:r w:rsidR="008E0C7F" w:rsidRPr="00DB5B50">
        <w:t>a</w:t>
      </w:r>
      <w:r w:rsidRPr="00DB5B50">
        <w:t>ssessed. Where it appeared that a household had additional benefit entitlement appropriate notification was passed to the research team. The notification included brief benefit entitlement advice that was forwarded to the household in a letter produced by the survey company.</w:t>
      </w:r>
    </w:p>
    <w:p w14:paraId="055B11C5" w14:textId="77777777" w:rsidR="00A37D53" w:rsidRDefault="00A37D53" w:rsidP="00647393">
      <w:pPr>
        <w:spacing w:line="360" w:lineRule="auto"/>
      </w:pPr>
    </w:p>
    <w:p w14:paraId="11C553D6" w14:textId="18A24D01" w:rsidR="008E0C7F" w:rsidRPr="00DB5B50" w:rsidRDefault="008E0C7F" w:rsidP="00647393">
      <w:pPr>
        <w:spacing w:line="360" w:lineRule="auto"/>
      </w:pPr>
      <w:r w:rsidRPr="00DB5B50">
        <w:t>32 cases (16% of those inspected</w:t>
      </w:r>
      <w:r w:rsidR="00647393">
        <w:t>)</w:t>
      </w:r>
      <w:r w:rsidRPr="00DB5B50">
        <w:t xml:space="preserve"> were identified as having missing entitlement to means-tested benefits and/or tax credits (including 10 disability benefit claims)</w:t>
      </w:r>
      <w:r w:rsidR="00803C30">
        <w:t>.</w:t>
      </w:r>
      <w:r w:rsidRPr="00DB5B50">
        <w:t xml:space="preserve"> They were 15 single people, 7 </w:t>
      </w:r>
      <w:r w:rsidR="0019367B">
        <w:t xml:space="preserve">childless </w:t>
      </w:r>
      <w:r w:rsidRPr="00DB5B50">
        <w:t xml:space="preserve">couples, 6 lone parents and 4 couples with children. Three established carers (claiming Carer’s Allowance) and a further four carers were also potentially missing out. </w:t>
      </w:r>
      <w:r w:rsidR="00803C30">
        <w:t xml:space="preserve"> Thus even though these households were receiving the VLW, they were missing out on other income intended to complement</w:t>
      </w:r>
      <w:r w:rsidR="00E52750">
        <w:t xml:space="preserve"> it</w:t>
      </w:r>
      <w:r w:rsidR="00803C30">
        <w:t>.</w:t>
      </w:r>
      <w:r w:rsidR="004C2A2C" w:rsidRPr="004C2A2C">
        <w:rPr>
          <w:i/>
        </w:rPr>
        <w:t xml:space="preserve"> </w:t>
      </w:r>
    </w:p>
    <w:p w14:paraId="5A2E0518" w14:textId="77777777" w:rsidR="008E0C7F" w:rsidRPr="00DB5B50" w:rsidRDefault="008E0C7F" w:rsidP="00647393">
      <w:pPr>
        <w:spacing w:line="360" w:lineRule="auto"/>
      </w:pPr>
    </w:p>
    <w:p w14:paraId="5FC8F1EE" w14:textId="61B359A6" w:rsidR="00E423A9" w:rsidRPr="00DB5B50" w:rsidRDefault="008E0C7F">
      <w:pPr>
        <w:spacing w:line="360" w:lineRule="auto"/>
        <w:rPr>
          <w:rFonts w:eastAsia="Times New Roman"/>
          <w:color w:val="000000"/>
          <w:kern w:val="24"/>
        </w:rPr>
      </w:pPr>
      <w:r w:rsidRPr="00DB5B50">
        <w:t xml:space="preserve">The attempt to assess the potential impact of Universal Credit was overtaken and eventually </w:t>
      </w:r>
      <w:r w:rsidR="001D1200">
        <w:t>rendered impossible</w:t>
      </w:r>
      <w:r w:rsidRPr="00DB5B50">
        <w:t xml:space="preserve"> by the </w:t>
      </w:r>
      <w:r w:rsidR="00877822">
        <w:t xml:space="preserve">many </w:t>
      </w:r>
      <w:r w:rsidRPr="00DB5B50">
        <w:t>delays in implementation</w:t>
      </w:r>
      <w:r w:rsidR="007B2C76">
        <w:t>,</w:t>
      </w:r>
      <w:r w:rsidRPr="00DB5B50">
        <w:t xml:space="preserve"> and then the </w:t>
      </w:r>
      <w:r w:rsidR="00877822">
        <w:t>substantial cuts</w:t>
      </w:r>
      <w:r w:rsidRPr="00DB5B50">
        <w:t xml:space="preserve"> </w:t>
      </w:r>
      <w:r w:rsidR="00E65651">
        <w:t>to</w:t>
      </w:r>
      <w:r w:rsidRPr="00DB5B50">
        <w:t xml:space="preserve"> the scheme. </w:t>
      </w:r>
      <w:r w:rsidR="00877822">
        <w:t xml:space="preserve">Suffice it to say that if Universal </w:t>
      </w:r>
      <w:r w:rsidR="00EE7663">
        <w:t>Credit had been introduced as in</w:t>
      </w:r>
      <w:r w:rsidR="00877822">
        <w:t>tended 25% of the cases assessed would have gained. However</w:t>
      </w:r>
      <w:r w:rsidR="00803C30">
        <w:t>,</w:t>
      </w:r>
      <w:r w:rsidR="00877822">
        <w:t xml:space="preserve"> a third of those </w:t>
      </w:r>
      <w:proofErr w:type="gramStart"/>
      <w:r w:rsidR="00877822">
        <w:t>w</w:t>
      </w:r>
      <w:r w:rsidR="005D70D2">
        <w:t>ere</w:t>
      </w:r>
      <w:proofErr w:type="gramEnd"/>
      <w:r w:rsidR="00877822">
        <w:t xml:space="preserve"> unde</w:t>
      </w:r>
      <w:r w:rsidR="00EE7663">
        <w:t>r</w:t>
      </w:r>
      <w:r w:rsidR="001D1200">
        <w:t>-</w:t>
      </w:r>
      <w:r w:rsidR="00877822">
        <w:t>clai</w:t>
      </w:r>
      <w:r w:rsidR="00EE7663">
        <w:t>mi</w:t>
      </w:r>
      <w:r w:rsidR="00877822">
        <w:t>ng existing entitlements</w:t>
      </w:r>
      <w:r w:rsidR="001D1200">
        <w:t xml:space="preserve"> and were assumed to claim Universal Credit on its introduction</w:t>
      </w:r>
      <w:r w:rsidR="00877822">
        <w:t xml:space="preserve">. </w:t>
      </w:r>
      <w:r w:rsidR="00EE7663">
        <w:t xml:space="preserve">15% of the cases assessed would have lost entitlement under Universal Credit. </w:t>
      </w:r>
    </w:p>
    <w:p w14:paraId="3AF616EC" w14:textId="77777777" w:rsidR="00E423A9" w:rsidRPr="00DB5B50" w:rsidRDefault="00E423A9" w:rsidP="00647393">
      <w:pPr>
        <w:spacing w:line="360" w:lineRule="auto"/>
        <w:rPr>
          <w:rFonts w:eastAsia="Times New Roman"/>
          <w:color w:val="000000"/>
          <w:kern w:val="24"/>
        </w:rPr>
      </w:pPr>
    </w:p>
    <w:p w14:paraId="0DDA1EF3" w14:textId="393E1E56" w:rsidR="001E1DE1" w:rsidRPr="00DB5B50" w:rsidRDefault="001E1DE1" w:rsidP="00647393">
      <w:pPr>
        <w:spacing w:line="360" w:lineRule="auto"/>
      </w:pPr>
      <w:r w:rsidRPr="00DB5B50">
        <w:t>Respondents were asked:</w:t>
      </w:r>
      <w:r w:rsidR="00E423A9" w:rsidRPr="00DB5B50">
        <w:t xml:space="preserve"> ‘</w:t>
      </w:r>
      <w:r w:rsidRPr="00DB5B50">
        <w:t>Have you and/or your household been (or will you be) affected by any of the following welfare reforms?</w:t>
      </w:r>
      <w:r w:rsidR="00E423A9" w:rsidRPr="00DB5B50">
        <w:t xml:space="preserve">’ </w:t>
      </w:r>
      <w:r w:rsidRPr="00DB5B50">
        <w:t>Four respondents had been affected by the ‘bedroom tax’ (size criteria in social housing</w:t>
      </w:r>
      <w:r w:rsidR="003A37C1">
        <w:t xml:space="preserve">). </w:t>
      </w:r>
      <w:r w:rsidRPr="00DB5B50">
        <w:t>This reduce</w:t>
      </w:r>
      <w:r w:rsidR="00E423A9" w:rsidRPr="00DB5B50">
        <w:t>d</w:t>
      </w:r>
      <w:r w:rsidRPr="00DB5B50">
        <w:t xml:space="preserve"> the amount of </w:t>
      </w:r>
      <w:r w:rsidR="00E423A9" w:rsidRPr="00DB5B50">
        <w:t>housing benefit</w:t>
      </w:r>
      <w:r w:rsidRPr="00DB5B50">
        <w:t xml:space="preserve"> payable by 14% if they </w:t>
      </w:r>
      <w:r w:rsidR="00803C30">
        <w:t>we</w:t>
      </w:r>
      <w:r w:rsidRPr="00DB5B50">
        <w:t xml:space="preserve">re assessed as </w:t>
      </w:r>
      <w:r w:rsidR="001D1200">
        <w:t>‘</w:t>
      </w:r>
      <w:r w:rsidRPr="00DB5B50">
        <w:t>under</w:t>
      </w:r>
      <w:r w:rsidR="00E423A9" w:rsidRPr="00DB5B50">
        <w:t xml:space="preserve"> </w:t>
      </w:r>
      <w:r w:rsidRPr="00DB5B50">
        <w:t>occupying</w:t>
      </w:r>
      <w:r w:rsidR="001D1200">
        <w:t>’</w:t>
      </w:r>
      <w:r w:rsidRPr="00DB5B50">
        <w:t xml:space="preserve"> by one bedroom or by 25% if </w:t>
      </w:r>
      <w:r w:rsidR="001D1200">
        <w:t>‘</w:t>
      </w:r>
      <w:r w:rsidRPr="00DB5B50">
        <w:t>under</w:t>
      </w:r>
      <w:r w:rsidR="00E423A9" w:rsidRPr="00DB5B50">
        <w:t xml:space="preserve"> </w:t>
      </w:r>
      <w:r w:rsidRPr="00DB5B50">
        <w:t>occupying</w:t>
      </w:r>
      <w:r w:rsidR="001D1200">
        <w:t>’</w:t>
      </w:r>
      <w:r w:rsidRPr="00DB5B50">
        <w:t xml:space="preserve"> by two o</w:t>
      </w:r>
      <w:r w:rsidR="00803C30">
        <w:t>r</w:t>
      </w:r>
      <w:r w:rsidRPr="00DB5B50">
        <w:t xml:space="preserve"> more bedrooms.</w:t>
      </w:r>
      <w:r w:rsidR="00E423A9" w:rsidRPr="00DB5B50">
        <w:t xml:space="preserve"> </w:t>
      </w:r>
      <w:r w:rsidRPr="00DB5B50">
        <w:t xml:space="preserve">Changes to the State Pension were mentioned most frequently (46 cases). These comments referred to the increase in women’s State Pension age, delaying entitlement to Pension Credit and more generous rates within means-tested benefits, as well as delaying entitlement to State Pension. </w:t>
      </w:r>
    </w:p>
    <w:p w14:paraId="03E20122" w14:textId="77777777" w:rsidR="001E1DE1" w:rsidRPr="00DB5B50" w:rsidRDefault="001E1DE1" w:rsidP="00647393">
      <w:pPr>
        <w:spacing w:line="360" w:lineRule="auto"/>
      </w:pPr>
    </w:p>
    <w:p w14:paraId="188E04F5" w14:textId="1F1E99B8" w:rsidR="000011B2" w:rsidRPr="00DD32A4" w:rsidRDefault="00FD154C" w:rsidP="006C667F">
      <w:pPr>
        <w:spacing w:line="360" w:lineRule="auto"/>
        <w:rPr>
          <w:rFonts w:eastAsia="Times New Roman"/>
          <w:lang w:eastAsia="en-GB"/>
        </w:rPr>
      </w:pPr>
      <w:r w:rsidRPr="00DB5B50">
        <w:rPr>
          <w:rFonts w:eastAsia="Times New Roman"/>
          <w:color w:val="000000"/>
          <w:kern w:val="24"/>
          <w:lang w:eastAsia="en-GB"/>
        </w:rPr>
        <w:t xml:space="preserve">All the employers tried to support low-paid employees with </w:t>
      </w:r>
      <w:r w:rsidRPr="00DB5B50">
        <w:rPr>
          <w:rFonts w:eastAsia="Times New Roman"/>
          <w:color w:val="000000"/>
          <w:kern w:val="24"/>
          <w:lang w:val="en-US" w:eastAsia="en-GB"/>
        </w:rPr>
        <w:t xml:space="preserve">remuneration packages or </w:t>
      </w:r>
      <w:r w:rsidRPr="00DB5B50">
        <w:rPr>
          <w:rFonts w:eastAsia="Times New Roman"/>
          <w:i/>
          <w:color w:val="000000"/>
          <w:kern w:val="24"/>
          <w:lang w:val="en-US" w:eastAsia="en-GB"/>
        </w:rPr>
        <w:t>employee benefit schemes</w:t>
      </w:r>
      <w:r w:rsidRPr="00DB5B50">
        <w:rPr>
          <w:rFonts w:eastAsia="Times New Roman"/>
          <w:color w:val="000000"/>
          <w:kern w:val="24"/>
          <w:lang w:val="en-US" w:eastAsia="en-GB"/>
        </w:rPr>
        <w:t xml:space="preserve"> run </w:t>
      </w:r>
      <w:r w:rsidR="00DD32A4">
        <w:rPr>
          <w:rFonts w:eastAsia="Times New Roman"/>
          <w:color w:val="000000"/>
          <w:kern w:val="24"/>
          <w:lang w:val="en-US" w:eastAsia="en-GB"/>
        </w:rPr>
        <w:t>by</w:t>
      </w:r>
      <w:r w:rsidRPr="00DB5B50">
        <w:rPr>
          <w:rFonts w:eastAsia="Times New Roman"/>
          <w:color w:val="000000"/>
          <w:kern w:val="24"/>
          <w:lang w:val="en-US" w:eastAsia="en-GB"/>
        </w:rPr>
        <w:t xml:space="preserve"> the </w:t>
      </w:r>
      <w:r w:rsidR="007B2C76">
        <w:rPr>
          <w:rFonts w:eastAsia="Times New Roman"/>
          <w:color w:val="000000"/>
          <w:kern w:val="24"/>
          <w:lang w:val="en-US" w:eastAsia="en-GB"/>
        </w:rPr>
        <w:t>employers</w:t>
      </w:r>
      <w:r w:rsidRPr="00DB5B50">
        <w:rPr>
          <w:rFonts w:eastAsia="Times New Roman"/>
          <w:color w:val="000000"/>
          <w:kern w:val="24"/>
          <w:lang w:val="en-US" w:eastAsia="en-GB"/>
        </w:rPr>
        <w:t>. The</w:t>
      </w:r>
      <w:r w:rsidR="00F863E1">
        <w:rPr>
          <w:rFonts w:eastAsia="Times New Roman"/>
          <w:color w:val="000000"/>
          <w:kern w:val="24"/>
          <w:lang w:val="en-US" w:eastAsia="en-GB"/>
        </w:rPr>
        <w:t xml:space="preserve"> survey </w:t>
      </w:r>
      <w:r w:rsidR="002355A5">
        <w:rPr>
          <w:rFonts w:eastAsia="Times New Roman"/>
          <w:color w:val="000000"/>
          <w:kern w:val="24"/>
          <w:lang w:val="en-US" w:eastAsia="en-GB"/>
        </w:rPr>
        <w:t>found that the</w:t>
      </w:r>
      <w:r w:rsidR="001D1200">
        <w:rPr>
          <w:rFonts w:eastAsia="Times New Roman"/>
          <w:color w:val="000000"/>
          <w:kern w:val="24"/>
          <w:lang w:val="en-US" w:eastAsia="en-GB"/>
        </w:rPr>
        <w:t>se</w:t>
      </w:r>
      <w:r w:rsidR="002355A5">
        <w:rPr>
          <w:rFonts w:eastAsia="Times New Roman"/>
          <w:color w:val="000000"/>
          <w:kern w:val="24"/>
          <w:lang w:val="en-US" w:eastAsia="en-GB"/>
        </w:rPr>
        <w:t xml:space="preserve"> were o</w:t>
      </w:r>
      <w:r w:rsidR="001D1200">
        <w:rPr>
          <w:rFonts w:eastAsia="Times New Roman"/>
          <w:color w:val="000000"/>
          <w:kern w:val="24"/>
          <w:lang w:val="en-US" w:eastAsia="en-GB"/>
        </w:rPr>
        <w:t>nly o</w:t>
      </w:r>
      <w:r w:rsidR="002355A5">
        <w:rPr>
          <w:rFonts w:eastAsia="Times New Roman"/>
          <w:color w:val="000000"/>
          <w:kern w:val="24"/>
          <w:lang w:val="en-US" w:eastAsia="en-GB"/>
        </w:rPr>
        <w:t>f minimal value to employees.</w:t>
      </w:r>
      <w:r w:rsidR="00803C30">
        <w:rPr>
          <w:rFonts w:eastAsia="Times New Roman"/>
          <w:color w:val="000000"/>
          <w:kern w:val="24"/>
          <w:lang w:val="en-US" w:eastAsia="en-GB"/>
        </w:rPr>
        <w:t xml:space="preserve"> </w:t>
      </w:r>
    </w:p>
    <w:p w14:paraId="1B60F0B1" w14:textId="77777777" w:rsidR="00882187" w:rsidRDefault="00882187" w:rsidP="00647393">
      <w:pPr>
        <w:autoSpaceDE w:val="0"/>
        <w:autoSpaceDN w:val="0"/>
        <w:adjustRightInd w:val="0"/>
        <w:spacing w:line="360" w:lineRule="auto"/>
        <w:rPr>
          <w:rFonts w:eastAsia="Times New Roman"/>
          <w:color w:val="000000"/>
          <w:kern w:val="24"/>
          <w:lang w:val="en-US" w:eastAsia="en-GB"/>
        </w:rPr>
      </w:pPr>
    </w:p>
    <w:p w14:paraId="70FE66ED" w14:textId="77777777" w:rsidR="00F863E1" w:rsidRDefault="00F863E1" w:rsidP="00647393">
      <w:pPr>
        <w:autoSpaceDE w:val="0"/>
        <w:autoSpaceDN w:val="0"/>
        <w:adjustRightInd w:val="0"/>
        <w:spacing w:line="360" w:lineRule="auto"/>
        <w:rPr>
          <w:rFonts w:eastAsia="Times New Roman"/>
          <w:b/>
          <w:color w:val="000000"/>
          <w:kern w:val="24"/>
          <w:lang w:val="en-US" w:eastAsia="en-GB"/>
        </w:rPr>
      </w:pPr>
      <w:r w:rsidRPr="00DD32A4">
        <w:rPr>
          <w:rFonts w:eastAsia="Times New Roman"/>
          <w:b/>
          <w:color w:val="000000"/>
          <w:kern w:val="24"/>
          <w:lang w:val="en-US" w:eastAsia="en-GB"/>
        </w:rPr>
        <w:t>Income poverty</w:t>
      </w:r>
      <w:r w:rsidR="00DD32A4">
        <w:rPr>
          <w:rFonts w:eastAsia="Times New Roman"/>
          <w:b/>
          <w:color w:val="000000"/>
          <w:kern w:val="24"/>
          <w:lang w:val="en-US" w:eastAsia="en-GB"/>
        </w:rPr>
        <w:t xml:space="preserve"> and deprivation</w:t>
      </w:r>
    </w:p>
    <w:p w14:paraId="5379DCC8" w14:textId="77777777" w:rsidR="00DD32A4" w:rsidRDefault="00DD32A4" w:rsidP="00647393">
      <w:pPr>
        <w:spacing w:line="360" w:lineRule="auto"/>
        <w:rPr>
          <w:rFonts w:eastAsia="Times New Roman"/>
          <w:lang w:eastAsia="en-GB"/>
        </w:rPr>
      </w:pPr>
    </w:p>
    <w:p w14:paraId="0517C325" w14:textId="65519F2B" w:rsidR="00882187" w:rsidRDefault="00882187" w:rsidP="00647393">
      <w:pPr>
        <w:spacing w:line="360" w:lineRule="auto"/>
        <w:rPr>
          <w:rFonts w:eastAsia="Times New Roman"/>
          <w:lang w:eastAsia="en-GB"/>
        </w:rPr>
      </w:pPr>
      <w:r w:rsidRPr="00DB5B50">
        <w:rPr>
          <w:rFonts w:eastAsia="Times New Roman"/>
          <w:lang w:eastAsia="en-GB"/>
        </w:rPr>
        <w:t xml:space="preserve">To assess the risk of in-work poverty </w:t>
      </w:r>
      <w:r w:rsidR="00730962">
        <w:rPr>
          <w:rFonts w:eastAsia="Times New Roman"/>
          <w:lang w:eastAsia="en-GB"/>
        </w:rPr>
        <w:t>(</w:t>
      </w:r>
      <w:r w:rsidR="003A37C1">
        <w:rPr>
          <w:rFonts w:eastAsia="Times New Roman"/>
          <w:lang w:eastAsia="en-GB"/>
        </w:rPr>
        <w:t xml:space="preserve">using the </w:t>
      </w:r>
      <w:r w:rsidR="001D1200">
        <w:rPr>
          <w:rFonts w:eastAsia="Times New Roman"/>
          <w:lang w:eastAsia="en-GB"/>
        </w:rPr>
        <w:t xml:space="preserve">under </w:t>
      </w:r>
      <w:r w:rsidR="00730962">
        <w:rPr>
          <w:rFonts w:eastAsia="Times New Roman"/>
          <w:lang w:eastAsia="en-GB"/>
        </w:rPr>
        <w:t xml:space="preserve">60% median </w:t>
      </w:r>
      <w:proofErr w:type="spellStart"/>
      <w:r w:rsidR="00730962">
        <w:rPr>
          <w:rFonts w:eastAsia="Times New Roman"/>
          <w:lang w:eastAsia="en-GB"/>
        </w:rPr>
        <w:t>equival</w:t>
      </w:r>
      <w:r w:rsidR="00E2554C">
        <w:rPr>
          <w:rFonts w:eastAsia="Times New Roman"/>
          <w:lang w:eastAsia="en-GB"/>
        </w:rPr>
        <w:t>ised</w:t>
      </w:r>
      <w:proofErr w:type="spellEnd"/>
      <w:r w:rsidR="00D64481">
        <w:rPr>
          <w:rFonts w:eastAsia="Times New Roman"/>
          <w:lang w:eastAsia="en-GB"/>
        </w:rPr>
        <w:t xml:space="preserve"> </w:t>
      </w:r>
      <w:r w:rsidR="00730962">
        <w:rPr>
          <w:rFonts w:eastAsia="Times New Roman"/>
          <w:lang w:eastAsia="en-GB"/>
        </w:rPr>
        <w:t>income</w:t>
      </w:r>
      <w:r w:rsidR="003A37C1">
        <w:rPr>
          <w:rFonts w:eastAsia="Times New Roman"/>
          <w:lang w:eastAsia="en-GB"/>
        </w:rPr>
        <w:t xml:space="preserve"> threshold</w:t>
      </w:r>
      <w:r w:rsidR="00730962">
        <w:rPr>
          <w:rFonts w:eastAsia="Times New Roman"/>
          <w:lang w:eastAsia="en-GB"/>
        </w:rPr>
        <w:t xml:space="preserve">) </w:t>
      </w:r>
      <w:r w:rsidRPr="00DB5B50">
        <w:rPr>
          <w:rFonts w:eastAsia="Times New Roman"/>
          <w:lang w:eastAsia="en-GB"/>
        </w:rPr>
        <w:t>the Before Housing Costs (BHC) and After Housing Costs (AHC) income measures were constructed</w:t>
      </w:r>
      <w:r w:rsidR="000F6F5A">
        <w:rPr>
          <w:rFonts w:eastAsia="Times New Roman"/>
          <w:lang w:eastAsia="en-GB"/>
        </w:rPr>
        <w:t xml:space="preserve"> at the </w:t>
      </w:r>
      <w:r w:rsidR="008218FC">
        <w:rPr>
          <w:rFonts w:eastAsia="Times New Roman"/>
          <w:lang w:eastAsia="en-GB"/>
        </w:rPr>
        <w:t>tax/benefit</w:t>
      </w:r>
      <w:r w:rsidR="000F6F5A">
        <w:rPr>
          <w:rFonts w:eastAsia="Times New Roman"/>
          <w:lang w:eastAsia="en-GB"/>
        </w:rPr>
        <w:t xml:space="preserve"> unit level</w:t>
      </w:r>
      <w:r w:rsidRPr="00DB5B50">
        <w:rPr>
          <w:rFonts w:eastAsia="Times New Roman"/>
          <w:lang w:eastAsia="en-GB"/>
        </w:rPr>
        <w:t>.</w:t>
      </w:r>
      <w:r w:rsidR="00E2554C">
        <w:rPr>
          <w:rFonts w:eastAsia="Times New Roman"/>
          <w:lang w:eastAsia="en-GB"/>
        </w:rPr>
        <w:t xml:space="preserve"> </w:t>
      </w:r>
      <w:r w:rsidR="003A37C1">
        <w:rPr>
          <w:rFonts w:eastAsia="Times New Roman"/>
          <w:lang w:eastAsia="en-GB"/>
        </w:rPr>
        <w:t>It is important to recognise that t</w:t>
      </w:r>
      <w:r w:rsidR="003A37C1">
        <w:t>his is not strictly comparable with Family Resources Survey data which collects income data from every adult in a household and assesses poverty at the household level. But this was not possible given the resources available for this project</w:t>
      </w:r>
      <w:r w:rsidR="000271B3">
        <w:t xml:space="preserve"> and not appropriate given the large proportion of multi-unit households</w:t>
      </w:r>
      <w:r w:rsidR="003A37C1">
        <w:t xml:space="preserve">. </w:t>
      </w:r>
      <w:r w:rsidRPr="00DB5B50">
        <w:rPr>
          <w:rFonts w:eastAsia="Times New Roman"/>
          <w:lang w:eastAsia="en-GB"/>
        </w:rPr>
        <w:t xml:space="preserve">For an accurate income measure to be constructed </w:t>
      </w:r>
      <w:r w:rsidR="00F863E1">
        <w:rPr>
          <w:rFonts w:eastAsia="Times New Roman"/>
          <w:lang w:eastAsia="en-GB"/>
        </w:rPr>
        <w:t>at family/benefit unit level</w:t>
      </w:r>
      <w:r w:rsidR="00B16C08" w:rsidRPr="00DB5B50">
        <w:rPr>
          <w:rFonts w:eastAsia="Times New Roman"/>
          <w:lang w:eastAsia="en-GB"/>
        </w:rPr>
        <w:t xml:space="preserve"> </w:t>
      </w:r>
      <w:r w:rsidRPr="00DB5B50">
        <w:rPr>
          <w:rFonts w:eastAsia="Times New Roman"/>
          <w:lang w:eastAsia="en-GB"/>
        </w:rPr>
        <w:t>requires the detailed collection of earnings</w:t>
      </w:r>
      <w:r w:rsidR="00786BCD">
        <w:rPr>
          <w:rFonts w:eastAsia="Times New Roman"/>
          <w:lang w:eastAsia="en-GB"/>
        </w:rPr>
        <w:t xml:space="preserve"> (we used data from wage slips)</w:t>
      </w:r>
      <w:r w:rsidRPr="00DB5B50">
        <w:rPr>
          <w:rFonts w:eastAsia="Times New Roman"/>
          <w:lang w:eastAsia="en-GB"/>
        </w:rPr>
        <w:t xml:space="preserve">, benefits and other income received by the respondent (and their partner). This measure </w:t>
      </w:r>
      <w:r w:rsidR="00B16C08" w:rsidRPr="00DB5B50">
        <w:rPr>
          <w:rFonts w:eastAsia="Times New Roman"/>
          <w:lang w:eastAsia="en-GB"/>
        </w:rPr>
        <w:t>was achieved for 338 of the 491</w:t>
      </w:r>
      <w:r w:rsidR="00F863E1">
        <w:rPr>
          <w:rFonts w:eastAsia="Times New Roman"/>
          <w:lang w:eastAsia="en-GB"/>
        </w:rPr>
        <w:t xml:space="preserve"> re</w:t>
      </w:r>
      <w:r w:rsidR="00E3475F">
        <w:rPr>
          <w:rFonts w:eastAsia="Times New Roman"/>
          <w:lang w:eastAsia="en-GB"/>
        </w:rPr>
        <w:t>s</w:t>
      </w:r>
      <w:r w:rsidR="00F863E1">
        <w:rPr>
          <w:rFonts w:eastAsia="Times New Roman"/>
          <w:lang w:eastAsia="en-GB"/>
        </w:rPr>
        <w:t>pondents</w:t>
      </w:r>
      <w:r w:rsidR="00B16C08" w:rsidRPr="00DB5B50">
        <w:rPr>
          <w:rFonts w:eastAsia="Times New Roman"/>
          <w:lang w:eastAsia="en-GB"/>
        </w:rPr>
        <w:t>.</w:t>
      </w:r>
      <w:r w:rsidRPr="00DB5B50">
        <w:rPr>
          <w:rFonts w:eastAsia="Times New Roman"/>
          <w:lang w:eastAsia="en-GB"/>
        </w:rPr>
        <w:t xml:space="preserve"> Of these 338 respondents</w:t>
      </w:r>
      <w:r w:rsidR="00E2554C">
        <w:rPr>
          <w:rFonts w:eastAsia="Times New Roman"/>
          <w:lang w:eastAsia="en-GB"/>
        </w:rPr>
        <w:t>,</w:t>
      </w:r>
      <w:r w:rsidRPr="00DB5B50">
        <w:rPr>
          <w:rFonts w:eastAsia="Times New Roman"/>
          <w:lang w:eastAsia="en-GB"/>
        </w:rPr>
        <w:t xml:space="preserve"> </w:t>
      </w:r>
      <w:r w:rsidR="00B16C08" w:rsidRPr="00DB5B50">
        <w:rPr>
          <w:rFonts w:eastAsia="Times New Roman"/>
          <w:lang w:eastAsia="en-GB"/>
        </w:rPr>
        <w:t>16% were</w:t>
      </w:r>
      <w:r w:rsidRPr="00DB5B50">
        <w:rPr>
          <w:rFonts w:eastAsia="Times New Roman"/>
          <w:lang w:eastAsia="en-GB"/>
        </w:rPr>
        <w:t xml:space="preserve"> </w:t>
      </w:r>
      <w:r w:rsidR="001D1200">
        <w:rPr>
          <w:rFonts w:eastAsia="Times New Roman"/>
          <w:lang w:eastAsia="en-GB"/>
        </w:rPr>
        <w:t xml:space="preserve">living </w:t>
      </w:r>
      <w:r w:rsidRPr="00DB5B50">
        <w:rPr>
          <w:rFonts w:eastAsia="Times New Roman"/>
          <w:lang w:eastAsia="en-GB"/>
        </w:rPr>
        <w:t xml:space="preserve">at or below </w:t>
      </w:r>
      <w:r w:rsidR="008218FC">
        <w:rPr>
          <w:rFonts w:eastAsia="Times New Roman"/>
          <w:lang w:eastAsia="en-GB"/>
        </w:rPr>
        <w:t xml:space="preserve">the </w:t>
      </w:r>
      <w:r w:rsidRPr="00DB5B50">
        <w:rPr>
          <w:rFonts w:eastAsia="Times New Roman"/>
          <w:lang w:eastAsia="en-GB"/>
        </w:rPr>
        <w:t xml:space="preserve">60% median </w:t>
      </w:r>
      <w:r w:rsidR="001D1200">
        <w:rPr>
          <w:rFonts w:eastAsia="Times New Roman"/>
          <w:lang w:eastAsia="en-GB"/>
        </w:rPr>
        <w:t xml:space="preserve">income </w:t>
      </w:r>
      <w:r w:rsidRPr="00DB5B50">
        <w:rPr>
          <w:rFonts w:eastAsia="Times New Roman"/>
          <w:lang w:eastAsia="en-GB"/>
        </w:rPr>
        <w:t>BHC</w:t>
      </w:r>
      <w:r w:rsidR="00BA6D2E">
        <w:rPr>
          <w:rFonts w:eastAsia="Times New Roman"/>
          <w:lang w:eastAsia="en-GB"/>
        </w:rPr>
        <w:t xml:space="preserve"> threshold</w:t>
      </w:r>
      <w:r w:rsidR="00E66B67">
        <w:rPr>
          <w:rFonts w:eastAsia="Times New Roman"/>
          <w:lang w:eastAsia="en-GB"/>
        </w:rPr>
        <w:t xml:space="preserve"> and 23% AHC</w:t>
      </w:r>
      <w:r w:rsidR="00E2554C">
        <w:rPr>
          <w:rFonts w:eastAsia="Times New Roman"/>
          <w:lang w:eastAsia="en-GB"/>
        </w:rPr>
        <w:t>,</w:t>
      </w:r>
      <w:r w:rsidRPr="00DB5B50">
        <w:rPr>
          <w:rFonts w:eastAsia="Times New Roman"/>
          <w:lang w:eastAsia="en-GB"/>
        </w:rPr>
        <w:t xml:space="preserve"> </w:t>
      </w:r>
      <w:r w:rsidR="001D1200">
        <w:rPr>
          <w:rFonts w:eastAsia="Times New Roman"/>
          <w:lang w:eastAsia="en-GB"/>
        </w:rPr>
        <w:t>or were living in families that were</w:t>
      </w:r>
      <w:r w:rsidR="00E66B67">
        <w:rPr>
          <w:rFonts w:eastAsia="Times New Roman"/>
          <w:lang w:eastAsia="en-GB"/>
        </w:rPr>
        <w:t xml:space="preserve">. </w:t>
      </w:r>
      <w:r w:rsidR="007857A5" w:rsidRPr="00DB5B50">
        <w:rPr>
          <w:rFonts w:eastAsia="Times New Roman"/>
          <w:lang w:eastAsia="en-GB"/>
        </w:rPr>
        <w:t xml:space="preserve"> </w:t>
      </w:r>
      <w:r w:rsidR="00F863E1">
        <w:rPr>
          <w:rFonts w:eastAsia="Times New Roman"/>
          <w:lang w:eastAsia="en-GB"/>
        </w:rPr>
        <w:t>T</w:t>
      </w:r>
      <w:r w:rsidRPr="00DB5B50">
        <w:rPr>
          <w:rFonts w:eastAsia="Times New Roman"/>
          <w:lang w:eastAsia="en-GB"/>
        </w:rPr>
        <w:t xml:space="preserve">he </w:t>
      </w:r>
      <w:r w:rsidR="00731DF2">
        <w:rPr>
          <w:rFonts w:eastAsia="Times New Roman"/>
          <w:lang w:eastAsia="en-GB"/>
        </w:rPr>
        <w:t>VL</w:t>
      </w:r>
      <w:r w:rsidR="0041117D">
        <w:rPr>
          <w:rFonts w:eastAsia="Times New Roman"/>
          <w:lang w:eastAsia="en-GB"/>
        </w:rPr>
        <w:t>W</w:t>
      </w:r>
      <w:r w:rsidRPr="00DB5B50">
        <w:rPr>
          <w:rFonts w:eastAsia="Times New Roman"/>
          <w:lang w:eastAsia="en-GB"/>
        </w:rPr>
        <w:t xml:space="preserve"> workers </w:t>
      </w:r>
      <w:r w:rsidR="007857A5" w:rsidRPr="00DB5B50">
        <w:rPr>
          <w:rFonts w:eastAsia="Times New Roman"/>
          <w:lang w:eastAsia="en-GB"/>
        </w:rPr>
        <w:t xml:space="preserve">were significantly more likely to be income poor </w:t>
      </w:r>
      <w:r w:rsidR="00E2554C">
        <w:rPr>
          <w:rFonts w:eastAsia="Times New Roman"/>
          <w:lang w:eastAsia="en-GB"/>
        </w:rPr>
        <w:t xml:space="preserve">than respondents overall </w:t>
      </w:r>
      <w:r w:rsidR="007857A5" w:rsidRPr="00DB5B50">
        <w:rPr>
          <w:rFonts w:eastAsia="Times New Roman"/>
          <w:lang w:eastAsia="en-GB"/>
        </w:rPr>
        <w:t xml:space="preserve">- </w:t>
      </w:r>
      <w:r w:rsidRPr="00DB5B50">
        <w:rPr>
          <w:rFonts w:eastAsia="Times New Roman"/>
          <w:lang w:eastAsia="en-GB"/>
        </w:rPr>
        <w:t>2</w:t>
      </w:r>
      <w:r w:rsidR="007857A5" w:rsidRPr="00DB5B50">
        <w:rPr>
          <w:rFonts w:eastAsia="Times New Roman"/>
          <w:lang w:eastAsia="en-GB"/>
        </w:rPr>
        <w:t>2</w:t>
      </w:r>
      <w:r w:rsidRPr="00DB5B50">
        <w:rPr>
          <w:rFonts w:eastAsia="Times New Roman"/>
          <w:lang w:eastAsia="en-GB"/>
        </w:rPr>
        <w:t xml:space="preserve">% </w:t>
      </w:r>
      <w:r w:rsidR="007857A5" w:rsidRPr="00DB5B50">
        <w:rPr>
          <w:rFonts w:eastAsia="Times New Roman"/>
          <w:lang w:eastAsia="en-GB"/>
        </w:rPr>
        <w:t xml:space="preserve">were </w:t>
      </w:r>
      <w:r w:rsidRPr="00DB5B50">
        <w:rPr>
          <w:rFonts w:eastAsia="Times New Roman"/>
          <w:lang w:eastAsia="en-GB"/>
        </w:rPr>
        <w:t xml:space="preserve">at or below the 60% median poverty threshold </w:t>
      </w:r>
      <w:r w:rsidR="008218FC">
        <w:rPr>
          <w:rFonts w:eastAsia="Times New Roman"/>
          <w:lang w:eastAsia="en-GB"/>
        </w:rPr>
        <w:t>(</w:t>
      </w:r>
      <w:r w:rsidRPr="00DB5B50">
        <w:rPr>
          <w:rFonts w:eastAsia="Times New Roman"/>
          <w:lang w:eastAsia="en-GB"/>
        </w:rPr>
        <w:t>BHC</w:t>
      </w:r>
      <w:r w:rsidR="008218FC">
        <w:rPr>
          <w:rFonts w:eastAsia="Times New Roman"/>
          <w:lang w:eastAsia="en-GB"/>
        </w:rPr>
        <w:t>)</w:t>
      </w:r>
      <w:r w:rsidR="00E66B67">
        <w:rPr>
          <w:rFonts w:eastAsia="Times New Roman"/>
          <w:lang w:eastAsia="en-GB"/>
        </w:rPr>
        <w:t xml:space="preserve"> and 32% AHC</w:t>
      </w:r>
      <w:r w:rsidRPr="00DB5B50">
        <w:rPr>
          <w:rFonts w:eastAsia="Times New Roman"/>
          <w:lang w:eastAsia="en-GB"/>
        </w:rPr>
        <w:t>.</w:t>
      </w:r>
      <w:r w:rsidR="007857A5" w:rsidRPr="00DB5B50">
        <w:rPr>
          <w:rFonts w:eastAsia="Times New Roman"/>
          <w:lang w:eastAsia="en-GB"/>
        </w:rPr>
        <w:t xml:space="preserve"> </w:t>
      </w:r>
      <w:r w:rsidR="00E2554C">
        <w:rPr>
          <w:rFonts w:eastAsia="Times New Roman"/>
          <w:lang w:eastAsia="en-GB"/>
        </w:rPr>
        <w:t xml:space="preserve">Thus, despite the introduction of the VLW, poverty </w:t>
      </w:r>
      <w:r w:rsidR="00BA6D2E">
        <w:rPr>
          <w:rFonts w:eastAsia="Times New Roman"/>
          <w:lang w:eastAsia="en-GB"/>
        </w:rPr>
        <w:t xml:space="preserve">(at the family unit level) </w:t>
      </w:r>
      <w:r w:rsidR="00E2554C">
        <w:rPr>
          <w:rFonts w:eastAsia="Times New Roman"/>
          <w:lang w:eastAsia="en-GB"/>
        </w:rPr>
        <w:t xml:space="preserve">persisted amongst </w:t>
      </w:r>
      <w:r w:rsidR="00B67914">
        <w:rPr>
          <w:rFonts w:eastAsia="Times New Roman"/>
          <w:lang w:eastAsia="en-GB"/>
        </w:rPr>
        <w:t xml:space="preserve">a minority of </w:t>
      </w:r>
      <w:r w:rsidR="00E2554C">
        <w:rPr>
          <w:rFonts w:eastAsia="Times New Roman"/>
          <w:lang w:eastAsia="en-GB"/>
        </w:rPr>
        <w:t>the employees of CYC, JRHT/JRF and YSJU.</w:t>
      </w:r>
      <w:r w:rsidR="00BA6D2E">
        <w:rPr>
          <w:rFonts w:eastAsia="Times New Roman"/>
          <w:lang w:eastAsia="en-GB"/>
        </w:rPr>
        <w:t xml:space="preserve"> </w:t>
      </w:r>
      <w:r w:rsidR="0041117D">
        <w:rPr>
          <w:rFonts w:eastAsia="Times New Roman"/>
          <w:lang w:eastAsia="en-GB"/>
        </w:rPr>
        <w:t>This confirms that VLW policy cannot be sufficient as a route out of poverty. T</w:t>
      </w:r>
      <w:r w:rsidR="007857A5" w:rsidRPr="00DB5B50">
        <w:rPr>
          <w:rFonts w:eastAsia="Times New Roman"/>
          <w:lang w:eastAsia="en-GB"/>
        </w:rPr>
        <w:t>he risk of poverty was not restri</w:t>
      </w:r>
      <w:r w:rsidR="00B47A4B" w:rsidRPr="00DB5B50">
        <w:rPr>
          <w:rFonts w:eastAsia="Times New Roman"/>
          <w:lang w:eastAsia="en-GB"/>
        </w:rPr>
        <w:t>c</w:t>
      </w:r>
      <w:r w:rsidR="007857A5" w:rsidRPr="00DB5B50">
        <w:rPr>
          <w:rFonts w:eastAsia="Times New Roman"/>
          <w:lang w:eastAsia="en-GB"/>
        </w:rPr>
        <w:t xml:space="preserve">ted to the </w:t>
      </w:r>
      <w:r w:rsidR="00FD1FC2">
        <w:rPr>
          <w:rFonts w:eastAsia="Times New Roman"/>
          <w:lang w:eastAsia="en-GB"/>
        </w:rPr>
        <w:t>VLW</w:t>
      </w:r>
      <w:r w:rsidR="007857A5" w:rsidRPr="00DB5B50">
        <w:rPr>
          <w:rFonts w:eastAsia="Times New Roman"/>
          <w:lang w:eastAsia="en-GB"/>
        </w:rPr>
        <w:t xml:space="preserve"> group</w:t>
      </w:r>
      <w:r w:rsidR="00E2554C">
        <w:rPr>
          <w:rFonts w:eastAsia="Times New Roman"/>
          <w:lang w:eastAsia="en-GB"/>
        </w:rPr>
        <w:t xml:space="preserve">, </w:t>
      </w:r>
      <w:r w:rsidR="00E66B67">
        <w:rPr>
          <w:rFonts w:eastAsia="Times New Roman"/>
          <w:lang w:eastAsia="en-GB"/>
        </w:rPr>
        <w:t xml:space="preserve">13% BHC and 19% AHC of the </w:t>
      </w:r>
      <w:r w:rsidR="00E2554C">
        <w:rPr>
          <w:rFonts w:eastAsia="Times New Roman"/>
          <w:lang w:eastAsia="en-GB"/>
        </w:rPr>
        <w:t xml:space="preserve">sample members on higher hourly pay rates were </w:t>
      </w:r>
      <w:r w:rsidR="00367CB3">
        <w:rPr>
          <w:rFonts w:eastAsia="Times New Roman"/>
          <w:lang w:eastAsia="en-GB"/>
        </w:rPr>
        <w:t xml:space="preserve">living in families </w:t>
      </w:r>
      <w:r w:rsidR="00E2554C">
        <w:rPr>
          <w:rFonts w:eastAsia="Times New Roman"/>
          <w:lang w:eastAsia="en-GB"/>
        </w:rPr>
        <w:t>on incomes at or below 60% median</w:t>
      </w:r>
      <w:r w:rsidR="00B30CF9">
        <w:rPr>
          <w:rFonts w:eastAsia="Times New Roman"/>
          <w:lang w:eastAsia="en-GB"/>
        </w:rPr>
        <w:t xml:space="preserve"> income</w:t>
      </w:r>
      <w:r w:rsidR="00E66B67">
        <w:rPr>
          <w:rFonts w:eastAsia="Times New Roman"/>
          <w:lang w:eastAsia="en-GB"/>
        </w:rPr>
        <w:t xml:space="preserve"> threshold.</w:t>
      </w:r>
      <w:r w:rsidR="00BA6D2E">
        <w:rPr>
          <w:rFonts w:eastAsia="Times New Roman"/>
          <w:lang w:eastAsia="en-GB"/>
        </w:rPr>
        <w:t xml:space="preserve"> </w:t>
      </w:r>
      <w:r w:rsidR="00E2554C">
        <w:rPr>
          <w:rFonts w:eastAsia="Times New Roman"/>
          <w:lang w:eastAsia="en-GB"/>
        </w:rPr>
        <w:t xml:space="preserve"> This </w:t>
      </w:r>
      <w:r w:rsidR="0041117D">
        <w:rPr>
          <w:rFonts w:eastAsia="Times New Roman"/>
          <w:lang w:eastAsia="en-GB"/>
        </w:rPr>
        <w:t xml:space="preserve">suggests that even an increase </w:t>
      </w:r>
      <w:r w:rsidR="00367CB3">
        <w:rPr>
          <w:rFonts w:eastAsia="Times New Roman"/>
          <w:lang w:eastAsia="en-GB"/>
        </w:rPr>
        <w:t>i</w:t>
      </w:r>
      <w:r w:rsidR="0041117D">
        <w:rPr>
          <w:rFonts w:eastAsia="Times New Roman"/>
          <w:lang w:eastAsia="en-GB"/>
        </w:rPr>
        <w:t xml:space="preserve">n the </w:t>
      </w:r>
      <w:r w:rsidR="00E2554C">
        <w:rPr>
          <w:rFonts w:eastAsia="Times New Roman"/>
          <w:lang w:eastAsia="en-GB"/>
        </w:rPr>
        <w:t xml:space="preserve">VLW </w:t>
      </w:r>
      <w:r w:rsidR="0041117D">
        <w:rPr>
          <w:rFonts w:eastAsia="Times New Roman"/>
          <w:lang w:eastAsia="en-GB"/>
        </w:rPr>
        <w:t xml:space="preserve">pay rates would not be </w:t>
      </w:r>
      <w:r w:rsidR="00E2554C">
        <w:rPr>
          <w:rFonts w:eastAsia="Times New Roman"/>
          <w:lang w:eastAsia="en-GB"/>
        </w:rPr>
        <w:t>sufficient as a route out of poverty.</w:t>
      </w:r>
      <w:r w:rsidR="0041117D" w:rsidRPr="0041117D">
        <w:rPr>
          <w:rFonts w:eastAsia="Times New Roman"/>
          <w:lang w:eastAsia="en-GB"/>
        </w:rPr>
        <w:t xml:space="preserve"> </w:t>
      </w:r>
      <w:r w:rsidR="0041117D">
        <w:rPr>
          <w:rFonts w:eastAsia="Times New Roman"/>
          <w:lang w:eastAsia="en-GB"/>
        </w:rPr>
        <w:t xml:space="preserve">However, the VLW policy is likely to have increased </w:t>
      </w:r>
      <w:r w:rsidR="008218FC">
        <w:rPr>
          <w:rFonts w:eastAsia="Times New Roman"/>
          <w:lang w:eastAsia="en-GB"/>
        </w:rPr>
        <w:t>family unit</w:t>
      </w:r>
      <w:r w:rsidR="0041117D">
        <w:rPr>
          <w:rFonts w:eastAsia="Times New Roman"/>
          <w:lang w:eastAsia="en-GB"/>
        </w:rPr>
        <w:t xml:space="preserve"> incomes, and to have reduced the severity of poverty for those </w:t>
      </w:r>
      <w:r w:rsidR="008218FC">
        <w:rPr>
          <w:rFonts w:eastAsia="Times New Roman"/>
          <w:lang w:eastAsia="en-GB"/>
        </w:rPr>
        <w:t>units</w:t>
      </w:r>
      <w:r w:rsidR="0041117D">
        <w:rPr>
          <w:rFonts w:eastAsia="Times New Roman"/>
          <w:lang w:eastAsia="en-GB"/>
        </w:rPr>
        <w:t xml:space="preserve"> still falling below the poverty threshold.</w:t>
      </w:r>
    </w:p>
    <w:p w14:paraId="7BA617C9" w14:textId="77777777" w:rsidR="0041117D" w:rsidRPr="00DB5B50" w:rsidRDefault="0041117D" w:rsidP="00647393">
      <w:pPr>
        <w:spacing w:line="360" w:lineRule="auto"/>
        <w:rPr>
          <w:rFonts w:eastAsia="Times New Roman"/>
          <w:lang w:eastAsia="en-GB"/>
        </w:rPr>
      </w:pPr>
    </w:p>
    <w:p w14:paraId="3F9F98BA" w14:textId="19C3DEC3" w:rsidR="00B47A4B" w:rsidRPr="00DB5B50" w:rsidRDefault="00B47A4B" w:rsidP="00647393">
      <w:pPr>
        <w:spacing w:line="360" w:lineRule="auto"/>
        <w:rPr>
          <w:rFonts w:eastAsia="Times New Roman"/>
          <w:lang w:eastAsia="en-GB"/>
        </w:rPr>
      </w:pPr>
      <w:proofErr w:type="gramStart"/>
      <w:r w:rsidRPr="00DB5B50">
        <w:rPr>
          <w:rFonts w:eastAsia="Times New Roman"/>
          <w:lang w:eastAsia="en-GB"/>
        </w:rPr>
        <w:t xml:space="preserve">The poverty rate varied by the type of </w:t>
      </w:r>
      <w:r w:rsidR="008218FC">
        <w:rPr>
          <w:rFonts w:eastAsia="Times New Roman"/>
          <w:lang w:eastAsia="en-GB"/>
        </w:rPr>
        <w:t>unit</w:t>
      </w:r>
      <w:r w:rsidR="00580031">
        <w:rPr>
          <w:rFonts w:eastAsia="Times New Roman"/>
          <w:lang w:eastAsia="en-GB"/>
        </w:rPr>
        <w:t>.</w:t>
      </w:r>
      <w:proofErr w:type="gramEnd"/>
      <w:r w:rsidR="00D64481">
        <w:rPr>
          <w:rFonts w:eastAsia="Times New Roman"/>
          <w:lang w:eastAsia="en-GB"/>
        </w:rPr>
        <w:t xml:space="preserve"> T</w:t>
      </w:r>
      <w:r w:rsidRPr="00DB5B50">
        <w:rPr>
          <w:rFonts w:eastAsia="Times New Roman"/>
          <w:lang w:eastAsia="en-GB"/>
        </w:rPr>
        <w:t xml:space="preserve">he BHC poverty rate was 25% for single person </w:t>
      </w:r>
      <w:r w:rsidR="008218FC">
        <w:rPr>
          <w:rFonts w:eastAsia="Times New Roman"/>
          <w:lang w:eastAsia="en-GB"/>
        </w:rPr>
        <w:t xml:space="preserve">single unit </w:t>
      </w:r>
      <w:r w:rsidRPr="00DB5B50">
        <w:rPr>
          <w:rFonts w:eastAsia="Times New Roman"/>
          <w:lang w:eastAsia="en-GB"/>
        </w:rPr>
        <w:t>households, 24% for single unit lone parent households</w:t>
      </w:r>
      <w:r w:rsidR="007F451D">
        <w:rPr>
          <w:rFonts w:eastAsia="Times New Roman"/>
          <w:lang w:eastAsia="en-GB"/>
        </w:rPr>
        <w:t xml:space="preserve">. It was </w:t>
      </w:r>
      <w:r w:rsidRPr="00DB5B50">
        <w:rPr>
          <w:rFonts w:eastAsia="Times New Roman"/>
          <w:lang w:eastAsia="en-GB"/>
        </w:rPr>
        <w:t xml:space="preserve">21% </w:t>
      </w:r>
      <w:r w:rsidR="00623F54">
        <w:rPr>
          <w:rFonts w:eastAsia="Times New Roman"/>
          <w:lang w:eastAsia="en-GB"/>
        </w:rPr>
        <w:t>i</w:t>
      </w:r>
      <w:r w:rsidR="00623F54" w:rsidRPr="00DB5B50">
        <w:rPr>
          <w:rFonts w:eastAsia="Times New Roman"/>
          <w:lang w:eastAsia="en-GB"/>
        </w:rPr>
        <w:t xml:space="preserve">n </w:t>
      </w:r>
      <w:r w:rsidRPr="00DB5B50">
        <w:rPr>
          <w:rFonts w:eastAsia="Times New Roman"/>
          <w:lang w:eastAsia="en-GB"/>
        </w:rPr>
        <w:t>multi-unit households and 31% if the respondent was a single person in a multi-unit household.</w:t>
      </w:r>
      <w:r w:rsidR="00BA6D2E">
        <w:rPr>
          <w:rFonts w:eastAsia="Times New Roman"/>
          <w:lang w:eastAsia="en-GB"/>
        </w:rPr>
        <w:t xml:space="preserve"> </w:t>
      </w:r>
      <w:r w:rsidR="00F863E1">
        <w:rPr>
          <w:rFonts w:eastAsia="Times New Roman"/>
          <w:lang w:eastAsia="en-GB"/>
        </w:rPr>
        <w:t xml:space="preserve">The BHC poverty rate also varied with the number of workers in the household – it was 25% for </w:t>
      </w:r>
      <w:r w:rsidR="00F863E1">
        <w:rPr>
          <w:rFonts w:eastAsia="Times New Roman"/>
          <w:lang w:eastAsia="en-GB"/>
        </w:rPr>
        <w:lastRenderedPageBreak/>
        <w:t xml:space="preserve">one earner </w:t>
      </w:r>
      <w:r w:rsidR="008218FC">
        <w:rPr>
          <w:rFonts w:eastAsia="Times New Roman"/>
          <w:lang w:eastAsia="en-GB"/>
        </w:rPr>
        <w:t>units</w:t>
      </w:r>
      <w:r w:rsidR="00F863E1">
        <w:rPr>
          <w:rFonts w:eastAsia="Times New Roman"/>
          <w:lang w:eastAsia="en-GB"/>
        </w:rPr>
        <w:t xml:space="preserve"> and 11% for </w:t>
      </w:r>
      <w:r w:rsidR="008218FC">
        <w:rPr>
          <w:rFonts w:eastAsia="Times New Roman"/>
          <w:lang w:eastAsia="en-GB"/>
        </w:rPr>
        <w:t>units</w:t>
      </w:r>
      <w:r w:rsidR="00F863E1">
        <w:rPr>
          <w:rFonts w:eastAsia="Times New Roman"/>
          <w:lang w:eastAsia="en-GB"/>
        </w:rPr>
        <w:t xml:space="preserve"> with two or more earners.</w:t>
      </w:r>
      <w:r w:rsidR="00572164">
        <w:rPr>
          <w:rFonts w:eastAsia="Times New Roman"/>
          <w:lang w:eastAsia="en-GB"/>
        </w:rPr>
        <w:t xml:space="preserve"> Those in poverty</w:t>
      </w:r>
      <w:r w:rsidR="00E2554C">
        <w:rPr>
          <w:rFonts w:eastAsia="Times New Roman"/>
          <w:lang w:eastAsia="en-GB"/>
        </w:rPr>
        <w:t xml:space="preserve"> [BHC]</w:t>
      </w:r>
      <w:r w:rsidR="00572164">
        <w:rPr>
          <w:rFonts w:eastAsia="Times New Roman"/>
          <w:lang w:eastAsia="en-GB"/>
        </w:rPr>
        <w:t xml:space="preserve"> were also working fewer hours</w:t>
      </w:r>
      <w:r w:rsidR="00E2554C">
        <w:rPr>
          <w:rFonts w:eastAsia="Times New Roman"/>
          <w:lang w:eastAsia="en-GB"/>
        </w:rPr>
        <w:t>: a</w:t>
      </w:r>
      <w:r w:rsidR="006C667F">
        <w:rPr>
          <w:rFonts w:eastAsia="Times New Roman"/>
          <w:lang w:eastAsia="en-GB"/>
        </w:rPr>
        <w:t xml:space="preserve"> mean </w:t>
      </w:r>
      <w:r w:rsidR="00E2554C">
        <w:rPr>
          <w:rFonts w:eastAsia="Times New Roman"/>
          <w:lang w:eastAsia="en-GB"/>
        </w:rPr>
        <w:t xml:space="preserve">of </w:t>
      </w:r>
      <w:r w:rsidR="00572164">
        <w:rPr>
          <w:rFonts w:eastAsia="Times New Roman"/>
          <w:lang w:eastAsia="en-GB"/>
        </w:rPr>
        <w:t xml:space="preserve">21 per week compared to those not in poverty </w:t>
      </w:r>
      <w:r w:rsidR="004F6EB9">
        <w:rPr>
          <w:rFonts w:eastAsia="Times New Roman"/>
          <w:lang w:eastAsia="en-GB"/>
        </w:rPr>
        <w:t>(</w:t>
      </w:r>
      <w:r w:rsidR="00572164">
        <w:rPr>
          <w:rFonts w:eastAsia="Times New Roman"/>
          <w:lang w:eastAsia="en-GB"/>
        </w:rPr>
        <w:t>28 hours per week</w:t>
      </w:r>
      <w:r w:rsidR="004F6EB9">
        <w:rPr>
          <w:rFonts w:eastAsia="Times New Roman"/>
          <w:lang w:eastAsia="en-GB"/>
        </w:rPr>
        <w:t>)</w:t>
      </w:r>
      <w:r w:rsidR="00572164">
        <w:rPr>
          <w:rFonts w:eastAsia="Times New Roman"/>
          <w:lang w:eastAsia="en-GB"/>
        </w:rPr>
        <w:t>.</w:t>
      </w:r>
      <w:r w:rsidR="00E2554C">
        <w:rPr>
          <w:rFonts w:eastAsia="Times New Roman"/>
          <w:lang w:eastAsia="en-GB"/>
        </w:rPr>
        <w:t xml:space="preserve"> </w:t>
      </w:r>
    </w:p>
    <w:p w14:paraId="68B2F621" w14:textId="77777777" w:rsidR="00B47A4B" w:rsidRPr="00DB5B50" w:rsidRDefault="00B47A4B" w:rsidP="00647393">
      <w:pPr>
        <w:spacing w:line="360" w:lineRule="auto"/>
        <w:rPr>
          <w:rFonts w:eastAsia="Times New Roman"/>
          <w:lang w:eastAsia="en-GB"/>
        </w:rPr>
      </w:pPr>
    </w:p>
    <w:p w14:paraId="349932AB" w14:textId="320B03BD" w:rsidR="002A670A" w:rsidRPr="00DB5B50" w:rsidRDefault="00E2554C" w:rsidP="00647393">
      <w:pPr>
        <w:spacing w:line="360" w:lineRule="auto"/>
        <w:rPr>
          <w:rFonts w:eastAsia="Times New Roman"/>
          <w:iCs/>
          <w:lang w:eastAsia="en-GB"/>
        </w:rPr>
      </w:pPr>
      <w:r>
        <w:rPr>
          <w:rFonts w:eastAsia="Times New Roman"/>
          <w:lang w:eastAsia="en-GB"/>
        </w:rPr>
        <w:t xml:space="preserve">Few studies to date have examined the effect of </w:t>
      </w:r>
      <w:r w:rsidR="004F6EB9">
        <w:rPr>
          <w:rFonts w:eastAsia="Times New Roman"/>
          <w:lang w:eastAsia="en-GB"/>
        </w:rPr>
        <w:t xml:space="preserve">the </w:t>
      </w:r>
      <w:r>
        <w:rPr>
          <w:rFonts w:eastAsia="Times New Roman"/>
          <w:lang w:eastAsia="en-GB"/>
        </w:rPr>
        <w:t xml:space="preserve">VLW on material deprivation, as opposed to income poverty. </w:t>
      </w:r>
      <w:r w:rsidR="009E16BC" w:rsidRPr="00DB5B50">
        <w:rPr>
          <w:rFonts w:eastAsia="Times New Roman"/>
          <w:lang w:eastAsia="en-GB"/>
        </w:rPr>
        <w:t xml:space="preserve">The deprivation indicators used </w:t>
      </w:r>
      <w:r w:rsidR="002A670A" w:rsidRPr="00DB5B50">
        <w:rPr>
          <w:rFonts w:eastAsia="Times New Roman"/>
          <w:lang w:eastAsia="en-GB"/>
        </w:rPr>
        <w:t>were derived from the 201</w:t>
      </w:r>
      <w:r w:rsidR="006C667F">
        <w:rPr>
          <w:rFonts w:eastAsia="Times New Roman"/>
          <w:lang w:eastAsia="en-GB"/>
        </w:rPr>
        <w:t>2</w:t>
      </w:r>
      <w:r w:rsidR="00AD3F08">
        <w:rPr>
          <w:rFonts w:eastAsia="Times New Roman"/>
          <w:lang w:eastAsia="en-GB"/>
        </w:rPr>
        <w:t xml:space="preserve"> </w:t>
      </w:r>
      <w:r w:rsidR="002A670A" w:rsidRPr="00DB5B50">
        <w:rPr>
          <w:rFonts w:eastAsia="Times New Roman"/>
          <w:lang w:eastAsia="en-GB"/>
        </w:rPr>
        <w:t xml:space="preserve">PSE study </w:t>
      </w:r>
      <w:r w:rsidR="003D4329">
        <w:rPr>
          <w:rFonts w:eastAsia="Times New Roman"/>
          <w:lang w:eastAsia="en-GB"/>
        </w:rPr>
        <w:t>(Main and Bradshaw 201</w:t>
      </w:r>
      <w:r w:rsidR="009D7D6F">
        <w:rPr>
          <w:rFonts w:eastAsia="Times New Roman"/>
          <w:lang w:eastAsia="en-GB"/>
        </w:rPr>
        <w:t>4</w:t>
      </w:r>
      <w:r w:rsidR="003D4329">
        <w:rPr>
          <w:rFonts w:eastAsia="Times New Roman"/>
          <w:lang w:eastAsia="en-GB"/>
        </w:rPr>
        <w:t xml:space="preserve">) </w:t>
      </w:r>
      <w:r w:rsidR="002A670A" w:rsidRPr="00DB5B50">
        <w:rPr>
          <w:rFonts w:eastAsia="Times New Roman"/>
          <w:lang w:eastAsia="en-GB"/>
        </w:rPr>
        <w:t xml:space="preserve">and consisted of a set of items and activities that it had been established in that study more than half the population in the UK considered to be necessities that people today should not be without – so called </w:t>
      </w:r>
      <w:r w:rsidR="004F6EB9">
        <w:rPr>
          <w:rFonts w:eastAsia="Times New Roman"/>
          <w:lang w:eastAsia="en-GB"/>
        </w:rPr>
        <w:t>‘</w:t>
      </w:r>
      <w:r w:rsidR="002A670A" w:rsidRPr="00DB5B50">
        <w:rPr>
          <w:rFonts w:eastAsia="Times New Roman"/>
          <w:lang w:eastAsia="en-GB"/>
        </w:rPr>
        <w:t>socially perceived necessities</w:t>
      </w:r>
      <w:r w:rsidR="004F6EB9">
        <w:rPr>
          <w:rFonts w:eastAsia="Times New Roman"/>
          <w:lang w:eastAsia="en-GB"/>
        </w:rPr>
        <w:t>’</w:t>
      </w:r>
      <w:r w:rsidR="002A670A" w:rsidRPr="00DB5B50">
        <w:rPr>
          <w:rFonts w:eastAsia="Times New Roman"/>
          <w:lang w:eastAsia="en-GB"/>
        </w:rPr>
        <w:t xml:space="preserve">. </w:t>
      </w:r>
    </w:p>
    <w:p w14:paraId="7439AC6D" w14:textId="77777777" w:rsidR="002A670A" w:rsidRPr="00DB5B50" w:rsidRDefault="002A670A" w:rsidP="00647393">
      <w:pPr>
        <w:spacing w:line="360" w:lineRule="auto"/>
        <w:rPr>
          <w:rFonts w:eastAsia="Times New Roman"/>
          <w:iCs/>
          <w:lang w:eastAsia="en-GB"/>
        </w:rPr>
      </w:pPr>
    </w:p>
    <w:p w14:paraId="6398B76C" w14:textId="5BE50859" w:rsidR="009E16BC" w:rsidRPr="00DB5B50" w:rsidRDefault="0031280C" w:rsidP="00647393">
      <w:pPr>
        <w:spacing w:line="360" w:lineRule="auto"/>
        <w:rPr>
          <w:rFonts w:eastAsia="Times New Roman"/>
          <w:iCs/>
          <w:lang w:eastAsia="en-GB"/>
        </w:rPr>
      </w:pPr>
      <w:r>
        <w:rPr>
          <w:rFonts w:eastAsia="Times New Roman"/>
          <w:iCs/>
          <w:lang w:eastAsia="en-GB"/>
        </w:rPr>
        <w:t>The study</w:t>
      </w:r>
      <w:r w:rsidR="002A670A" w:rsidRPr="00DB5B50">
        <w:rPr>
          <w:rFonts w:eastAsia="Times New Roman"/>
          <w:iCs/>
          <w:lang w:eastAsia="en-GB"/>
        </w:rPr>
        <w:t xml:space="preserve"> distinguish</w:t>
      </w:r>
      <w:r>
        <w:rPr>
          <w:rFonts w:eastAsia="Times New Roman"/>
          <w:iCs/>
          <w:lang w:eastAsia="en-GB"/>
        </w:rPr>
        <w:t>ed</w:t>
      </w:r>
      <w:r w:rsidR="002A670A" w:rsidRPr="00DB5B50">
        <w:rPr>
          <w:rFonts w:eastAsia="Times New Roman"/>
          <w:iCs/>
          <w:lang w:eastAsia="en-GB"/>
        </w:rPr>
        <w:t xml:space="preserve"> between household</w:t>
      </w:r>
      <w:r w:rsidR="008218FC">
        <w:rPr>
          <w:rStyle w:val="FootnoteReference"/>
          <w:rFonts w:eastAsia="Times New Roman"/>
          <w:iCs/>
          <w:lang w:eastAsia="en-GB"/>
        </w:rPr>
        <w:footnoteReference w:id="6"/>
      </w:r>
      <w:r w:rsidR="002A670A" w:rsidRPr="00DB5B50">
        <w:rPr>
          <w:rFonts w:eastAsia="Times New Roman"/>
          <w:iCs/>
          <w:lang w:eastAsia="en-GB"/>
        </w:rPr>
        <w:t xml:space="preserve"> necessities, adult necessities, and the</w:t>
      </w:r>
      <w:r w:rsidR="00FA545A">
        <w:rPr>
          <w:rFonts w:eastAsia="Times New Roman"/>
          <w:iCs/>
          <w:lang w:eastAsia="en-GB"/>
        </w:rPr>
        <w:t xml:space="preserve"> necessity </w:t>
      </w:r>
      <w:r w:rsidR="002A670A" w:rsidRPr="00DB5B50">
        <w:rPr>
          <w:rFonts w:eastAsia="Times New Roman"/>
          <w:iCs/>
          <w:lang w:eastAsia="en-GB"/>
        </w:rPr>
        <w:t>items also asked</w:t>
      </w:r>
      <w:r w:rsidR="004F6EB9">
        <w:rPr>
          <w:rFonts w:eastAsia="Times New Roman"/>
          <w:iCs/>
          <w:lang w:eastAsia="en-GB"/>
        </w:rPr>
        <w:t xml:space="preserve"> about</w:t>
      </w:r>
      <w:r w:rsidR="002A670A" w:rsidRPr="00DB5B50">
        <w:rPr>
          <w:rFonts w:eastAsia="Times New Roman"/>
          <w:iCs/>
          <w:lang w:eastAsia="en-GB"/>
        </w:rPr>
        <w:t xml:space="preserve"> in households with children. The majority of the respondents reported that their households had </w:t>
      </w:r>
      <w:r w:rsidR="004F6EB9">
        <w:rPr>
          <w:rFonts w:eastAsia="Times New Roman"/>
          <w:iCs/>
          <w:lang w:eastAsia="en-GB"/>
        </w:rPr>
        <w:t>all the necessities and</w:t>
      </w:r>
      <w:r w:rsidR="002A670A" w:rsidRPr="00DB5B50">
        <w:rPr>
          <w:rFonts w:eastAsia="Times New Roman"/>
          <w:iCs/>
          <w:lang w:eastAsia="en-GB"/>
        </w:rPr>
        <w:t xml:space="preserve"> did all </w:t>
      </w:r>
      <w:r w:rsidR="004F6EB9">
        <w:rPr>
          <w:rFonts w:eastAsia="Times New Roman"/>
          <w:iCs/>
          <w:lang w:eastAsia="en-GB"/>
        </w:rPr>
        <w:t>the listed activities</w:t>
      </w:r>
      <w:r w:rsidR="002A670A" w:rsidRPr="00DB5B50">
        <w:rPr>
          <w:rFonts w:eastAsia="Times New Roman"/>
          <w:iCs/>
          <w:lang w:eastAsia="en-GB"/>
        </w:rPr>
        <w:t xml:space="preserve">. The most common household necessity lacking because it could not be afforded was </w:t>
      </w:r>
      <w:r w:rsidR="002A670A" w:rsidRPr="00DB5B50">
        <w:rPr>
          <w:rFonts w:eastAsia="Times New Roman"/>
          <w:i/>
          <w:iCs/>
          <w:lang w:eastAsia="en-GB"/>
        </w:rPr>
        <w:t>household insurance</w:t>
      </w:r>
      <w:r w:rsidR="002A670A" w:rsidRPr="00DB5B50">
        <w:rPr>
          <w:rFonts w:eastAsia="Times New Roman"/>
          <w:iCs/>
          <w:lang w:eastAsia="en-GB"/>
        </w:rPr>
        <w:t xml:space="preserve">. The most common adult items lacking because they could not be afforded were </w:t>
      </w:r>
      <w:r w:rsidR="002A670A" w:rsidRPr="00DB5B50">
        <w:rPr>
          <w:rFonts w:eastAsia="Times New Roman"/>
          <w:i/>
          <w:iCs/>
          <w:lang w:eastAsia="en-GB"/>
        </w:rPr>
        <w:t>regular savings</w:t>
      </w:r>
      <w:r w:rsidR="002A670A" w:rsidRPr="00DB5B50">
        <w:rPr>
          <w:rFonts w:eastAsia="Times New Roman"/>
          <w:iCs/>
          <w:lang w:eastAsia="en-GB"/>
        </w:rPr>
        <w:t xml:space="preserve"> and </w:t>
      </w:r>
      <w:r w:rsidR="002A670A" w:rsidRPr="00DB5B50">
        <w:rPr>
          <w:rFonts w:eastAsia="Times New Roman"/>
          <w:i/>
          <w:iCs/>
          <w:lang w:eastAsia="en-GB"/>
        </w:rPr>
        <w:t>money to repair broken electrical goods</w:t>
      </w:r>
      <w:r w:rsidR="002A670A" w:rsidRPr="00DB5B50">
        <w:rPr>
          <w:rFonts w:eastAsia="Times New Roman"/>
          <w:iCs/>
          <w:lang w:eastAsia="en-GB"/>
        </w:rPr>
        <w:t xml:space="preserve">. The most common </w:t>
      </w:r>
      <w:r w:rsidR="007F451D">
        <w:rPr>
          <w:rFonts w:eastAsia="Times New Roman"/>
          <w:iCs/>
          <w:lang w:eastAsia="en-GB"/>
        </w:rPr>
        <w:t xml:space="preserve">items relating to children </w:t>
      </w:r>
      <w:r w:rsidR="002A670A" w:rsidRPr="00DB5B50">
        <w:rPr>
          <w:rFonts w:eastAsia="Times New Roman"/>
          <w:iCs/>
          <w:lang w:eastAsia="en-GB"/>
        </w:rPr>
        <w:t xml:space="preserve">lacking because they could not be afforded were </w:t>
      </w:r>
      <w:r w:rsidR="002A670A" w:rsidRPr="00DB5B50">
        <w:rPr>
          <w:rFonts w:eastAsia="Times New Roman"/>
          <w:i/>
          <w:iCs/>
          <w:lang w:eastAsia="en-GB"/>
        </w:rPr>
        <w:t>money to save</w:t>
      </w:r>
      <w:r w:rsidR="002A670A" w:rsidRPr="00DB5B50">
        <w:rPr>
          <w:rFonts w:eastAsia="Times New Roman"/>
          <w:iCs/>
          <w:lang w:eastAsia="en-GB"/>
        </w:rPr>
        <w:t xml:space="preserve"> and </w:t>
      </w:r>
      <w:r w:rsidR="002A670A" w:rsidRPr="00DB5B50">
        <w:rPr>
          <w:rFonts w:eastAsia="Times New Roman"/>
          <w:i/>
          <w:iCs/>
          <w:lang w:eastAsia="en-GB"/>
        </w:rPr>
        <w:t>a holiday away from home</w:t>
      </w:r>
      <w:r w:rsidR="002A670A" w:rsidRPr="00DB5B50">
        <w:rPr>
          <w:rFonts w:eastAsia="Times New Roman"/>
          <w:iCs/>
          <w:lang w:eastAsia="en-GB"/>
        </w:rPr>
        <w:t xml:space="preserve">. </w:t>
      </w:r>
    </w:p>
    <w:p w14:paraId="74C1A4BD" w14:textId="77777777" w:rsidR="009E16BC" w:rsidRPr="00DB5B50" w:rsidRDefault="009E16BC" w:rsidP="00647393">
      <w:pPr>
        <w:spacing w:line="360" w:lineRule="auto"/>
        <w:rPr>
          <w:rFonts w:eastAsia="Times New Roman"/>
          <w:lang w:eastAsia="en-GB"/>
        </w:rPr>
      </w:pPr>
    </w:p>
    <w:p w14:paraId="43D9E630" w14:textId="5C9E616F" w:rsidR="002A670A" w:rsidRPr="00DB5B50" w:rsidRDefault="002A670A" w:rsidP="00647393">
      <w:pPr>
        <w:spacing w:line="360" w:lineRule="auto"/>
        <w:rPr>
          <w:rFonts w:eastAsia="Times New Roman"/>
          <w:lang w:eastAsia="en-GB"/>
        </w:rPr>
      </w:pPr>
      <w:r w:rsidRPr="00DB5B50">
        <w:rPr>
          <w:rFonts w:eastAsia="Times New Roman"/>
          <w:lang w:eastAsia="en-GB"/>
        </w:rPr>
        <w:t>From these responses two scales were produced. The number of items lacked by adults was produced by adding the number of household and adult items and activities lacking beca</w:t>
      </w:r>
      <w:r w:rsidR="009E16BC" w:rsidRPr="00DB5B50">
        <w:rPr>
          <w:rFonts w:eastAsia="Times New Roman"/>
          <w:lang w:eastAsia="en-GB"/>
        </w:rPr>
        <w:t>use they could not be afforded</w:t>
      </w:r>
      <w:r w:rsidR="00E2554C">
        <w:rPr>
          <w:rFonts w:eastAsia="Times New Roman"/>
          <w:lang w:eastAsia="en-GB"/>
        </w:rPr>
        <w:t xml:space="preserve">. </w:t>
      </w:r>
      <w:r w:rsidR="009E16BC" w:rsidRPr="00DB5B50">
        <w:rPr>
          <w:rFonts w:eastAsia="Times New Roman"/>
          <w:lang w:eastAsia="en-GB"/>
        </w:rPr>
        <w:t xml:space="preserve"> </w:t>
      </w:r>
      <w:r w:rsidRPr="00DB5B50">
        <w:rPr>
          <w:rFonts w:eastAsia="Times New Roman"/>
          <w:lang w:eastAsia="en-GB"/>
        </w:rPr>
        <w:t xml:space="preserve">57.2% </w:t>
      </w:r>
      <w:r w:rsidR="00B67914">
        <w:rPr>
          <w:rFonts w:eastAsia="Times New Roman"/>
          <w:lang w:eastAsia="en-GB"/>
        </w:rPr>
        <w:t xml:space="preserve">of the sample </w:t>
      </w:r>
      <w:r w:rsidRPr="00DB5B50">
        <w:rPr>
          <w:rFonts w:eastAsia="Times New Roman"/>
          <w:lang w:eastAsia="en-GB"/>
        </w:rPr>
        <w:t xml:space="preserve">lacked no items and 71.0% lacked one or fewer items.  Analysis of the number of child items lacking was restricted to </w:t>
      </w:r>
      <w:r w:rsidR="0014634C">
        <w:rPr>
          <w:rFonts w:eastAsia="Times New Roman"/>
          <w:lang w:eastAsia="en-GB"/>
        </w:rPr>
        <w:t>families</w:t>
      </w:r>
      <w:r w:rsidRPr="00DB5B50">
        <w:rPr>
          <w:rFonts w:eastAsia="Times New Roman"/>
          <w:lang w:eastAsia="en-GB"/>
        </w:rPr>
        <w:t xml:space="preserve"> where the respondent was the parent of the child in order to exclude the cases where the respondent was living in a household with children but did not know the circumstances of the child</w:t>
      </w:r>
      <w:r w:rsidR="00B67914">
        <w:rPr>
          <w:rFonts w:eastAsia="Times New Roman"/>
          <w:lang w:eastAsia="en-GB"/>
        </w:rPr>
        <w:t>.</w:t>
      </w:r>
      <w:r w:rsidRPr="00DB5B50">
        <w:rPr>
          <w:rFonts w:eastAsia="Times New Roman"/>
          <w:lang w:eastAsia="en-GB"/>
        </w:rPr>
        <w:t xml:space="preserve"> 62.0% </w:t>
      </w:r>
      <w:r w:rsidR="00B67914">
        <w:rPr>
          <w:rFonts w:eastAsia="Times New Roman"/>
          <w:lang w:eastAsia="en-GB"/>
        </w:rPr>
        <w:t xml:space="preserve">of this subsample </w:t>
      </w:r>
      <w:proofErr w:type="gramStart"/>
      <w:r w:rsidRPr="00DB5B50">
        <w:rPr>
          <w:rFonts w:eastAsia="Times New Roman"/>
          <w:lang w:eastAsia="en-GB"/>
        </w:rPr>
        <w:t>were</w:t>
      </w:r>
      <w:proofErr w:type="gramEnd"/>
      <w:r w:rsidRPr="00DB5B50">
        <w:rPr>
          <w:rFonts w:eastAsia="Times New Roman"/>
          <w:lang w:eastAsia="en-GB"/>
        </w:rPr>
        <w:t xml:space="preserve"> </w:t>
      </w:r>
      <w:r w:rsidR="004F6EB9">
        <w:rPr>
          <w:rFonts w:eastAsia="Times New Roman"/>
          <w:lang w:eastAsia="en-GB"/>
        </w:rPr>
        <w:t xml:space="preserve">not </w:t>
      </w:r>
      <w:r w:rsidRPr="00DB5B50">
        <w:rPr>
          <w:rFonts w:eastAsia="Times New Roman"/>
          <w:lang w:eastAsia="en-GB"/>
        </w:rPr>
        <w:t xml:space="preserve">lacking </w:t>
      </w:r>
      <w:r w:rsidR="004F6EB9">
        <w:rPr>
          <w:rFonts w:eastAsia="Times New Roman"/>
          <w:lang w:eastAsia="en-GB"/>
        </w:rPr>
        <w:t>any</w:t>
      </w:r>
      <w:r w:rsidRPr="00DB5B50">
        <w:rPr>
          <w:rFonts w:eastAsia="Times New Roman"/>
          <w:lang w:eastAsia="en-GB"/>
        </w:rPr>
        <w:t xml:space="preserve"> child items and 79.2% were lacking one or fewer items.</w:t>
      </w:r>
    </w:p>
    <w:p w14:paraId="19609F46" w14:textId="77777777" w:rsidR="00572164" w:rsidRDefault="00572164" w:rsidP="00647393">
      <w:pPr>
        <w:spacing w:line="360" w:lineRule="auto"/>
        <w:rPr>
          <w:rFonts w:eastAsia="Times New Roman"/>
          <w:lang w:eastAsia="en-GB"/>
        </w:rPr>
      </w:pPr>
    </w:p>
    <w:p w14:paraId="2ACB001F" w14:textId="395B500F" w:rsidR="002A670A" w:rsidRDefault="0031280C" w:rsidP="00647393">
      <w:pPr>
        <w:spacing w:line="360" w:lineRule="auto"/>
        <w:rPr>
          <w:rFonts w:eastAsia="Times New Roman"/>
          <w:lang w:eastAsia="en-GB"/>
        </w:rPr>
      </w:pPr>
      <w:r>
        <w:rPr>
          <w:rFonts w:eastAsia="Times New Roman"/>
          <w:lang w:eastAsia="en-GB"/>
        </w:rPr>
        <w:t xml:space="preserve">With </w:t>
      </w:r>
      <w:r w:rsidR="002A670A" w:rsidRPr="00DB5B50">
        <w:rPr>
          <w:rFonts w:eastAsia="Times New Roman"/>
          <w:lang w:eastAsia="en-GB"/>
        </w:rPr>
        <w:t>an adult threshold of lacking two or more necessities</w:t>
      </w:r>
      <w:r w:rsidR="00B67914">
        <w:rPr>
          <w:rFonts w:eastAsia="Times New Roman"/>
          <w:lang w:eastAsia="en-GB"/>
        </w:rPr>
        <w:t>,</w:t>
      </w:r>
      <w:r w:rsidR="002A670A" w:rsidRPr="00DB5B50">
        <w:rPr>
          <w:rFonts w:eastAsia="Times New Roman"/>
          <w:lang w:eastAsia="en-GB"/>
        </w:rPr>
        <w:t xml:space="preserve"> 29% of </w:t>
      </w:r>
      <w:r w:rsidR="007F451D">
        <w:rPr>
          <w:rFonts w:eastAsia="Times New Roman"/>
          <w:lang w:eastAsia="en-GB"/>
        </w:rPr>
        <w:t xml:space="preserve">families </w:t>
      </w:r>
      <w:r w:rsidR="002A670A" w:rsidRPr="00DB5B50">
        <w:rPr>
          <w:rFonts w:eastAsia="Times New Roman"/>
          <w:lang w:eastAsia="en-GB"/>
        </w:rPr>
        <w:t>with a low</w:t>
      </w:r>
      <w:r w:rsidR="00D82C00">
        <w:rPr>
          <w:rFonts w:eastAsia="Times New Roman"/>
          <w:lang w:eastAsia="en-GB"/>
        </w:rPr>
        <w:t>-</w:t>
      </w:r>
      <w:r w:rsidR="002A670A" w:rsidRPr="00DB5B50">
        <w:rPr>
          <w:rFonts w:eastAsia="Times New Roman"/>
          <w:lang w:eastAsia="en-GB"/>
        </w:rPr>
        <w:t xml:space="preserve">paid employee </w:t>
      </w:r>
      <w:r w:rsidR="00572164">
        <w:rPr>
          <w:rFonts w:eastAsia="Times New Roman"/>
          <w:lang w:eastAsia="en-GB"/>
        </w:rPr>
        <w:t xml:space="preserve">in the sample </w:t>
      </w:r>
      <w:r w:rsidR="00B67914">
        <w:rPr>
          <w:rFonts w:eastAsia="Times New Roman"/>
          <w:lang w:eastAsia="en-GB"/>
        </w:rPr>
        <w:t>we</w:t>
      </w:r>
      <w:r w:rsidR="002A670A" w:rsidRPr="00DB5B50">
        <w:rPr>
          <w:rFonts w:eastAsia="Times New Roman"/>
          <w:lang w:eastAsia="en-GB"/>
        </w:rPr>
        <w:t xml:space="preserve">re deprived. </w:t>
      </w:r>
      <w:r w:rsidR="00B5037D">
        <w:rPr>
          <w:rFonts w:eastAsia="Times New Roman"/>
          <w:lang w:eastAsia="en-GB"/>
        </w:rPr>
        <w:t xml:space="preserve">Using </w:t>
      </w:r>
      <w:r w:rsidR="00B5037D" w:rsidRPr="00DB5B50">
        <w:rPr>
          <w:rFonts w:eastAsia="Times New Roman"/>
          <w:lang w:eastAsia="en-GB"/>
        </w:rPr>
        <w:t>a threshold of lacking one or more child necessit</w:t>
      </w:r>
      <w:r w:rsidR="00B5037D">
        <w:rPr>
          <w:rFonts w:eastAsia="Times New Roman"/>
          <w:lang w:eastAsia="en-GB"/>
        </w:rPr>
        <w:t>ies</w:t>
      </w:r>
      <w:r w:rsidR="007F451D">
        <w:rPr>
          <w:rFonts w:eastAsia="Times New Roman"/>
          <w:lang w:eastAsia="en-GB"/>
        </w:rPr>
        <w:t xml:space="preserve">, </w:t>
      </w:r>
      <w:r w:rsidR="00B5037D" w:rsidRPr="00DB5B50">
        <w:rPr>
          <w:rFonts w:eastAsia="Times New Roman"/>
          <w:lang w:eastAsia="en-GB"/>
        </w:rPr>
        <w:t>21% of low</w:t>
      </w:r>
      <w:r w:rsidR="00D82C00">
        <w:rPr>
          <w:rFonts w:eastAsia="Times New Roman"/>
          <w:lang w:eastAsia="en-GB"/>
        </w:rPr>
        <w:t>-</w:t>
      </w:r>
      <w:r w:rsidR="00B5037D" w:rsidRPr="00DB5B50">
        <w:rPr>
          <w:rFonts w:eastAsia="Times New Roman"/>
          <w:lang w:eastAsia="en-GB"/>
        </w:rPr>
        <w:t xml:space="preserve">paid employees with children </w:t>
      </w:r>
      <w:r w:rsidR="007F451D">
        <w:rPr>
          <w:rFonts w:eastAsia="Times New Roman"/>
          <w:lang w:eastAsia="en-GB"/>
        </w:rPr>
        <w:t>were deprived.</w:t>
      </w:r>
    </w:p>
    <w:p w14:paraId="377BDB98" w14:textId="77777777" w:rsidR="00D82C00" w:rsidRPr="00DB5B50" w:rsidRDefault="00D82C00" w:rsidP="00647393">
      <w:pPr>
        <w:spacing w:line="360" w:lineRule="auto"/>
        <w:rPr>
          <w:rFonts w:eastAsia="Times New Roman"/>
          <w:lang w:eastAsia="en-GB"/>
        </w:rPr>
      </w:pPr>
    </w:p>
    <w:p w14:paraId="7E2DC234" w14:textId="5CBD742F" w:rsidR="00B67914" w:rsidRDefault="0014634C" w:rsidP="00B67914">
      <w:pPr>
        <w:spacing w:line="360" w:lineRule="auto"/>
        <w:rPr>
          <w:rFonts w:eastAsia="Times New Roman"/>
          <w:lang w:eastAsia="en-GB"/>
        </w:rPr>
      </w:pPr>
      <w:r>
        <w:rPr>
          <w:rFonts w:eastAsia="Times New Roman"/>
          <w:lang w:eastAsia="en-GB"/>
        </w:rPr>
        <w:t xml:space="preserve">Units </w:t>
      </w:r>
      <w:r w:rsidR="007F451D">
        <w:rPr>
          <w:rFonts w:eastAsia="Times New Roman"/>
          <w:lang w:eastAsia="en-GB"/>
        </w:rPr>
        <w:t>containing e</w:t>
      </w:r>
      <w:r w:rsidR="002A670A" w:rsidRPr="00DB5B50">
        <w:rPr>
          <w:rFonts w:eastAsia="Times New Roman"/>
          <w:lang w:eastAsia="en-GB"/>
        </w:rPr>
        <w:t xml:space="preserve">mployees on the </w:t>
      </w:r>
      <w:r w:rsidR="00DE1F15">
        <w:rPr>
          <w:rFonts w:eastAsia="Times New Roman"/>
          <w:lang w:eastAsia="en-GB"/>
        </w:rPr>
        <w:t>VL</w:t>
      </w:r>
      <w:r w:rsidR="00B67914">
        <w:rPr>
          <w:rFonts w:eastAsia="Times New Roman"/>
          <w:lang w:eastAsia="en-GB"/>
        </w:rPr>
        <w:t xml:space="preserve">W </w:t>
      </w:r>
      <w:r w:rsidR="007F451D">
        <w:rPr>
          <w:rFonts w:eastAsia="Times New Roman"/>
          <w:lang w:eastAsia="en-GB"/>
        </w:rPr>
        <w:t xml:space="preserve">were more likely to be </w:t>
      </w:r>
      <w:r w:rsidR="002A670A" w:rsidRPr="00DB5B50">
        <w:rPr>
          <w:rFonts w:eastAsia="Times New Roman"/>
          <w:lang w:eastAsia="en-GB"/>
        </w:rPr>
        <w:t>deprived</w:t>
      </w:r>
      <w:r w:rsidR="007F451D">
        <w:rPr>
          <w:rFonts w:eastAsia="Times New Roman"/>
          <w:lang w:eastAsia="en-GB"/>
        </w:rPr>
        <w:t xml:space="preserve"> </w:t>
      </w:r>
      <w:r w:rsidR="002A670A" w:rsidRPr="00DB5B50">
        <w:rPr>
          <w:rFonts w:eastAsia="Times New Roman"/>
          <w:lang w:eastAsia="en-GB"/>
        </w:rPr>
        <w:t xml:space="preserve">and </w:t>
      </w:r>
      <w:r w:rsidR="007F451D">
        <w:rPr>
          <w:rFonts w:eastAsia="Times New Roman"/>
          <w:lang w:eastAsia="en-GB"/>
        </w:rPr>
        <w:t xml:space="preserve">have </w:t>
      </w:r>
      <w:r w:rsidR="002A670A" w:rsidRPr="00DB5B50">
        <w:rPr>
          <w:rFonts w:eastAsia="Times New Roman"/>
          <w:lang w:eastAsia="en-GB"/>
        </w:rPr>
        <w:t xml:space="preserve">significantly higher levels of deprivation than those </w:t>
      </w:r>
      <w:r w:rsidR="00B67914">
        <w:rPr>
          <w:rFonts w:eastAsia="Times New Roman"/>
          <w:lang w:eastAsia="en-GB"/>
        </w:rPr>
        <w:t xml:space="preserve">who were </w:t>
      </w:r>
      <w:r w:rsidR="002A670A" w:rsidRPr="00DB5B50">
        <w:rPr>
          <w:rFonts w:eastAsia="Times New Roman"/>
          <w:lang w:eastAsia="en-GB"/>
        </w:rPr>
        <w:t xml:space="preserve">low paid but on rates above the </w:t>
      </w:r>
      <w:r w:rsidR="00DE1F15">
        <w:rPr>
          <w:rFonts w:eastAsia="Times New Roman"/>
          <w:lang w:eastAsia="en-GB"/>
        </w:rPr>
        <w:t>VLW</w:t>
      </w:r>
      <w:r w:rsidR="002A670A" w:rsidRPr="00DB5B50">
        <w:rPr>
          <w:rFonts w:eastAsia="Times New Roman"/>
          <w:lang w:eastAsia="en-GB"/>
        </w:rPr>
        <w:t>.</w:t>
      </w:r>
      <w:r w:rsidR="00B67914" w:rsidRPr="00B67914">
        <w:rPr>
          <w:rFonts w:eastAsia="Times New Roman"/>
          <w:lang w:eastAsia="en-GB"/>
        </w:rPr>
        <w:t xml:space="preserve"> </w:t>
      </w:r>
      <w:r w:rsidR="00B67914">
        <w:rPr>
          <w:rFonts w:eastAsia="Times New Roman"/>
          <w:lang w:eastAsia="en-GB"/>
        </w:rPr>
        <w:t xml:space="preserve">Thus, despite the introduction of the VLW, material deprivation as well as poverty persisted amongst a minority of the employees of CYC, JRHT/JRF and YSJU. </w:t>
      </w:r>
      <w:r w:rsidR="002A670A" w:rsidRPr="00DB5B50">
        <w:rPr>
          <w:rFonts w:eastAsia="Times New Roman"/>
          <w:lang w:eastAsia="en-GB"/>
        </w:rPr>
        <w:t xml:space="preserve"> </w:t>
      </w:r>
      <w:r w:rsidR="00C04D91">
        <w:rPr>
          <w:rFonts w:eastAsia="Times New Roman"/>
          <w:lang w:eastAsia="en-GB"/>
        </w:rPr>
        <w:t>T</w:t>
      </w:r>
      <w:r w:rsidR="00B67914" w:rsidRPr="00DB5B50">
        <w:rPr>
          <w:rFonts w:eastAsia="Times New Roman"/>
          <w:lang w:eastAsia="en-GB"/>
        </w:rPr>
        <w:t xml:space="preserve">here was no significant difference in child deprivation </w:t>
      </w:r>
      <w:r w:rsidR="00B67914">
        <w:rPr>
          <w:rFonts w:eastAsia="Times New Roman"/>
          <w:lang w:eastAsia="en-GB"/>
        </w:rPr>
        <w:t xml:space="preserve">between children whose parents were </w:t>
      </w:r>
      <w:r w:rsidR="00B67914" w:rsidRPr="00DB5B50">
        <w:rPr>
          <w:rFonts w:eastAsia="Times New Roman"/>
          <w:lang w:eastAsia="en-GB"/>
        </w:rPr>
        <w:t xml:space="preserve">on the </w:t>
      </w:r>
      <w:r w:rsidR="00B67914">
        <w:rPr>
          <w:rFonts w:eastAsia="Times New Roman"/>
          <w:lang w:eastAsia="en-GB"/>
        </w:rPr>
        <w:t>VLW and those whose parents were on higher income</w:t>
      </w:r>
      <w:r w:rsidR="00B67914" w:rsidRPr="00DB5B50">
        <w:rPr>
          <w:rFonts w:eastAsia="Times New Roman"/>
          <w:lang w:eastAsia="en-GB"/>
        </w:rPr>
        <w:t xml:space="preserve">. </w:t>
      </w:r>
    </w:p>
    <w:p w14:paraId="3C80502F" w14:textId="77777777" w:rsidR="00B67914" w:rsidRDefault="00B67914" w:rsidP="00647393">
      <w:pPr>
        <w:spacing w:line="360" w:lineRule="auto"/>
        <w:rPr>
          <w:rFonts w:eastAsia="Times New Roman"/>
          <w:lang w:eastAsia="en-GB"/>
        </w:rPr>
      </w:pPr>
    </w:p>
    <w:p w14:paraId="02E911C0" w14:textId="6B1F13B3" w:rsidR="0071715E" w:rsidRDefault="00D64481" w:rsidP="00647393">
      <w:pPr>
        <w:spacing w:line="360" w:lineRule="auto"/>
        <w:rPr>
          <w:rFonts w:eastAsia="Times New Roman"/>
          <w:lang w:eastAsia="en-GB"/>
        </w:rPr>
      </w:pPr>
      <w:r>
        <w:rPr>
          <w:rFonts w:eastAsia="Times New Roman"/>
          <w:lang w:eastAsia="en-GB"/>
        </w:rPr>
        <w:t>The deprivation rate varied acco</w:t>
      </w:r>
      <w:r w:rsidR="002B71F4">
        <w:rPr>
          <w:rFonts w:eastAsia="Times New Roman"/>
          <w:lang w:eastAsia="en-GB"/>
        </w:rPr>
        <w:t xml:space="preserve">rding to the type of </w:t>
      </w:r>
      <w:r w:rsidR="0014634C">
        <w:rPr>
          <w:rFonts w:eastAsia="Times New Roman"/>
          <w:lang w:eastAsia="en-GB"/>
        </w:rPr>
        <w:t xml:space="preserve">unit and </w:t>
      </w:r>
      <w:r w:rsidR="002B71F4">
        <w:rPr>
          <w:rFonts w:eastAsia="Times New Roman"/>
          <w:lang w:eastAsia="en-GB"/>
        </w:rPr>
        <w:t>household (</w:t>
      </w:r>
      <w:r>
        <w:rPr>
          <w:rFonts w:eastAsia="Times New Roman"/>
          <w:lang w:eastAsia="en-GB"/>
        </w:rPr>
        <w:t>and the pattern for these low wage workers matched that seen for the population overall</w:t>
      </w:r>
      <w:r w:rsidR="00967702">
        <w:rPr>
          <w:rFonts w:eastAsia="Times New Roman"/>
          <w:lang w:eastAsia="en-GB"/>
        </w:rPr>
        <w:t xml:space="preserve"> (Main and Bradshaw 2014)</w:t>
      </w:r>
      <w:r w:rsidR="002B71F4">
        <w:rPr>
          <w:rFonts w:eastAsia="Times New Roman"/>
          <w:lang w:eastAsia="en-GB"/>
        </w:rPr>
        <w:t>)</w:t>
      </w:r>
      <w:r>
        <w:rPr>
          <w:rFonts w:eastAsia="Times New Roman"/>
          <w:lang w:eastAsia="en-GB"/>
        </w:rPr>
        <w:t xml:space="preserve">. </w:t>
      </w:r>
      <w:r w:rsidR="0069235A" w:rsidRPr="00DB5B50">
        <w:rPr>
          <w:rFonts w:eastAsia="Times New Roman"/>
          <w:lang w:eastAsia="en-GB"/>
        </w:rPr>
        <w:t>L</w:t>
      </w:r>
      <w:r w:rsidR="002A670A" w:rsidRPr="00DB5B50">
        <w:rPr>
          <w:rFonts w:eastAsia="Times New Roman"/>
          <w:lang w:eastAsia="en-GB"/>
        </w:rPr>
        <w:t xml:space="preserve">one parents </w:t>
      </w:r>
      <w:r w:rsidR="00B67914">
        <w:rPr>
          <w:rFonts w:eastAsia="Times New Roman"/>
          <w:lang w:eastAsia="en-GB"/>
        </w:rPr>
        <w:t xml:space="preserve">in the sample </w:t>
      </w:r>
      <w:r w:rsidR="002A670A" w:rsidRPr="00DB5B50">
        <w:rPr>
          <w:rFonts w:eastAsia="Times New Roman"/>
          <w:lang w:eastAsia="en-GB"/>
        </w:rPr>
        <w:t>ha</w:t>
      </w:r>
      <w:r w:rsidR="0069235A" w:rsidRPr="00DB5B50">
        <w:rPr>
          <w:rFonts w:eastAsia="Times New Roman"/>
          <w:lang w:eastAsia="en-GB"/>
        </w:rPr>
        <w:t>d</w:t>
      </w:r>
      <w:r w:rsidR="002A670A" w:rsidRPr="00DB5B50">
        <w:rPr>
          <w:rFonts w:eastAsia="Times New Roman"/>
          <w:lang w:eastAsia="en-GB"/>
        </w:rPr>
        <w:t xml:space="preserve"> a higher risk of adult deprivation. This h</w:t>
      </w:r>
      <w:r w:rsidR="00B67914">
        <w:rPr>
          <w:rFonts w:eastAsia="Times New Roman"/>
          <w:lang w:eastAsia="en-GB"/>
        </w:rPr>
        <w:t>e</w:t>
      </w:r>
      <w:r w:rsidR="002A670A" w:rsidRPr="00DB5B50">
        <w:rPr>
          <w:rFonts w:eastAsia="Times New Roman"/>
          <w:lang w:eastAsia="en-GB"/>
        </w:rPr>
        <w:t xml:space="preserve">ld whether or not they </w:t>
      </w:r>
      <w:r w:rsidR="00B67914">
        <w:rPr>
          <w:rFonts w:eastAsia="Times New Roman"/>
          <w:lang w:eastAsia="en-GB"/>
        </w:rPr>
        <w:t>we</w:t>
      </w:r>
      <w:r w:rsidR="002A670A" w:rsidRPr="00DB5B50">
        <w:rPr>
          <w:rFonts w:eastAsia="Times New Roman"/>
          <w:lang w:eastAsia="en-GB"/>
        </w:rPr>
        <w:t>re living in single unit or multi-unit households. Single respondents also ha</w:t>
      </w:r>
      <w:r w:rsidR="00572164">
        <w:rPr>
          <w:rFonts w:eastAsia="Times New Roman"/>
          <w:lang w:eastAsia="en-GB"/>
        </w:rPr>
        <w:t>d</w:t>
      </w:r>
      <w:r w:rsidR="002A670A" w:rsidRPr="00DB5B50">
        <w:rPr>
          <w:rFonts w:eastAsia="Times New Roman"/>
          <w:lang w:eastAsia="en-GB"/>
        </w:rPr>
        <w:t xml:space="preserve"> a higher risk of deprivation</w:t>
      </w:r>
      <w:r w:rsidR="00B67914">
        <w:rPr>
          <w:rFonts w:eastAsia="Times New Roman"/>
          <w:lang w:eastAsia="en-GB"/>
        </w:rPr>
        <w:t>,</w:t>
      </w:r>
      <w:r w:rsidR="002A670A" w:rsidRPr="00DB5B50">
        <w:rPr>
          <w:rFonts w:eastAsia="Times New Roman"/>
          <w:lang w:eastAsia="en-GB"/>
        </w:rPr>
        <w:t xml:space="preserve"> and living in a household with other people d</w:t>
      </w:r>
      <w:r w:rsidR="00B67914">
        <w:rPr>
          <w:rFonts w:eastAsia="Times New Roman"/>
          <w:lang w:eastAsia="en-GB"/>
        </w:rPr>
        <w:t>id</w:t>
      </w:r>
      <w:r w:rsidR="002A670A" w:rsidRPr="00DB5B50">
        <w:rPr>
          <w:rFonts w:eastAsia="Times New Roman"/>
          <w:lang w:eastAsia="en-GB"/>
        </w:rPr>
        <w:t xml:space="preserve"> not appear to mitigate this.</w:t>
      </w:r>
      <w:r w:rsidR="00B67914">
        <w:rPr>
          <w:rFonts w:eastAsia="Times New Roman"/>
          <w:lang w:eastAsia="en-GB"/>
        </w:rPr>
        <w:t xml:space="preserve"> </w:t>
      </w:r>
      <w:r w:rsidR="0071715E">
        <w:rPr>
          <w:rFonts w:eastAsia="Times New Roman"/>
          <w:lang w:eastAsia="en-GB"/>
        </w:rPr>
        <w:t xml:space="preserve">Adult and child deprivation was more prevalent among </w:t>
      </w:r>
      <w:r w:rsidR="002B71F4">
        <w:rPr>
          <w:rFonts w:eastAsia="Times New Roman"/>
          <w:lang w:eastAsia="en-GB"/>
        </w:rPr>
        <w:t xml:space="preserve">families </w:t>
      </w:r>
      <w:r w:rsidR="0071715E">
        <w:rPr>
          <w:rFonts w:eastAsia="Times New Roman"/>
          <w:lang w:eastAsia="en-GB"/>
        </w:rPr>
        <w:t xml:space="preserve">with one worker </w:t>
      </w:r>
      <w:r w:rsidR="00D82C00">
        <w:rPr>
          <w:rFonts w:eastAsia="Times New Roman"/>
          <w:lang w:eastAsia="en-GB"/>
        </w:rPr>
        <w:t>(</w:t>
      </w:r>
      <w:r w:rsidR="0071715E">
        <w:rPr>
          <w:rFonts w:eastAsia="Times New Roman"/>
          <w:lang w:eastAsia="en-GB"/>
        </w:rPr>
        <w:t xml:space="preserve">38% and 25% </w:t>
      </w:r>
      <w:r w:rsidR="00D82C00">
        <w:rPr>
          <w:rFonts w:eastAsia="Times New Roman"/>
          <w:lang w:eastAsia="en-GB"/>
        </w:rPr>
        <w:t xml:space="preserve">respectively) </w:t>
      </w:r>
      <w:r w:rsidR="0071715E">
        <w:rPr>
          <w:rFonts w:eastAsia="Times New Roman"/>
          <w:lang w:eastAsia="en-GB"/>
        </w:rPr>
        <w:t xml:space="preserve">compared with those with more than one worker </w:t>
      </w:r>
      <w:r w:rsidR="00D82C00">
        <w:rPr>
          <w:rFonts w:eastAsia="Times New Roman"/>
          <w:lang w:eastAsia="en-GB"/>
        </w:rPr>
        <w:t>(</w:t>
      </w:r>
      <w:r w:rsidR="0071715E">
        <w:rPr>
          <w:rFonts w:eastAsia="Times New Roman"/>
          <w:lang w:eastAsia="en-GB"/>
        </w:rPr>
        <w:t>21% and 13%</w:t>
      </w:r>
      <w:r w:rsidR="00D82C00">
        <w:rPr>
          <w:rFonts w:eastAsia="Times New Roman"/>
          <w:lang w:eastAsia="en-GB"/>
        </w:rPr>
        <w:t xml:space="preserve"> respectively)</w:t>
      </w:r>
      <w:r w:rsidR="0071715E">
        <w:rPr>
          <w:rFonts w:eastAsia="Times New Roman"/>
          <w:lang w:eastAsia="en-GB"/>
        </w:rPr>
        <w:t>. But there was no differe</w:t>
      </w:r>
      <w:r w:rsidR="00580031">
        <w:rPr>
          <w:rFonts w:eastAsia="Times New Roman"/>
          <w:lang w:eastAsia="en-GB"/>
        </w:rPr>
        <w:t xml:space="preserve">nce in the hours worked by the </w:t>
      </w:r>
      <w:r w:rsidR="0071715E">
        <w:rPr>
          <w:rFonts w:eastAsia="Times New Roman"/>
          <w:lang w:eastAsia="en-GB"/>
        </w:rPr>
        <w:t>employee by whether they were deprived</w:t>
      </w:r>
      <w:r w:rsidR="002B71F4">
        <w:rPr>
          <w:rFonts w:eastAsia="Times New Roman"/>
          <w:lang w:eastAsia="en-GB"/>
        </w:rPr>
        <w:t xml:space="preserve"> of adult or child items. </w:t>
      </w:r>
    </w:p>
    <w:p w14:paraId="425AA15B" w14:textId="77777777" w:rsidR="005808F8" w:rsidRDefault="005808F8" w:rsidP="00647393">
      <w:pPr>
        <w:spacing w:line="360" w:lineRule="auto"/>
        <w:rPr>
          <w:rFonts w:eastAsia="Times New Roman"/>
          <w:lang w:eastAsia="en-GB"/>
        </w:rPr>
      </w:pPr>
    </w:p>
    <w:p w14:paraId="5AAFE5D9" w14:textId="77777777" w:rsidR="00033965" w:rsidRDefault="00033965" w:rsidP="00647393">
      <w:pPr>
        <w:spacing w:line="360" w:lineRule="auto"/>
        <w:rPr>
          <w:rFonts w:eastAsia="Times New Roman"/>
          <w:b/>
          <w:lang w:eastAsia="en-GB"/>
        </w:rPr>
      </w:pPr>
      <w:r w:rsidRPr="006C667F">
        <w:rPr>
          <w:rFonts w:eastAsia="Times New Roman"/>
          <w:b/>
          <w:lang w:eastAsia="en-GB"/>
        </w:rPr>
        <w:t xml:space="preserve">The impact of the VLW </w:t>
      </w:r>
    </w:p>
    <w:p w14:paraId="2911A781" w14:textId="1CEA8331" w:rsidR="002B16C0" w:rsidRPr="002B16C0" w:rsidRDefault="00033965" w:rsidP="002B16C0">
      <w:pPr>
        <w:autoSpaceDE w:val="0"/>
        <w:autoSpaceDN w:val="0"/>
        <w:adjustRightInd w:val="0"/>
        <w:spacing w:line="360" w:lineRule="auto"/>
        <w:rPr>
          <w:rFonts w:eastAsia="Times New Roman"/>
          <w:color w:val="000000"/>
          <w:kern w:val="24"/>
          <w:lang w:val="en-US" w:eastAsia="en-GB"/>
        </w:rPr>
      </w:pPr>
      <w:r w:rsidRPr="006C667F">
        <w:rPr>
          <w:rFonts w:eastAsia="Times New Roman"/>
          <w:lang w:eastAsia="en-GB"/>
        </w:rPr>
        <w:t xml:space="preserve">It is also important to explore the VLW from the point of view of its recipients. </w:t>
      </w:r>
      <w:r w:rsidR="00580031">
        <w:rPr>
          <w:rFonts w:eastAsia="Times New Roman"/>
          <w:lang w:eastAsia="en-GB"/>
        </w:rPr>
        <w:t xml:space="preserve">During the qualitative </w:t>
      </w:r>
      <w:r w:rsidR="005808F8">
        <w:rPr>
          <w:rFonts w:eastAsia="Times New Roman"/>
          <w:lang w:eastAsia="en-GB"/>
        </w:rPr>
        <w:t>phrase of this research</w:t>
      </w:r>
      <w:r w:rsidR="00C04D91">
        <w:rPr>
          <w:rFonts w:eastAsia="Times New Roman"/>
          <w:lang w:eastAsia="en-GB"/>
        </w:rPr>
        <w:t xml:space="preserve">, </w:t>
      </w:r>
      <w:r w:rsidR="005808F8">
        <w:rPr>
          <w:rFonts w:eastAsia="Times New Roman"/>
          <w:lang w:eastAsia="en-GB"/>
        </w:rPr>
        <w:t>several key</w:t>
      </w:r>
      <w:r>
        <w:rPr>
          <w:rFonts w:eastAsia="Times New Roman"/>
          <w:lang w:eastAsia="en-GB"/>
        </w:rPr>
        <w:t xml:space="preserve"> </w:t>
      </w:r>
      <w:r w:rsidR="005808F8">
        <w:rPr>
          <w:rFonts w:eastAsia="Times New Roman"/>
          <w:lang w:eastAsia="en-GB"/>
        </w:rPr>
        <w:t>themes</w:t>
      </w:r>
      <w:r>
        <w:rPr>
          <w:rFonts w:eastAsia="Times New Roman"/>
          <w:lang w:eastAsia="en-GB"/>
        </w:rPr>
        <w:t xml:space="preserve"> </w:t>
      </w:r>
      <w:r w:rsidR="00823101">
        <w:rPr>
          <w:rFonts w:eastAsia="Times New Roman"/>
          <w:lang w:eastAsia="en-GB"/>
        </w:rPr>
        <w:t xml:space="preserve">emerged.  </w:t>
      </w:r>
      <w:r w:rsidR="005808F8">
        <w:rPr>
          <w:rFonts w:eastAsia="Times New Roman"/>
          <w:color w:val="000000"/>
          <w:kern w:val="24"/>
          <w:lang w:val="en-US" w:eastAsia="en-GB"/>
        </w:rPr>
        <w:t>Firstly</w:t>
      </w:r>
      <w:r w:rsidR="00D82C00">
        <w:rPr>
          <w:rFonts w:eastAsia="Times New Roman"/>
          <w:color w:val="000000"/>
          <w:kern w:val="24"/>
          <w:lang w:val="en-US" w:eastAsia="en-GB"/>
        </w:rPr>
        <w:t>,</w:t>
      </w:r>
      <w:r w:rsidR="00823101">
        <w:rPr>
          <w:rFonts w:eastAsia="Times New Roman"/>
          <w:color w:val="000000"/>
          <w:kern w:val="24"/>
          <w:lang w:val="en-US" w:eastAsia="en-GB"/>
        </w:rPr>
        <w:t xml:space="preserve"> whilst the implementation of the VLW had not lifted all the case study employees who received it above the household poverty threshold, it had increased employee incomes and VLW employees appreciated receiving higher wages.  </w:t>
      </w:r>
      <w:r w:rsidR="000761BA">
        <w:rPr>
          <w:rFonts w:eastAsia="Times New Roman"/>
          <w:color w:val="000000"/>
          <w:kern w:val="24"/>
          <w:lang w:val="en-US" w:eastAsia="en-GB"/>
        </w:rPr>
        <w:t xml:space="preserve">In immediate terms the additional money </w:t>
      </w:r>
      <w:r w:rsidR="00931EE3">
        <w:rPr>
          <w:rFonts w:eastAsia="Times New Roman"/>
          <w:color w:val="000000"/>
          <w:kern w:val="24"/>
          <w:lang w:val="en-US" w:eastAsia="en-GB"/>
        </w:rPr>
        <w:t>helped with</w:t>
      </w:r>
      <w:r w:rsidR="000761BA">
        <w:rPr>
          <w:rFonts w:eastAsia="Times New Roman"/>
          <w:color w:val="000000"/>
          <w:kern w:val="24"/>
          <w:lang w:val="en-US" w:eastAsia="en-GB"/>
        </w:rPr>
        <w:t xml:space="preserve"> essential</w:t>
      </w:r>
      <w:r w:rsidR="00931EE3">
        <w:rPr>
          <w:rFonts w:eastAsia="Times New Roman"/>
          <w:color w:val="000000"/>
          <w:kern w:val="24"/>
          <w:lang w:val="en-US" w:eastAsia="en-GB"/>
        </w:rPr>
        <w:t>s</w:t>
      </w:r>
      <w:r w:rsidR="00D82C00">
        <w:rPr>
          <w:rFonts w:eastAsia="Times New Roman"/>
          <w:color w:val="000000"/>
          <w:kern w:val="24"/>
          <w:lang w:val="en-US" w:eastAsia="en-GB"/>
        </w:rPr>
        <w:t>;</w:t>
      </w:r>
      <w:r w:rsidR="00931EE3">
        <w:rPr>
          <w:rFonts w:eastAsia="Times New Roman"/>
          <w:color w:val="000000"/>
          <w:kern w:val="24"/>
          <w:lang w:val="en-US" w:eastAsia="en-GB"/>
        </w:rPr>
        <w:t xml:space="preserve"> for example, several participants reported that it helped them to pay </w:t>
      </w:r>
      <w:r w:rsidR="00494F88">
        <w:rPr>
          <w:rFonts w:eastAsia="Times New Roman"/>
          <w:color w:val="000000"/>
          <w:kern w:val="24"/>
          <w:lang w:val="en-US" w:eastAsia="en-GB"/>
        </w:rPr>
        <w:t>bills</w:t>
      </w:r>
      <w:r w:rsidR="00931EE3">
        <w:rPr>
          <w:rFonts w:eastAsia="Times New Roman"/>
          <w:color w:val="000000"/>
          <w:kern w:val="24"/>
          <w:lang w:val="en-US" w:eastAsia="en-GB"/>
        </w:rPr>
        <w:t xml:space="preserve"> </w:t>
      </w:r>
      <w:r w:rsidR="00931EE3" w:rsidRPr="006C667F">
        <w:rPr>
          <w:rFonts w:eastAsia="Times New Roman"/>
          <w:i/>
          <w:color w:val="000000"/>
          <w:kern w:val="24"/>
          <w:lang w:val="en-US" w:eastAsia="en-GB"/>
        </w:rPr>
        <w:t>‘</w:t>
      </w:r>
      <w:r w:rsidR="00CA3DD1">
        <w:rPr>
          <w:rFonts w:eastAsia="Times New Roman"/>
          <w:i/>
          <w:color w:val="000000"/>
          <w:kern w:val="24"/>
          <w:lang w:val="en-US" w:eastAsia="en-GB"/>
        </w:rPr>
        <w:t>[</w:t>
      </w:r>
      <w:proofErr w:type="gramStart"/>
      <w:r w:rsidR="00CA3DD1">
        <w:rPr>
          <w:rFonts w:eastAsia="Times New Roman"/>
          <w:i/>
          <w:color w:val="000000"/>
          <w:kern w:val="24"/>
          <w:lang w:val="en-US" w:eastAsia="en-GB"/>
        </w:rPr>
        <w:t>I[</w:t>
      </w:r>
      <w:proofErr w:type="gramEnd"/>
      <w:r w:rsidR="00931EE3" w:rsidRPr="006C667F">
        <w:rPr>
          <w:rFonts w:eastAsia="Times New Roman"/>
          <w:i/>
          <w:color w:val="000000"/>
          <w:kern w:val="24"/>
          <w:lang w:val="en-US" w:eastAsia="en-GB"/>
        </w:rPr>
        <w:t xml:space="preserve"> can meet bills better</w:t>
      </w:r>
      <w:r w:rsidR="00931EE3">
        <w:rPr>
          <w:rFonts w:eastAsia="Times New Roman"/>
          <w:i/>
          <w:color w:val="000000"/>
          <w:kern w:val="24"/>
          <w:lang w:val="en-US" w:eastAsia="en-GB"/>
        </w:rPr>
        <w:t>…</w:t>
      </w:r>
      <w:r w:rsidR="00931EE3" w:rsidRPr="00931EE3">
        <w:rPr>
          <w:rFonts w:eastAsia="Times New Roman"/>
          <w:i/>
          <w:color w:val="000000"/>
          <w:kern w:val="24"/>
          <w:lang w:val="en-US" w:eastAsia="en-GB"/>
        </w:rPr>
        <w:t xml:space="preserve"> </w:t>
      </w:r>
      <w:r w:rsidR="00CA3DD1">
        <w:rPr>
          <w:rFonts w:eastAsia="Times New Roman"/>
          <w:i/>
          <w:color w:val="000000"/>
          <w:kern w:val="24"/>
          <w:lang w:val="en-US" w:eastAsia="en-GB"/>
        </w:rPr>
        <w:t>[</w:t>
      </w:r>
      <w:proofErr w:type="gramStart"/>
      <w:r w:rsidR="00CA3DD1">
        <w:rPr>
          <w:rFonts w:eastAsia="Times New Roman"/>
          <w:i/>
          <w:color w:val="000000"/>
          <w:kern w:val="24"/>
          <w:lang w:val="en-US" w:eastAsia="en-GB"/>
        </w:rPr>
        <w:t>the</w:t>
      </w:r>
      <w:proofErr w:type="gramEnd"/>
      <w:r w:rsidR="00CA3DD1">
        <w:rPr>
          <w:rFonts w:eastAsia="Times New Roman"/>
          <w:i/>
          <w:color w:val="000000"/>
          <w:kern w:val="24"/>
          <w:lang w:val="en-US" w:eastAsia="en-GB"/>
        </w:rPr>
        <w:t xml:space="preserve">] </w:t>
      </w:r>
      <w:r w:rsidR="00931EE3" w:rsidRPr="00931EE3">
        <w:rPr>
          <w:rFonts w:eastAsia="Times New Roman"/>
          <w:i/>
          <w:color w:val="000000"/>
          <w:kern w:val="24"/>
          <w:lang w:val="en-US" w:eastAsia="en-GB"/>
        </w:rPr>
        <w:t>e</w:t>
      </w:r>
      <w:r w:rsidR="00931EE3" w:rsidRPr="006C667F">
        <w:rPr>
          <w:rFonts w:eastAsia="Times New Roman"/>
          <w:i/>
          <w:color w:val="000000"/>
          <w:kern w:val="24"/>
          <w:lang w:val="en-US" w:eastAsia="en-GB"/>
        </w:rPr>
        <w:t>xtra income helps us not to worry’</w:t>
      </w:r>
      <w:r w:rsidR="00931EE3">
        <w:rPr>
          <w:rFonts w:eastAsia="Times New Roman"/>
          <w:color w:val="000000"/>
          <w:kern w:val="24"/>
          <w:lang w:val="en-US" w:eastAsia="en-GB"/>
        </w:rPr>
        <w:t xml:space="preserve">.   A sense of relief was evident in some of the interviews, with the additional money helping to reduce immediate financial </w:t>
      </w:r>
      <w:r w:rsidR="00CA3DD1">
        <w:rPr>
          <w:rFonts w:eastAsia="Times New Roman"/>
          <w:color w:val="000000"/>
          <w:kern w:val="24"/>
          <w:lang w:val="en-US" w:eastAsia="en-GB"/>
        </w:rPr>
        <w:t>worries</w:t>
      </w:r>
      <w:r w:rsidR="00931EE3">
        <w:rPr>
          <w:rFonts w:eastAsia="Times New Roman"/>
          <w:color w:val="000000"/>
          <w:kern w:val="24"/>
          <w:lang w:val="en-US" w:eastAsia="en-GB"/>
        </w:rPr>
        <w:t xml:space="preserve">.  Moreover, some participants described being able </w:t>
      </w:r>
      <w:r w:rsidR="002B16C0">
        <w:rPr>
          <w:rFonts w:eastAsia="Times New Roman"/>
          <w:color w:val="000000"/>
          <w:kern w:val="24"/>
          <w:lang w:val="en-US" w:eastAsia="en-GB"/>
        </w:rPr>
        <w:t>do things that may have previously been problematic, such as saving</w:t>
      </w:r>
      <w:r w:rsidR="00D82C00">
        <w:rPr>
          <w:rFonts w:eastAsia="Times New Roman"/>
          <w:color w:val="000000"/>
          <w:kern w:val="24"/>
          <w:lang w:val="en-US" w:eastAsia="en-GB"/>
        </w:rPr>
        <w:t>:</w:t>
      </w:r>
      <w:r w:rsidR="002B16C0">
        <w:rPr>
          <w:rFonts w:eastAsia="Times New Roman"/>
          <w:color w:val="000000"/>
          <w:kern w:val="24"/>
          <w:lang w:val="en-US" w:eastAsia="en-GB"/>
        </w:rPr>
        <w:t xml:space="preserve"> </w:t>
      </w:r>
      <w:r w:rsidR="002B16C0" w:rsidRPr="00B07F4E">
        <w:rPr>
          <w:rFonts w:eastAsia="Times New Roman"/>
          <w:color w:val="000000"/>
          <w:kern w:val="24"/>
          <w:lang w:val="en-US" w:eastAsia="en-GB"/>
        </w:rPr>
        <w:t>“</w:t>
      </w:r>
      <w:r w:rsidR="002B16C0" w:rsidRPr="006C667F">
        <w:rPr>
          <w:rFonts w:eastAsia="Times New Roman"/>
          <w:i/>
          <w:color w:val="000000"/>
          <w:kern w:val="24"/>
          <w:lang w:val="en-US" w:eastAsia="en-GB"/>
        </w:rPr>
        <w:t>Increase in disposable income means more likely to save money for rainy day”</w:t>
      </w:r>
      <w:r w:rsidR="002B16C0">
        <w:rPr>
          <w:rFonts w:eastAsia="Times New Roman"/>
          <w:color w:val="000000"/>
          <w:kern w:val="24"/>
          <w:lang w:val="en-US" w:eastAsia="en-GB"/>
        </w:rPr>
        <w:t xml:space="preserve">, and </w:t>
      </w:r>
      <w:r w:rsidR="00CA3DD1">
        <w:rPr>
          <w:rFonts w:eastAsia="Times New Roman"/>
          <w:color w:val="000000"/>
          <w:kern w:val="24"/>
          <w:lang w:val="en-US" w:eastAsia="en-GB"/>
        </w:rPr>
        <w:t xml:space="preserve">funding </w:t>
      </w:r>
      <w:r w:rsidR="002B16C0">
        <w:rPr>
          <w:rFonts w:eastAsia="Times New Roman"/>
          <w:color w:val="000000"/>
          <w:kern w:val="24"/>
          <w:lang w:val="en-US" w:eastAsia="en-GB"/>
        </w:rPr>
        <w:t>children’s activities</w:t>
      </w:r>
      <w:r w:rsidR="00D82C00">
        <w:rPr>
          <w:rFonts w:eastAsia="Times New Roman"/>
          <w:color w:val="000000"/>
          <w:kern w:val="24"/>
          <w:lang w:val="en-US" w:eastAsia="en-GB"/>
        </w:rPr>
        <w:t>:</w:t>
      </w:r>
      <w:r w:rsidR="002B16C0">
        <w:rPr>
          <w:rFonts w:eastAsia="Times New Roman"/>
          <w:color w:val="000000"/>
          <w:kern w:val="24"/>
          <w:lang w:val="en-US" w:eastAsia="en-GB"/>
        </w:rPr>
        <w:t xml:space="preserve"> </w:t>
      </w:r>
      <w:r w:rsidR="002B16C0" w:rsidRPr="006C667F">
        <w:rPr>
          <w:rFonts w:eastAsia="Times New Roman"/>
          <w:i/>
          <w:color w:val="000000"/>
          <w:kern w:val="24"/>
          <w:lang w:val="en-US" w:eastAsia="en-GB"/>
        </w:rPr>
        <w:t>‘Slightly better off, money used to pay for children’s activities”</w:t>
      </w:r>
      <w:r w:rsidR="00D82C00">
        <w:rPr>
          <w:rFonts w:eastAsia="Times New Roman"/>
          <w:i/>
          <w:color w:val="000000"/>
          <w:kern w:val="24"/>
          <w:lang w:val="en-US" w:eastAsia="en-GB"/>
        </w:rPr>
        <w:t>.</w:t>
      </w:r>
    </w:p>
    <w:p w14:paraId="2553B909" w14:textId="77777777" w:rsidR="00931EE3" w:rsidRDefault="00931EE3" w:rsidP="00931EE3">
      <w:pPr>
        <w:spacing w:line="360" w:lineRule="auto"/>
        <w:rPr>
          <w:rFonts w:eastAsia="Times New Roman"/>
          <w:lang w:eastAsia="en-GB"/>
        </w:rPr>
      </w:pPr>
    </w:p>
    <w:p w14:paraId="2A70652B" w14:textId="4BD4BFE1" w:rsidR="00B07F4E" w:rsidRPr="00D82C00" w:rsidRDefault="005808F8" w:rsidP="006C667F">
      <w:pPr>
        <w:spacing w:line="360" w:lineRule="auto"/>
        <w:rPr>
          <w:rFonts w:eastAsia="Times New Roman"/>
          <w:color w:val="000000"/>
          <w:kern w:val="24"/>
          <w:lang w:val="en-US" w:eastAsia="en-GB"/>
        </w:rPr>
      </w:pPr>
      <w:r>
        <w:rPr>
          <w:rFonts w:eastAsia="Times New Roman"/>
          <w:lang w:eastAsia="en-GB"/>
        </w:rPr>
        <w:t>Secondly</w:t>
      </w:r>
      <w:r w:rsidR="002B16C0">
        <w:rPr>
          <w:rFonts w:eastAsia="Times New Roman"/>
          <w:lang w:eastAsia="en-GB"/>
        </w:rPr>
        <w:t>, some interesting points were made about the impact on staff morale.  For example, one participant commented</w:t>
      </w:r>
      <w:r w:rsidR="00D82C00">
        <w:rPr>
          <w:rFonts w:eastAsia="Times New Roman"/>
          <w:lang w:eastAsia="en-GB"/>
        </w:rPr>
        <w:t>:</w:t>
      </w:r>
      <w:r w:rsidR="002B16C0">
        <w:rPr>
          <w:rFonts w:eastAsia="Times New Roman"/>
          <w:lang w:eastAsia="en-GB"/>
        </w:rPr>
        <w:t xml:space="preserve"> </w:t>
      </w:r>
      <w:r w:rsidR="002B16C0" w:rsidRPr="00B07F4E">
        <w:rPr>
          <w:rFonts w:eastAsia="Times New Roman"/>
          <w:color w:val="000000"/>
          <w:kern w:val="24"/>
          <w:lang w:val="en-US" w:eastAsia="en-GB"/>
        </w:rPr>
        <w:t>“</w:t>
      </w:r>
      <w:r w:rsidR="002B16C0" w:rsidRPr="006C667F">
        <w:rPr>
          <w:rFonts w:eastAsia="Times New Roman"/>
          <w:i/>
          <w:color w:val="000000"/>
          <w:kern w:val="24"/>
          <w:lang w:val="en-US" w:eastAsia="en-GB"/>
        </w:rPr>
        <w:t xml:space="preserve">It has given me more pride in my </w:t>
      </w:r>
      <w:proofErr w:type="gramStart"/>
      <w:r w:rsidR="002B16C0" w:rsidRPr="006C667F">
        <w:rPr>
          <w:rFonts w:eastAsia="Times New Roman"/>
          <w:i/>
          <w:color w:val="000000"/>
          <w:kern w:val="24"/>
          <w:lang w:val="en-US" w:eastAsia="en-GB"/>
        </w:rPr>
        <w:t>role”</w:t>
      </w:r>
      <w:r w:rsidR="002B16C0">
        <w:rPr>
          <w:rFonts w:eastAsia="Times New Roman"/>
          <w:i/>
          <w:color w:val="000000"/>
          <w:kern w:val="24"/>
          <w:lang w:val="en-US" w:eastAsia="en-GB"/>
        </w:rPr>
        <w:t>,</w:t>
      </w:r>
      <w:proofErr w:type="gramEnd"/>
      <w:r w:rsidR="002B16C0">
        <w:rPr>
          <w:rFonts w:eastAsia="Times New Roman"/>
          <w:i/>
          <w:color w:val="000000"/>
          <w:kern w:val="24"/>
          <w:lang w:val="en-US" w:eastAsia="en-GB"/>
        </w:rPr>
        <w:t xml:space="preserve"> </w:t>
      </w:r>
      <w:r w:rsidR="002B16C0">
        <w:rPr>
          <w:rFonts w:eastAsia="Times New Roman"/>
          <w:color w:val="000000"/>
          <w:kern w:val="24"/>
          <w:lang w:val="en-US" w:eastAsia="en-GB"/>
        </w:rPr>
        <w:t xml:space="preserve">and another said </w:t>
      </w:r>
      <w:r w:rsidR="002B16C0" w:rsidRPr="006C667F">
        <w:rPr>
          <w:rFonts w:eastAsia="Times New Roman"/>
          <w:i/>
          <w:color w:val="000000"/>
          <w:kern w:val="24"/>
          <w:lang w:val="en-US" w:eastAsia="en-GB"/>
        </w:rPr>
        <w:t xml:space="preserve">‘“[I] </w:t>
      </w:r>
      <w:r w:rsidR="002B16C0" w:rsidRPr="006C667F">
        <w:rPr>
          <w:rFonts w:eastAsia="Times New Roman"/>
          <w:i/>
          <w:color w:val="000000"/>
          <w:kern w:val="24"/>
          <w:lang w:val="en-US" w:eastAsia="en-GB"/>
        </w:rPr>
        <w:lastRenderedPageBreak/>
        <w:t>feel more loyal to the council. Other jobs in the same field of work I am in are all lower paid”</w:t>
      </w:r>
      <w:r w:rsidR="002B16C0">
        <w:rPr>
          <w:rFonts w:eastAsia="Times New Roman"/>
          <w:i/>
          <w:color w:val="000000"/>
          <w:kern w:val="24"/>
          <w:lang w:val="en-US" w:eastAsia="en-GB"/>
        </w:rPr>
        <w:t xml:space="preserve">.  </w:t>
      </w:r>
      <w:r w:rsidR="002B16C0">
        <w:rPr>
          <w:rFonts w:eastAsia="Times New Roman"/>
          <w:color w:val="000000"/>
          <w:kern w:val="24"/>
          <w:lang w:val="en-US" w:eastAsia="en-GB"/>
        </w:rPr>
        <w:t xml:space="preserve">Even </w:t>
      </w:r>
      <w:r w:rsidR="00D82C00">
        <w:rPr>
          <w:rFonts w:eastAsia="Times New Roman"/>
          <w:color w:val="000000"/>
          <w:kern w:val="24"/>
          <w:lang w:val="en-US" w:eastAsia="en-GB"/>
        </w:rPr>
        <w:t xml:space="preserve">amongst </w:t>
      </w:r>
      <w:r w:rsidR="002B16C0">
        <w:rPr>
          <w:rFonts w:eastAsia="Times New Roman"/>
          <w:color w:val="000000"/>
          <w:kern w:val="24"/>
          <w:lang w:val="en-US" w:eastAsia="en-GB"/>
        </w:rPr>
        <w:t>participants who did</w:t>
      </w:r>
      <w:r w:rsidR="00D82C00">
        <w:rPr>
          <w:rFonts w:eastAsia="Times New Roman"/>
          <w:color w:val="000000"/>
          <w:kern w:val="24"/>
          <w:lang w:val="en-US" w:eastAsia="en-GB"/>
        </w:rPr>
        <w:t xml:space="preserve"> not</w:t>
      </w:r>
      <w:r w:rsidR="002B16C0">
        <w:rPr>
          <w:rFonts w:eastAsia="Times New Roman"/>
          <w:color w:val="000000"/>
          <w:kern w:val="24"/>
          <w:lang w:val="en-US" w:eastAsia="en-GB"/>
        </w:rPr>
        <w:t xml:space="preserve"> report any direct impact of the VLW there was the sugg</w:t>
      </w:r>
      <w:r>
        <w:rPr>
          <w:rFonts w:eastAsia="Times New Roman"/>
          <w:color w:val="000000"/>
          <w:kern w:val="24"/>
          <w:lang w:val="en-US" w:eastAsia="en-GB"/>
        </w:rPr>
        <w:t xml:space="preserve">estion </w:t>
      </w:r>
      <w:r w:rsidR="002B16C0">
        <w:rPr>
          <w:rFonts w:eastAsia="Times New Roman"/>
          <w:color w:val="000000"/>
          <w:kern w:val="24"/>
          <w:lang w:val="en-US" w:eastAsia="en-GB"/>
        </w:rPr>
        <w:t>tha</w:t>
      </w:r>
      <w:r>
        <w:rPr>
          <w:rFonts w:eastAsia="Times New Roman"/>
          <w:color w:val="000000"/>
          <w:kern w:val="24"/>
          <w:lang w:val="en-US" w:eastAsia="en-GB"/>
        </w:rPr>
        <w:t xml:space="preserve">t in general terms it had had an </w:t>
      </w:r>
      <w:r w:rsidR="002B16C0">
        <w:rPr>
          <w:rFonts w:eastAsia="Times New Roman"/>
          <w:color w:val="000000"/>
          <w:kern w:val="24"/>
          <w:lang w:val="en-US" w:eastAsia="en-GB"/>
        </w:rPr>
        <w:t>impact</w:t>
      </w:r>
      <w:r w:rsidR="00D82C00">
        <w:rPr>
          <w:rFonts w:eastAsia="Times New Roman"/>
          <w:color w:val="000000"/>
          <w:kern w:val="24"/>
          <w:lang w:val="en-US" w:eastAsia="en-GB"/>
        </w:rPr>
        <w:t>:</w:t>
      </w:r>
      <w:r w:rsidR="002B16C0">
        <w:rPr>
          <w:rFonts w:eastAsia="Times New Roman"/>
          <w:color w:val="000000"/>
          <w:kern w:val="24"/>
          <w:lang w:val="en-US" w:eastAsia="en-GB"/>
        </w:rPr>
        <w:t xml:space="preserve"> </w:t>
      </w:r>
      <w:r w:rsidR="002B16C0" w:rsidRPr="006C667F">
        <w:rPr>
          <w:rFonts w:eastAsia="Times New Roman"/>
          <w:i/>
          <w:color w:val="000000"/>
          <w:kern w:val="24"/>
          <w:lang w:val="en-US" w:eastAsia="en-GB"/>
        </w:rPr>
        <w:t>‘</w:t>
      </w:r>
      <w:r w:rsidRPr="006C667F">
        <w:rPr>
          <w:rFonts w:eastAsia="Times New Roman"/>
          <w:i/>
          <w:color w:val="000000"/>
          <w:kern w:val="24"/>
          <w:lang w:val="en-US" w:eastAsia="en-GB"/>
        </w:rPr>
        <w:t>No difference to me. Perhaps made people think their wage is fairer</w:t>
      </w:r>
      <w:r>
        <w:rPr>
          <w:rFonts w:eastAsia="Times New Roman"/>
          <w:i/>
          <w:color w:val="000000"/>
          <w:kern w:val="24"/>
          <w:lang w:val="en-US" w:eastAsia="en-GB"/>
        </w:rPr>
        <w:t xml:space="preserve">’. </w:t>
      </w:r>
    </w:p>
    <w:p w14:paraId="2DBB436D" w14:textId="77777777" w:rsidR="00B07F4E" w:rsidRDefault="00B07F4E" w:rsidP="00647393">
      <w:pPr>
        <w:spacing w:line="360" w:lineRule="auto"/>
        <w:rPr>
          <w:rFonts w:eastAsia="Times New Roman"/>
          <w:lang w:eastAsia="en-GB"/>
        </w:rPr>
      </w:pPr>
    </w:p>
    <w:p w14:paraId="0416888A" w14:textId="77777777" w:rsidR="00B07F4E" w:rsidRPr="00B07F4E" w:rsidRDefault="00B07F4E" w:rsidP="00647393">
      <w:pPr>
        <w:spacing w:line="360" w:lineRule="auto"/>
        <w:rPr>
          <w:rFonts w:eastAsia="Times New Roman"/>
          <w:b/>
          <w:lang w:eastAsia="en-GB"/>
        </w:rPr>
      </w:pPr>
      <w:r w:rsidRPr="00B07F4E">
        <w:rPr>
          <w:rFonts w:eastAsia="Times New Roman"/>
          <w:b/>
          <w:lang w:eastAsia="en-GB"/>
        </w:rPr>
        <w:t>Conclusion</w:t>
      </w:r>
    </w:p>
    <w:p w14:paraId="6F80C4BC" w14:textId="77777777" w:rsidR="00B07F4E" w:rsidRPr="00DB5B50" w:rsidRDefault="00B07F4E" w:rsidP="00647393">
      <w:pPr>
        <w:spacing w:line="360" w:lineRule="auto"/>
        <w:rPr>
          <w:rFonts w:eastAsia="Times New Roman"/>
          <w:lang w:eastAsia="en-GB"/>
        </w:rPr>
      </w:pPr>
    </w:p>
    <w:p w14:paraId="6E4E218A" w14:textId="0B7B7E35" w:rsidR="002A670A" w:rsidRDefault="004770D3" w:rsidP="00647393">
      <w:pPr>
        <w:spacing w:line="360" w:lineRule="auto"/>
        <w:rPr>
          <w:rFonts w:eastAsia="Times New Roman"/>
          <w:lang w:eastAsia="en-GB"/>
        </w:rPr>
      </w:pPr>
      <w:r>
        <w:t xml:space="preserve">This </w:t>
      </w:r>
      <w:r w:rsidR="00580031">
        <w:t>article</w:t>
      </w:r>
      <w:r>
        <w:t xml:space="preserve"> illustrates how a minority of people on a ‘living wage’ do not avoid poverty </w:t>
      </w:r>
      <w:r w:rsidR="00D82C00">
        <w:t>or</w:t>
      </w:r>
      <w:r>
        <w:t xml:space="preserve"> material deprivation, </w:t>
      </w:r>
      <w:r w:rsidR="00D82C00">
        <w:t>because of</w:t>
      </w:r>
      <w:r>
        <w:t xml:space="preserve"> one or more of </w:t>
      </w:r>
      <w:r w:rsidR="00D82C00">
        <w:t xml:space="preserve">several factors: </w:t>
      </w:r>
      <w:r>
        <w:t>part-time hours, the nature of the</w:t>
      </w:r>
      <w:r w:rsidR="00431AF8">
        <w:t xml:space="preserve"> units they live in</w:t>
      </w:r>
      <w:r>
        <w:t xml:space="preserve"> and potentially</w:t>
      </w:r>
      <w:r w:rsidR="00D82C00">
        <w:t>,</w:t>
      </w:r>
      <w:r>
        <w:t xml:space="preserve"> in some cases, failure to claim be</w:t>
      </w:r>
      <w:r w:rsidR="00D84E31">
        <w:t>ne</w:t>
      </w:r>
      <w:r>
        <w:t xml:space="preserve">fits they are due.  </w:t>
      </w:r>
      <w:r w:rsidR="002A670A" w:rsidRPr="00DB5B50">
        <w:rPr>
          <w:rFonts w:eastAsia="Times New Roman"/>
          <w:lang w:eastAsia="en-GB"/>
        </w:rPr>
        <w:t xml:space="preserve">It is clear </w:t>
      </w:r>
      <w:r w:rsidR="00FF2F22">
        <w:rPr>
          <w:rFonts w:eastAsia="Times New Roman"/>
          <w:lang w:eastAsia="en-GB"/>
        </w:rPr>
        <w:t>from this study that there are many factors influencing</w:t>
      </w:r>
      <w:r w:rsidR="00FA545A">
        <w:rPr>
          <w:rFonts w:eastAsia="Times New Roman"/>
          <w:lang w:eastAsia="en-GB"/>
        </w:rPr>
        <w:t xml:space="preserve"> the respondents’ </w:t>
      </w:r>
      <w:r w:rsidR="00FF2F22">
        <w:rPr>
          <w:rFonts w:eastAsia="Times New Roman"/>
          <w:lang w:eastAsia="en-GB"/>
        </w:rPr>
        <w:t xml:space="preserve">incomes apart from the </w:t>
      </w:r>
      <w:r w:rsidR="00D82C00">
        <w:rPr>
          <w:rFonts w:eastAsia="Times New Roman"/>
          <w:lang w:eastAsia="en-GB"/>
        </w:rPr>
        <w:t xml:space="preserve">hourly gross </w:t>
      </w:r>
      <w:r w:rsidR="00FF2F22">
        <w:rPr>
          <w:rFonts w:eastAsia="Times New Roman"/>
          <w:lang w:eastAsia="en-GB"/>
        </w:rPr>
        <w:t>wage rate.</w:t>
      </w:r>
      <w:r>
        <w:rPr>
          <w:rFonts w:eastAsia="Times New Roman"/>
          <w:lang w:eastAsia="en-GB"/>
        </w:rPr>
        <w:t xml:space="preserve"> </w:t>
      </w:r>
      <w:r w:rsidR="00FA545A">
        <w:rPr>
          <w:rFonts w:eastAsia="Times New Roman"/>
          <w:lang w:eastAsia="en-GB"/>
        </w:rPr>
        <w:t>The h</w:t>
      </w:r>
      <w:r w:rsidR="002A670A" w:rsidRPr="00DB5B50">
        <w:rPr>
          <w:rFonts w:eastAsia="Times New Roman"/>
          <w:lang w:eastAsia="en-GB"/>
        </w:rPr>
        <w:t xml:space="preserve">ours worked </w:t>
      </w:r>
      <w:r w:rsidR="00FA545A">
        <w:rPr>
          <w:rFonts w:eastAsia="Times New Roman"/>
          <w:lang w:eastAsia="en-GB"/>
        </w:rPr>
        <w:t>are</w:t>
      </w:r>
      <w:r w:rsidR="00580031">
        <w:rPr>
          <w:rFonts w:eastAsia="Times New Roman"/>
          <w:lang w:eastAsia="en-GB"/>
        </w:rPr>
        <w:t xml:space="preserve"> </w:t>
      </w:r>
      <w:r w:rsidR="002A670A" w:rsidRPr="00DB5B50">
        <w:rPr>
          <w:rFonts w:eastAsia="Times New Roman"/>
          <w:lang w:eastAsia="en-GB"/>
        </w:rPr>
        <w:t>important</w:t>
      </w:r>
      <w:r w:rsidR="00FA545A">
        <w:rPr>
          <w:rFonts w:eastAsia="Times New Roman"/>
          <w:lang w:eastAsia="en-GB"/>
        </w:rPr>
        <w:t>.</w:t>
      </w:r>
      <w:r w:rsidR="00B67914">
        <w:rPr>
          <w:rFonts w:eastAsia="Times New Roman"/>
          <w:lang w:eastAsia="en-GB"/>
        </w:rPr>
        <w:t xml:space="preserve"> </w:t>
      </w:r>
      <w:r w:rsidR="00D84E31">
        <w:rPr>
          <w:rFonts w:eastAsia="Times New Roman"/>
          <w:lang w:eastAsia="en-GB"/>
        </w:rPr>
        <w:t xml:space="preserve">The vast majority </w:t>
      </w:r>
      <w:r w:rsidR="00AF32A1">
        <w:rPr>
          <w:rFonts w:eastAsia="Times New Roman"/>
          <w:lang w:eastAsia="en-GB"/>
        </w:rPr>
        <w:t>of low</w:t>
      </w:r>
      <w:r w:rsidR="00D82C00">
        <w:rPr>
          <w:rFonts w:eastAsia="Times New Roman"/>
          <w:lang w:eastAsia="en-GB"/>
        </w:rPr>
        <w:t>-</w:t>
      </w:r>
      <w:r w:rsidR="00AF32A1">
        <w:rPr>
          <w:rFonts w:eastAsia="Times New Roman"/>
          <w:lang w:eastAsia="en-GB"/>
        </w:rPr>
        <w:t xml:space="preserve">paid employees </w:t>
      </w:r>
      <w:r w:rsidR="00D84E31">
        <w:rPr>
          <w:rFonts w:eastAsia="Times New Roman"/>
          <w:lang w:eastAsia="en-GB"/>
        </w:rPr>
        <w:t>worked part</w:t>
      </w:r>
      <w:r w:rsidR="00D82C00">
        <w:rPr>
          <w:rFonts w:eastAsia="Times New Roman"/>
          <w:lang w:eastAsia="en-GB"/>
        </w:rPr>
        <w:t xml:space="preserve"> </w:t>
      </w:r>
      <w:r w:rsidR="00D84E31">
        <w:rPr>
          <w:rFonts w:eastAsia="Times New Roman"/>
          <w:lang w:eastAsia="en-GB"/>
        </w:rPr>
        <w:t>time, but a</w:t>
      </w:r>
      <w:r>
        <w:rPr>
          <w:rFonts w:eastAsia="Times New Roman"/>
          <w:lang w:eastAsia="en-GB"/>
        </w:rPr>
        <w:t xml:space="preserve">bout 30% of </w:t>
      </w:r>
      <w:r w:rsidR="00D145A7">
        <w:rPr>
          <w:rFonts w:eastAsia="Times New Roman"/>
          <w:lang w:eastAsia="en-GB"/>
        </w:rPr>
        <w:t xml:space="preserve">the sample </w:t>
      </w:r>
      <w:r w:rsidR="003A0781">
        <w:rPr>
          <w:rFonts w:eastAsia="Times New Roman"/>
          <w:lang w:eastAsia="en-GB"/>
        </w:rPr>
        <w:t>want</w:t>
      </w:r>
      <w:r w:rsidR="00FA545A">
        <w:rPr>
          <w:rFonts w:eastAsia="Times New Roman"/>
          <w:lang w:eastAsia="en-GB"/>
        </w:rPr>
        <w:t>ed</w:t>
      </w:r>
      <w:r w:rsidR="003A0781">
        <w:rPr>
          <w:rFonts w:eastAsia="Times New Roman"/>
          <w:lang w:eastAsia="en-GB"/>
        </w:rPr>
        <w:t xml:space="preserve"> to work more hours</w:t>
      </w:r>
      <w:r w:rsidR="00D84E31">
        <w:rPr>
          <w:rFonts w:eastAsia="Times New Roman"/>
          <w:lang w:eastAsia="en-GB"/>
        </w:rPr>
        <w:t xml:space="preserve">, </w:t>
      </w:r>
      <w:r w:rsidR="00AF32A1">
        <w:rPr>
          <w:rFonts w:eastAsia="Times New Roman"/>
          <w:lang w:eastAsia="en-GB"/>
        </w:rPr>
        <w:t>including</w:t>
      </w:r>
      <w:r w:rsidR="00D84E31">
        <w:rPr>
          <w:rFonts w:eastAsia="Times New Roman"/>
          <w:lang w:eastAsia="en-GB"/>
        </w:rPr>
        <w:t xml:space="preserve"> 38.8% of part-time workers</w:t>
      </w:r>
      <w:r w:rsidR="003A0781">
        <w:rPr>
          <w:rFonts w:eastAsia="Times New Roman"/>
          <w:lang w:eastAsia="en-GB"/>
        </w:rPr>
        <w:t>.</w:t>
      </w:r>
      <w:r w:rsidR="00B67914">
        <w:rPr>
          <w:rFonts w:eastAsia="Times New Roman"/>
          <w:lang w:eastAsia="en-GB"/>
        </w:rPr>
        <w:t xml:space="preserve"> </w:t>
      </w:r>
      <w:r w:rsidR="00DE1F15">
        <w:rPr>
          <w:rFonts w:eastAsia="Times New Roman"/>
          <w:lang w:eastAsia="en-GB"/>
        </w:rPr>
        <w:t>I</w:t>
      </w:r>
      <w:r w:rsidR="002A670A" w:rsidRPr="00DB5B50">
        <w:rPr>
          <w:rFonts w:eastAsia="Times New Roman"/>
          <w:lang w:eastAsia="en-GB"/>
        </w:rPr>
        <w:t>t is also clear that</w:t>
      </w:r>
      <w:r w:rsidR="00B67914">
        <w:rPr>
          <w:rFonts w:eastAsia="Times New Roman"/>
          <w:lang w:eastAsia="en-GB"/>
        </w:rPr>
        <w:t xml:space="preserve"> </w:t>
      </w:r>
      <w:r w:rsidR="00FF2F22" w:rsidRPr="00FF2F22">
        <w:rPr>
          <w:rFonts w:eastAsia="Times New Roman"/>
          <w:lang w:eastAsia="en-GB"/>
        </w:rPr>
        <w:t xml:space="preserve">the low wages being received by respondents are commonly not the main or only determinant of their living standards. Their living standards are </w:t>
      </w:r>
      <w:r w:rsidR="00FA545A">
        <w:rPr>
          <w:rFonts w:eastAsia="Times New Roman"/>
          <w:lang w:eastAsia="en-GB"/>
        </w:rPr>
        <w:t xml:space="preserve">also </w:t>
      </w:r>
      <w:r w:rsidR="00FF2F22" w:rsidRPr="00FF2F22">
        <w:rPr>
          <w:rFonts w:eastAsia="Times New Roman"/>
          <w:lang w:eastAsia="en-GB"/>
        </w:rPr>
        <w:t xml:space="preserve">determined by the </w:t>
      </w:r>
      <w:r w:rsidR="00431AF8">
        <w:rPr>
          <w:rFonts w:eastAsia="Times New Roman"/>
          <w:lang w:eastAsia="en-GB"/>
        </w:rPr>
        <w:t>unit</w:t>
      </w:r>
      <w:r w:rsidR="00FF2F22" w:rsidRPr="00FF2F22">
        <w:rPr>
          <w:rFonts w:eastAsia="Times New Roman"/>
          <w:lang w:eastAsia="en-GB"/>
        </w:rPr>
        <w:t xml:space="preserve"> they live in</w:t>
      </w:r>
      <w:r w:rsidR="00AF32A1">
        <w:rPr>
          <w:rFonts w:eastAsia="Times New Roman"/>
          <w:lang w:eastAsia="en-GB"/>
        </w:rPr>
        <w:t xml:space="preserve">, other </w:t>
      </w:r>
      <w:r w:rsidR="00431AF8">
        <w:rPr>
          <w:rFonts w:eastAsia="Times New Roman"/>
          <w:lang w:eastAsia="en-GB"/>
        </w:rPr>
        <w:t>unit</w:t>
      </w:r>
      <w:r w:rsidR="00AF32A1">
        <w:rPr>
          <w:rFonts w:eastAsia="Times New Roman"/>
          <w:lang w:eastAsia="en-GB"/>
        </w:rPr>
        <w:t xml:space="preserve"> income and </w:t>
      </w:r>
      <w:r w:rsidR="00431AF8">
        <w:rPr>
          <w:rFonts w:eastAsia="Times New Roman"/>
          <w:lang w:eastAsia="en-GB"/>
        </w:rPr>
        <w:t>unit</w:t>
      </w:r>
      <w:r w:rsidR="00AF32A1">
        <w:rPr>
          <w:rFonts w:eastAsia="Times New Roman"/>
          <w:lang w:eastAsia="en-GB"/>
        </w:rPr>
        <w:t xml:space="preserve"> needs</w:t>
      </w:r>
      <w:r w:rsidR="00FF2F22">
        <w:rPr>
          <w:rFonts w:eastAsia="Times New Roman"/>
          <w:lang w:eastAsia="en-GB"/>
        </w:rPr>
        <w:t xml:space="preserve">. </w:t>
      </w:r>
      <w:r w:rsidR="003A0781" w:rsidRPr="003A0781">
        <w:rPr>
          <w:rFonts w:eastAsia="Times New Roman"/>
          <w:lang w:eastAsia="en-GB"/>
        </w:rPr>
        <w:t xml:space="preserve">For families with children, especially, </w:t>
      </w:r>
      <w:r w:rsidR="003A0781">
        <w:rPr>
          <w:rFonts w:eastAsia="Times New Roman"/>
          <w:lang w:eastAsia="en-GB"/>
        </w:rPr>
        <w:t>benefits and tax credits also make a m</w:t>
      </w:r>
      <w:r w:rsidR="00FA545A">
        <w:rPr>
          <w:rFonts w:eastAsia="Times New Roman"/>
          <w:lang w:eastAsia="en-GB"/>
        </w:rPr>
        <w:t>a</w:t>
      </w:r>
      <w:r w:rsidR="003A0781">
        <w:rPr>
          <w:rFonts w:eastAsia="Times New Roman"/>
          <w:lang w:eastAsia="en-GB"/>
        </w:rPr>
        <w:t>jor contribution to</w:t>
      </w:r>
      <w:r w:rsidR="003A0781" w:rsidRPr="003A0781">
        <w:rPr>
          <w:rFonts w:eastAsia="Times New Roman"/>
          <w:lang w:eastAsia="en-GB"/>
        </w:rPr>
        <w:t xml:space="preserve"> their living standards</w:t>
      </w:r>
      <w:r w:rsidR="00D82C00">
        <w:rPr>
          <w:rFonts w:eastAsia="Times New Roman"/>
          <w:lang w:eastAsia="en-GB"/>
        </w:rPr>
        <w:t>,</w:t>
      </w:r>
      <w:r w:rsidR="003A0781" w:rsidRPr="003A0781">
        <w:rPr>
          <w:rFonts w:eastAsia="Times New Roman"/>
          <w:lang w:eastAsia="en-GB"/>
        </w:rPr>
        <w:t xml:space="preserve"> given the heavily means-tested nature of the in-work benefit</w:t>
      </w:r>
      <w:r w:rsidR="00D82C00">
        <w:rPr>
          <w:rFonts w:eastAsia="Times New Roman"/>
          <w:lang w:eastAsia="en-GB"/>
        </w:rPr>
        <w:t>/tax credit</w:t>
      </w:r>
      <w:r w:rsidR="003A0781" w:rsidRPr="003A0781">
        <w:rPr>
          <w:rFonts w:eastAsia="Times New Roman"/>
          <w:lang w:eastAsia="en-GB"/>
        </w:rPr>
        <w:t xml:space="preserve"> system in the UK.</w:t>
      </w:r>
    </w:p>
    <w:p w14:paraId="5C9361D3" w14:textId="77777777" w:rsidR="00213E5F" w:rsidRDefault="00213E5F" w:rsidP="00647393">
      <w:pPr>
        <w:spacing w:line="360" w:lineRule="auto"/>
        <w:rPr>
          <w:rFonts w:eastAsia="Times New Roman"/>
          <w:lang w:eastAsia="en-GB"/>
        </w:rPr>
      </w:pPr>
    </w:p>
    <w:p w14:paraId="46698E56" w14:textId="2EF96293" w:rsidR="003A0781" w:rsidRDefault="002A670A" w:rsidP="00647393">
      <w:pPr>
        <w:spacing w:line="360" w:lineRule="auto"/>
        <w:rPr>
          <w:rFonts w:eastAsia="Times New Roman"/>
          <w:lang w:eastAsia="en-GB"/>
        </w:rPr>
      </w:pPr>
      <w:r w:rsidRPr="00DB5B50">
        <w:rPr>
          <w:rFonts w:eastAsia="Times New Roman"/>
          <w:lang w:eastAsia="en-GB"/>
        </w:rPr>
        <w:t>The majority of low</w:t>
      </w:r>
      <w:r w:rsidR="00D82C00">
        <w:rPr>
          <w:rFonts w:eastAsia="Times New Roman"/>
          <w:lang w:eastAsia="en-GB"/>
        </w:rPr>
        <w:t>-</w:t>
      </w:r>
      <w:r w:rsidRPr="00DB5B50">
        <w:rPr>
          <w:rFonts w:eastAsia="Times New Roman"/>
          <w:lang w:eastAsia="en-GB"/>
        </w:rPr>
        <w:t xml:space="preserve">paid employees in this sample are not </w:t>
      </w:r>
      <w:r w:rsidR="0071715E">
        <w:rPr>
          <w:rFonts w:eastAsia="Times New Roman"/>
          <w:lang w:eastAsia="en-GB"/>
        </w:rPr>
        <w:t xml:space="preserve">income poor or </w:t>
      </w:r>
      <w:r w:rsidRPr="00DB5B50">
        <w:rPr>
          <w:rFonts w:eastAsia="Times New Roman"/>
          <w:lang w:eastAsia="en-GB"/>
        </w:rPr>
        <w:t>deprived. Low pay should not be elided with poverty</w:t>
      </w:r>
      <w:r w:rsidR="0071715E">
        <w:rPr>
          <w:rFonts w:eastAsia="Times New Roman"/>
          <w:lang w:eastAsia="en-GB"/>
        </w:rPr>
        <w:t xml:space="preserve"> and deprivation</w:t>
      </w:r>
      <w:r w:rsidRPr="00DB5B50">
        <w:rPr>
          <w:rFonts w:eastAsia="Times New Roman"/>
          <w:lang w:eastAsia="en-GB"/>
        </w:rPr>
        <w:t xml:space="preserve">. </w:t>
      </w:r>
      <w:r w:rsidR="00D87B0A">
        <w:rPr>
          <w:rFonts w:eastAsia="Times New Roman"/>
          <w:lang w:eastAsia="en-GB"/>
        </w:rPr>
        <w:t xml:space="preserve">This was </w:t>
      </w:r>
      <w:r w:rsidR="00FA545A">
        <w:rPr>
          <w:rFonts w:eastAsia="Times New Roman"/>
          <w:lang w:eastAsia="en-GB"/>
        </w:rPr>
        <w:t xml:space="preserve">also </w:t>
      </w:r>
      <w:r w:rsidR="00D87B0A">
        <w:rPr>
          <w:rFonts w:eastAsia="Times New Roman"/>
          <w:lang w:eastAsia="en-GB"/>
        </w:rPr>
        <w:t xml:space="preserve">illustrated by the </w:t>
      </w:r>
      <w:r w:rsidR="00C04D91">
        <w:rPr>
          <w:rFonts w:eastAsia="Times New Roman"/>
          <w:lang w:eastAsia="en-GB"/>
        </w:rPr>
        <w:t>modelling</w:t>
      </w:r>
      <w:r w:rsidR="00D87B0A">
        <w:rPr>
          <w:rFonts w:eastAsia="Times New Roman"/>
          <w:lang w:eastAsia="en-GB"/>
        </w:rPr>
        <w:t xml:space="preserve"> </w:t>
      </w:r>
      <w:r w:rsidR="00BA5B8C">
        <w:rPr>
          <w:rFonts w:eastAsia="Times New Roman"/>
          <w:lang w:eastAsia="en-GB"/>
        </w:rPr>
        <w:t>undertaken by</w:t>
      </w:r>
      <w:r w:rsidR="00B1346A">
        <w:rPr>
          <w:rFonts w:eastAsia="Times New Roman"/>
          <w:lang w:eastAsia="en-GB"/>
        </w:rPr>
        <w:t xml:space="preserve"> </w:t>
      </w:r>
      <w:r w:rsidR="00D87B0A" w:rsidRPr="00D87B0A">
        <w:rPr>
          <w:rFonts w:eastAsia="Times New Roman"/>
          <w:lang w:eastAsia="en-GB"/>
        </w:rPr>
        <w:t xml:space="preserve">D’Arcy </w:t>
      </w:r>
      <w:r w:rsidR="00D87B0A">
        <w:rPr>
          <w:rFonts w:eastAsia="Times New Roman"/>
          <w:lang w:eastAsia="en-GB"/>
        </w:rPr>
        <w:t xml:space="preserve">et al. </w:t>
      </w:r>
      <w:r w:rsidR="00B1346A">
        <w:rPr>
          <w:rFonts w:eastAsia="Times New Roman"/>
          <w:lang w:eastAsia="en-GB"/>
        </w:rPr>
        <w:t xml:space="preserve">(2015) </w:t>
      </w:r>
      <w:r w:rsidR="00D87B0A">
        <w:rPr>
          <w:rFonts w:eastAsia="Times New Roman"/>
          <w:lang w:eastAsia="en-GB"/>
        </w:rPr>
        <w:t xml:space="preserve">and </w:t>
      </w:r>
      <w:proofErr w:type="spellStart"/>
      <w:r w:rsidR="00D87B0A">
        <w:rPr>
          <w:rFonts w:eastAsia="Times New Roman"/>
          <w:lang w:eastAsia="en-GB"/>
        </w:rPr>
        <w:t>Elming</w:t>
      </w:r>
      <w:proofErr w:type="spellEnd"/>
      <w:r w:rsidR="00D87B0A">
        <w:rPr>
          <w:rFonts w:eastAsia="Times New Roman"/>
          <w:lang w:eastAsia="en-GB"/>
        </w:rPr>
        <w:t xml:space="preserve"> et al</w:t>
      </w:r>
      <w:r w:rsidR="00D82C00">
        <w:rPr>
          <w:rFonts w:eastAsia="Times New Roman"/>
          <w:lang w:eastAsia="en-GB"/>
        </w:rPr>
        <w:t>.</w:t>
      </w:r>
      <w:r w:rsidR="00B1346A">
        <w:rPr>
          <w:rFonts w:eastAsia="Times New Roman"/>
          <w:lang w:eastAsia="en-GB"/>
        </w:rPr>
        <w:t xml:space="preserve"> (2015) of the highly regressive distributional impact of the introduction of the NLW and the </w:t>
      </w:r>
      <w:r w:rsidR="00AA4954">
        <w:rPr>
          <w:rFonts w:eastAsia="Times New Roman"/>
          <w:lang w:eastAsia="en-GB"/>
        </w:rPr>
        <w:t>cuts to Universal Credit</w:t>
      </w:r>
      <w:r w:rsidR="00FA545A">
        <w:rPr>
          <w:rFonts w:eastAsia="Times New Roman"/>
          <w:lang w:eastAsia="en-GB"/>
        </w:rPr>
        <w:t>s</w:t>
      </w:r>
      <w:r w:rsidR="00B1346A">
        <w:rPr>
          <w:rFonts w:eastAsia="Times New Roman"/>
          <w:lang w:eastAsia="en-GB"/>
        </w:rPr>
        <w:t>.</w:t>
      </w:r>
      <w:r w:rsidR="00D87B0A">
        <w:rPr>
          <w:rFonts w:eastAsia="Times New Roman"/>
          <w:lang w:eastAsia="en-GB"/>
        </w:rPr>
        <w:t xml:space="preserve"> </w:t>
      </w:r>
    </w:p>
    <w:p w14:paraId="5A8665F6" w14:textId="77777777" w:rsidR="003A0781" w:rsidRDefault="003A0781" w:rsidP="00647393">
      <w:pPr>
        <w:spacing w:line="360" w:lineRule="auto"/>
        <w:rPr>
          <w:rFonts w:eastAsia="Times New Roman"/>
          <w:lang w:eastAsia="en-GB"/>
        </w:rPr>
      </w:pPr>
    </w:p>
    <w:p w14:paraId="71027DB5" w14:textId="3B7ECEA9" w:rsidR="00B67914" w:rsidRDefault="003A0781" w:rsidP="00647393">
      <w:pPr>
        <w:spacing w:line="360" w:lineRule="auto"/>
        <w:rPr>
          <w:rFonts w:eastAsia="Times New Roman"/>
          <w:lang w:eastAsia="en-GB"/>
        </w:rPr>
      </w:pPr>
      <w:r>
        <w:rPr>
          <w:rFonts w:eastAsia="Times New Roman"/>
          <w:lang w:eastAsia="en-GB"/>
        </w:rPr>
        <w:t>However</w:t>
      </w:r>
      <w:r w:rsidR="00D84E31">
        <w:rPr>
          <w:rFonts w:eastAsia="Times New Roman"/>
          <w:lang w:eastAsia="en-GB"/>
        </w:rPr>
        <w:t>,</w:t>
      </w:r>
      <w:r>
        <w:rPr>
          <w:rFonts w:eastAsia="Times New Roman"/>
          <w:lang w:eastAsia="en-GB"/>
        </w:rPr>
        <w:t xml:space="preserve"> </w:t>
      </w:r>
      <w:r w:rsidRPr="00DB5B50">
        <w:rPr>
          <w:rFonts w:eastAsia="Times New Roman"/>
          <w:lang w:eastAsia="en-GB"/>
        </w:rPr>
        <w:t>many low</w:t>
      </w:r>
      <w:r w:rsidR="00D82C00">
        <w:rPr>
          <w:rFonts w:eastAsia="Times New Roman"/>
          <w:lang w:eastAsia="en-GB"/>
        </w:rPr>
        <w:t>-</w:t>
      </w:r>
      <w:r w:rsidRPr="00DB5B50">
        <w:rPr>
          <w:rFonts w:eastAsia="Times New Roman"/>
          <w:lang w:eastAsia="en-GB"/>
        </w:rPr>
        <w:t xml:space="preserve">paid employees are living in </w:t>
      </w:r>
      <w:r w:rsidR="00431AF8">
        <w:rPr>
          <w:rFonts w:eastAsia="Times New Roman"/>
          <w:lang w:eastAsia="en-GB"/>
        </w:rPr>
        <w:t>units</w:t>
      </w:r>
      <w:r w:rsidRPr="00DB5B50">
        <w:rPr>
          <w:rFonts w:eastAsia="Times New Roman"/>
          <w:lang w:eastAsia="en-GB"/>
        </w:rPr>
        <w:t xml:space="preserve"> that are </w:t>
      </w:r>
      <w:r>
        <w:rPr>
          <w:rFonts w:eastAsia="Times New Roman"/>
          <w:lang w:eastAsia="en-GB"/>
        </w:rPr>
        <w:t xml:space="preserve">income poor and </w:t>
      </w:r>
      <w:r w:rsidR="00D84E31">
        <w:rPr>
          <w:rFonts w:eastAsia="Times New Roman"/>
          <w:lang w:eastAsia="en-GB"/>
        </w:rPr>
        <w:t xml:space="preserve">also materially </w:t>
      </w:r>
      <w:r w:rsidRPr="00DB5B50">
        <w:rPr>
          <w:rFonts w:eastAsia="Times New Roman"/>
          <w:lang w:eastAsia="en-GB"/>
        </w:rPr>
        <w:t xml:space="preserve">deprived. There is some evidence that </w:t>
      </w:r>
      <w:r>
        <w:rPr>
          <w:rFonts w:eastAsia="Times New Roman"/>
          <w:lang w:eastAsia="en-GB"/>
        </w:rPr>
        <w:t>VLW</w:t>
      </w:r>
      <w:r w:rsidRPr="00DB5B50">
        <w:rPr>
          <w:rFonts w:eastAsia="Times New Roman"/>
          <w:lang w:eastAsia="en-GB"/>
        </w:rPr>
        <w:t xml:space="preserve"> employees are more likely to be </w:t>
      </w:r>
      <w:r>
        <w:rPr>
          <w:rFonts w:eastAsia="Times New Roman"/>
          <w:lang w:eastAsia="en-GB"/>
        </w:rPr>
        <w:t xml:space="preserve">income poor and </w:t>
      </w:r>
      <w:r w:rsidRPr="00DB5B50">
        <w:rPr>
          <w:rFonts w:eastAsia="Times New Roman"/>
          <w:lang w:eastAsia="en-GB"/>
        </w:rPr>
        <w:t>deprived than employees with wage rates above the living wage</w:t>
      </w:r>
      <w:r>
        <w:rPr>
          <w:rFonts w:eastAsia="Times New Roman"/>
          <w:lang w:eastAsia="en-GB"/>
        </w:rPr>
        <w:t>. P</w:t>
      </w:r>
      <w:r w:rsidR="002A670A" w:rsidRPr="00DB5B50">
        <w:rPr>
          <w:rFonts w:eastAsia="Times New Roman"/>
          <w:lang w:eastAsia="en-GB"/>
        </w:rPr>
        <w:t xml:space="preserve">aying employees a </w:t>
      </w:r>
      <w:r w:rsidR="00DE1F15">
        <w:rPr>
          <w:rFonts w:eastAsia="Times New Roman"/>
          <w:lang w:eastAsia="en-GB"/>
        </w:rPr>
        <w:t>VLW</w:t>
      </w:r>
      <w:r w:rsidR="004770D3">
        <w:rPr>
          <w:rFonts w:eastAsia="Times New Roman"/>
          <w:lang w:eastAsia="en-GB"/>
        </w:rPr>
        <w:t>,</w:t>
      </w:r>
      <w:r w:rsidR="002A670A" w:rsidRPr="00DB5B50">
        <w:rPr>
          <w:rFonts w:eastAsia="Times New Roman"/>
          <w:lang w:eastAsia="en-GB"/>
        </w:rPr>
        <w:t xml:space="preserve"> or more</w:t>
      </w:r>
      <w:r w:rsidR="004770D3">
        <w:rPr>
          <w:rFonts w:eastAsia="Times New Roman"/>
          <w:lang w:eastAsia="en-GB"/>
        </w:rPr>
        <w:t>,</w:t>
      </w:r>
      <w:r w:rsidR="002A670A" w:rsidRPr="00DB5B50">
        <w:rPr>
          <w:rFonts w:eastAsia="Times New Roman"/>
          <w:lang w:eastAsia="en-GB"/>
        </w:rPr>
        <w:t xml:space="preserve"> is likely to reduce the risks of poverty</w:t>
      </w:r>
      <w:r w:rsidR="00AA4954">
        <w:rPr>
          <w:rFonts w:eastAsia="Times New Roman"/>
          <w:lang w:eastAsia="en-GB"/>
        </w:rPr>
        <w:t>,</w:t>
      </w:r>
      <w:r w:rsidR="002A670A" w:rsidRPr="00DB5B50">
        <w:rPr>
          <w:rFonts w:eastAsia="Times New Roman"/>
          <w:lang w:eastAsia="en-GB"/>
        </w:rPr>
        <w:t xml:space="preserve"> especially for single people</w:t>
      </w:r>
      <w:r w:rsidR="00D84E31">
        <w:rPr>
          <w:rFonts w:eastAsia="Times New Roman"/>
          <w:lang w:eastAsia="en-GB"/>
        </w:rPr>
        <w:t xml:space="preserve"> who are likely to be most dependent on their own earned income</w:t>
      </w:r>
      <w:r w:rsidR="002A670A" w:rsidRPr="00DB5B50">
        <w:rPr>
          <w:rFonts w:eastAsia="Times New Roman"/>
          <w:lang w:eastAsia="en-GB"/>
        </w:rPr>
        <w:t xml:space="preserve">. </w:t>
      </w:r>
      <w:r w:rsidRPr="003A0781">
        <w:rPr>
          <w:rFonts w:eastAsia="Times New Roman"/>
          <w:lang w:eastAsia="en-GB"/>
        </w:rPr>
        <w:t>It is striking that it is single earners and lone parents in this sample who appear to be most likely to be income poor and deprived. They are</w:t>
      </w:r>
      <w:r w:rsidR="00C04D91">
        <w:rPr>
          <w:rFonts w:eastAsia="Times New Roman"/>
          <w:lang w:eastAsia="en-GB"/>
        </w:rPr>
        <w:t xml:space="preserve"> also </w:t>
      </w:r>
      <w:r w:rsidRPr="003A0781">
        <w:rPr>
          <w:rFonts w:eastAsia="Times New Roman"/>
          <w:lang w:eastAsia="en-GB"/>
        </w:rPr>
        <w:t xml:space="preserve">most likely to be </w:t>
      </w:r>
      <w:r w:rsidR="00D87B0A">
        <w:rPr>
          <w:rFonts w:eastAsia="Times New Roman"/>
          <w:lang w:eastAsia="en-GB"/>
        </w:rPr>
        <w:t xml:space="preserve">more </w:t>
      </w:r>
      <w:r w:rsidRPr="003A0781">
        <w:rPr>
          <w:rFonts w:eastAsia="Times New Roman"/>
          <w:lang w:eastAsia="en-GB"/>
        </w:rPr>
        <w:t>dependent on their own earnings</w:t>
      </w:r>
      <w:r w:rsidR="00B67914">
        <w:rPr>
          <w:rFonts w:eastAsia="Times New Roman"/>
          <w:lang w:eastAsia="en-GB"/>
        </w:rPr>
        <w:t>.</w:t>
      </w:r>
    </w:p>
    <w:p w14:paraId="4123362F" w14:textId="5C1BB30C" w:rsidR="0071715E" w:rsidRDefault="003A0781" w:rsidP="00647393">
      <w:pPr>
        <w:spacing w:line="360" w:lineRule="auto"/>
        <w:rPr>
          <w:rFonts w:eastAsia="Times New Roman"/>
          <w:lang w:eastAsia="en-GB"/>
        </w:rPr>
      </w:pPr>
      <w:r w:rsidRPr="003A0781">
        <w:rPr>
          <w:rFonts w:eastAsia="Times New Roman"/>
          <w:lang w:eastAsia="en-GB"/>
        </w:rPr>
        <w:t xml:space="preserve"> </w:t>
      </w:r>
    </w:p>
    <w:p w14:paraId="7EE276B2" w14:textId="15F13B8D" w:rsidR="0071715E" w:rsidRDefault="0071715E" w:rsidP="00647393">
      <w:pPr>
        <w:spacing w:line="360" w:lineRule="auto"/>
        <w:rPr>
          <w:rFonts w:eastAsia="Times New Roman"/>
          <w:lang w:eastAsia="en-GB"/>
        </w:rPr>
      </w:pPr>
      <w:r>
        <w:rPr>
          <w:rFonts w:eastAsia="Times New Roman"/>
          <w:lang w:eastAsia="en-GB"/>
        </w:rPr>
        <w:lastRenderedPageBreak/>
        <w:t>Employe</w:t>
      </w:r>
      <w:r w:rsidR="00F237F1">
        <w:rPr>
          <w:rFonts w:eastAsia="Times New Roman"/>
          <w:lang w:eastAsia="en-GB"/>
        </w:rPr>
        <w:t>r</w:t>
      </w:r>
      <w:r>
        <w:rPr>
          <w:rFonts w:eastAsia="Times New Roman"/>
          <w:lang w:eastAsia="en-GB"/>
        </w:rPr>
        <w:t>s seeking to help their employees reach adequate living standards need to pay a</w:t>
      </w:r>
      <w:r w:rsidR="00DE1F15">
        <w:rPr>
          <w:rFonts w:eastAsia="Times New Roman"/>
          <w:lang w:eastAsia="en-GB"/>
        </w:rPr>
        <w:t>t least the VLW</w:t>
      </w:r>
      <w:r w:rsidR="004770D3">
        <w:rPr>
          <w:rFonts w:eastAsia="Times New Roman"/>
          <w:lang w:eastAsia="en-GB"/>
        </w:rPr>
        <w:t>,</w:t>
      </w:r>
      <w:r>
        <w:rPr>
          <w:rFonts w:eastAsia="Times New Roman"/>
          <w:lang w:eastAsia="en-GB"/>
        </w:rPr>
        <w:t xml:space="preserve"> but they also need to </w:t>
      </w:r>
      <w:r w:rsidR="00793412">
        <w:rPr>
          <w:rFonts w:eastAsia="Times New Roman"/>
          <w:lang w:eastAsia="en-GB"/>
        </w:rPr>
        <w:t>seek t</w:t>
      </w:r>
      <w:r w:rsidR="00213E5F">
        <w:rPr>
          <w:rFonts w:eastAsia="Times New Roman"/>
          <w:lang w:eastAsia="en-GB"/>
        </w:rPr>
        <w:t>o offer longer hours employment</w:t>
      </w:r>
      <w:r w:rsidR="00D87B0A">
        <w:rPr>
          <w:rFonts w:eastAsia="Times New Roman"/>
          <w:lang w:eastAsia="en-GB"/>
        </w:rPr>
        <w:t xml:space="preserve">. </w:t>
      </w:r>
      <w:r w:rsidR="00793412">
        <w:rPr>
          <w:rFonts w:eastAsia="Times New Roman"/>
          <w:lang w:eastAsia="en-GB"/>
        </w:rPr>
        <w:t xml:space="preserve"> </w:t>
      </w:r>
      <w:r w:rsidR="00D87B0A" w:rsidRPr="00D87B0A">
        <w:rPr>
          <w:rFonts w:eastAsia="Times New Roman"/>
          <w:lang w:eastAsia="en-GB"/>
        </w:rPr>
        <w:t xml:space="preserve">Indeed under the work conditionality regime in Universal Credit </w:t>
      </w:r>
      <w:r w:rsidR="00D82C00">
        <w:rPr>
          <w:rFonts w:eastAsia="Times New Roman"/>
          <w:lang w:eastAsia="en-GB"/>
        </w:rPr>
        <w:t>claimants</w:t>
      </w:r>
      <w:r w:rsidR="00D87B0A" w:rsidRPr="00D87B0A">
        <w:rPr>
          <w:rFonts w:eastAsia="Times New Roman"/>
          <w:lang w:eastAsia="en-GB"/>
        </w:rPr>
        <w:t xml:space="preserve"> will be expected to work more hours (if they are receiving it)</w:t>
      </w:r>
      <w:r w:rsidR="00AA4954">
        <w:rPr>
          <w:rFonts w:eastAsia="Times New Roman"/>
          <w:lang w:eastAsia="en-GB"/>
        </w:rPr>
        <w:t>,</w:t>
      </w:r>
      <w:r w:rsidR="00D87B0A" w:rsidRPr="00D87B0A">
        <w:rPr>
          <w:rFonts w:eastAsia="Times New Roman"/>
          <w:lang w:eastAsia="en-GB"/>
        </w:rPr>
        <w:t xml:space="preserve"> whether or not they want to</w:t>
      </w:r>
      <w:r w:rsidR="00D82C00">
        <w:rPr>
          <w:rFonts w:eastAsia="Times New Roman"/>
          <w:lang w:eastAsia="en-GB"/>
        </w:rPr>
        <w:t>, within their own conditionality contract</w:t>
      </w:r>
      <w:r w:rsidR="00D87B0A">
        <w:rPr>
          <w:rFonts w:eastAsia="Times New Roman"/>
          <w:lang w:eastAsia="en-GB"/>
        </w:rPr>
        <w:t>. E</w:t>
      </w:r>
      <w:r w:rsidR="00793412">
        <w:rPr>
          <w:rFonts w:eastAsia="Times New Roman"/>
          <w:lang w:eastAsia="en-GB"/>
        </w:rPr>
        <w:t xml:space="preserve">mployers could help by </w:t>
      </w:r>
      <w:r w:rsidR="00793412" w:rsidRPr="00DB5B50">
        <w:rPr>
          <w:rFonts w:eastAsia="Times New Roman"/>
          <w:color w:val="000000"/>
          <w:kern w:val="24"/>
        </w:rPr>
        <w:t>stitching together part-time roles in</w:t>
      </w:r>
      <w:r w:rsidR="00793412">
        <w:rPr>
          <w:rFonts w:eastAsia="Times New Roman"/>
          <w:color w:val="000000"/>
          <w:kern w:val="24"/>
        </w:rPr>
        <w:t>to more significant employment.</w:t>
      </w:r>
      <w:r w:rsidR="00B07F4E">
        <w:rPr>
          <w:rFonts w:eastAsia="Times New Roman"/>
          <w:color w:val="000000"/>
          <w:kern w:val="24"/>
        </w:rPr>
        <w:t xml:space="preserve"> </w:t>
      </w:r>
      <w:r w:rsidR="00793412">
        <w:rPr>
          <w:rFonts w:eastAsia="Times New Roman"/>
          <w:lang w:eastAsia="en-GB"/>
        </w:rPr>
        <w:t>Employe</w:t>
      </w:r>
      <w:r w:rsidR="00B07F4E">
        <w:rPr>
          <w:rFonts w:eastAsia="Times New Roman"/>
          <w:lang w:eastAsia="en-GB"/>
        </w:rPr>
        <w:t>rs</w:t>
      </w:r>
      <w:r w:rsidR="00793412">
        <w:rPr>
          <w:rFonts w:eastAsia="Times New Roman"/>
          <w:lang w:eastAsia="en-GB"/>
        </w:rPr>
        <w:t xml:space="preserve"> could also play a part in ensuring that their employees are claiming all the in-work benefits </w:t>
      </w:r>
      <w:r w:rsidR="00D82C00">
        <w:rPr>
          <w:rFonts w:eastAsia="Times New Roman"/>
          <w:lang w:eastAsia="en-GB"/>
        </w:rPr>
        <w:t>to which</w:t>
      </w:r>
      <w:r w:rsidR="00793412">
        <w:rPr>
          <w:rFonts w:eastAsia="Times New Roman"/>
          <w:lang w:eastAsia="en-GB"/>
        </w:rPr>
        <w:t xml:space="preserve"> they are entitled.</w:t>
      </w:r>
      <w:r w:rsidR="00D84E31">
        <w:rPr>
          <w:rFonts w:eastAsia="Times New Roman"/>
          <w:lang w:eastAsia="en-GB"/>
        </w:rPr>
        <w:t xml:space="preserve"> </w:t>
      </w:r>
    </w:p>
    <w:p w14:paraId="50F091C2" w14:textId="77777777" w:rsidR="004039B0" w:rsidRDefault="004039B0" w:rsidP="00647393">
      <w:pPr>
        <w:autoSpaceDE w:val="0"/>
        <w:autoSpaceDN w:val="0"/>
        <w:adjustRightInd w:val="0"/>
        <w:spacing w:line="360" w:lineRule="auto"/>
        <w:rPr>
          <w:rFonts w:eastAsia="Times New Roman"/>
          <w:color w:val="000000"/>
          <w:kern w:val="24"/>
          <w:lang w:val="en-US" w:eastAsia="en-GB"/>
        </w:rPr>
      </w:pPr>
    </w:p>
    <w:p w14:paraId="3814AC7F" w14:textId="77777777" w:rsidR="002D5CA4" w:rsidRPr="00DB5B50" w:rsidRDefault="002D5CA4" w:rsidP="00647393">
      <w:pPr>
        <w:spacing w:line="360" w:lineRule="auto"/>
        <w:rPr>
          <w:rFonts w:eastAsia="Calibri"/>
        </w:rPr>
      </w:pPr>
    </w:p>
    <w:p w14:paraId="0C2A68FE" w14:textId="77777777" w:rsidR="002D5CA4" w:rsidRPr="00793412" w:rsidRDefault="00793412" w:rsidP="00647393">
      <w:pPr>
        <w:shd w:val="clear" w:color="auto" w:fill="FFFFFF"/>
        <w:spacing w:line="360" w:lineRule="auto"/>
        <w:rPr>
          <w:b/>
        </w:rPr>
      </w:pPr>
      <w:r w:rsidRPr="00793412">
        <w:rPr>
          <w:b/>
        </w:rPr>
        <w:t>References</w:t>
      </w:r>
    </w:p>
    <w:p w14:paraId="520A9E7B" w14:textId="77777777" w:rsidR="00623428" w:rsidRPr="00DB5B50" w:rsidRDefault="00623428" w:rsidP="00647393">
      <w:pPr>
        <w:spacing w:line="360" w:lineRule="auto"/>
      </w:pPr>
    </w:p>
    <w:p w14:paraId="7C6EB616" w14:textId="77777777" w:rsidR="00C323F1" w:rsidRPr="003A3944" w:rsidRDefault="00C323F1" w:rsidP="00C323F1">
      <w:r w:rsidRPr="003A3944">
        <w:t>Bennett, F (2014) ‘</w:t>
      </w:r>
      <w:r>
        <w:t>’</w:t>
      </w:r>
      <w:r w:rsidRPr="003A3944">
        <w:t>The living wage’, low pay and in-work poverty: Ret</w:t>
      </w:r>
      <w:r>
        <w:t>hi</w:t>
      </w:r>
      <w:r w:rsidRPr="003A3944">
        <w:t xml:space="preserve">nking the relationship’ </w:t>
      </w:r>
      <w:r w:rsidRPr="003A3944">
        <w:rPr>
          <w:i/>
        </w:rPr>
        <w:t>Critical Social Policy</w:t>
      </w:r>
      <w:r w:rsidRPr="003A3944">
        <w:t xml:space="preserve"> 34(1) pp46-65</w:t>
      </w:r>
    </w:p>
    <w:p w14:paraId="2A3FD892" w14:textId="77777777" w:rsidR="00F237F1" w:rsidRDefault="00F237F1" w:rsidP="00647393">
      <w:pPr>
        <w:spacing w:line="360" w:lineRule="auto"/>
      </w:pPr>
    </w:p>
    <w:p w14:paraId="6E641641" w14:textId="77777777" w:rsidR="00C323F1" w:rsidRDefault="00C323F1" w:rsidP="00C323F1">
      <w:pPr>
        <w:rPr>
          <w:rFonts w:eastAsia="Times New Roman"/>
          <w:lang w:val="en-US"/>
        </w:rPr>
      </w:pPr>
      <w:r w:rsidRPr="00F212FC">
        <w:rPr>
          <w:rFonts w:eastAsia="Times New Roman"/>
          <w:lang w:val="en-US"/>
        </w:rPr>
        <w:t>C</w:t>
      </w:r>
      <w:r w:rsidRPr="004C14CD">
        <w:rPr>
          <w:rFonts w:eastAsia="Times New Roman"/>
          <w:lang w:val="en-US"/>
        </w:rPr>
        <w:t xml:space="preserve">ooke, G. and Lawton, K. (2008) </w:t>
      </w:r>
      <w:r w:rsidRPr="00F212FC">
        <w:rPr>
          <w:rFonts w:eastAsia="Times New Roman"/>
          <w:lang w:val="en-US"/>
        </w:rPr>
        <w:t xml:space="preserve">Working </w:t>
      </w:r>
      <w:proofErr w:type="gramStart"/>
      <w:r w:rsidRPr="00F212FC">
        <w:rPr>
          <w:rFonts w:eastAsia="Times New Roman"/>
          <w:lang w:val="en-US"/>
        </w:rPr>
        <w:t>Out</w:t>
      </w:r>
      <w:proofErr w:type="gramEnd"/>
      <w:r w:rsidRPr="00F212FC">
        <w:rPr>
          <w:rFonts w:eastAsia="Times New Roman"/>
          <w:lang w:val="en-US"/>
        </w:rPr>
        <w:t xml:space="preserve"> of Poverty:</w:t>
      </w:r>
      <w:r>
        <w:rPr>
          <w:rFonts w:eastAsia="Times New Roman"/>
          <w:lang w:val="en-US"/>
        </w:rPr>
        <w:t xml:space="preserve"> </w:t>
      </w:r>
      <w:r w:rsidRPr="00F212FC">
        <w:rPr>
          <w:rFonts w:eastAsia="Times New Roman"/>
          <w:lang w:val="en-US"/>
        </w:rPr>
        <w:t>A study of the low paid and the ‘working poor’</w:t>
      </w:r>
      <w:r w:rsidRPr="004C14CD">
        <w:rPr>
          <w:rFonts w:eastAsia="Times New Roman"/>
          <w:lang w:val="en-US"/>
        </w:rPr>
        <w:t xml:space="preserve"> </w:t>
      </w:r>
      <w:r w:rsidRPr="00F212FC">
        <w:rPr>
          <w:rFonts w:eastAsia="Times New Roman"/>
          <w:lang w:val="en-US"/>
        </w:rPr>
        <w:t>London: Insti</w:t>
      </w:r>
      <w:r>
        <w:rPr>
          <w:rFonts w:eastAsia="Times New Roman"/>
          <w:lang w:val="en-US"/>
        </w:rPr>
        <w:t xml:space="preserve">tute for Public Policy Research </w:t>
      </w:r>
      <w:hyperlink r:id="rId11" w:history="1">
        <w:r w:rsidRPr="00D257D4">
          <w:rPr>
            <w:rStyle w:val="Hyperlink"/>
            <w:rFonts w:eastAsia="Times New Roman"/>
            <w:lang w:val="en-US"/>
          </w:rPr>
          <w:t>http://www.ippr.org/files/images/media/files/publication/2011/05/working_out_of_poverty_1616.pdf?noredirect=1</w:t>
        </w:r>
      </w:hyperlink>
    </w:p>
    <w:p w14:paraId="11390070" w14:textId="77777777" w:rsidR="00AD3F08" w:rsidRDefault="00AD3F08" w:rsidP="00647393">
      <w:pPr>
        <w:spacing w:line="360" w:lineRule="auto"/>
      </w:pPr>
    </w:p>
    <w:p w14:paraId="52D2750B" w14:textId="729436C4" w:rsidR="00C323F1" w:rsidRDefault="00D87B0A" w:rsidP="00647393">
      <w:pPr>
        <w:spacing w:line="360" w:lineRule="auto"/>
      </w:pPr>
      <w:r w:rsidRPr="00D87B0A">
        <w:t xml:space="preserve">D’Arcy, </w:t>
      </w:r>
      <w:r w:rsidR="00B1346A">
        <w:t>C</w:t>
      </w:r>
      <w:r w:rsidRPr="00D87B0A">
        <w:t>.</w:t>
      </w:r>
      <w:r w:rsidR="00B1346A">
        <w:t>,</w:t>
      </w:r>
      <w:r w:rsidRPr="00D87B0A">
        <w:t xml:space="preserve"> </w:t>
      </w:r>
      <w:proofErr w:type="spellStart"/>
      <w:r w:rsidRPr="00D87B0A">
        <w:t>Corlett</w:t>
      </w:r>
      <w:proofErr w:type="spellEnd"/>
      <w:r w:rsidR="00B1346A">
        <w:t>, A.</w:t>
      </w:r>
      <w:r w:rsidRPr="00D87B0A">
        <w:t xml:space="preserve"> and Gardiner</w:t>
      </w:r>
      <w:r w:rsidR="00B1346A">
        <w:t>, L.</w:t>
      </w:r>
      <w:r w:rsidRPr="00D87B0A">
        <w:t xml:space="preserve"> (2015), </w:t>
      </w:r>
      <w:proofErr w:type="gramStart"/>
      <w:r w:rsidRPr="00D87B0A">
        <w:t>Higher</w:t>
      </w:r>
      <w:proofErr w:type="gramEnd"/>
      <w:r w:rsidRPr="00D87B0A">
        <w:t xml:space="preserve"> ground: who gains</w:t>
      </w:r>
      <w:r w:rsidR="00393790">
        <w:t xml:space="preserve"> from the National Living Wage?</w:t>
      </w:r>
      <w:r w:rsidRPr="00D87B0A">
        <w:t xml:space="preserve"> London: Resolution Foundation</w:t>
      </w:r>
    </w:p>
    <w:p w14:paraId="6EE11537" w14:textId="6A085187" w:rsidR="00C323F1" w:rsidRDefault="00FF2F39" w:rsidP="00647393">
      <w:pPr>
        <w:spacing w:line="360" w:lineRule="auto"/>
      </w:pPr>
      <w:hyperlink r:id="rId12" w:history="1">
        <w:r w:rsidR="00C323F1" w:rsidRPr="00D257D4">
          <w:rPr>
            <w:rStyle w:val="Hyperlink"/>
          </w:rPr>
          <w:t>http://www.resolutionfoundation.org/wp-content/uploads/2015/09/NLW1.pdf</w:t>
        </w:r>
      </w:hyperlink>
    </w:p>
    <w:p w14:paraId="7A96B54E" w14:textId="77777777" w:rsidR="00B1346A" w:rsidRDefault="00B1346A" w:rsidP="00647393">
      <w:pPr>
        <w:spacing w:line="360" w:lineRule="auto"/>
      </w:pPr>
    </w:p>
    <w:p w14:paraId="02B666AD" w14:textId="6E874FB1" w:rsidR="00055E8C" w:rsidRDefault="00055E8C" w:rsidP="00647393">
      <w:pPr>
        <w:spacing w:line="360" w:lineRule="auto"/>
      </w:pPr>
      <w:r>
        <w:t>D</w:t>
      </w:r>
      <w:r w:rsidR="00393790">
        <w:t>WP</w:t>
      </w:r>
      <w:r>
        <w:t xml:space="preserve"> (201</w:t>
      </w:r>
      <w:r w:rsidR="00393790">
        <w:t>6</w:t>
      </w:r>
      <w:r>
        <w:t xml:space="preserve">) </w:t>
      </w:r>
      <w:r w:rsidR="00393790">
        <w:t xml:space="preserve">Households below average income 1994/95-2014/15. </w:t>
      </w:r>
      <w:r w:rsidR="00393790" w:rsidRPr="00393790">
        <w:t>https://www.gov.uk/government/statistics/households-below-average-income-199495-to-201415</w:t>
      </w:r>
      <w:r w:rsidR="00393790">
        <w:t>.</w:t>
      </w:r>
    </w:p>
    <w:p w14:paraId="2A8DBFB5" w14:textId="77777777" w:rsidR="00055E8C" w:rsidRDefault="00055E8C" w:rsidP="00647393">
      <w:pPr>
        <w:spacing w:line="360" w:lineRule="auto"/>
      </w:pPr>
    </w:p>
    <w:p w14:paraId="1B0059D3" w14:textId="0F7C3C13" w:rsidR="00F237F1" w:rsidRDefault="00F237F1" w:rsidP="00647393">
      <w:pPr>
        <w:spacing w:line="360" w:lineRule="auto"/>
      </w:pPr>
      <w:proofErr w:type="spellStart"/>
      <w:r w:rsidRPr="00F237F1">
        <w:t>Elming</w:t>
      </w:r>
      <w:proofErr w:type="spellEnd"/>
      <w:r w:rsidRPr="00F237F1">
        <w:t>, W., Emmerson, C., Johnson, P. and D. Phillips (2015) New analysis of the potential compensation provided by the new ‘National Living Wage’ for changes to the tax and benefit system</w:t>
      </w:r>
      <w:r w:rsidR="00C323F1">
        <w:t>,</w:t>
      </w:r>
      <w:r w:rsidRPr="00F237F1">
        <w:t xml:space="preserve"> </w:t>
      </w:r>
      <w:r w:rsidR="00C323F1">
        <w:t xml:space="preserve">London: </w:t>
      </w:r>
      <w:r w:rsidRPr="00F237F1">
        <w:t xml:space="preserve">Institute for Fiscal Studies. </w:t>
      </w:r>
      <w:hyperlink r:id="rId13" w:history="1">
        <w:r w:rsidRPr="009C41F7">
          <w:rPr>
            <w:rStyle w:val="Hyperlink"/>
          </w:rPr>
          <w:t>http://www.ifs.org.uk/publications/7980</w:t>
        </w:r>
      </w:hyperlink>
      <w:r w:rsidRPr="00F237F1">
        <w:t>.</w:t>
      </w:r>
    </w:p>
    <w:p w14:paraId="1C1C0674" w14:textId="77777777" w:rsidR="00F237F1" w:rsidRDefault="00F237F1" w:rsidP="00647393">
      <w:pPr>
        <w:spacing w:line="360" w:lineRule="auto"/>
      </w:pPr>
    </w:p>
    <w:p w14:paraId="7A3056F2" w14:textId="77777777" w:rsidR="00C323F1" w:rsidRPr="00BD1695" w:rsidRDefault="00C323F1" w:rsidP="00C323F1">
      <w:pPr>
        <w:rPr>
          <w:rFonts w:eastAsia="Times New Roman"/>
          <w:lang w:val="en-US"/>
        </w:rPr>
      </w:pPr>
      <w:r>
        <w:rPr>
          <w:rFonts w:eastAsia="Times New Roman"/>
          <w:lang w:val="en-US"/>
        </w:rPr>
        <w:t>Gardiner, K. and</w:t>
      </w:r>
      <w:r w:rsidRPr="00BD1695">
        <w:rPr>
          <w:rFonts w:eastAsia="Times New Roman"/>
          <w:lang w:val="en-US"/>
        </w:rPr>
        <w:t xml:space="preserve"> Millar, J. (2006) ‘How low-paid employees avoid poverty: An analysis by family type and household structure’ </w:t>
      </w:r>
      <w:r w:rsidRPr="00BD1695">
        <w:rPr>
          <w:rFonts w:eastAsia="Times New Roman"/>
          <w:i/>
          <w:lang w:val="en-US"/>
        </w:rPr>
        <w:t>Journal of Social Policy,</w:t>
      </w:r>
      <w:r w:rsidRPr="00BD1695">
        <w:rPr>
          <w:rFonts w:eastAsia="Times New Roman"/>
          <w:lang w:val="en-US"/>
        </w:rPr>
        <w:t xml:space="preserve"> 35 (3), 351-369 </w:t>
      </w:r>
    </w:p>
    <w:p w14:paraId="2B8474B5" w14:textId="77777777" w:rsidR="00D64C44" w:rsidRDefault="00D64C44" w:rsidP="00647393">
      <w:pPr>
        <w:spacing w:line="360" w:lineRule="auto"/>
      </w:pPr>
    </w:p>
    <w:p w14:paraId="137E01B9" w14:textId="77777777" w:rsidR="00D64C44" w:rsidRPr="001C2E02" w:rsidRDefault="00D64C44" w:rsidP="00D64C44">
      <w:pPr>
        <w:spacing w:before="100" w:beforeAutospacing="1" w:after="100" w:afterAutospacing="1"/>
        <w:outlineLvl w:val="0"/>
        <w:rPr>
          <w:rFonts w:eastAsia="Times New Roman"/>
          <w:lang w:val="en-US"/>
        </w:rPr>
      </w:pPr>
      <w:r w:rsidRPr="007F5687">
        <w:rPr>
          <w:rFonts w:eastAsia="Times New Roman"/>
          <w:bCs/>
          <w:kern w:val="36"/>
          <w:lang w:val="en-US"/>
        </w:rPr>
        <w:t>Glickman, LB (</w:t>
      </w:r>
      <w:r>
        <w:rPr>
          <w:rFonts w:eastAsia="Times New Roman"/>
          <w:bCs/>
          <w:kern w:val="36"/>
          <w:lang w:val="en-US"/>
        </w:rPr>
        <w:t>1997</w:t>
      </w:r>
      <w:r w:rsidRPr="007F5687">
        <w:rPr>
          <w:rFonts w:eastAsia="Times New Roman"/>
          <w:bCs/>
          <w:kern w:val="36"/>
          <w:lang w:val="en-US"/>
        </w:rPr>
        <w:t xml:space="preserve">) </w:t>
      </w:r>
      <w:proofErr w:type="gramStart"/>
      <w:r w:rsidRPr="001C2E02">
        <w:rPr>
          <w:rFonts w:eastAsia="Times New Roman"/>
          <w:bCs/>
          <w:kern w:val="36"/>
          <w:lang w:val="en-US"/>
        </w:rPr>
        <w:t>A</w:t>
      </w:r>
      <w:proofErr w:type="gramEnd"/>
      <w:r w:rsidRPr="001C2E02">
        <w:rPr>
          <w:rFonts w:eastAsia="Times New Roman"/>
          <w:bCs/>
          <w:kern w:val="36"/>
          <w:lang w:val="en-US"/>
        </w:rPr>
        <w:t xml:space="preserve"> Living Wage: American Workers and the Making of Consumer Society</w:t>
      </w:r>
      <w:r w:rsidR="00AD3F08">
        <w:rPr>
          <w:rFonts w:eastAsia="Times New Roman"/>
          <w:bCs/>
          <w:kern w:val="36"/>
          <w:lang w:val="en-US"/>
        </w:rPr>
        <w:t xml:space="preserve"> Ithaca, New York: Cornell University Press</w:t>
      </w:r>
    </w:p>
    <w:p w14:paraId="6414D1FF" w14:textId="5671A8CF" w:rsidR="00647393" w:rsidRDefault="00647393" w:rsidP="00647393">
      <w:pPr>
        <w:spacing w:line="360" w:lineRule="auto"/>
      </w:pPr>
      <w:r>
        <w:lastRenderedPageBreak/>
        <w:t xml:space="preserve">Hirsch, D. (2015) Minimum Income Standards 2015, </w:t>
      </w:r>
      <w:r w:rsidR="00AD3F08">
        <w:t xml:space="preserve">York: Joseph Rowntree Foundation </w:t>
      </w:r>
      <w:hyperlink r:id="rId14" w:history="1">
        <w:r w:rsidR="00F237F1" w:rsidRPr="009C41F7">
          <w:rPr>
            <w:rStyle w:val="Hyperlink"/>
          </w:rPr>
          <w:t>https://www.jrf.org.uk/report/minimum-income-standard-uk-2015</w:t>
        </w:r>
      </w:hyperlink>
      <w:r w:rsidR="00F237F1">
        <w:t>.</w:t>
      </w:r>
    </w:p>
    <w:p w14:paraId="6579AA86" w14:textId="77777777" w:rsidR="00F237F1" w:rsidRDefault="00F237F1" w:rsidP="00647393">
      <w:pPr>
        <w:spacing w:line="360" w:lineRule="auto"/>
      </w:pPr>
    </w:p>
    <w:p w14:paraId="078FC19B" w14:textId="77777777" w:rsidR="00C323F1" w:rsidRDefault="00C323F1" w:rsidP="00C323F1">
      <w:r w:rsidRPr="009A2E2F">
        <w:t xml:space="preserve">Hood, </w:t>
      </w:r>
      <w:r>
        <w:t xml:space="preserve">A; </w:t>
      </w:r>
      <w:r w:rsidRPr="009A2E2F">
        <w:t>Joyce</w:t>
      </w:r>
      <w:r>
        <w:t>, R</w:t>
      </w:r>
      <w:r w:rsidRPr="009A2E2F">
        <w:t xml:space="preserve"> and Phillips</w:t>
      </w:r>
      <w:r>
        <w:t xml:space="preserve">, D (2014) ‘Policies to help the low paid’ </w:t>
      </w:r>
      <w:r w:rsidR="003E1662">
        <w:t>pp141-170</w:t>
      </w:r>
      <w:r>
        <w:t xml:space="preserve"> in</w:t>
      </w:r>
      <w:r w:rsidR="003E1662">
        <w:t xml:space="preserve"> eds. Emmerson, C; Johnson, P and Miller, H</w:t>
      </w:r>
      <w:r>
        <w:t xml:space="preserve"> </w:t>
      </w:r>
      <w:proofErr w:type="gramStart"/>
      <w:r w:rsidRPr="00B40792">
        <w:rPr>
          <w:i/>
        </w:rPr>
        <w:t>The</w:t>
      </w:r>
      <w:proofErr w:type="gramEnd"/>
      <w:r w:rsidRPr="00B40792">
        <w:rPr>
          <w:i/>
        </w:rPr>
        <w:t xml:space="preserve"> IFS Green Budget: 2014</w:t>
      </w:r>
      <w:r>
        <w:t xml:space="preserve"> London: I</w:t>
      </w:r>
      <w:r w:rsidR="003E1662">
        <w:t xml:space="preserve">nstitute for Fiscal Studies </w:t>
      </w:r>
      <w:hyperlink r:id="rId15" w:history="1">
        <w:r w:rsidR="003E1662" w:rsidRPr="00D257D4">
          <w:rPr>
            <w:rStyle w:val="Hyperlink"/>
          </w:rPr>
          <w:t>https://www.ifs.org.uk/budgets/gb2014/gb2014.pdf</w:t>
        </w:r>
      </w:hyperlink>
    </w:p>
    <w:p w14:paraId="31031281" w14:textId="77777777" w:rsidR="00C323F1" w:rsidRDefault="00C323F1" w:rsidP="00647393">
      <w:pPr>
        <w:spacing w:line="360" w:lineRule="auto"/>
      </w:pPr>
    </w:p>
    <w:p w14:paraId="1D7DA2CE" w14:textId="77777777" w:rsidR="00217E7B" w:rsidRPr="00E56635" w:rsidRDefault="00217E7B" w:rsidP="00213E5F">
      <w:pPr>
        <w:spacing w:line="360" w:lineRule="auto"/>
        <w:rPr>
          <w:rStyle w:val="cit-auth"/>
          <w:iCs/>
        </w:rPr>
      </w:pPr>
      <w:r w:rsidRPr="00E56635">
        <w:rPr>
          <w:rStyle w:val="cit-auth"/>
          <w:iCs/>
        </w:rPr>
        <w:t xml:space="preserve">Lawton, K and Pennycook, (2013) </w:t>
      </w:r>
      <w:proofErr w:type="gramStart"/>
      <w:r w:rsidRPr="00E56635">
        <w:rPr>
          <w:rStyle w:val="cit-auth"/>
          <w:i/>
          <w:iCs/>
        </w:rPr>
        <w:t>Beyond</w:t>
      </w:r>
      <w:proofErr w:type="gramEnd"/>
      <w:r w:rsidRPr="00E56635">
        <w:rPr>
          <w:rStyle w:val="cit-auth"/>
          <w:i/>
          <w:iCs/>
        </w:rPr>
        <w:t xml:space="preserve"> the bottom line: The challenges and opportunities of the living wage </w:t>
      </w:r>
      <w:r w:rsidRPr="00E56635">
        <w:rPr>
          <w:rStyle w:val="cit-auth"/>
          <w:iCs/>
        </w:rPr>
        <w:t>London: Resolution Foundation</w:t>
      </w:r>
    </w:p>
    <w:p w14:paraId="77DB7872" w14:textId="77777777" w:rsidR="00CB2BA9" w:rsidRPr="00AD4457" w:rsidRDefault="00CB2BA9" w:rsidP="00CB2BA9">
      <w:pPr>
        <w:rPr>
          <w:rFonts w:eastAsia="Times New Roman"/>
          <w:lang w:val="en-US"/>
        </w:rPr>
      </w:pPr>
      <w:proofErr w:type="spellStart"/>
      <w:r w:rsidRPr="00AD4457">
        <w:rPr>
          <w:rFonts w:eastAsia="Times New Roman"/>
          <w:lang w:val="en-US"/>
        </w:rPr>
        <w:t>Luce</w:t>
      </w:r>
      <w:proofErr w:type="spellEnd"/>
      <w:r w:rsidRPr="00AD4457">
        <w:rPr>
          <w:rFonts w:eastAsia="Times New Roman"/>
          <w:lang w:val="en-US"/>
        </w:rPr>
        <w:t>, S (2004) Fighting for a living wage Ithaca, New York: IRL Press</w:t>
      </w:r>
    </w:p>
    <w:p w14:paraId="1852A9FA" w14:textId="77777777" w:rsidR="00CB2BA9" w:rsidRPr="00AD4457" w:rsidRDefault="00CB2BA9" w:rsidP="00647393">
      <w:pPr>
        <w:spacing w:line="360" w:lineRule="auto"/>
      </w:pPr>
    </w:p>
    <w:p w14:paraId="364F9A03" w14:textId="1EBAB6BE" w:rsidR="00B07F4E" w:rsidRPr="00AD4457" w:rsidRDefault="00B07F4E" w:rsidP="00647393">
      <w:pPr>
        <w:spacing w:line="360" w:lineRule="auto"/>
      </w:pPr>
      <w:r w:rsidRPr="00AD4457">
        <w:t>Main, G. and Bradshaw, J. (201</w:t>
      </w:r>
      <w:r w:rsidR="00AD3F08" w:rsidRPr="00AD4457">
        <w:t>4</w:t>
      </w:r>
      <w:r w:rsidRPr="00AD4457">
        <w:t>) Child poverty and social exclusion; Final Report of the Poverty and Social Exclusion Study 2012</w:t>
      </w:r>
      <w:r w:rsidR="00967702" w:rsidRPr="00AD4457">
        <w:t xml:space="preserve"> York: Social Policy Research Unit, University of York</w:t>
      </w:r>
      <w:r w:rsidRPr="00AD4457">
        <w:t xml:space="preserve"> </w:t>
      </w:r>
      <w:hyperlink r:id="rId16" w:history="1">
        <w:r w:rsidRPr="00AD4457">
          <w:rPr>
            <w:rStyle w:val="Hyperlink"/>
          </w:rPr>
          <w:t>http://www.york.ac.uk/inst/spru/pubs/pdf/PSEfinal.pdf</w:t>
        </w:r>
      </w:hyperlink>
    </w:p>
    <w:p w14:paraId="26D435CA" w14:textId="77777777" w:rsidR="00217E7B" w:rsidRPr="00AD4457" w:rsidRDefault="00217E7B" w:rsidP="00217E7B">
      <w:pPr>
        <w:spacing w:before="100" w:beforeAutospacing="1" w:after="100" w:afterAutospacing="1"/>
        <w:outlineLvl w:val="0"/>
        <w:rPr>
          <w:rStyle w:val="slug-pages"/>
          <w:iCs/>
        </w:rPr>
      </w:pPr>
      <w:proofErr w:type="spellStart"/>
      <w:r w:rsidRPr="00AD4457">
        <w:rPr>
          <w:rFonts w:eastAsia="Times New Roman"/>
          <w:bCs/>
          <w:kern w:val="36"/>
          <w:lang w:val="en-US"/>
        </w:rPr>
        <w:t>Neumark</w:t>
      </w:r>
      <w:proofErr w:type="spellEnd"/>
      <w:r w:rsidRPr="00AD4457">
        <w:rPr>
          <w:rFonts w:eastAsia="Times New Roman"/>
          <w:bCs/>
          <w:kern w:val="36"/>
          <w:lang w:val="en-US"/>
        </w:rPr>
        <w:t xml:space="preserve">, D and Adams, S (2001) </w:t>
      </w:r>
      <w:r w:rsidRPr="00AD4457">
        <w:rPr>
          <w:rFonts w:eastAsia="Times New Roman"/>
          <w:kern w:val="36"/>
          <w:lang w:val="en-US"/>
        </w:rPr>
        <w:t xml:space="preserve">Do Living Wage Ordinances Reduce Urban Poverty?’ </w:t>
      </w:r>
      <w:r w:rsidRPr="00AD4457">
        <w:rPr>
          <w:rFonts w:eastAsia="Times New Roman"/>
          <w:bCs/>
          <w:i/>
          <w:kern w:val="36"/>
          <w:lang w:val="en-US"/>
        </w:rPr>
        <w:t>The Journal of Human Resources</w:t>
      </w:r>
      <w:r w:rsidRPr="00AD4457">
        <w:rPr>
          <w:rFonts w:eastAsia="Times New Roman"/>
          <w:bCs/>
          <w:kern w:val="36"/>
          <w:lang w:val="en-US"/>
        </w:rPr>
        <w:t xml:space="preserve">, </w:t>
      </w:r>
      <w:r w:rsidRPr="00AD4457">
        <w:rPr>
          <w:rFonts w:eastAsia="Times New Roman"/>
          <w:kern w:val="36"/>
          <w:lang w:val="en-US"/>
        </w:rPr>
        <w:t>38(3) pp</w:t>
      </w:r>
      <w:r w:rsidRPr="00AD4457">
        <w:rPr>
          <w:i/>
          <w:iCs/>
        </w:rPr>
        <w:t xml:space="preserve"> </w:t>
      </w:r>
      <w:r w:rsidRPr="00AD4457">
        <w:rPr>
          <w:rStyle w:val="slug-pages"/>
          <w:iCs/>
        </w:rPr>
        <w:t>490-521</w:t>
      </w:r>
    </w:p>
    <w:p w14:paraId="26381A59" w14:textId="67DAF8A0" w:rsidR="00201558" w:rsidRPr="00AD4457" w:rsidRDefault="00201558" w:rsidP="00217E7B">
      <w:pPr>
        <w:spacing w:before="100" w:beforeAutospacing="1" w:after="100" w:afterAutospacing="1"/>
        <w:outlineLvl w:val="0"/>
        <w:rPr>
          <w:rFonts w:eastAsia="Times New Roman"/>
          <w:bCs/>
          <w:kern w:val="36"/>
          <w:lang w:val="en-US"/>
        </w:rPr>
      </w:pPr>
      <w:r w:rsidRPr="00AD4457">
        <w:rPr>
          <w:rStyle w:val="slug-pages"/>
          <w:iCs/>
        </w:rPr>
        <w:t xml:space="preserve">Smith, Adam (1776) </w:t>
      </w:r>
      <w:proofErr w:type="gramStart"/>
      <w:r w:rsidRPr="00AD4457">
        <w:rPr>
          <w:rStyle w:val="slug-pages"/>
          <w:i/>
          <w:iCs/>
        </w:rPr>
        <w:t>The</w:t>
      </w:r>
      <w:proofErr w:type="gramEnd"/>
      <w:r w:rsidRPr="00AD4457">
        <w:rPr>
          <w:rStyle w:val="slug-pages"/>
          <w:i/>
          <w:iCs/>
        </w:rPr>
        <w:t xml:space="preserve"> We</w:t>
      </w:r>
      <w:r w:rsidR="00AD4457" w:rsidRPr="00AD4457">
        <w:rPr>
          <w:rStyle w:val="slug-pages"/>
          <w:i/>
          <w:iCs/>
        </w:rPr>
        <w:t>a</w:t>
      </w:r>
      <w:r w:rsidRPr="00AD4457">
        <w:rPr>
          <w:rStyle w:val="slug-pages"/>
          <w:i/>
          <w:iCs/>
        </w:rPr>
        <w:t>lth of Nations</w:t>
      </w:r>
      <w:r w:rsidRPr="00AD4457">
        <w:rPr>
          <w:rStyle w:val="slug-pages"/>
          <w:iCs/>
        </w:rPr>
        <w:t xml:space="preserve">, </w:t>
      </w:r>
      <w:r w:rsidR="00AD4457" w:rsidRPr="00AD4457">
        <w:rPr>
          <w:rStyle w:val="slug-pages"/>
          <w:iCs/>
        </w:rPr>
        <w:t>Heritage Illustrated Publishing.</w:t>
      </w:r>
    </w:p>
    <w:p w14:paraId="362051E9" w14:textId="7E6FE884" w:rsidR="00B07F4E" w:rsidRPr="00AD4457" w:rsidRDefault="00201558" w:rsidP="00647393">
      <w:pPr>
        <w:spacing w:line="360" w:lineRule="auto"/>
      </w:pPr>
      <w:r w:rsidRPr="00AD4457">
        <w:t xml:space="preserve">Whittaker, M. (2015) “O, blessed revisions: fiscal windfall and what to do with it.” Resolution Foundation </w:t>
      </w:r>
      <w:hyperlink r:id="rId17" w:history="1">
        <w:r w:rsidRPr="00AD4457">
          <w:rPr>
            <w:color w:val="0000FF"/>
            <w:u w:val="single"/>
          </w:rPr>
          <w:t>http://www.resolutionfoundation.org/wp-content/uploads/2015/11/SR2015.pdf</w:t>
        </w:r>
      </w:hyperlink>
    </w:p>
    <w:p w14:paraId="5D482D82" w14:textId="77777777" w:rsidR="00AD3F08" w:rsidRPr="00AD4457" w:rsidRDefault="00AD3F08" w:rsidP="00647393">
      <w:pPr>
        <w:spacing w:line="360" w:lineRule="auto"/>
      </w:pPr>
    </w:p>
    <w:p w14:paraId="72D3809E" w14:textId="77777777" w:rsidR="00086D07" w:rsidRDefault="00086D07" w:rsidP="00647393">
      <w:pPr>
        <w:spacing w:line="360" w:lineRule="auto"/>
      </w:pPr>
    </w:p>
    <w:p w14:paraId="339DCC73" w14:textId="77777777" w:rsidR="00086D07" w:rsidRPr="00A37D53" w:rsidRDefault="00086D07" w:rsidP="00086D07">
      <w:pPr>
        <w:spacing w:line="360" w:lineRule="auto"/>
        <w:rPr>
          <w:rFonts w:eastAsia="Times New Roman"/>
          <w:b/>
          <w:bCs/>
          <w:lang w:eastAsia="en-GB"/>
        </w:rPr>
      </w:pPr>
      <w:r w:rsidRPr="00A37D53">
        <w:rPr>
          <w:rFonts w:eastAsia="Times New Roman"/>
          <w:b/>
          <w:bCs/>
          <w:lang w:eastAsia="en-GB"/>
        </w:rPr>
        <w:t>Table 1: Sample size</w:t>
      </w:r>
    </w:p>
    <w:tbl>
      <w:tblPr>
        <w:tblStyle w:val="TableGrid"/>
        <w:tblW w:w="3164" w:type="dxa"/>
        <w:tblLook w:val="04A0" w:firstRow="1" w:lastRow="0" w:firstColumn="1" w:lastColumn="0" w:noHBand="0" w:noVBand="1"/>
      </w:tblPr>
      <w:tblGrid>
        <w:gridCol w:w="1244"/>
        <w:gridCol w:w="960"/>
        <w:gridCol w:w="960"/>
      </w:tblGrid>
      <w:tr w:rsidR="00086D07" w:rsidRPr="00DB5B50" w14:paraId="1758826B" w14:textId="77777777" w:rsidTr="00086D07">
        <w:trPr>
          <w:trHeight w:val="300"/>
        </w:trPr>
        <w:tc>
          <w:tcPr>
            <w:tcW w:w="1244" w:type="dxa"/>
            <w:noWrap/>
            <w:hideMark/>
          </w:tcPr>
          <w:p w14:paraId="47B91F69" w14:textId="77777777" w:rsidR="00086D07" w:rsidRPr="00DB5B50" w:rsidRDefault="00086D07" w:rsidP="00086D07">
            <w:pPr>
              <w:rPr>
                <w:rFonts w:eastAsiaTheme="minorHAnsi"/>
                <w:color w:val="000000"/>
                <w:sz w:val="24"/>
                <w:szCs w:val="24"/>
                <w:lang w:eastAsia="en-US"/>
              </w:rPr>
            </w:pPr>
            <w:r>
              <w:rPr>
                <w:rFonts w:eastAsiaTheme="minorHAnsi"/>
                <w:color w:val="000000"/>
                <w:sz w:val="24"/>
                <w:szCs w:val="24"/>
                <w:lang w:eastAsia="en-US"/>
              </w:rPr>
              <w:t>Employer</w:t>
            </w:r>
          </w:p>
        </w:tc>
        <w:tc>
          <w:tcPr>
            <w:tcW w:w="960" w:type="dxa"/>
            <w:noWrap/>
            <w:hideMark/>
          </w:tcPr>
          <w:p w14:paraId="23F6CB80" w14:textId="77777777" w:rsidR="00086D07" w:rsidRPr="00DB5B50" w:rsidRDefault="00086D07" w:rsidP="00086D07">
            <w:pPr>
              <w:rPr>
                <w:rFonts w:eastAsiaTheme="minorHAnsi"/>
                <w:color w:val="000000"/>
                <w:sz w:val="24"/>
                <w:szCs w:val="24"/>
                <w:lang w:eastAsia="en-US"/>
              </w:rPr>
            </w:pPr>
            <w:r w:rsidRPr="00DB5B50">
              <w:rPr>
                <w:color w:val="000000"/>
                <w:sz w:val="24"/>
                <w:szCs w:val="24"/>
              </w:rPr>
              <w:t>N</w:t>
            </w:r>
          </w:p>
        </w:tc>
        <w:tc>
          <w:tcPr>
            <w:tcW w:w="960" w:type="dxa"/>
            <w:noWrap/>
            <w:hideMark/>
          </w:tcPr>
          <w:p w14:paraId="4DE9A47F" w14:textId="77777777" w:rsidR="00086D07" w:rsidRPr="00DB5B50" w:rsidRDefault="00086D07" w:rsidP="00086D07">
            <w:pPr>
              <w:rPr>
                <w:rFonts w:eastAsiaTheme="minorHAnsi"/>
                <w:color w:val="000000"/>
                <w:sz w:val="24"/>
                <w:szCs w:val="24"/>
                <w:lang w:eastAsia="en-US"/>
              </w:rPr>
            </w:pPr>
            <w:r w:rsidRPr="00DB5B50">
              <w:rPr>
                <w:color w:val="000000"/>
                <w:sz w:val="24"/>
                <w:szCs w:val="24"/>
              </w:rPr>
              <w:t>%</w:t>
            </w:r>
          </w:p>
        </w:tc>
      </w:tr>
      <w:tr w:rsidR="00086D07" w:rsidRPr="00DB5B50" w14:paraId="3F8FDD0E" w14:textId="77777777" w:rsidTr="00086D07">
        <w:trPr>
          <w:trHeight w:val="300"/>
        </w:trPr>
        <w:tc>
          <w:tcPr>
            <w:tcW w:w="1244" w:type="dxa"/>
            <w:noWrap/>
            <w:hideMark/>
          </w:tcPr>
          <w:p w14:paraId="398FF406" w14:textId="77777777" w:rsidR="00086D07" w:rsidRPr="00DB5B50" w:rsidRDefault="00086D07" w:rsidP="00086D07">
            <w:pPr>
              <w:rPr>
                <w:rFonts w:eastAsiaTheme="minorHAnsi"/>
                <w:color w:val="000000"/>
                <w:sz w:val="24"/>
                <w:szCs w:val="24"/>
                <w:lang w:eastAsia="en-US"/>
              </w:rPr>
            </w:pPr>
            <w:r w:rsidRPr="00DB5B50">
              <w:rPr>
                <w:color w:val="000000"/>
                <w:sz w:val="24"/>
                <w:szCs w:val="24"/>
              </w:rPr>
              <w:t>CYC</w:t>
            </w:r>
          </w:p>
        </w:tc>
        <w:tc>
          <w:tcPr>
            <w:tcW w:w="960" w:type="dxa"/>
            <w:noWrap/>
            <w:hideMark/>
          </w:tcPr>
          <w:p w14:paraId="62916A03" w14:textId="77777777" w:rsidR="00086D07" w:rsidRPr="00DB5B50" w:rsidRDefault="00086D07" w:rsidP="00086D07">
            <w:pPr>
              <w:rPr>
                <w:rFonts w:eastAsiaTheme="minorHAnsi"/>
                <w:color w:val="000000"/>
                <w:sz w:val="24"/>
                <w:szCs w:val="24"/>
                <w:lang w:eastAsia="en-US"/>
              </w:rPr>
            </w:pPr>
            <w:r w:rsidRPr="00DB5B50">
              <w:rPr>
                <w:color w:val="000000"/>
                <w:sz w:val="24"/>
                <w:szCs w:val="24"/>
              </w:rPr>
              <w:t>380</w:t>
            </w:r>
          </w:p>
        </w:tc>
        <w:tc>
          <w:tcPr>
            <w:tcW w:w="960" w:type="dxa"/>
            <w:noWrap/>
            <w:hideMark/>
          </w:tcPr>
          <w:p w14:paraId="7F9CDB23" w14:textId="77777777" w:rsidR="00086D07" w:rsidRPr="00DB5B50" w:rsidRDefault="00086D07" w:rsidP="00086D07">
            <w:pPr>
              <w:rPr>
                <w:rFonts w:eastAsiaTheme="minorHAnsi"/>
                <w:color w:val="000000"/>
                <w:sz w:val="24"/>
                <w:szCs w:val="24"/>
                <w:lang w:eastAsia="en-US"/>
              </w:rPr>
            </w:pPr>
            <w:r w:rsidRPr="00DB5B50">
              <w:rPr>
                <w:color w:val="000000"/>
                <w:sz w:val="24"/>
                <w:szCs w:val="24"/>
              </w:rPr>
              <w:t>77.4</w:t>
            </w:r>
          </w:p>
        </w:tc>
      </w:tr>
      <w:tr w:rsidR="00086D07" w:rsidRPr="00DB5B50" w14:paraId="59AB394B" w14:textId="77777777" w:rsidTr="00086D07">
        <w:trPr>
          <w:trHeight w:val="300"/>
        </w:trPr>
        <w:tc>
          <w:tcPr>
            <w:tcW w:w="1244" w:type="dxa"/>
            <w:noWrap/>
            <w:hideMark/>
          </w:tcPr>
          <w:p w14:paraId="0D2027FF" w14:textId="77777777" w:rsidR="00086D07" w:rsidRPr="00DB5B50" w:rsidRDefault="00086D07" w:rsidP="00086D07">
            <w:pPr>
              <w:rPr>
                <w:rFonts w:eastAsiaTheme="minorHAnsi"/>
                <w:color w:val="000000"/>
                <w:sz w:val="24"/>
                <w:szCs w:val="24"/>
                <w:lang w:eastAsia="en-US"/>
              </w:rPr>
            </w:pPr>
            <w:r w:rsidRPr="00DB5B50">
              <w:rPr>
                <w:color w:val="000000"/>
                <w:sz w:val="24"/>
                <w:szCs w:val="24"/>
              </w:rPr>
              <w:t>JRF/JRHT</w:t>
            </w:r>
          </w:p>
        </w:tc>
        <w:tc>
          <w:tcPr>
            <w:tcW w:w="960" w:type="dxa"/>
            <w:noWrap/>
            <w:hideMark/>
          </w:tcPr>
          <w:p w14:paraId="25AB272C" w14:textId="77777777" w:rsidR="00086D07" w:rsidRPr="00DB5B50" w:rsidRDefault="00086D07" w:rsidP="00086D07">
            <w:pPr>
              <w:rPr>
                <w:rFonts w:eastAsiaTheme="minorHAnsi"/>
                <w:color w:val="000000"/>
                <w:sz w:val="24"/>
                <w:szCs w:val="24"/>
                <w:lang w:eastAsia="en-US"/>
              </w:rPr>
            </w:pPr>
            <w:r w:rsidRPr="00DB5B50">
              <w:rPr>
                <w:color w:val="000000"/>
                <w:sz w:val="24"/>
                <w:szCs w:val="24"/>
              </w:rPr>
              <w:t>86</w:t>
            </w:r>
          </w:p>
        </w:tc>
        <w:tc>
          <w:tcPr>
            <w:tcW w:w="960" w:type="dxa"/>
            <w:noWrap/>
            <w:hideMark/>
          </w:tcPr>
          <w:p w14:paraId="320A8C0A" w14:textId="77777777" w:rsidR="00086D07" w:rsidRPr="00DB5B50" w:rsidRDefault="00086D07" w:rsidP="00086D07">
            <w:pPr>
              <w:rPr>
                <w:rFonts w:eastAsiaTheme="minorHAnsi"/>
                <w:color w:val="000000"/>
                <w:sz w:val="24"/>
                <w:szCs w:val="24"/>
                <w:lang w:eastAsia="en-US"/>
              </w:rPr>
            </w:pPr>
            <w:r w:rsidRPr="00DB5B50">
              <w:rPr>
                <w:color w:val="000000"/>
                <w:sz w:val="24"/>
                <w:szCs w:val="24"/>
              </w:rPr>
              <w:t>17.5</w:t>
            </w:r>
          </w:p>
        </w:tc>
      </w:tr>
      <w:tr w:rsidR="00086D07" w:rsidRPr="00DB5B50" w14:paraId="4D498D4D" w14:textId="77777777" w:rsidTr="00086D07">
        <w:trPr>
          <w:trHeight w:val="300"/>
        </w:trPr>
        <w:tc>
          <w:tcPr>
            <w:tcW w:w="1244" w:type="dxa"/>
            <w:noWrap/>
            <w:hideMark/>
          </w:tcPr>
          <w:p w14:paraId="18C1CE09" w14:textId="77777777" w:rsidR="00086D07" w:rsidRPr="00DB5B50" w:rsidRDefault="00086D07" w:rsidP="00086D07">
            <w:pPr>
              <w:rPr>
                <w:rFonts w:eastAsiaTheme="minorHAnsi"/>
                <w:color w:val="000000"/>
                <w:sz w:val="24"/>
                <w:szCs w:val="24"/>
                <w:lang w:eastAsia="en-US"/>
              </w:rPr>
            </w:pPr>
            <w:r w:rsidRPr="00DB5B50">
              <w:rPr>
                <w:color w:val="000000"/>
                <w:sz w:val="24"/>
                <w:szCs w:val="24"/>
              </w:rPr>
              <w:t>YSJU</w:t>
            </w:r>
          </w:p>
        </w:tc>
        <w:tc>
          <w:tcPr>
            <w:tcW w:w="960" w:type="dxa"/>
            <w:noWrap/>
            <w:hideMark/>
          </w:tcPr>
          <w:p w14:paraId="5E09F64D" w14:textId="77777777" w:rsidR="00086D07" w:rsidRPr="00DB5B50" w:rsidRDefault="00086D07" w:rsidP="00086D07">
            <w:pPr>
              <w:rPr>
                <w:rFonts w:eastAsiaTheme="minorHAnsi"/>
                <w:color w:val="000000"/>
                <w:sz w:val="24"/>
                <w:szCs w:val="24"/>
                <w:lang w:eastAsia="en-US"/>
              </w:rPr>
            </w:pPr>
            <w:r w:rsidRPr="00DB5B50">
              <w:rPr>
                <w:color w:val="000000"/>
                <w:sz w:val="24"/>
                <w:szCs w:val="24"/>
              </w:rPr>
              <w:t>25</w:t>
            </w:r>
          </w:p>
        </w:tc>
        <w:tc>
          <w:tcPr>
            <w:tcW w:w="960" w:type="dxa"/>
            <w:noWrap/>
            <w:hideMark/>
          </w:tcPr>
          <w:p w14:paraId="3F3AC94E" w14:textId="77777777" w:rsidR="00086D07" w:rsidRPr="00DB5B50" w:rsidRDefault="00086D07" w:rsidP="00086D07">
            <w:pPr>
              <w:rPr>
                <w:rFonts w:eastAsiaTheme="minorHAnsi"/>
                <w:color w:val="000000"/>
                <w:sz w:val="24"/>
                <w:szCs w:val="24"/>
                <w:lang w:eastAsia="en-US"/>
              </w:rPr>
            </w:pPr>
            <w:r w:rsidRPr="00DB5B50">
              <w:rPr>
                <w:color w:val="000000"/>
                <w:sz w:val="24"/>
                <w:szCs w:val="24"/>
              </w:rPr>
              <w:t>5.1</w:t>
            </w:r>
          </w:p>
        </w:tc>
      </w:tr>
      <w:tr w:rsidR="00086D07" w:rsidRPr="00DB5B50" w14:paraId="60684536" w14:textId="77777777" w:rsidTr="00086D07">
        <w:trPr>
          <w:trHeight w:val="300"/>
        </w:trPr>
        <w:tc>
          <w:tcPr>
            <w:tcW w:w="1244" w:type="dxa"/>
            <w:noWrap/>
            <w:hideMark/>
          </w:tcPr>
          <w:p w14:paraId="19BEA641" w14:textId="77777777" w:rsidR="00086D07" w:rsidRPr="00DB5B50" w:rsidRDefault="00086D07" w:rsidP="00086D07">
            <w:pPr>
              <w:rPr>
                <w:rFonts w:eastAsiaTheme="minorHAnsi"/>
                <w:color w:val="000000"/>
                <w:sz w:val="24"/>
                <w:szCs w:val="24"/>
                <w:lang w:eastAsia="en-US"/>
              </w:rPr>
            </w:pPr>
          </w:p>
        </w:tc>
        <w:tc>
          <w:tcPr>
            <w:tcW w:w="960" w:type="dxa"/>
            <w:noWrap/>
            <w:hideMark/>
          </w:tcPr>
          <w:p w14:paraId="41FCD8F1" w14:textId="77777777" w:rsidR="00086D07" w:rsidRPr="00DB5B50" w:rsidRDefault="00086D07" w:rsidP="00086D07">
            <w:pPr>
              <w:rPr>
                <w:rFonts w:eastAsiaTheme="minorHAnsi"/>
                <w:color w:val="000000"/>
                <w:sz w:val="24"/>
                <w:szCs w:val="24"/>
                <w:lang w:eastAsia="en-US"/>
              </w:rPr>
            </w:pPr>
            <w:r w:rsidRPr="00DB5B50">
              <w:rPr>
                <w:color w:val="000000"/>
                <w:sz w:val="24"/>
                <w:szCs w:val="24"/>
              </w:rPr>
              <w:t>491</w:t>
            </w:r>
          </w:p>
        </w:tc>
        <w:tc>
          <w:tcPr>
            <w:tcW w:w="960" w:type="dxa"/>
            <w:noWrap/>
            <w:hideMark/>
          </w:tcPr>
          <w:p w14:paraId="1C1B5A6A" w14:textId="77777777" w:rsidR="00086D07" w:rsidRPr="00DB5B50" w:rsidRDefault="00086D07" w:rsidP="00086D07">
            <w:pPr>
              <w:rPr>
                <w:rFonts w:eastAsiaTheme="minorHAnsi"/>
                <w:color w:val="000000"/>
                <w:sz w:val="24"/>
                <w:szCs w:val="24"/>
                <w:lang w:eastAsia="en-US"/>
              </w:rPr>
            </w:pPr>
            <w:r w:rsidRPr="00DB5B50">
              <w:rPr>
                <w:color w:val="000000"/>
                <w:sz w:val="24"/>
                <w:szCs w:val="24"/>
              </w:rPr>
              <w:t>100</w:t>
            </w:r>
          </w:p>
        </w:tc>
      </w:tr>
    </w:tbl>
    <w:p w14:paraId="1B340502" w14:textId="77777777" w:rsidR="00086D07" w:rsidRPr="00DB5B50" w:rsidRDefault="00086D07" w:rsidP="00086D07">
      <w:pPr>
        <w:spacing w:line="360" w:lineRule="auto"/>
        <w:rPr>
          <w:rFonts w:eastAsia="Times New Roman"/>
          <w:lang w:eastAsia="en-GB"/>
        </w:rPr>
      </w:pPr>
    </w:p>
    <w:p w14:paraId="16D38907" w14:textId="77777777" w:rsidR="00086D07" w:rsidRPr="00A37D53" w:rsidRDefault="00086D07" w:rsidP="00086D07">
      <w:pPr>
        <w:spacing w:line="360" w:lineRule="auto"/>
        <w:rPr>
          <w:rFonts w:eastAsia="Times New Roman"/>
          <w:b/>
          <w:lang w:eastAsia="en-GB"/>
        </w:rPr>
      </w:pPr>
      <w:r w:rsidRPr="00A37D53">
        <w:rPr>
          <w:rFonts w:eastAsia="Times New Roman"/>
          <w:b/>
          <w:lang w:eastAsia="en-GB"/>
        </w:rPr>
        <w:t xml:space="preserve">Table 2: Wage rate of the sample       </w:t>
      </w:r>
    </w:p>
    <w:tbl>
      <w:tblPr>
        <w:tblStyle w:val="TableGrid"/>
        <w:tblW w:w="5392" w:type="dxa"/>
        <w:tblLook w:val="04A0" w:firstRow="1" w:lastRow="0" w:firstColumn="1" w:lastColumn="0" w:noHBand="0" w:noVBand="1"/>
      </w:tblPr>
      <w:tblGrid>
        <w:gridCol w:w="3472"/>
        <w:gridCol w:w="960"/>
        <w:gridCol w:w="960"/>
      </w:tblGrid>
      <w:tr w:rsidR="00086D07" w:rsidRPr="00DB5B50" w14:paraId="16A9E60C" w14:textId="77777777" w:rsidTr="00086D07">
        <w:trPr>
          <w:trHeight w:val="300"/>
        </w:trPr>
        <w:tc>
          <w:tcPr>
            <w:tcW w:w="3472" w:type="dxa"/>
            <w:noWrap/>
            <w:hideMark/>
          </w:tcPr>
          <w:p w14:paraId="4C3C8E62" w14:textId="77777777" w:rsidR="00086D07" w:rsidRPr="00DB5B50" w:rsidRDefault="00086D07" w:rsidP="00086D07">
            <w:pPr>
              <w:rPr>
                <w:rFonts w:eastAsiaTheme="minorHAnsi"/>
                <w:color w:val="000000"/>
                <w:sz w:val="24"/>
                <w:szCs w:val="24"/>
                <w:lang w:eastAsia="en-US"/>
              </w:rPr>
            </w:pPr>
            <w:r w:rsidRPr="00DB5B50">
              <w:rPr>
                <w:color w:val="000000"/>
                <w:sz w:val="24"/>
                <w:szCs w:val="24"/>
              </w:rPr>
              <w:t>Gross wage per hour</w:t>
            </w:r>
          </w:p>
        </w:tc>
        <w:tc>
          <w:tcPr>
            <w:tcW w:w="960" w:type="dxa"/>
            <w:noWrap/>
            <w:hideMark/>
          </w:tcPr>
          <w:p w14:paraId="4A2F3252" w14:textId="77777777" w:rsidR="00086D07" w:rsidRPr="00DB5B50" w:rsidRDefault="00086D07" w:rsidP="00086D07">
            <w:pPr>
              <w:rPr>
                <w:rFonts w:eastAsiaTheme="minorHAnsi"/>
                <w:color w:val="000000"/>
                <w:sz w:val="24"/>
                <w:szCs w:val="24"/>
                <w:lang w:eastAsia="en-US"/>
              </w:rPr>
            </w:pPr>
            <w:r w:rsidRPr="00DB5B50">
              <w:rPr>
                <w:color w:val="000000"/>
                <w:sz w:val="24"/>
                <w:szCs w:val="24"/>
              </w:rPr>
              <w:t>N</w:t>
            </w:r>
          </w:p>
        </w:tc>
        <w:tc>
          <w:tcPr>
            <w:tcW w:w="960" w:type="dxa"/>
            <w:noWrap/>
            <w:hideMark/>
          </w:tcPr>
          <w:p w14:paraId="0FAA6323" w14:textId="77777777" w:rsidR="00086D07" w:rsidRPr="00DB5B50" w:rsidRDefault="00086D07" w:rsidP="00086D07">
            <w:pPr>
              <w:rPr>
                <w:rFonts w:eastAsiaTheme="minorHAnsi"/>
                <w:color w:val="000000"/>
                <w:sz w:val="24"/>
                <w:szCs w:val="24"/>
                <w:lang w:eastAsia="en-US"/>
              </w:rPr>
            </w:pPr>
            <w:r w:rsidRPr="00DB5B50">
              <w:rPr>
                <w:color w:val="000000"/>
                <w:sz w:val="24"/>
                <w:szCs w:val="24"/>
              </w:rPr>
              <w:t>%</w:t>
            </w:r>
          </w:p>
        </w:tc>
      </w:tr>
      <w:tr w:rsidR="00086D07" w:rsidRPr="00DB5B50" w14:paraId="3E1B1134" w14:textId="77777777" w:rsidTr="00086D07">
        <w:trPr>
          <w:trHeight w:val="300"/>
        </w:trPr>
        <w:tc>
          <w:tcPr>
            <w:tcW w:w="3472" w:type="dxa"/>
            <w:noWrap/>
            <w:hideMark/>
          </w:tcPr>
          <w:p w14:paraId="0EEB13E8" w14:textId="77777777" w:rsidR="00086D07" w:rsidRPr="00DB5B50" w:rsidRDefault="00086D07" w:rsidP="00086D07">
            <w:pPr>
              <w:rPr>
                <w:rFonts w:eastAsiaTheme="minorHAnsi"/>
                <w:color w:val="000000"/>
                <w:sz w:val="24"/>
                <w:szCs w:val="24"/>
                <w:lang w:eastAsia="en-US"/>
              </w:rPr>
            </w:pPr>
            <w:r w:rsidRPr="00DB5B50">
              <w:rPr>
                <w:color w:val="000000"/>
                <w:sz w:val="24"/>
                <w:szCs w:val="24"/>
              </w:rPr>
              <w:t>Apprentices</w:t>
            </w:r>
          </w:p>
        </w:tc>
        <w:tc>
          <w:tcPr>
            <w:tcW w:w="960" w:type="dxa"/>
            <w:noWrap/>
            <w:hideMark/>
          </w:tcPr>
          <w:p w14:paraId="6B6771F0" w14:textId="77777777" w:rsidR="00086D07" w:rsidRPr="00DB5B50" w:rsidRDefault="00086D07" w:rsidP="00086D07">
            <w:pPr>
              <w:rPr>
                <w:rFonts w:eastAsiaTheme="minorHAnsi"/>
                <w:color w:val="000000"/>
                <w:sz w:val="24"/>
                <w:szCs w:val="24"/>
                <w:lang w:eastAsia="en-US"/>
              </w:rPr>
            </w:pPr>
            <w:r w:rsidRPr="00DB5B50">
              <w:rPr>
                <w:color w:val="000000"/>
                <w:sz w:val="24"/>
                <w:szCs w:val="24"/>
              </w:rPr>
              <w:t>5</w:t>
            </w:r>
          </w:p>
        </w:tc>
        <w:tc>
          <w:tcPr>
            <w:tcW w:w="960" w:type="dxa"/>
            <w:noWrap/>
            <w:hideMark/>
          </w:tcPr>
          <w:p w14:paraId="7A8AE90A" w14:textId="77777777" w:rsidR="00086D07" w:rsidRPr="00DB5B50" w:rsidRDefault="00086D07" w:rsidP="00086D07">
            <w:pPr>
              <w:rPr>
                <w:rFonts w:eastAsiaTheme="minorHAnsi"/>
                <w:color w:val="000000"/>
                <w:sz w:val="24"/>
                <w:szCs w:val="24"/>
                <w:lang w:eastAsia="en-US"/>
              </w:rPr>
            </w:pPr>
            <w:r w:rsidRPr="00DB5B50">
              <w:rPr>
                <w:color w:val="000000"/>
                <w:sz w:val="24"/>
                <w:szCs w:val="24"/>
              </w:rPr>
              <w:t>1</w:t>
            </w:r>
            <w:r>
              <w:rPr>
                <w:color w:val="000000"/>
                <w:sz w:val="24"/>
                <w:szCs w:val="24"/>
              </w:rPr>
              <w:t>.0</w:t>
            </w:r>
          </w:p>
        </w:tc>
      </w:tr>
      <w:tr w:rsidR="00086D07" w:rsidRPr="00DB5B50" w14:paraId="10BF6103" w14:textId="77777777" w:rsidTr="00086D07">
        <w:trPr>
          <w:trHeight w:val="300"/>
        </w:trPr>
        <w:tc>
          <w:tcPr>
            <w:tcW w:w="3472" w:type="dxa"/>
            <w:noWrap/>
            <w:hideMark/>
          </w:tcPr>
          <w:p w14:paraId="2F6FD960" w14:textId="77777777" w:rsidR="00086D07" w:rsidRPr="00DB5B50" w:rsidRDefault="00086D07" w:rsidP="00086D07">
            <w:pPr>
              <w:rPr>
                <w:rFonts w:eastAsiaTheme="minorHAnsi"/>
                <w:color w:val="000000"/>
                <w:sz w:val="24"/>
                <w:szCs w:val="24"/>
                <w:lang w:eastAsia="en-US"/>
              </w:rPr>
            </w:pPr>
            <w:r w:rsidRPr="00DB5B50">
              <w:rPr>
                <w:color w:val="000000"/>
                <w:sz w:val="24"/>
                <w:szCs w:val="24"/>
              </w:rPr>
              <w:t>Living wage or living wage supplement</w:t>
            </w:r>
          </w:p>
        </w:tc>
        <w:tc>
          <w:tcPr>
            <w:tcW w:w="960" w:type="dxa"/>
            <w:noWrap/>
            <w:hideMark/>
          </w:tcPr>
          <w:p w14:paraId="70F2F769" w14:textId="77777777" w:rsidR="00086D07" w:rsidRPr="00DB5B50" w:rsidRDefault="00086D07" w:rsidP="00086D07">
            <w:pPr>
              <w:rPr>
                <w:rFonts w:eastAsiaTheme="minorHAnsi"/>
                <w:color w:val="000000"/>
                <w:sz w:val="24"/>
                <w:szCs w:val="24"/>
                <w:lang w:eastAsia="en-US"/>
              </w:rPr>
            </w:pPr>
            <w:r w:rsidRPr="00DB5B50">
              <w:rPr>
                <w:color w:val="000000"/>
                <w:sz w:val="24"/>
                <w:szCs w:val="24"/>
              </w:rPr>
              <w:t>193</w:t>
            </w:r>
          </w:p>
        </w:tc>
        <w:tc>
          <w:tcPr>
            <w:tcW w:w="960" w:type="dxa"/>
            <w:noWrap/>
            <w:hideMark/>
          </w:tcPr>
          <w:p w14:paraId="340A788C" w14:textId="77777777" w:rsidR="00086D07" w:rsidRPr="00DB5B50" w:rsidRDefault="00086D07" w:rsidP="00086D07">
            <w:pPr>
              <w:rPr>
                <w:rFonts w:eastAsiaTheme="minorHAnsi"/>
                <w:color w:val="000000"/>
                <w:sz w:val="24"/>
                <w:szCs w:val="24"/>
                <w:lang w:eastAsia="en-US"/>
              </w:rPr>
            </w:pPr>
            <w:r w:rsidRPr="00DB5B50">
              <w:rPr>
                <w:color w:val="000000"/>
                <w:sz w:val="24"/>
                <w:szCs w:val="24"/>
              </w:rPr>
              <w:t>39.3</w:t>
            </w:r>
          </w:p>
        </w:tc>
      </w:tr>
      <w:tr w:rsidR="00086D07" w:rsidRPr="00DB5B50" w14:paraId="7F34D445" w14:textId="77777777" w:rsidTr="00086D07">
        <w:trPr>
          <w:trHeight w:val="300"/>
        </w:trPr>
        <w:tc>
          <w:tcPr>
            <w:tcW w:w="3472" w:type="dxa"/>
            <w:noWrap/>
            <w:hideMark/>
          </w:tcPr>
          <w:p w14:paraId="18F974E0" w14:textId="77777777" w:rsidR="00086D07" w:rsidRPr="00DB5B50" w:rsidRDefault="00086D07" w:rsidP="00086D07">
            <w:pPr>
              <w:rPr>
                <w:rFonts w:eastAsiaTheme="minorHAnsi"/>
                <w:color w:val="000000"/>
                <w:sz w:val="24"/>
                <w:szCs w:val="24"/>
                <w:lang w:eastAsia="en-US"/>
              </w:rPr>
            </w:pPr>
            <w:r w:rsidRPr="00DB5B50">
              <w:rPr>
                <w:color w:val="000000"/>
                <w:sz w:val="24"/>
                <w:szCs w:val="24"/>
              </w:rPr>
              <w:t>£7.66-£8.00</w:t>
            </w:r>
          </w:p>
        </w:tc>
        <w:tc>
          <w:tcPr>
            <w:tcW w:w="960" w:type="dxa"/>
            <w:noWrap/>
            <w:hideMark/>
          </w:tcPr>
          <w:p w14:paraId="35058579" w14:textId="77777777" w:rsidR="00086D07" w:rsidRPr="00DB5B50" w:rsidRDefault="00086D07" w:rsidP="00086D07">
            <w:pPr>
              <w:rPr>
                <w:rFonts w:eastAsiaTheme="minorHAnsi"/>
                <w:color w:val="000000"/>
                <w:sz w:val="24"/>
                <w:szCs w:val="24"/>
                <w:lang w:eastAsia="en-US"/>
              </w:rPr>
            </w:pPr>
            <w:r w:rsidRPr="00DB5B50">
              <w:rPr>
                <w:color w:val="000000"/>
                <w:sz w:val="24"/>
                <w:szCs w:val="24"/>
              </w:rPr>
              <w:t>23</w:t>
            </w:r>
          </w:p>
        </w:tc>
        <w:tc>
          <w:tcPr>
            <w:tcW w:w="960" w:type="dxa"/>
            <w:noWrap/>
            <w:hideMark/>
          </w:tcPr>
          <w:p w14:paraId="2FDE5377" w14:textId="77777777" w:rsidR="00086D07" w:rsidRPr="00DB5B50" w:rsidRDefault="00086D07" w:rsidP="00086D07">
            <w:pPr>
              <w:rPr>
                <w:rFonts w:eastAsiaTheme="minorHAnsi"/>
                <w:color w:val="000000"/>
                <w:sz w:val="24"/>
                <w:szCs w:val="24"/>
                <w:lang w:eastAsia="en-US"/>
              </w:rPr>
            </w:pPr>
            <w:r w:rsidRPr="00DB5B50">
              <w:rPr>
                <w:color w:val="000000"/>
                <w:sz w:val="24"/>
                <w:szCs w:val="24"/>
              </w:rPr>
              <w:t>4.7</w:t>
            </w:r>
          </w:p>
        </w:tc>
      </w:tr>
      <w:tr w:rsidR="00086D07" w:rsidRPr="00DB5B50" w14:paraId="18C4208A" w14:textId="77777777" w:rsidTr="00086D07">
        <w:trPr>
          <w:trHeight w:val="300"/>
        </w:trPr>
        <w:tc>
          <w:tcPr>
            <w:tcW w:w="3472" w:type="dxa"/>
            <w:noWrap/>
            <w:hideMark/>
          </w:tcPr>
          <w:p w14:paraId="28C04551" w14:textId="77777777" w:rsidR="00086D07" w:rsidRPr="00DB5B50" w:rsidRDefault="00086D07" w:rsidP="00086D07">
            <w:pPr>
              <w:rPr>
                <w:rFonts w:eastAsiaTheme="minorHAnsi"/>
                <w:color w:val="000000"/>
                <w:sz w:val="24"/>
                <w:szCs w:val="24"/>
                <w:lang w:eastAsia="en-US"/>
              </w:rPr>
            </w:pPr>
            <w:r w:rsidRPr="00DB5B50">
              <w:rPr>
                <w:color w:val="000000"/>
                <w:sz w:val="24"/>
                <w:szCs w:val="24"/>
              </w:rPr>
              <w:t>£8.01-£8.50</w:t>
            </w:r>
          </w:p>
        </w:tc>
        <w:tc>
          <w:tcPr>
            <w:tcW w:w="960" w:type="dxa"/>
            <w:noWrap/>
            <w:hideMark/>
          </w:tcPr>
          <w:p w14:paraId="732FFDA1" w14:textId="77777777" w:rsidR="00086D07" w:rsidRPr="00DB5B50" w:rsidRDefault="00086D07" w:rsidP="00086D07">
            <w:pPr>
              <w:rPr>
                <w:rFonts w:eastAsiaTheme="minorHAnsi"/>
                <w:color w:val="000000"/>
                <w:sz w:val="24"/>
                <w:szCs w:val="24"/>
                <w:lang w:eastAsia="en-US"/>
              </w:rPr>
            </w:pPr>
            <w:r w:rsidRPr="00DB5B50">
              <w:rPr>
                <w:color w:val="000000"/>
                <w:sz w:val="24"/>
                <w:szCs w:val="24"/>
              </w:rPr>
              <w:t>133</w:t>
            </w:r>
          </w:p>
        </w:tc>
        <w:tc>
          <w:tcPr>
            <w:tcW w:w="960" w:type="dxa"/>
            <w:noWrap/>
            <w:hideMark/>
          </w:tcPr>
          <w:p w14:paraId="1321F517" w14:textId="77777777" w:rsidR="00086D07" w:rsidRPr="00DB5B50" w:rsidRDefault="00086D07" w:rsidP="00086D07">
            <w:pPr>
              <w:rPr>
                <w:rFonts w:eastAsiaTheme="minorHAnsi"/>
                <w:color w:val="000000"/>
                <w:sz w:val="24"/>
                <w:szCs w:val="24"/>
                <w:lang w:eastAsia="en-US"/>
              </w:rPr>
            </w:pPr>
            <w:r w:rsidRPr="00DB5B50">
              <w:rPr>
                <w:color w:val="000000"/>
                <w:sz w:val="24"/>
                <w:szCs w:val="24"/>
              </w:rPr>
              <w:t>27.1</w:t>
            </w:r>
          </w:p>
        </w:tc>
      </w:tr>
      <w:tr w:rsidR="00086D07" w:rsidRPr="00DB5B50" w14:paraId="54710A99" w14:textId="77777777" w:rsidTr="00086D07">
        <w:trPr>
          <w:trHeight w:val="300"/>
        </w:trPr>
        <w:tc>
          <w:tcPr>
            <w:tcW w:w="3472" w:type="dxa"/>
            <w:noWrap/>
            <w:hideMark/>
          </w:tcPr>
          <w:p w14:paraId="372115EA" w14:textId="77777777" w:rsidR="00086D07" w:rsidRPr="00DB5B50" w:rsidRDefault="00086D07" w:rsidP="00086D07">
            <w:pPr>
              <w:rPr>
                <w:rFonts w:eastAsiaTheme="minorHAnsi"/>
                <w:color w:val="000000"/>
                <w:sz w:val="24"/>
                <w:szCs w:val="24"/>
                <w:lang w:eastAsia="en-US"/>
              </w:rPr>
            </w:pPr>
            <w:r w:rsidRPr="00DB5B50">
              <w:rPr>
                <w:color w:val="000000"/>
                <w:sz w:val="24"/>
                <w:szCs w:val="24"/>
              </w:rPr>
              <w:t>£8.51-£9.00</w:t>
            </w:r>
          </w:p>
        </w:tc>
        <w:tc>
          <w:tcPr>
            <w:tcW w:w="960" w:type="dxa"/>
            <w:noWrap/>
            <w:hideMark/>
          </w:tcPr>
          <w:p w14:paraId="0B528C4D" w14:textId="77777777" w:rsidR="00086D07" w:rsidRPr="00DB5B50" w:rsidRDefault="00086D07" w:rsidP="00086D07">
            <w:pPr>
              <w:rPr>
                <w:rFonts w:eastAsiaTheme="minorHAnsi"/>
                <w:color w:val="000000"/>
                <w:sz w:val="24"/>
                <w:szCs w:val="24"/>
                <w:lang w:eastAsia="en-US"/>
              </w:rPr>
            </w:pPr>
            <w:r w:rsidRPr="00DB5B50">
              <w:rPr>
                <w:color w:val="000000"/>
                <w:sz w:val="24"/>
                <w:szCs w:val="24"/>
              </w:rPr>
              <w:t>48</w:t>
            </w:r>
          </w:p>
        </w:tc>
        <w:tc>
          <w:tcPr>
            <w:tcW w:w="960" w:type="dxa"/>
            <w:noWrap/>
            <w:hideMark/>
          </w:tcPr>
          <w:p w14:paraId="78DD14BA" w14:textId="77777777" w:rsidR="00086D07" w:rsidRPr="00DB5B50" w:rsidRDefault="00086D07" w:rsidP="00086D07">
            <w:pPr>
              <w:rPr>
                <w:rFonts w:eastAsiaTheme="minorHAnsi"/>
                <w:color w:val="000000"/>
                <w:sz w:val="24"/>
                <w:szCs w:val="24"/>
                <w:lang w:eastAsia="en-US"/>
              </w:rPr>
            </w:pPr>
            <w:r w:rsidRPr="00DB5B50">
              <w:rPr>
                <w:color w:val="000000"/>
                <w:sz w:val="24"/>
                <w:szCs w:val="24"/>
              </w:rPr>
              <w:t>9.8</w:t>
            </w:r>
          </w:p>
        </w:tc>
      </w:tr>
      <w:tr w:rsidR="00086D07" w:rsidRPr="00DB5B50" w14:paraId="5208D1A4" w14:textId="77777777" w:rsidTr="00086D07">
        <w:trPr>
          <w:trHeight w:val="300"/>
        </w:trPr>
        <w:tc>
          <w:tcPr>
            <w:tcW w:w="3472" w:type="dxa"/>
            <w:noWrap/>
            <w:hideMark/>
          </w:tcPr>
          <w:p w14:paraId="0FB06022" w14:textId="77777777" w:rsidR="00086D07" w:rsidRPr="00DB5B50" w:rsidRDefault="00086D07" w:rsidP="00086D07">
            <w:pPr>
              <w:rPr>
                <w:rFonts w:eastAsiaTheme="minorHAnsi"/>
                <w:color w:val="000000"/>
                <w:sz w:val="24"/>
                <w:szCs w:val="24"/>
                <w:lang w:eastAsia="en-US"/>
              </w:rPr>
            </w:pPr>
            <w:r w:rsidRPr="00DB5B50">
              <w:rPr>
                <w:color w:val="000000"/>
                <w:sz w:val="24"/>
                <w:szCs w:val="24"/>
              </w:rPr>
              <w:lastRenderedPageBreak/>
              <w:t>Greater than £9.00</w:t>
            </w:r>
          </w:p>
        </w:tc>
        <w:tc>
          <w:tcPr>
            <w:tcW w:w="960" w:type="dxa"/>
            <w:noWrap/>
            <w:hideMark/>
          </w:tcPr>
          <w:p w14:paraId="7C64B5F0" w14:textId="77777777" w:rsidR="00086D07" w:rsidRPr="00DB5B50" w:rsidRDefault="00086D07" w:rsidP="00086D07">
            <w:pPr>
              <w:rPr>
                <w:rFonts w:eastAsiaTheme="minorHAnsi"/>
                <w:color w:val="000000"/>
                <w:sz w:val="24"/>
                <w:szCs w:val="24"/>
                <w:lang w:eastAsia="en-US"/>
              </w:rPr>
            </w:pPr>
            <w:r w:rsidRPr="00DB5B50">
              <w:rPr>
                <w:color w:val="000000"/>
                <w:sz w:val="24"/>
                <w:szCs w:val="24"/>
              </w:rPr>
              <w:t>89</w:t>
            </w:r>
          </w:p>
        </w:tc>
        <w:tc>
          <w:tcPr>
            <w:tcW w:w="960" w:type="dxa"/>
            <w:noWrap/>
            <w:hideMark/>
          </w:tcPr>
          <w:p w14:paraId="3EA4C43B" w14:textId="77777777" w:rsidR="00086D07" w:rsidRPr="00DB5B50" w:rsidRDefault="00086D07" w:rsidP="00086D07">
            <w:pPr>
              <w:rPr>
                <w:rFonts w:eastAsiaTheme="minorHAnsi"/>
                <w:color w:val="000000"/>
                <w:sz w:val="24"/>
                <w:szCs w:val="24"/>
                <w:lang w:eastAsia="en-US"/>
              </w:rPr>
            </w:pPr>
            <w:r w:rsidRPr="00DB5B50">
              <w:rPr>
                <w:color w:val="000000"/>
                <w:sz w:val="24"/>
                <w:szCs w:val="24"/>
              </w:rPr>
              <w:t>18.1</w:t>
            </w:r>
          </w:p>
        </w:tc>
      </w:tr>
      <w:tr w:rsidR="00086D07" w:rsidRPr="00DB5B50" w14:paraId="40FA3C2B" w14:textId="77777777" w:rsidTr="00086D07">
        <w:trPr>
          <w:trHeight w:val="300"/>
        </w:trPr>
        <w:tc>
          <w:tcPr>
            <w:tcW w:w="3472" w:type="dxa"/>
            <w:noWrap/>
            <w:hideMark/>
          </w:tcPr>
          <w:p w14:paraId="375F61FC" w14:textId="77777777" w:rsidR="00086D07" w:rsidRPr="00DB5B50" w:rsidRDefault="00086D07" w:rsidP="00086D07">
            <w:pPr>
              <w:rPr>
                <w:rFonts w:eastAsiaTheme="minorHAnsi"/>
                <w:color w:val="000000"/>
                <w:sz w:val="24"/>
                <w:szCs w:val="24"/>
                <w:lang w:eastAsia="en-US"/>
              </w:rPr>
            </w:pPr>
          </w:p>
        </w:tc>
        <w:tc>
          <w:tcPr>
            <w:tcW w:w="960" w:type="dxa"/>
            <w:noWrap/>
            <w:hideMark/>
          </w:tcPr>
          <w:p w14:paraId="613EDF7B" w14:textId="77777777" w:rsidR="00086D07" w:rsidRPr="00DB5B50" w:rsidRDefault="00086D07" w:rsidP="00086D07">
            <w:pPr>
              <w:rPr>
                <w:rFonts w:eastAsiaTheme="minorHAnsi"/>
                <w:color w:val="000000"/>
                <w:sz w:val="24"/>
                <w:szCs w:val="24"/>
                <w:lang w:eastAsia="en-US"/>
              </w:rPr>
            </w:pPr>
            <w:r w:rsidRPr="00DB5B50">
              <w:rPr>
                <w:color w:val="000000"/>
                <w:sz w:val="24"/>
                <w:szCs w:val="24"/>
              </w:rPr>
              <w:t>491</w:t>
            </w:r>
          </w:p>
        </w:tc>
        <w:tc>
          <w:tcPr>
            <w:tcW w:w="960" w:type="dxa"/>
            <w:noWrap/>
            <w:hideMark/>
          </w:tcPr>
          <w:p w14:paraId="441050D8" w14:textId="77777777" w:rsidR="00086D07" w:rsidRPr="00DB5B50" w:rsidRDefault="00086D07" w:rsidP="00086D07">
            <w:pPr>
              <w:rPr>
                <w:rFonts w:eastAsiaTheme="minorHAnsi"/>
                <w:color w:val="000000"/>
                <w:sz w:val="24"/>
                <w:szCs w:val="24"/>
                <w:lang w:eastAsia="en-US"/>
              </w:rPr>
            </w:pPr>
            <w:r w:rsidRPr="00DB5B50">
              <w:rPr>
                <w:color w:val="000000"/>
                <w:sz w:val="24"/>
                <w:szCs w:val="24"/>
              </w:rPr>
              <w:t>100</w:t>
            </w:r>
          </w:p>
        </w:tc>
      </w:tr>
    </w:tbl>
    <w:p w14:paraId="5AE32552" w14:textId="77777777" w:rsidR="00086D07" w:rsidRPr="00DB5B50" w:rsidRDefault="00086D07" w:rsidP="00086D07">
      <w:pPr>
        <w:spacing w:line="360" w:lineRule="auto"/>
        <w:rPr>
          <w:rFonts w:eastAsia="Times New Roman"/>
          <w:lang w:eastAsia="en-GB"/>
        </w:rPr>
      </w:pPr>
    </w:p>
    <w:p w14:paraId="6E19BCD7" w14:textId="77777777" w:rsidR="001A5A5F" w:rsidRPr="00A66C6C" w:rsidRDefault="001A5A5F" w:rsidP="001A5A5F">
      <w:pPr>
        <w:spacing w:line="360" w:lineRule="auto"/>
        <w:rPr>
          <w:b/>
        </w:rPr>
      </w:pPr>
      <w:r w:rsidRPr="00A66C6C">
        <w:rPr>
          <w:b/>
        </w:rPr>
        <w:t>Table 3: Household composition by number of people employed</w:t>
      </w:r>
    </w:p>
    <w:tbl>
      <w:tblPr>
        <w:tblStyle w:val="TableGrid"/>
        <w:tblW w:w="0" w:type="auto"/>
        <w:tblLook w:val="04A0" w:firstRow="1" w:lastRow="0" w:firstColumn="1" w:lastColumn="0" w:noHBand="0" w:noVBand="1"/>
      </w:tblPr>
      <w:tblGrid>
        <w:gridCol w:w="4615"/>
        <w:gridCol w:w="782"/>
        <w:gridCol w:w="781"/>
        <w:gridCol w:w="618"/>
        <w:gridCol w:w="618"/>
        <w:gridCol w:w="455"/>
        <w:gridCol w:w="455"/>
        <w:gridCol w:w="723"/>
      </w:tblGrid>
      <w:tr w:rsidR="001A5A5F" w:rsidRPr="00DB5B50" w14:paraId="4E7FE67D" w14:textId="77777777" w:rsidTr="001A5A5F">
        <w:trPr>
          <w:trHeight w:val="315"/>
        </w:trPr>
        <w:tc>
          <w:tcPr>
            <w:tcW w:w="0" w:type="auto"/>
            <w:vMerge w:val="restart"/>
            <w:hideMark/>
          </w:tcPr>
          <w:p w14:paraId="6C6E65CF" w14:textId="77777777" w:rsidR="001A5A5F" w:rsidRPr="00DB5B50" w:rsidRDefault="001A5A5F" w:rsidP="001A5A5F">
            <w:pPr>
              <w:rPr>
                <w:rFonts w:eastAsiaTheme="minorHAnsi"/>
                <w:color w:val="000000"/>
                <w:sz w:val="24"/>
                <w:szCs w:val="24"/>
                <w:lang w:eastAsia="en-US"/>
              </w:rPr>
            </w:pPr>
            <w:r w:rsidRPr="00DB5B50">
              <w:rPr>
                <w:color w:val="000000"/>
                <w:sz w:val="24"/>
                <w:szCs w:val="24"/>
              </w:rPr>
              <w:t> </w:t>
            </w:r>
          </w:p>
        </w:tc>
        <w:tc>
          <w:tcPr>
            <w:tcW w:w="0" w:type="auto"/>
            <w:gridSpan w:val="6"/>
            <w:hideMark/>
          </w:tcPr>
          <w:p w14:paraId="6244B101" w14:textId="77777777" w:rsidR="001A5A5F" w:rsidRPr="00DB5B50" w:rsidRDefault="001A5A5F" w:rsidP="001A5A5F">
            <w:pPr>
              <w:rPr>
                <w:rFonts w:eastAsiaTheme="minorHAnsi"/>
                <w:color w:val="000000"/>
                <w:sz w:val="24"/>
                <w:szCs w:val="24"/>
                <w:lang w:eastAsia="en-US"/>
              </w:rPr>
            </w:pPr>
            <w:r w:rsidRPr="00DB5B50">
              <w:rPr>
                <w:color w:val="000000"/>
                <w:sz w:val="24"/>
                <w:szCs w:val="24"/>
              </w:rPr>
              <w:t>Number of people with employment</w:t>
            </w:r>
          </w:p>
        </w:tc>
        <w:tc>
          <w:tcPr>
            <w:tcW w:w="0" w:type="auto"/>
            <w:vMerge w:val="restart"/>
            <w:hideMark/>
          </w:tcPr>
          <w:p w14:paraId="0047687B" w14:textId="77777777" w:rsidR="001A5A5F" w:rsidRPr="00DB5B50" w:rsidRDefault="001A5A5F" w:rsidP="001A5A5F">
            <w:pPr>
              <w:rPr>
                <w:rFonts w:eastAsiaTheme="minorHAnsi"/>
                <w:color w:val="000000"/>
                <w:sz w:val="24"/>
                <w:szCs w:val="24"/>
                <w:lang w:eastAsia="en-US"/>
              </w:rPr>
            </w:pPr>
            <w:r w:rsidRPr="00DB5B50">
              <w:rPr>
                <w:color w:val="000000"/>
                <w:sz w:val="24"/>
                <w:szCs w:val="24"/>
              </w:rPr>
              <w:t>Total</w:t>
            </w:r>
          </w:p>
        </w:tc>
      </w:tr>
      <w:tr w:rsidR="001A5A5F" w:rsidRPr="00DB5B50" w14:paraId="33CE9C1A" w14:textId="77777777" w:rsidTr="001A5A5F">
        <w:trPr>
          <w:trHeight w:val="315"/>
        </w:trPr>
        <w:tc>
          <w:tcPr>
            <w:tcW w:w="0" w:type="auto"/>
            <w:vMerge/>
            <w:hideMark/>
          </w:tcPr>
          <w:p w14:paraId="1BBA1EE8" w14:textId="77777777" w:rsidR="001A5A5F" w:rsidRPr="00DB5B50" w:rsidRDefault="001A5A5F" w:rsidP="001A5A5F">
            <w:pPr>
              <w:rPr>
                <w:rFonts w:eastAsiaTheme="minorHAnsi"/>
                <w:color w:val="000000"/>
                <w:sz w:val="24"/>
                <w:szCs w:val="24"/>
                <w:lang w:eastAsia="en-US"/>
              </w:rPr>
            </w:pPr>
          </w:p>
        </w:tc>
        <w:tc>
          <w:tcPr>
            <w:tcW w:w="0" w:type="auto"/>
            <w:noWrap/>
            <w:hideMark/>
          </w:tcPr>
          <w:p w14:paraId="4E4075CF" w14:textId="77777777" w:rsidR="001A5A5F" w:rsidRPr="00DB5B50" w:rsidRDefault="001A5A5F" w:rsidP="001A5A5F">
            <w:pPr>
              <w:rPr>
                <w:rFonts w:eastAsiaTheme="minorHAnsi"/>
                <w:color w:val="000000"/>
                <w:sz w:val="24"/>
                <w:szCs w:val="24"/>
                <w:lang w:eastAsia="en-US"/>
              </w:rPr>
            </w:pPr>
            <w:r w:rsidRPr="00DB5B50">
              <w:rPr>
                <w:color w:val="000000"/>
                <w:sz w:val="24"/>
                <w:szCs w:val="24"/>
              </w:rPr>
              <w:t>1</w:t>
            </w:r>
          </w:p>
        </w:tc>
        <w:tc>
          <w:tcPr>
            <w:tcW w:w="0" w:type="auto"/>
            <w:noWrap/>
            <w:hideMark/>
          </w:tcPr>
          <w:p w14:paraId="19F463A3" w14:textId="77777777" w:rsidR="001A5A5F" w:rsidRPr="00DB5B50" w:rsidRDefault="001A5A5F" w:rsidP="001A5A5F">
            <w:pPr>
              <w:rPr>
                <w:rFonts w:eastAsiaTheme="minorHAnsi"/>
                <w:color w:val="000000"/>
                <w:sz w:val="24"/>
                <w:szCs w:val="24"/>
                <w:lang w:eastAsia="en-US"/>
              </w:rPr>
            </w:pPr>
            <w:r w:rsidRPr="00DB5B50">
              <w:rPr>
                <w:color w:val="000000"/>
                <w:sz w:val="24"/>
                <w:szCs w:val="24"/>
              </w:rPr>
              <w:t>2</w:t>
            </w:r>
          </w:p>
        </w:tc>
        <w:tc>
          <w:tcPr>
            <w:tcW w:w="0" w:type="auto"/>
            <w:noWrap/>
            <w:hideMark/>
          </w:tcPr>
          <w:p w14:paraId="4F9F2B19" w14:textId="77777777" w:rsidR="001A5A5F" w:rsidRPr="00DB5B50" w:rsidRDefault="001A5A5F" w:rsidP="001A5A5F">
            <w:pPr>
              <w:rPr>
                <w:rFonts w:eastAsiaTheme="minorHAnsi"/>
                <w:color w:val="000000"/>
                <w:sz w:val="24"/>
                <w:szCs w:val="24"/>
                <w:lang w:eastAsia="en-US"/>
              </w:rPr>
            </w:pPr>
            <w:r w:rsidRPr="00DB5B50">
              <w:rPr>
                <w:color w:val="000000"/>
                <w:sz w:val="24"/>
                <w:szCs w:val="24"/>
              </w:rPr>
              <w:t>3</w:t>
            </w:r>
          </w:p>
        </w:tc>
        <w:tc>
          <w:tcPr>
            <w:tcW w:w="0" w:type="auto"/>
            <w:noWrap/>
            <w:hideMark/>
          </w:tcPr>
          <w:p w14:paraId="2845317B" w14:textId="77777777" w:rsidR="001A5A5F" w:rsidRPr="00DB5B50" w:rsidRDefault="001A5A5F" w:rsidP="001A5A5F">
            <w:pPr>
              <w:rPr>
                <w:rFonts w:eastAsiaTheme="minorHAnsi"/>
                <w:color w:val="000000"/>
                <w:sz w:val="24"/>
                <w:szCs w:val="24"/>
                <w:lang w:eastAsia="en-US"/>
              </w:rPr>
            </w:pPr>
            <w:r w:rsidRPr="00DB5B50">
              <w:rPr>
                <w:color w:val="000000"/>
                <w:sz w:val="24"/>
                <w:szCs w:val="24"/>
              </w:rPr>
              <w:t>4</w:t>
            </w:r>
          </w:p>
        </w:tc>
        <w:tc>
          <w:tcPr>
            <w:tcW w:w="0" w:type="auto"/>
            <w:noWrap/>
            <w:hideMark/>
          </w:tcPr>
          <w:p w14:paraId="0187F588" w14:textId="77777777" w:rsidR="001A5A5F" w:rsidRPr="00DB5B50" w:rsidRDefault="001A5A5F" w:rsidP="001A5A5F">
            <w:pPr>
              <w:rPr>
                <w:rFonts w:eastAsiaTheme="minorHAnsi"/>
                <w:color w:val="000000"/>
                <w:sz w:val="24"/>
                <w:szCs w:val="24"/>
                <w:lang w:eastAsia="en-US"/>
              </w:rPr>
            </w:pPr>
            <w:r w:rsidRPr="00DB5B50">
              <w:rPr>
                <w:color w:val="000000"/>
                <w:sz w:val="24"/>
                <w:szCs w:val="24"/>
              </w:rPr>
              <w:t>5</w:t>
            </w:r>
          </w:p>
        </w:tc>
        <w:tc>
          <w:tcPr>
            <w:tcW w:w="0" w:type="auto"/>
            <w:noWrap/>
            <w:hideMark/>
          </w:tcPr>
          <w:p w14:paraId="57E31E93" w14:textId="77777777" w:rsidR="001A5A5F" w:rsidRPr="00DB5B50" w:rsidRDefault="001A5A5F" w:rsidP="001A5A5F">
            <w:pPr>
              <w:rPr>
                <w:rFonts w:eastAsiaTheme="minorHAnsi"/>
                <w:color w:val="000000"/>
                <w:sz w:val="24"/>
                <w:szCs w:val="24"/>
                <w:lang w:eastAsia="en-US"/>
              </w:rPr>
            </w:pPr>
            <w:r w:rsidRPr="00DB5B50">
              <w:rPr>
                <w:color w:val="000000"/>
                <w:sz w:val="24"/>
                <w:szCs w:val="24"/>
              </w:rPr>
              <w:t>6</w:t>
            </w:r>
          </w:p>
        </w:tc>
        <w:tc>
          <w:tcPr>
            <w:tcW w:w="0" w:type="auto"/>
            <w:vMerge/>
            <w:hideMark/>
          </w:tcPr>
          <w:p w14:paraId="3F18C1C6" w14:textId="77777777" w:rsidR="001A5A5F" w:rsidRPr="00DB5B50" w:rsidRDefault="001A5A5F" w:rsidP="001A5A5F">
            <w:pPr>
              <w:rPr>
                <w:rFonts w:eastAsiaTheme="minorHAnsi"/>
                <w:color w:val="000000"/>
                <w:sz w:val="24"/>
                <w:szCs w:val="24"/>
                <w:lang w:eastAsia="en-US"/>
              </w:rPr>
            </w:pPr>
          </w:p>
        </w:tc>
      </w:tr>
      <w:tr w:rsidR="001A5A5F" w:rsidRPr="00DB5B50" w14:paraId="25C200C3" w14:textId="77777777" w:rsidTr="001A5A5F">
        <w:trPr>
          <w:trHeight w:val="209"/>
        </w:trPr>
        <w:tc>
          <w:tcPr>
            <w:tcW w:w="0" w:type="auto"/>
            <w:hideMark/>
          </w:tcPr>
          <w:p w14:paraId="18475CC0" w14:textId="77777777" w:rsidR="001A5A5F" w:rsidRPr="00DB5B50" w:rsidRDefault="001A5A5F" w:rsidP="001A5A5F">
            <w:pPr>
              <w:rPr>
                <w:rFonts w:eastAsiaTheme="minorHAnsi"/>
                <w:color w:val="000000"/>
                <w:sz w:val="24"/>
                <w:szCs w:val="24"/>
                <w:lang w:eastAsia="en-US"/>
              </w:rPr>
            </w:pPr>
            <w:r w:rsidRPr="00DB5B50">
              <w:rPr>
                <w:color w:val="000000"/>
                <w:sz w:val="24"/>
                <w:szCs w:val="24"/>
              </w:rPr>
              <w:t>Single</w:t>
            </w:r>
            <w:r>
              <w:rPr>
                <w:color w:val="000000"/>
                <w:sz w:val="24"/>
                <w:szCs w:val="24"/>
              </w:rPr>
              <w:t>-</w:t>
            </w:r>
            <w:r w:rsidRPr="00DB5B50">
              <w:rPr>
                <w:color w:val="000000"/>
                <w:sz w:val="24"/>
                <w:szCs w:val="24"/>
              </w:rPr>
              <w:t>unit households</w:t>
            </w:r>
          </w:p>
        </w:tc>
        <w:tc>
          <w:tcPr>
            <w:tcW w:w="0" w:type="auto"/>
            <w:noWrap/>
            <w:hideMark/>
          </w:tcPr>
          <w:p w14:paraId="04BDFA49" w14:textId="77777777" w:rsidR="001A5A5F" w:rsidRPr="00DB5B50" w:rsidRDefault="001A5A5F" w:rsidP="001A5A5F">
            <w:pPr>
              <w:rPr>
                <w:rFonts w:eastAsiaTheme="minorHAnsi"/>
                <w:color w:val="000000"/>
                <w:sz w:val="24"/>
                <w:szCs w:val="24"/>
                <w:lang w:eastAsia="en-US"/>
              </w:rPr>
            </w:pPr>
            <w:r w:rsidRPr="00DB5B50">
              <w:rPr>
                <w:color w:val="000000"/>
                <w:sz w:val="24"/>
                <w:szCs w:val="24"/>
              </w:rPr>
              <w:t>129</w:t>
            </w:r>
          </w:p>
        </w:tc>
        <w:tc>
          <w:tcPr>
            <w:tcW w:w="0" w:type="auto"/>
            <w:noWrap/>
            <w:hideMark/>
          </w:tcPr>
          <w:p w14:paraId="07376F68" w14:textId="77777777" w:rsidR="001A5A5F" w:rsidRPr="00DB5B50" w:rsidRDefault="001A5A5F" w:rsidP="001A5A5F">
            <w:pPr>
              <w:rPr>
                <w:rFonts w:eastAsiaTheme="minorHAnsi"/>
                <w:color w:val="000000"/>
                <w:sz w:val="24"/>
                <w:szCs w:val="24"/>
                <w:lang w:eastAsia="en-US"/>
              </w:rPr>
            </w:pPr>
            <w:r w:rsidRPr="00DB5B50">
              <w:rPr>
                <w:color w:val="000000"/>
                <w:sz w:val="24"/>
                <w:szCs w:val="24"/>
              </w:rPr>
              <w:t>184</w:t>
            </w:r>
          </w:p>
        </w:tc>
        <w:tc>
          <w:tcPr>
            <w:tcW w:w="0" w:type="auto"/>
            <w:noWrap/>
            <w:hideMark/>
          </w:tcPr>
          <w:p w14:paraId="74B994B0" w14:textId="77777777" w:rsidR="001A5A5F" w:rsidRPr="00DB5B50" w:rsidRDefault="001A5A5F" w:rsidP="001A5A5F">
            <w:pPr>
              <w:rPr>
                <w:rFonts w:eastAsiaTheme="minorHAnsi"/>
                <w:color w:val="000000"/>
                <w:sz w:val="24"/>
                <w:szCs w:val="24"/>
                <w:lang w:eastAsia="en-US"/>
              </w:rPr>
            </w:pPr>
            <w:r w:rsidRPr="00DB5B50">
              <w:rPr>
                <w:color w:val="000000"/>
                <w:sz w:val="24"/>
                <w:szCs w:val="24"/>
              </w:rPr>
              <w:t>10</w:t>
            </w:r>
          </w:p>
        </w:tc>
        <w:tc>
          <w:tcPr>
            <w:tcW w:w="0" w:type="auto"/>
            <w:noWrap/>
            <w:hideMark/>
          </w:tcPr>
          <w:p w14:paraId="0E8A0EB7" w14:textId="77777777" w:rsidR="001A5A5F" w:rsidRPr="00DB5B50" w:rsidRDefault="001A5A5F" w:rsidP="001A5A5F">
            <w:pPr>
              <w:rPr>
                <w:rFonts w:eastAsiaTheme="minorHAnsi"/>
                <w:color w:val="000000"/>
                <w:sz w:val="24"/>
                <w:szCs w:val="24"/>
                <w:lang w:eastAsia="en-US"/>
              </w:rPr>
            </w:pPr>
            <w:r w:rsidRPr="00DB5B50">
              <w:rPr>
                <w:color w:val="000000"/>
                <w:sz w:val="24"/>
                <w:szCs w:val="24"/>
              </w:rPr>
              <w:t>1</w:t>
            </w:r>
          </w:p>
        </w:tc>
        <w:tc>
          <w:tcPr>
            <w:tcW w:w="0" w:type="auto"/>
            <w:noWrap/>
            <w:hideMark/>
          </w:tcPr>
          <w:p w14:paraId="61632FCF" w14:textId="77777777" w:rsidR="001A5A5F" w:rsidRPr="00DB5B50" w:rsidRDefault="001A5A5F" w:rsidP="001A5A5F">
            <w:pPr>
              <w:rPr>
                <w:rFonts w:eastAsiaTheme="minorHAnsi"/>
                <w:color w:val="000000"/>
                <w:sz w:val="24"/>
                <w:szCs w:val="24"/>
                <w:lang w:eastAsia="en-US"/>
              </w:rPr>
            </w:pPr>
            <w:r w:rsidRPr="00DB5B50">
              <w:rPr>
                <w:color w:val="000000"/>
                <w:sz w:val="24"/>
                <w:szCs w:val="24"/>
              </w:rPr>
              <w:t>0</w:t>
            </w:r>
          </w:p>
        </w:tc>
        <w:tc>
          <w:tcPr>
            <w:tcW w:w="0" w:type="auto"/>
            <w:noWrap/>
            <w:hideMark/>
          </w:tcPr>
          <w:p w14:paraId="352E1448" w14:textId="77777777" w:rsidR="001A5A5F" w:rsidRPr="00DB5B50" w:rsidRDefault="001A5A5F" w:rsidP="001A5A5F">
            <w:pPr>
              <w:rPr>
                <w:rFonts w:eastAsiaTheme="minorHAnsi"/>
                <w:color w:val="000000"/>
                <w:sz w:val="24"/>
                <w:szCs w:val="24"/>
                <w:lang w:eastAsia="en-US"/>
              </w:rPr>
            </w:pPr>
            <w:r w:rsidRPr="00DB5B50">
              <w:rPr>
                <w:color w:val="000000"/>
                <w:sz w:val="24"/>
                <w:szCs w:val="24"/>
              </w:rPr>
              <w:t>0</w:t>
            </w:r>
          </w:p>
        </w:tc>
        <w:tc>
          <w:tcPr>
            <w:tcW w:w="0" w:type="auto"/>
            <w:hideMark/>
          </w:tcPr>
          <w:p w14:paraId="43CCE034" w14:textId="77777777" w:rsidR="001A5A5F" w:rsidRPr="00DB5B50" w:rsidRDefault="001A5A5F" w:rsidP="001A5A5F">
            <w:pPr>
              <w:rPr>
                <w:rFonts w:eastAsiaTheme="minorHAnsi"/>
                <w:color w:val="000000"/>
                <w:sz w:val="24"/>
                <w:szCs w:val="24"/>
                <w:lang w:eastAsia="en-US"/>
              </w:rPr>
            </w:pPr>
            <w:r w:rsidRPr="00DB5B50">
              <w:rPr>
                <w:color w:val="000000"/>
                <w:sz w:val="24"/>
                <w:szCs w:val="24"/>
              </w:rPr>
              <w:t>324</w:t>
            </w:r>
          </w:p>
        </w:tc>
      </w:tr>
      <w:tr w:rsidR="001A5A5F" w:rsidRPr="00DB5B50" w14:paraId="4AE3CF16" w14:textId="77777777" w:rsidTr="001A5A5F">
        <w:trPr>
          <w:trHeight w:val="255"/>
        </w:trPr>
        <w:tc>
          <w:tcPr>
            <w:tcW w:w="0" w:type="auto"/>
            <w:hideMark/>
          </w:tcPr>
          <w:p w14:paraId="1EA3F276" w14:textId="77777777" w:rsidR="001A5A5F" w:rsidRPr="00DB5B50" w:rsidRDefault="001A5A5F" w:rsidP="001A5A5F">
            <w:pPr>
              <w:jc w:val="right"/>
              <w:rPr>
                <w:rFonts w:eastAsiaTheme="minorHAnsi"/>
                <w:color w:val="000000"/>
                <w:sz w:val="24"/>
                <w:szCs w:val="24"/>
                <w:lang w:eastAsia="en-US"/>
              </w:rPr>
            </w:pPr>
            <w:r>
              <w:rPr>
                <w:color w:val="000000"/>
                <w:sz w:val="24"/>
                <w:szCs w:val="24"/>
              </w:rPr>
              <w:t>S</w:t>
            </w:r>
            <w:r w:rsidRPr="00DB5B50">
              <w:rPr>
                <w:color w:val="000000"/>
                <w:sz w:val="24"/>
                <w:szCs w:val="24"/>
              </w:rPr>
              <w:t>ingle person</w:t>
            </w:r>
          </w:p>
        </w:tc>
        <w:tc>
          <w:tcPr>
            <w:tcW w:w="0" w:type="auto"/>
            <w:noWrap/>
            <w:hideMark/>
          </w:tcPr>
          <w:p w14:paraId="1299667F"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57</w:t>
            </w:r>
          </w:p>
        </w:tc>
        <w:tc>
          <w:tcPr>
            <w:tcW w:w="0" w:type="auto"/>
            <w:noWrap/>
            <w:hideMark/>
          </w:tcPr>
          <w:p w14:paraId="21FDD082"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2134D1D0"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0261D017"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7D78A651"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189178D4"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1FD509C0"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57</w:t>
            </w:r>
          </w:p>
        </w:tc>
      </w:tr>
      <w:tr w:rsidR="001A5A5F" w:rsidRPr="00DB5B50" w14:paraId="3E715DF7" w14:textId="77777777" w:rsidTr="001A5A5F">
        <w:trPr>
          <w:trHeight w:val="273"/>
        </w:trPr>
        <w:tc>
          <w:tcPr>
            <w:tcW w:w="0" w:type="auto"/>
            <w:hideMark/>
          </w:tcPr>
          <w:p w14:paraId="208C4BA5"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 xml:space="preserve"> </w:t>
            </w:r>
            <w:r>
              <w:rPr>
                <w:color w:val="000000"/>
                <w:sz w:val="24"/>
                <w:szCs w:val="24"/>
              </w:rPr>
              <w:t>C</w:t>
            </w:r>
            <w:r w:rsidRPr="00DB5B50">
              <w:rPr>
                <w:color w:val="000000"/>
                <w:sz w:val="24"/>
                <w:szCs w:val="24"/>
              </w:rPr>
              <w:t>ouple</w:t>
            </w:r>
          </w:p>
        </w:tc>
        <w:tc>
          <w:tcPr>
            <w:tcW w:w="0" w:type="auto"/>
            <w:noWrap/>
            <w:hideMark/>
          </w:tcPr>
          <w:p w14:paraId="413ECBD0"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25</w:t>
            </w:r>
          </w:p>
        </w:tc>
        <w:tc>
          <w:tcPr>
            <w:tcW w:w="0" w:type="auto"/>
            <w:noWrap/>
            <w:hideMark/>
          </w:tcPr>
          <w:p w14:paraId="211DC05C"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77</w:t>
            </w:r>
          </w:p>
        </w:tc>
        <w:tc>
          <w:tcPr>
            <w:tcW w:w="0" w:type="auto"/>
            <w:noWrap/>
            <w:hideMark/>
          </w:tcPr>
          <w:p w14:paraId="0D693C14"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193276A7"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3FFE9EAA"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2619A9DD"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41964F6A"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102</w:t>
            </w:r>
          </w:p>
        </w:tc>
      </w:tr>
      <w:tr w:rsidR="001A5A5F" w:rsidRPr="00DB5B50" w14:paraId="23003CD7" w14:textId="77777777" w:rsidTr="001A5A5F">
        <w:trPr>
          <w:trHeight w:val="263"/>
        </w:trPr>
        <w:tc>
          <w:tcPr>
            <w:tcW w:w="0" w:type="auto"/>
            <w:hideMark/>
          </w:tcPr>
          <w:p w14:paraId="1E2E9903"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Lone parent and children</w:t>
            </w:r>
          </w:p>
        </w:tc>
        <w:tc>
          <w:tcPr>
            <w:tcW w:w="0" w:type="auto"/>
            <w:noWrap/>
            <w:hideMark/>
          </w:tcPr>
          <w:p w14:paraId="7CB0B81E"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37</w:t>
            </w:r>
          </w:p>
        </w:tc>
        <w:tc>
          <w:tcPr>
            <w:tcW w:w="0" w:type="auto"/>
            <w:noWrap/>
            <w:hideMark/>
          </w:tcPr>
          <w:p w14:paraId="2294414C"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1</w:t>
            </w:r>
          </w:p>
        </w:tc>
        <w:tc>
          <w:tcPr>
            <w:tcW w:w="0" w:type="auto"/>
            <w:noWrap/>
            <w:hideMark/>
          </w:tcPr>
          <w:p w14:paraId="2C99D7C1"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1</w:t>
            </w:r>
          </w:p>
        </w:tc>
        <w:tc>
          <w:tcPr>
            <w:tcW w:w="0" w:type="auto"/>
            <w:noWrap/>
            <w:hideMark/>
          </w:tcPr>
          <w:p w14:paraId="24F6C41B"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29CE141B"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61E6108B"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5215A24D"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39</w:t>
            </w:r>
          </w:p>
        </w:tc>
      </w:tr>
      <w:tr w:rsidR="001A5A5F" w:rsidRPr="00DB5B50" w14:paraId="6BB6A10E" w14:textId="77777777" w:rsidTr="001A5A5F">
        <w:trPr>
          <w:trHeight w:val="281"/>
        </w:trPr>
        <w:tc>
          <w:tcPr>
            <w:tcW w:w="0" w:type="auto"/>
            <w:hideMark/>
          </w:tcPr>
          <w:p w14:paraId="5B2AC7EA"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Couple and children</w:t>
            </w:r>
          </w:p>
        </w:tc>
        <w:tc>
          <w:tcPr>
            <w:tcW w:w="0" w:type="auto"/>
            <w:noWrap/>
            <w:hideMark/>
          </w:tcPr>
          <w:p w14:paraId="1344449C"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10</w:t>
            </w:r>
          </w:p>
        </w:tc>
        <w:tc>
          <w:tcPr>
            <w:tcW w:w="0" w:type="auto"/>
            <w:noWrap/>
            <w:hideMark/>
          </w:tcPr>
          <w:p w14:paraId="3D08DE07"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106</w:t>
            </w:r>
          </w:p>
        </w:tc>
        <w:tc>
          <w:tcPr>
            <w:tcW w:w="0" w:type="auto"/>
            <w:noWrap/>
            <w:hideMark/>
          </w:tcPr>
          <w:p w14:paraId="183A85B7"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9</w:t>
            </w:r>
          </w:p>
        </w:tc>
        <w:tc>
          <w:tcPr>
            <w:tcW w:w="0" w:type="auto"/>
            <w:noWrap/>
            <w:hideMark/>
          </w:tcPr>
          <w:p w14:paraId="182888C9"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1</w:t>
            </w:r>
          </w:p>
        </w:tc>
        <w:tc>
          <w:tcPr>
            <w:tcW w:w="0" w:type="auto"/>
            <w:noWrap/>
            <w:hideMark/>
          </w:tcPr>
          <w:p w14:paraId="66144F8C"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343CA778"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15F178DE"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126</w:t>
            </w:r>
          </w:p>
        </w:tc>
      </w:tr>
      <w:tr w:rsidR="001A5A5F" w:rsidRPr="00DB5B50" w14:paraId="3D4037D2" w14:textId="77777777" w:rsidTr="001A5A5F">
        <w:trPr>
          <w:trHeight w:val="271"/>
        </w:trPr>
        <w:tc>
          <w:tcPr>
            <w:tcW w:w="0" w:type="auto"/>
            <w:hideMark/>
          </w:tcPr>
          <w:p w14:paraId="584D9011" w14:textId="77777777" w:rsidR="001A5A5F" w:rsidRPr="00DB5B50" w:rsidRDefault="001A5A5F" w:rsidP="001A5A5F">
            <w:pPr>
              <w:rPr>
                <w:rFonts w:eastAsiaTheme="minorHAnsi"/>
                <w:color w:val="000000"/>
                <w:sz w:val="24"/>
                <w:szCs w:val="24"/>
                <w:lang w:eastAsia="en-US"/>
              </w:rPr>
            </w:pPr>
            <w:r w:rsidRPr="00DB5B50">
              <w:rPr>
                <w:color w:val="000000"/>
                <w:sz w:val="24"/>
                <w:szCs w:val="24"/>
              </w:rPr>
              <w:t>Multi-unit households</w:t>
            </w:r>
          </w:p>
        </w:tc>
        <w:tc>
          <w:tcPr>
            <w:tcW w:w="0" w:type="auto"/>
            <w:noWrap/>
            <w:hideMark/>
          </w:tcPr>
          <w:p w14:paraId="329CD14A" w14:textId="77777777" w:rsidR="001A5A5F" w:rsidRPr="00DB5B50" w:rsidRDefault="001A5A5F" w:rsidP="001A5A5F">
            <w:pPr>
              <w:rPr>
                <w:rFonts w:eastAsiaTheme="minorHAnsi"/>
                <w:color w:val="000000"/>
                <w:sz w:val="24"/>
                <w:szCs w:val="24"/>
                <w:lang w:eastAsia="en-US"/>
              </w:rPr>
            </w:pPr>
            <w:r w:rsidRPr="00DB5B50">
              <w:rPr>
                <w:color w:val="000000"/>
                <w:sz w:val="24"/>
                <w:szCs w:val="24"/>
              </w:rPr>
              <w:t>28</w:t>
            </w:r>
          </w:p>
        </w:tc>
        <w:tc>
          <w:tcPr>
            <w:tcW w:w="0" w:type="auto"/>
            <w:noWrap/>
            <w:hideMark/>
          </w:tcPr>
          <w:p w14:paraId="4515DA0D" w14:textId="77777777" w:rsidR="001A5A5F" w:rsidRPr="00DB5B50" w:rsidRDefault="001A5A5F" w:rsidP="001A5A5F">
            <w:pPr>
              <w:rPr>
                <w:rFonts w:eastAsiaTheme="minorHAnsi"/>
                <w:color w:val="000000"/>
                <w:sz w:val="24"/>
                <w:szCs w:val="24"/>
                <w:lang w:eastAsia="en-US"/>
              </w:rPr>
            </w:pPr>
            <w:r w:rsidRPr="00DB5B50">
              <w:rPr>
                <w:color w:val="000000"/>
                <w:sz w:val="24"/>
                <w:szCs w:val="24"/>
              </w:rPr>
              <w:t>53</w:t>
            </w:r>
          </w:p>
        </w:tc>
        <w:tc>
          <w:tcPr>
            <w:tcW w:w="0" w:type="auto"/>
            <w:noWrap/>
            <w:hideMark/>
          </w:tcPr>
          <w:p w14:paraId="725AFA37" w14:textId="77777777" w:rsidR="001A5A5F" w:rsidRPr="00DB5B50" w:rsidRDefault="001A5A5F" w:rsidP="001A5A5F">
            <w:pPr>
              <w:rPr>
                <w:rFonts w:eastAsiaTheme="minorHAnsi"/>
                <w:color w:val="000000"/>
                <w:sz w:val="24"/>
                <w:szCs w:val="24"/>
                <w:lang w:eastAsia="en-US"/>
              </w:rPr>
            </w:pPr>
            <w:r w:rsidRPr="00DB5B50">
              <w:rPr>
                <w:color w:val="000000"/>
                <w:sz w:val="24"/>
                <w:szCs w:val="24"/>
              </w:rPr>
              <w:t>51</w:t>
            </w:r>
          </w:p>
        </w:tc>
        <w:tc>
          <w:tcPr>
            <w:tcW w:w="0" w:type="auto"/>
            <w:noWrap/>
            <w:hideMark/>
          </w:tcPr>
          <w:p w14:paraId="273DF37D" w14:textId="77777777" w:rsidR="001A5A5F" w:rsidRPr="00DB5B50" w:rsidRDefault="001A5A5F" w:rsidP="001A5A5F">
            <w:pPr>
              <w:rPr>
                <w:rFonts w:eastAsiaTheme="minorHAnsi"/>
                <w:color w:val="000000"/>
                <w:sz w:val="24"/>
                <w:szCs w:val="24"/>
                <w:lang w:eastAsia="en-US"/>
              </w:rPr>
            </w:pPr>
            <w:r w:rsidRPr="00DB5B50">
              <w:rPr>
                <w:color w:val="000000"/>
                <w:sz w:val="24"/>
                <w:szCs w:val="24"/>
              </w:rPr>
              <w:t>24</w:t>
            </w:r>
          </w:p>
        </w:tc>
        <w:tc>
          <w:tcPr>
            <w:tcW w:w="0" w:type="auto"/>
            <w:noWrap/>
            <w:hideMark/>
          </w:tcPr>
          <w:p w14:paraId="0EB2BE48" w14:textId="77777777" w:rsidR="001A5A5F" w:rsidRPr="00DB5B50" w:rsidRDefault="001A5A5F" w:rsidP="001A5A5F">
            <w:pPr>
              <w:rPr>
                <w:rFonts w:eastAsiaTheme="minorHAnsi"/>
                <w:color w:val="000000"/>
                <w:sz w:val="24"/>
                <w:szCs w:val="24"/>
                <w:lang w:eastAsia="en-US"/>
              </w:rPr>
            </w:pPr>
            <w:r w:rsidRPr="00DB5B50">
              <w:rPr>
                <w:color w:val="000000"/>
                <w:sz w:val="24"/>
                <w:szCs w:val="24"/>
              </w:rPr>
              <w:t>8</w:t>
            </w:r>
          </w:p>
        </w:tc>
        <w:tc>
          <w:tcPr>
            <w:tcW w:w="0" w:type="auto"/>
            <w:noWrap/>
            <w:hideMark/>
          </w:tcPr>
          <w:p w14:paraId="7A3A88A6" w14:textId="77777777" w:rsidR="001A5A5F" w:rsidRPr="00DB5B50" w:rsidRDefault="001A5A5F" w:rsidP="001A5A5F">
            <w:pPr>
              <w:rPr>
                <w:rFonts w:eastAsiaTheme="minorHAnsi"/>
                <w:color w:val="000000"/>
                <w:sz w:val="24"/>
                <w:szCs w:val="24"/>
                <w:lang w:eastAsia="en-US"/>
              </w:rPr>
            </w:pPr>
            <w:r w:rsidRPr="00DB5B50">
              <w:rPr>
                <w:color w:val="000000"/>
                <w:sz w:val="24"/>
                <w:szCs w:val="24"/>
              </w:rPr>
              <w:t>3</w:t>
            </w:r>
          </w:p>
        </w:tc>
        <w:tc>
          <w:tcPr>
            <w:tcW w:w="0" w:type="auto"/>
            <w:noWrap/>
            <w:hideMark/>
          </w:tcPr>
          <w:p w14:paraId="329946DC" w14:textId="77777777" w:rsidR="001A5A5F" w:rsidRPr="00DB5B50" w:rsidRDefault="001A5A5F" w:rsidP="001A5A5F">
            <w:pPr>
              <w:rPr>
                <w:rFonts w:eastAsiaTheme="minorHAnsi"/>
                <w:color w:val="000000"/>
                <w:sz w:val="24"/>
                <w:szCs w:val="24"/>
                <w:lang w:eastAsia="en-US"/>
              </w:rPr>
            </w:pPr>
            <w:r w:rsidRPr="00DB5B50">
              <w:rPr>
                <w:color w:val="000000"/>
                <w:sz w:val="24"/>
                <w:szCs w:val="24"/>
              </w:rPr>
              <w:t>167</w:t>
            </w:r>
          </w:p>
        </w:tc>
      </w:tr>
      <w:tr w:rsidR="001A5A5F" w:rsidRPr="00DB5B50" w14:paraId="5DF7947F" w14:textId="77777777" w:rsidTr="001A5A5F">
        <w:trPr>
          <w:trHeight w:val="275"/>
        </w:trPr>
        <w:tc>
          <w:tcPr>
            <w:tcW w:w="0" w:type="auto"/>
            <w:hideMark/>
          </w:tcPr>
          <w:p w14:paraId="63AA3B38" w14:textId="77777777" w:rsidR="001A5A5F" w:rsidRPr="00DB5B50" w:rsidRDefault="001A5A5F" w:rsidP="001A5A5F">
            <w:pPr>
              <w:jc w:val="right"/>
              <w:rPr>
                <w:rFonts w:eastAsiaTheme="minorHAnsi"/>
                <w:color w:val="000000"/>
                <w:sz w:val="24"/>
                <w:szCs w:val="24"/>
                <w:lang w:eastAsia="en-US"/>
              </w:rPr>
            </w:pPr>
            <w:r>
              <w:rPr>
                <w:color w:val="000000"/>
                <w:sz w:val="24"/>
                <w:szCs w:val="24"/>
              </w:rPr>
              <w:t>O</w:t>
            </w:r>
            <w:r w:rsidRPr="00DB5B50">
              <w:rPr>
                <w:color w:val="000000"/>
                <w:sz w:val="24"/>
                <w:szCs w:val="24"/>
              </w:rPr>
              <w:t>ne adult plus one or more adults no children</w:t>
            </w:r>
          </w:p>
        </w:tc>
        <w:tc>
          <w:tcPr>
            <w:tcW w:w="0" w:type="auto"/>
            <w:noWrap/>
            <w:hideMark/>
          </w:tcPr>
          <w:p w14:paraId="14AEBB92"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17</w:t>
            </w:r>
          </w:p>
        </w:tc>
        <w:tc>
          <w:tcPr>
            <w:tcW w:w="0" w:type="auto"/>
            <w:noWrap/>
            <w:hideMark/>
          </w:tcPr>
          <w:p w14:paraId="0E5E9CEB"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21</w:t>
            </w:r>
          </w:p>
        </w:tc>
        <w:tc>
          <w:tcPr>
            <w:tcW w:w="0" w:type="auto"/>
            <w:noWrap/>
            <w:hideMark/>
          </w:tcPr>
          <w:p w14:paraId="5EB6A4C8"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13</w:t>
            </w:r>
          </w:p>
        </w:tc>
        <w:tc>
          <w:tcPr>
            <w:tcW w:w="0" w:type="auto"/>
            <w:noWrap/>
            <w:hideMark/>
          </w:tcPr>
          <w:p w14:paraId="1FDC7C74"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5</w:t>
            </w:r>
          </w:p>
        </w:tc>
        <w:tc>
          <w:tcPr>
            <w:tcW w:w="0" w:type="auto"/>
            <w:noWrap/>
            <w:hideMark/>
          </w:tcPr>
          <w:p w14:paraId="689F21EA"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4</w:t>
            </w:r>
          </w:p>
        </w:tc>
        <w:tc>
          <w:tcPr>
            <w:tcW w:w="0" w:type="auto"/>
            <w:noWrap/>
            <w:hideMark/>
          </w:tcPr>
          <w:p w14:paraId="3BE4FB8E"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3</w:t>
            </w:r>
          </w:p>
        </w:tc>
        <w:tc>
          <w:tcPr>
            <w:tcW w:w="0" w:type="auto"/>
            <w:noWrap/>
            <w:hideMark/>
          </w:tcPr>
          <w:p w14:paraId="5A933F7D"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63</w:t>
            </w:r>
          </w:p>
        </w:tc>
      </w:tr>
      <w:tr w:rsidR="001A5A5F" w:rsidRPr="00DB5B50" w14:paraId="68CA2B27" w14:textId="77777777" w:rsidTr="001A5A5F">
        <w:trPr>
          <w:trHeight w:val="279"/>
        </w:trPr>
        <w:tc>
          <w:tcPr>
            <w:tcW w:w="0" w:type="auto"/>
            <w:hideMark/>
          </w:tcPr>
          <w:p w14:paraId="7E08B02A" w14:textId="77777777" w:rsidR="001A5A5F" w:rsidRPr="00DB5B50" w:rsidRDefault="001A5A5F" w:rsidP="001A5A5F">
            <w:pPr>
              <w:jc w:val="right"/>
              <w:rPr>
                <w:rFonts w:eastAsiaTheme="minorHAnsi"/>
                <w:color w:val="000000"/>
                <w:sz w:val="24"/>
                <w:szCs w:val="24"/>
                <w:lang w:eastAsia="en-US"/>
              </w:rPr>
            </w:pPr>
            <w:r>
              <w:rPr>
                <w:color w:val="000000"/>
                <w:sz w:val="24"/>
                <w:szCs w:val="24"/>
              </w:rPr>
              <w:t>C</w:t>
            </w:r>
            <w:r w:rsidRPr="00DB5B50">
              <w:rPr>
                <w:color w:val="000000"/>
                <w:sz w:val="24"/>
                <w:szCs w:val="24"/>
              </w:rPr>
              <w:t>ouple no children plus others</w:t>
            </w:r>
          </w:p>
        </w:tc>
        <w:tc>
          <w:tcPr>
            <w:tcW w:w="0" w:type="auto"/>
            <w:noWrap/>
            <w:hideMark/>
          </w:tcPr>
          <w:p w14:paraId="2E5B27E8"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4</w:t>
            </w:r>
          </w:p>
        </w:tc>
        <w:tc>
          <w:tcPr>
            <w:tcW w:w="0" w:type="auto"/>
            <w:noWrap/>
            <w:hideMark/>
          </w:tcPr>
          <w:p w14:paraId="7A16B14A"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10</w:t>
            </w:r>
          </w:p>
        </w:tc>
        <w:tc>
          <w:tcPr>
            <w:tcW w:w="0" w:type="auto"/>
            <w:noWrap/>
            <w:hideMark/>
          </w:tcPr>
          <w:p w14:paraId="539C650F"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20</w:t>
            </w:r>
          </w:p>
        </w:tc>
        <w:tc>
          <w:tcPr>
            <w:tcW w:w="0" w:type="auto"/>
            <w:noWrap/>
            <w:hideMark/>
          </w:tcPr>
          <w:p w14:paraId="31DDCFFC"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8</w:t>
            </w:r>
          </w:p>
        </w:tc>
        <w:tc>
          <w:tcPr>
            <w:tcW w:w="0" w:type="auto"/>
            <w:noWrap/>
            <w:hideMark/>
          </w:tcPr>
          <w:p w14:paraId="2580C0BA"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2</w:t>
            </w:r>
          </w:p>
        </w:tc>
        <w:tc>
          <w:tcPr>
            <w:tcW w:w="0" w:type="auto"/>
            <w:noWrap/>
            <w:hideMark/>
          </w:tcPr>
          <w:p w14:paraId="576E72AA"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4331CE75"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44</w:t>
            </w:r>
          </w:p>
        </w:tc>
      </w:tr>
      <w:tr w:rsidR="001A5A5F" w:rsidRPr="00DB5B50" w14:paraId="08FB83FA" w14:textId="77777777" w:rsidTr="001A5A5F">
        <w:trPr>
          <w:trHeight w:val="269"/>
        </w:trPr>
        <w:tc>
          <w:tcPr>
            <w:tcW w:w="0" w:type="auto"/>
            <w:hideMark/>
          </w:tcPr>
          <w:p w14:paraId="2EE67067" w14:textId="77777777" w:rsidR="001A5A5F" w:rsidRPr="00DB5B50" w:rsidRDefault="001A5A5F" w:rsidP="001A5A5F">
            <w:pPr>
              <w:jc w:val="right"/>
              <w:rPr>
                <w:rFonts w:eastAsiaTheme="minorHAnsi"/>
                <w:color w:val="000000"/>
                <w:sz w:val="24"/>
                <w:szCs w:val="24"/>
                <w:lang w:eastAsia="en-US"/>
              </w:rPr>
            </w:pPr>
            <w:r>
              <w:rPr>
                <w:color w:val="000000"/>
                <w:sz w:val="24"/>
                <w:szCs w:val="24"/>
              </w:rPr>
              <w:t>O</w:t>
            </w:r>
            <w:r w:rsidRPr="00DB5B50">
              <w:rPr>
                <w:color w:val="000000"/>
                <w:sz w:val="24"/>
                <w:szCs w:val="24"/>
              </w:rPr>
              <w:t>ne adult plus non</w:t>
            </w:r>
            <w:r>
              <w:rPr>
                <w:color w:val="000000"/>
                <w:sz w:val="24"/>
                <w:szCs w:val="24"/>
              </w:rPr>
              <w:t>-</w:t>
            </w:r>
            <w:r w:rsidRPr="00DB5B50">
              <w:rPr>
                <w:color w:val="000000"/>
                <w:sz w:val="24"/>
                <w:szCs w:val="24"/>
              </w:rPr>
              <w:t>dependent children</w:t>
            </w:r>
          </w:p>
        </w:tc>
        <w:tc>
          <w:tcPr>
            <w:tcW w:w="0" w:type="auto"/>
            <w:noWrap/>
            <w:hideMark/>
          </w:tcPr>
          <w:p w14:paraId="5972F536"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4</w:t>
            </w:r>
          </w:p>
        </w:tc>
        <w:tc>
          <w:tcPr>
            <w:tcW w:w="0" w:type="auto"/>
            <w:noWrap/>
            <w:hideMark/>
          </w:tcPr>
          <w:p w14:paraId="2A35F1A2"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2</w:t>
            </w:r>
          </w:p>
        </w:tc>
        <w:tc>
          <w:tcPr>
            <w:tcW w:w="0" w:type="auto"/>
            <w:noWrap/>
            <w:hideMark/>
          </w:tcPr>
          <w:p w14:paraId="7283A598"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4</w:t>
            </w:r>
          </w:p>
        </w:tc>
        <w:tc>
          <w:tcPr>
            <w:tcW w:w="0" w:type="auto"/>
            <w:noWrap/>
            <w:hideMark/>
          </w:tcPr>
          <w:p w14:paraId="3F74BEF1"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1</w:t>
            </w:r>
          </w:p>
        </w:tc>
        <w:tc>
          <w:tcPr>
            <w:tcW w:w="0" w:type="auto"/>
            <w:noWrap/>
            <w:hideMark/>
          </w:tcPr>
          <w:p w14:paraId="7CCDEDA7"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0323122A"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737C7759"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11</w:t>
            </w:r>
          </w:p>
        </w:tc>
      </w:tr>
      <w:tr w:rsidR="001A5A5F" w:rsidRPr="00DB5B50" w14:paraId="650A1BA3" w14:textId="77777777" w:rsidTr="001A5A5F">
        <w:trPr>
          <w:trHeight w:val="273"/>
        </w:trPr>
        <w:tc>
          <w:tcPr>
            <w:tcW w:w="0" w:type="auto"/>
            <w:hideMark/>
          </w:tcPr>
          <w:p w14:paraId="3402D4C7" w14:textId="77777777" w:rsidR="001A5A5F" w:rsidRPr="00DB5B50" w:rsidRDefault="001A5A5F" w:rsidP="001A5A5F">
            <w:pPr>
              <w:jc w:val="right"/>
              <w:rPr>
                <w:rFonts w:eastAsiaTheme="minorHAnsi"/>
                <w:color w:val="000000"/>
                <w:sz w:val="24"/>
                <w:szCs w:val="24"/>
                <w:lang w:eastAsia="en-US"/>
              </w:rPr>
            </w:pPr>
            <w:r>
              <w:rPr>
                <w:color w:val="000000"/>
                <w:sz w:val="24"/>
                <w:szCs w:val="24"/>
              </w:rPr>
              <w:t>C</w:t>
            </w:r>
            <w:r w:rsidRPr="00DB5B50">
              <w:rPr>
                <w:color w:val="000000"/>
                <w:sz w:val="24"/>
                <w:szCs w:val="24"/>
              </w:rPr>
              <w:t>ouple plus non</w:t>
            </w:r>
            <w:r>
              <w:rPr>
                <w:color w:val="000000"/>
                <w:sz w:val="24"/>
                <w:szCs w:val="24"/>
              </w:rPr>
              <w:t>-</w:t>
            </w:r>
            <w:r w:rsidRPr="00DB5B50">
              <w:rPr>
                <w:color w:val="000000"/>
                <w:sz w:val="24"/>
                <w:szCs w:val="24"/>
              </w:rPr>
              <w:t>dependent children</w:t>
            </w:r>
          </w:p>
        </w:tc>
        <w:tc>
          <w:tcPr>
            <w:tcW w:w="0" w:type="auto"/>
            <w:noWrap/>
            <w:hideMark/>
          </w:tcPr>
          <w:p w14:paraId="6BA9B0A7"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67EAF91E"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9</w:t>
            </w:r>
          </w:p>
        </w:tc>
        <w:tc>
          <w:tcPr>
            <w:tcW w:w="0" w:type="auto"/>
            <w:noWrap/>
            <w:hideMark/>
          </w:tcPr>
          <w:p w14:paraId="3C63D6E1"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1</w:t>
            </w:r>
          </w:p>
        </w:tc>
        <w:tc>
          <w:tcPr>
            <w:tcW w:w="0" w:type="auto"/>
            <w:noWrap/>
            <w:hideMark/>
          </w:tcPr>
          <w:p w14:paraId="5D374D8E"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2DA715EE"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7E012107"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0C5CF405"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10</w:t>
            </w:r>
          </w:p>
        </w:tc>
      </w:tr>
      <w:tr w:rsidR="001A5A5F" w:rsidRPr="00DB5B50" w14:paraId="4D258FF2" w14:textId="77777777" w:rsidTr="001A5A5F">
        <w:trPr>
          <w:trHeight w:val="277"/>
        </w:trPr>
        <w:tc>
          <w:tcPr>
            <w:tcW w:w="0" w:type="auto"/>
            <w:hideMark/>
          </w:tcPr>
          <w:p w14:paraId="4FD3226B"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 xml:space="preserve"> </w:t>
            </w:r>
            <w:r>
              <w:rPr>
                <w:color w:val="000000"/>
                <w:sz w:val="24"/>
                <w:szCs w:val="24"/>
              </w:rPr>
              <w:t>L</w:t>
            </w:r>
            <w:r w:rsidRPr="00DB5B50">
              <w:rPr>
                <w:color w:val="000000"/>
                <w:sz w:val="24"/>
                <w:szCs w:val="24"/>
              </w:rPr>
              <w:t>one parent plus children plus other adults</w:t>
            </w:r>
          </w:p>
        </w:tc>
        <w:tc>
          <w:tcPr>
            <w:tcW w:w="0" w:type="auto"/>
            <w:noWrap/>
            <w:hideMark/>
          </w:tcPr>
          <w:p w14:paraId="71DC336B"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27AD73D4"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1</w:t>
            </w:r>
          </w:p>
        </w:tc>
        <w:tc>
          <w:tcPr>
            <w:tcW w:w="0" w:type="auto"/>
            <w:noWrap/>
            <w:hideMark/>
          </w:tcPr>
          <w:p w14:paraId="44414B55"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17F3C204"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7D66C786"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6B016919"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3029C2DE"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1</w:t>
            </w:r>
          </w:p>
        </w:tc>
      </w:tr>
      <w:tr w:rsidR="001A5A5F" w:rsidRPr="00DB5B50" w14:paraId="7441F383" w14:textId="77777777" w:rsidTr="001A5A5F">
        <w:trPr>
          <w:trHeight w:val="267"/>
        </w:trPr>
        <w:tc>
          <w:tcPr>
            <w:tcW w:w="0" w:type="auto"/>
            <w:hideMark/>
          </w:tcPr>
          <w:p w14:paraId="351013D3"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Single person plus other adults and children</w:t>
            </w:r>
          </w:p>
        </w:tc>
        <w:tc>
          <w:tcPr>
            <w:tcW w:w="0" w:type="auto"/>
            <w:noWrap/>
            <w:hideMark/>
          </w:tcPr>
          <w:p w14:paraId="44D5687C"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3</w:t>
            </w:r>
          </w:p>
        </w:tc>
        <w:tc>
          <w:tcPr>
            <w:tcW w:w="0" w:type="auto"/>
            <w:noWrap/>
            <w:hideMark/>
          </w:tcPr>
          <w:p w14:paraId="4A1626ED"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2</w:t>
            </w:r>
          </w:p>
        </w:tc>
        <w:tc>
          <w:tcPr>
            <w:tcW w:w="0" w:type="auto"/>
            <w:noWrap/>
            <w:hideMark/>
          </w:tcPr>
          <w:p w14:paraId="4EE02FAF"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5</w:t>
            </w:r>
          </w:p>
        </w:tc>
        <w:tc>
          <w:tcPr>
            <w:tcW w:w="0" w:type="auto"/>
            <w:noWrap/>
            <w:hideMark/>
          </w:tcPr>
          <w:p w14:paraId="09922166"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4</w:t>
            </w:r>
          </w:p>
        </w:tc>
        <w:tc>
          <w:tcPr>
            <w:tcW w:w="0" w:type="auto"/>
            <w:noWrap/>
            <w:hideMark/>
          </w:tcPr>
          <w:p w14:paraId="4617EAD8"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1</w:t>
            </w:r>
          </w:p>
        </w:tc>
        <w:tc>
          <w:tcPr>
            <w:tcW w:w="0" w:type="auto"/>
            <w:noWrap/>
            <w:hideMark/>
          </w:tcPr>
          <w:p w14:paraId="1E99416E"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786FCE15"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15</w:t>
            </w:r>
          </w:p>
        </w:tc>
      </w:tr>
      <w:tr w:rsidR="001A5A5F" w:rsidRPr="00DB5B50" w14:paraId="3BF6C444" w14:textId="77777777" w:rsidTr="001A5A5F">
        <w:trPr>
          <w:trHeight w:val="271"/>
        </w:trPr>
        <w:tc>
          <w:tcPr>
            <w:tcW w:w="0" w:type="auto"/>
            <w:hideMark/>
          </w:tcPr>
          <w:p w14:paraId="2127DA68" w14:textId="77777777" w:rsidR="001A5A5F" w:rsidRPr="00DB5B50" w:rsidRDefault="001A5A5F" w:rsidP="001A5A5F">
            <w:pPr>
              <w:jc w:val="right"/>
              <w:rPr>
                <w:rFonts w:eastAsiaTheme="minorHAnsi"/>
                <w:color w:val="000000"/>
                <w:sz w:val="24"/>
                <w:szCs w:val="24"/>
                <w:lang w:eastAsia="en-US"/>
              </w:rPr>
            </w:pPr>
            <w:r>
              <w:rPr>
                <w:color w:val="000000"/>
                <w:sz w:val="24"/>
                <w:szCs w:val="24"/>
              </w:rPr>
              <w:t>C</w:t>
            </w:r>
            <w:r w:rsidRPr="00DB5B50">
              <w:rPr>
                <w:color w:val="000000"/>
                <w:sz w:val="24"/>
                <w:szCs w:val="24"/>
              </w:rPr>
              <w:t>ouple plus children and other adults</w:t>
            </w:r>
          </w:p>
        </w:tc>
        <w:tc>
          <w:tcPr>
            <w:tcW w:w="0" w:type="auto"/>
            <w:noWrap/>
            <w:hideMark/>
          </w:tcPr>
          <w:p w14:paraId="10F29E54"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46B0A820"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2</w:t>
            </w:r>
          </w:p>
        </w:tc>
        <w:tc>
          <w:tcPr>
            <w:tcW w:w="0" w:type="auto"/>
            <w:noWrap/>
            <w:hideMark/>
          </w:tcPr>
          <w:p w14:paraId="022EA287"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521DD2C8"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1</w:t>
            </w:r>
          </w:p>
        </w:tc>
        <w:tc>
          <w:tcPr>
            <w:tcW w:w="0" w:type="auto"/>
            <w:noWrap/>
            <w:hideMark/>
          </w:tcPr>
          <w:p w14:paraId="5D2C3646"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042AF054"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7E527245"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3</w:t>
            </w:r>
          </w:p>
        </w:tc>
      </w:tr>
      <w:tr w:rsidR="001A5A5F" w:rsidRPr="00DB5B50" w14:paraId="49CA640D" w14:textId="77777777" w:rsidTr="001A5A5F">
        <w:trPr>
          <w:trHeight w:val="275"/>
        </w:trPr>
        <w:tc>
          <w:tcPr>
            <w:tcW w:w="0" w:type="auto"/>
            <w:hideMark/>
          </w:tcPr>
          <w:p w14:paraId="04D440A5"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Couple plus other adults with children</w:t>
            </w:r>
          </w:p>
        </w:tc>
        <w:tc>
          <w:tcPr>
            <w:tcW w:w="0" w:type="auto"/>
            <w:noWrap/>
            <w:hideMark/>
          </w:tcPr>
          <w:p w14:paraId="5DC0A88C"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430EDBF3"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6</w:t>
            </w:r>
          </w:p>
        </w:tc>
        <w:tc>
          <w:tcPr>
            <w:tcW w:w="0" w:type="auto"/>
            <w:noWrap/>
            <w:hideMark/>
          </w:tcPr>
          <w:p w14:paraId="2C18D1FE"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8</w:t>
            </w:r>
          </w:p>
        </w:tc>
        <w:tc>
          <w:tcPr>
            <w:tcW w:w="0" w:type="auto"/>
            <w:noWrap/>
            <w:hideMark/>
          </w:tcPr>
          <w:p w14:paraId="4F3CD982"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5</w:t>
            </w:r>
          </w:p>
        </w:tc>
        <w:tc>
          <w:tcPr>
            <w:tcW w:w="0" w:type="auto"/>
            <w:noWrap/>
            <w:hideMark/>
          </w:tcPr>
          <w:p w14:paraId="6C714111"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1</w:t>
            </w:r>
          </w:p>
        </w:tc>
        <w:tc>
          <w:tcPr>
            <w:tcW w:w="0" w:type="auto"/>
            <w:noWrap/>
            <w:hideMark/>
          </w:tcPr>
          <w:p w14:paraId="4FDA1825"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0</w:t>
            </w:r>
          </w:p>
        </w:tc>
        <w:tc>
          <w:tcPr>
            <w:tcW w:w="0" w:type="auto"/>
            <w:noWrap/>
            <w:hideMark/>
          </w:tcPr>
          <w:p w14:paraId="7CDD1DBA" w14:textId="77777777" w:rsidR="001A5A5F" w:rsidRPr="00DB5B50" w:rsidRDefault="001A5A5F" w:rsidP="001A5A5F">
            <w:pPr>
              <w:jc w:val="right"/>
              <w:rPr>
                <w:rFonts w:eastAsiaTheme="minorHAnsi"/>
                <w:color w:val="000000"/>
                <w:sz w:val="24"/>
                <w:szCs w:val="24"/>
                <w:lang w:eastAsia="en-US"/>
              </w:rPr>
            </w:pPr>
            <w:r w:rsidRPr="00DB5B50">
              <w:rPr>
                <w:color w:val="000000"/>
                <w:sz w:val="24"/>
                <w:szCs w:val="24"/>
              </w:rPr>
              <w:t>20</w:t>
            </w:r>
          </w:p>
        </w:tc>
      </w:tr>
      <w:tr w:rsidR="001A5A5F" w:rsidRPr="00DB5B50" w14:paraId="3C13BB68" w14:textId="77777777" w:rsidTr="001A5A5F">
        <w:trPr>
          <w:trHeight w:val="300"/>
        </w:trPr>
        <w:tc>
          <w:tcPr>
            <w:tcW w:w="0" w:type="auto"/>
            <w:noWrap/>
            <w:hideMark/>
          </w:tcPr>
          <w:p w14:paraId="746D2DBF" w14:textId="77777777" w:rsidR="001A5A5F" w:rsidRPr="00DB5B50" w:rsidRDefault="001A5A5F" w:rsidP="001A5A5F">
            <w:pPr>
              <w:rPr>
                <w:rFonts w:eastAsiaTheme="minorHAnsi"/>
                <w:color w:val="000000"/>
                <w:sz w:val="24"/>
                <w:szCs w:val="24"/>
                <w:lang w:eastAsia="en-US"/>
              </w:rPr>
            </w:pPr>
            <w:r w:rsidRPr="00DB5B50">
              <w:rPr>
                <w:color w:val="000000"/>
                <w:sz w:val="24"/>
                <w:szCs w:val="24"/>
              </w:rPr>
              <w:t>Total</w:t>
            </w:r>
          </w:p>
        </w:tc>
        <w:tc>
          <w:tcPr>
            <w:tcW w:w="0" w:type="auto"/>
            <w:noWrap/>
            <w:hideMark/>
          </w:tcPr>
          <w:p w14:paraId="1B80EF3A" w14:textId="77777777" w:rsidR="001A5A5F" w:rsidRPr="00DB5B50" w:rsidRDefault="001A5A5F" w:rsidP="001A5A5F">
            <w:pPr>
              <w:rPr>
                <w:rFonts w:eastAsiaTheme="minorHAnsi"/>
                <w:color w:val="000000"/>
                <w:sz w:val="24"/>
                <w:szCs w:val="24"/>
                <w:lang w:eastAsia="en-US"/>
              </w:rPr>
            </w:pPr>
            <w:r w:rsidRPr="00DB5B50">
              <w:rPr>
                <w:color w:val="000000"/>
                <w:sz w:val="24"/>
                <w:szCs w:val="24"/>
              </w:rPr>
              <w:t>157</w:t>
            </w:r>
          </w:p>
        </w:tc>
        <w:tc>
          <w:tcPr>
            <w:tcW w:w="0" w:type="auto"/>
            <w:noWrap/>
            <w:hideMark/>
          </w:tcPr>
          <w:p w14:paraId="3C663AB2" w14:textId="77777777" w:rsidR="001A5A5F" w:rsidRPr="00DB5B50" w:rsidRDefault="001A5A5F" w:rsidP="001A5A5F">
            <w:pPr>
              <w:rPr>
                <w:rFonts w:eastAsiaTheme="minorHAnsi"/>
                <w:color w:val="000000"/>
                <w:sz w:val="24"/>
                <w:szCs w:val="24"/>
                <w:lang w:eastAsia="en-US"/>
              </w:rPr>
            </w:pPr>
            <w:r w:rsidRPr="00DB5B50">
              <w:rPr>
                <w:color w:val="000000"/>
                <w:sz w:val="24"/>
                <w:szCs w:val="24"/>
              </w:rPr>
              <w:t>237</w:t>
            </w:r>
          </w:p>
        </w:tc>
        <w:tc>
          <w:tcPr>
            <w:tcW w:w="0" w:type="auto"/>
            <w:noWrap/>
            <w:hideMark/>
          </w:tcPr>
          <w:p w14:paraId="38E6821A" w14:textId="77777777" w:rsidR="001A5A5F" w:rsidRPr="00DB5B50" w:rsidRDefault="001A5A5F" w:rsidP="001A5A5F">
            <w:pPr>
              <w:rPr>
                <w:rFonts w:eastAsiaTheme="minorHAnsi"/>
                <w:color w:val="000000"/>
                <w:sz w:val="24"/>
                <w:szCs w:val="24"/>
                <w:lang w:eastAsia="en-US"/>
              </w:rPr>
            </w:pPr>
            <w:r w:rsidRPr="00DB5B50">
              <w:rPr>
                <w:color w:val="000000"/>
                <w:sz w:val="24"/>
                <w:szCs w:val="24"/>
              </w:rPr>
              <w:t>61</w:t>
            </w:r>
          </w:p>
        </w:tc>
        <w:tc>
          <w:tcPr>
            <w:tcW w:w="0" w:type="auto"/>
            <w:noWrap/>
            <w:hideMark/>
          </w:tcPr>
          <w:p w14:paraId="7E19E533" w14:textId="77777777" w:rsidR="001A5A5F" w:rsidRPr="00DB5B50" w:rsidRDefault="001A5A5F" w:rsidP="001A5A5F">
            <w:pPr>
              <w:rPr>
                <w:rFonts w:eastAsiaTheme="minorHAnsi"/>
                <w:color w:val="000000"/>
                <w:sz w:val="24"/>
                <w:szCs w:val="24"/>
                <w:lang w:eastAsia="en-US"/>
              </w:rPr>
            </w:pPr>
            <w:r w:rsidRPr="00DB5B50">
              <w:rPr>
                <w:color w:val="000000"/>
                <w:sz w:val="24"/>
                <w:szCs w:val="24"/>
              </w:rPr>
              <w:t>25</w:t>
            </w:r>
          </w:p>
        </w:tc>
        <w:tc>
          <w:tcPr>
            <w:tcW w:w="0" w:type="auto"/>
            <w:noWrap/>
            <w:hideMark/>
          </w:tcPr>
          <w:p w14:paraId="427AD9DA" w14:textId="77777777" w:rsidR="001A5A5F" w:rsidRPr="00DB5B50" w:rsidRDefault="001A5A5F" w:rsidP="001A5A5F">
            <w:pPr>
              <w:rPr>
                <w:rFonts w:eastAsiaTheme="minorHAnsi"/>
                <w:color w:val="000000"/>
                <w:sz w:val="24"/>
                <w:szCs w:val="24"/>
                <w:lang w:eastAsia="en-US"/>
              </w:rPr>
            </w:pPr>
            <w:r w:rsidRPr="00DB5B50">
              <w:rPr>
                <w:color w:val="000000"/>
                <w:sz w:val="24"/>
                <w:szCs w:val="24"/>
              </w:rPr>
              <w:t>8</w:t>
            </w:r>
          </w:p>
        </w:tc>
        <w:tc>
          <w:tcPr>
            <w:tcW w:w="0" w:type="auto"/>
            <w:noWrap/>
            <w:hideMark/>
          </w:tcPr>
          <w:p w14:paraId="7E04517D" w14:textId="77777777" w:rsidR="001A5A5F" w:rsidRPr="00DB5B50" w:rsidRDefault="001A5A5F" w:rsidP="001A5A5F">
            <w:pPr>
              <w:rPr>
                <w:rFonts w:eastAsiaTheme="minorHAnsi"/>
                <w:color w:val="000000"/>
                <w:sz w:val="24"/>
                <w:szCs w:val="24"/>
                <w:lang w:eastAsia="en-US"/>
              </w:rPr>
            </w:pPr>
            <w:r w:rsidRPr="00DB5B50">
              <w:rPr>
                <w:color w:val="000000"/>
                <w:sz w:val="24"/>
                <w:szCs w:val="24"/>
              </w:rPr>
              <w:t>3</w:t>
            </w:r>
          </w:p>
        </w:tc>
        <w:tc>
          <w:tcPr>
            <w:tcW w:w="0" w:type="auto"/>
            <w:noWrap/>
            <w:hideMark/>
          </w:tcPr>
          <w:p w14:paraId="06B72BB0" w14:textId="77777777" w:rsidR="001A5A5F" w:rsidRPr="00DB5B50" w:rsidRDefault="001A5A5F" w:rsidP="001A5A5F">
            <w:pPr>
              <w:rPr>
                <w:rFonts w:eastAsiaTheme="minorHAnsi"/>
                <w:color w:val="000000"/>
                <w:sz w:val="24"/>
                <w:szCs w:val="24"/>
                <w:lang w:eastAsia="en-US"/>
              </w:rPr>
            </w:pPr>
            <w:r w:rsidRPr="00DB5B50">
              <w:rPr>
                <w:color w:val="000000"/>
                <w:sz w:val="24"/>
                <w:szCs w:val="24"/>
              </w:rPr>
              <w:t>491</w:t>
            </w:r>
          </w:p>
        </w:tc>
      </w:tr>
    </w:tbl>
    <w:p w14:paraId="5C094EA9" w14:textId="77777777" w:rsidR="001A5A5F" w:rsidRPr="00DB5B50" w:rsidRDefault="001A5A5F" w:rsidP="001A5A5F">
      <w:pPr>
        <w:spacing w:line="360" w:lineRule="auto"/>
      </w:pPr>
    </w:p>
    <w:p w14:paraId="699CBBE1" w14:textId="77777777" w:rsidR="00274A18" w:rsidRPr="00A37D53" w:rsidRDefault="00274A18" w:rsidP="00274A18">
      <w:pPr>
        <w:spacing w:line="360" w:lineRule="auto"/>
        <w:rPr>
          <w:rFonts w:eastAsia="Times New Roman"/>
          <w:b/>
          <w:lang w:eastAsia="en-GB"/>
        </w:rPr>
      </w:pPr>
      <w:r w:rsidRPr="00A37D53">
        <w:rPr>
          <w:rFonts w:eastAsia="Times New Roman"/>
          <w:b/>
          <w:lang w:eastAsia="en-GB"/>
        </w:rPr>
        <w:t>Table 4: Hours worked</w:t>
      </w:r>
    </w:p>
    <w:tbl>
      <w:tblPr>
        <w:tblStyle w:val="TableGrid"/>
        <w:tblW w:w="0" w:type="auto"/>
        <w:tblLayout w:type="fixed"/>
        <w:tblLook w:val="04A0" w:firstRow="1" w:lastRow="0" w:firstColumn="1" w:lastColumn="0" w:noHBand="0" w:noVBand="1"/>
      </w:tblPr>
      <w:tblGrid>
        <w:gridCol w:w="1548"/>
        <w:gridCol w:w="2430"/>
        <w:gridCol w:w="1980"/>
        <w:gridCol w:w="1980"/>
      </w:tblGrid>
      <w:tr w:rsidR="00274A18" w:rsidRPr="00DB5B50" w14:paraId="61D2D540" w14:textId="77777777" w:rsidTr="00274A18">
        <w:trPr>
          <w:trHeight w:val="300"/>
        </w:trPr>
        <w:tc>
          <w:tcPr>
            <w:tcW w:w="1548" w:type="dxa"/>
            <w:noWrap/>
          </w:tcPr>
          <w:p w14:paraId="3CE0A418" w14:textId="77777777" w:rsidR="00274A18" w:rsidRDefault="00274A18" w:rsidP="00274A18">
            <w:pPr>
              <w:rPr>
                <w:color w:val="000000"/>
              </w:rPr>
            </w:pPr>
          </w:p>
        </w:tc>
        <w:tc>
          <w:tcPr>
            <w:tcW w:w="6390" w:type="dxa"/>
            <w:gridSpan w:val="3"/>
            <w:noWrap/>
          </w:tcPr>
          <w:p w14:paraId="11040224" w14:textId="77777777" w:rsidR="00274A18" w:rsidRPr="00790427" w:rsidRDefault="00274A18" w:rsidP="00274A18">
            <w:pPr>
              <w:rPr>
                <w:color w:val="000000"/>
                <w:sz w:val="24"/>
                <w:szCs w:val="24"/>
              </w:rPr>
            </w:pPr>
            <w:r w:rsidRPr="00DF7A5B">
              <w:rPr>
                <w:color w:val="000000"/>
              </w:rPr>
              <w:t>Percentage of respondents</w:t>
            </w:r>
          </w:p>
        </w:tc>
      </w:tr>
      <w:tr w:rsidR="00274A18" w:rsidRPr="00DB5B50" w14:paraId="0754FCFE" w14:textId="77777777" w:rsidTr="00274A18">
        <w:trPr>
          <w:trHeight w:val="300"/>
        </w:trPr>
        <w:tc>
          <w:tcPr>
            <w:tcW w:w="1548" w:type="dxa"/>
            <w:noWrap/>
            <w:hideMark/>
          </w:tcPr>
          <w:p w14:paraId="704BDE99" w14:textId="77777777" w:rsidR="00274A18" w:rsidRPr="00DB5B50" w:rsidRDefault="00274A18" w:rsidP="00274A18">
            <w:pPr>
              <w:rPr>
                <w:rFonts w:eastAsiaTheme="minorHAnsi"/>
                <w:color w:val="000000"/>
                <w:sz w:val="24"/>
                <w:szCs w:val="24"/>
                <w:lang w:eastAsia="en-US"/>
              </w:rPr>
            </w:pPr>
            <w:r>
              <w:rPr>
                <w:rFonts w:eastAsiaTheme="minorHAnsi"/>
                <w:color w:val="000000"/>
                <w:sz w:val="24"/>
                <w:szCs w:val="24"/>
                <w:lang w:eastAsia="en-US"/>
              </w:rPr>
              <w:t>Hours worked per week</w:t>
            </w:r>
          </w:p>
        </w:tc>
        <w:tc>
          <w:tcPr>
            <w:tcW w:w="2430" w:type="dxa"/>
            <w:noWrap/>
            <w:hideMark/>
          </w:tcPr>
          <w:p w14:paraId="29A7986E" w14:textId="77777777" w:rsidR="00274A18" w:rsidRPr="00DB5B50" w:rsidRDefault="00274A18" w:rsidP="00274A18">
            <w:pPr>
              <w:rPr>
                <w:rFonts w:eastAsiaTheme="minorHAnsi"/>
                <w:color w:val="000000"/>
                <w:sz w:val="24"/>
                <w:szCs w:val="24"/>
                <w:lang w:eastAsia="en-US"/>
              </w:rPr>
            </w:pPr>
            <w:r>
              <w:rPr>
                <w:color w:val="000000"/>
                <w:sz w:val="24"/>
                <w:szCs w:val="24"/>
              </w:rPr>
              <w:t>Low wage</w:t>
            </w:r>
            <w:r w:rsidRPr="00DB5B50">
              <w:rPr>
                <w:color w:val="000000"/>
                <w:sz w:val="24"/>
                <w:szCs w:val="24"/>
              </w:rPr>
              <w:t xml:space="preserve"> employment</w:t>
            </w:r>
          </w:p>
        </w:tc>
        <w:tc>
          <w:tcPr>
            <w:tcW w:w="1980" w:type="dxa"/>
            <w:noWrap/>
            <w:hideMark/>
          </w:tcPr>
          <w:p w14:paraId="1D8F8FC0" w14:textId="77777777" w:rsidR="00274A18" w:rsidRPr="00DB5B50" w:rsidRDefault="00274A18" w:rsidP="00274A18">
            <w:pPr>
              <w:rPr>
                <w:rFonts w:eastAsiaTheme="minorHAnsi"/>
                <w:color w:val="000000"/>
                <w:sz w:val="24"/>
                <w:szCs w:val="24"/>
                <w:lang w:eastAsia="en-US"/>
              </w:rPr>
            </w:pPr>
            <w:r w:rsidRPr="00DB5B50">
              <w:rPr>
                <w:color w:val="000000"/>
                <w:sz w:val="24"/>
                <w:szCs w:val="24"/>
              </w:rPr>
              <w:t>All employments</w:t>
            </w:r>
          </w:p>
        </w:tc>
        <w:tc>
          <w:tcPr>
            <w:tcW w:w="1980" w:type="dxa"/>
          </w:tcPr>
          <w:p w14:paraId="278A7FC9" w14:textId="77777777" w:rsidR="00274A18" w:rsidRPr="00DB5B50" w:rsidRDefault="00274A18" w:rsidP="00274A18">
            <w:pPr>
              <w:rPr>
                <w:rFonts w:eastAsiaTheme="minorHAnsi"/>
                <w:color w:val="000000"/>
                <w:sz w:val="24"/>
                <w:szCs w:val="24"/>
                <w:lang w:eastAsia="en-US"/>
              </w:rPr>
            </w:pPr>
            <w:r w:rsidRPr="00DB5B50">
              <w:rPr>
                <w:color w:val="000000"/>
                <w:sz w:val="24"/>
                <w:szCs w:val="24"/>
              </w:rPr>
              <w:t>All employments</w:t>
            </w:r>
            <w:r>
              <w:rPr>
                <w:color w:val="000000"/>
                <w:sz w:val="24"/>
                <w:szCs w:val="24"/>
              </w:rPr>
              <w:t xml:space="preserve">: </w:t>
            </w:r>
            <w:r w:rsidRPr="00DB5B50">
              <w:rPr>
                <w:color w:val="000000"/>
                <w:sz w:val="24"/>
                <w:szCs w:val="24"/>
              </w:rPr>
              <w:t>sole earner household</w:t>
            </w:r>
          </w:p>
        </w:tc>
      </w:tr>
      <w:tr w:rsidR="00274A18" w:rsidRPr="00DB5B50" w14:paraId="6E90A24C" w14:textId="77777777" w:rsidTr="00274A18">
        <w:trPr>
          <w:trHeight w:val="300"/>
        </w:trPr>
        <w:tc>
          <w:tcPr>
            <w:tcW w:w="1548" w:type="dxa"/>
            <w:noWrap/>
            <w:hideMark/>
          </w:tcPr>
          <w:p w14:paraId="627A4DE0" w14:textId="77777777" w:rsidR="00274A18" w:rsidRPr="00DB5B50" w:rsidRDefault="00274A18" w:rsidP="00274A18">
            <w:pPr>
              <w:rPr>
                <w:rFonts w:eastAsiaTheme="minorHAnsi"/>
                <w:color w:val="000000"/>
                <w:sz w:val="24"/>
                <w:szCs w:val="24"/>
                <w:lang w:eastAsia="en-US"/>
              </w:rPr>
            </w:pPr>
            <w:r w:rsidRPr="00DB5B50">
              <w:rPr>
                <w:color w:val="000000"/>
                <w:sz w:val="24"/>
                <w:szCs w:val="24"/>
              </w:rPr>
              <w:t>&lt;16</w:t>
            </w:r>
          </w:p>
        </w:tc>
        <w:tc>
          <w:tcPr>
            <w:tcW w:w="2430" w:type="dxa"/>
            <w:noWrap/>
            <w:hideMark/>
          </w:tcPr>
          <w:p w14:paraId="090A6DA9" w14:textId="77777777" w:rsidR="00274A18" w:rsidRPr="00DB5B50" w:rsidRDefault="00274A18" w:rsidP="00274A18">
            <w:pPr>
              <w:rPr>
                <w:rFonts w:eastAsiaTheme="minorHAnsi"/>
                <w:color w:val="000000"/>
                <w:sz w:val="24"/>
                <w:szCs w:val="24"/>
                <w:lang w:eastAsia="en-US"/>
              </w:rPr>
            </w:pPr>
            <w:r w:rsidRPr="00DB5B50">
              <w:rPr>
                <w:color w:val="000000"/>
                <w:sz w:val="24"/>
                <w:szCs w:val="24"/>
              </w:rPr>
              <w:t>25.8</w:t>
            </w:r>
          </w:p>
        </w:tc>
        <w:tc>
          <w:tcPr>
            <w:tcW w:w="1980" w:type="dxa"/>
            <w:noWrap/>
            <w:hideMark/>
          </w:tcPr>
          <w:p w14:paraId="701D935B" w14:textId="77777777" w:rsidR="00274A18" w:rsidRPr="00DB5B50" w:rsidRDefault="00274A18" w:rsidP="00274A18">
            <w:pPr>
              <w:rPr>
                <w:rFonts w:eastAsiaTheme="minorHAnsi"/>
                <w:color w:val="000000"/>
                <w:sz w:val="24"/>
                <w:szCs w:val="24"/>
                <w:lang w:eastAsia="en-US"/>
              </w:rPr>
            </w:pPr>
            <w:r w:rsidRPr="00DB5B50">
              <w:rPr>
                <w:color w:val="000000"/>
                <w:sz w:val="24"/>
                <w:szCs w:val="24"/>
              </w:rPr>
              <w:t>21.9</w:t>
            </w:r>
          </w:p>
        </w:tc>
        <w:tc>
          <w:tcPr>
            <w:tcW w:w="1980" w:type="dxa"/>
          </w:tcPr>
          <w:p w14:paraId="39AAF548" w14:textId="77777777" w:rsidR="00274A18" w:rsidRPr="00DB5B50" w:rsidRDefault="00274A18" w:rsidP="00274A18">
            <w:pPr>
              <w:rPr>
                <w:rFonts w:eastAsiaTheme="minorHAnsi"/>
                <w:color w:val="000000"/>
                <w:sz w:val="24"/>
                <w:szCs w:val="24"/>
                <w:lang w:eastAsia="en-US"/>
              </w:rPr>
            </w:pPr>
            <w:r w:rsidRPr="00DB5B50">
              <w:rPr>
                <w:color w:val="000000"/>
                <w:sz w:val="24"/>
                <w:szCs w:val="24"/>
              </w:rPr>
              <w:t>29.9</w:t>
            </w:r>
          </w:p>
        </w:tc>
      </w:tr>
      <w:tr w:rsidR="00274A18" w:rsidRPr="00DB5B50" w14:paraId="2860A774" w14:textId="77777777" w:rsidTr="00274A18">
        <w:trPr>
          <w:trHeight w:val="300"/>
        </w:trPr>
        <w:tc>
          <w:tcPr>
            <w:tcW w:w="1548" w:type="dxa"/>
            <w:noWrap/>
            <w:hideMark/>
          </w:tcPr>
          <w:p w14:paraId="3DAF20F7" w14:textId="77777777" w:rsidR="00274A18" w:rsidRPr="00DB5B50" w:rsidRDefault="00274A18" w:rsidP="00274A18">
            <w:pPr>
              <w:rPr>
                <w:rFonts w:eastAsiaTheme="minorHAnsi"/>
                <w:color w:val="000000"/>
                <w:sz w:val="24"/>
                <w:szCs w:val="24"/>
                <w:lang w:eastAsia="en-US"/>
              </w:rPr>
            </w:pPr>
            <w:r w:rsidRPr="00DB5B50">
              <w:rPr>
                <w:color w:val="000000"/>
                <w:sz w:val="24"/>
                <w:szCs w:val="24"/>
              </w:rPr>
              <w:t>16-30</w:t>
            </w:r>
          </w:p>
        </w:tc>
        <w:tc>
          <w:tcPr>
            <w:tcW w:w="2430" w:type="dxa"/>
            <w:noWrap/>
            <w:hideMark/>
          </w:tcPr>
          <w:p w14:paraId="02907807" w14:textId="77777777" w:rsidR="00274A18" w:rsidRPr="00DB5B50" w:rsidRDefault="00274A18" w:rsidP="00274A18">
            <w:pPr>
              <w:rPr>
                <w:rFonts w:eastAsiaTheme="minorHAnsi"/>
                <w:color w:val="000000"/>
                <w:sz w:val="24"/>
                <w:szCs w:val="24"/>
                <w:lang w:eastAsia="en-US"/>
              </w:rPr>
            </w:pPr>
            <w:r w:rsidRPr="00DB5B50">
              <w:rPr>
                <w:color w:val="000000"/>
                <w:sz w:val="24"/>
                <w:szCs w:val="24"/>
              </w:rPr>
              <w:t>38.7</w:t>
            </w:r>
          </w:p>
        </w:tc>
        <w:tc>
          <w:tcPr>
            <w:tcW w:w="1980" w:type="dxa"/>
            <w:noWrap/>
            <w:hideMark/>
          </w:tcPr>
          <w:p w14:paraId="7B596547" w14:textId="77777777" w:rsidR="00274A18" w:rsidRPr="00DB5B50" w:rsidRDefault="00274A18" w:rsidP="00274A18">
            <w:pPr>
              <w:rPr>
                <w:rFonts w:eastAsiaTheme="minorHAnsi"/>
                <w:color w:val="000000"/>
                <w:sz w:val="24"/>
                <w:szCs w:val="24"/>
                <w:lang w:eastAsia="en-US"/>
              </w:rPr>
            </w:pPr>
            <w:r w:rsidRPr="00DB5B50">
              <w:rPr>
                <w:color w:val="000000"/>
                <w:sz w:val="24"/>
                <w:szCs w:val="24"/>
              </w:rPr>
              <w:t>37</w:t>
            </w:r>
          </w:p>
        </w:tc>
        <w:tc>
          <w:tcPr>
            <w:tcW w:w="1980" w:type="dxa"/>
          </w:tcPr>
          <w:p w14:paraId="2F8F529A" w14:textId="77777777" w:rsidR="00274A18" w:rsidRPr="00DB5B50" w:rsidRDefault="00274A18" w:rsidP="00274A18">
            <w:pPr>
              <w:rPr>
                <w:rFonts w:eastAsiaTheme="minorHAnsi"/>
                <w:color w:val="000000"/>
                <w:sz w:val="24"/>
                <w:szCs w:val="24"/>
                <w:lang w:eastAsia="en-US"/>
              </w:rPr>
            </w:pPr>
            <w:r w:rsidRPr="00DB5B50">
              <w:rPr>
                <w:color w:val="000000"/>
                <w:sz w:val="24"/>
                <w:szCs w:val="24"/>
              </w:rPr>
              <w:t>27.2</w:t>
            </w:r>
          </w:p>
        </w:tc>
      </w:tr>
      <w:tr w:rsidR="00274A18" w:rsidRPr="00DB5B50" w14:paraId="1266BC7C" w14:textId="77777777" w:rsidTr="00274A18">
        <w:trPr>
          <w:trHeight w:val="300"/>
        </w:trPr>
        <w:tc>
          <w:tcPr>
            <w:tcW w:w="1548" w:type="dxa"/>
            <w:noWrap/>
            <w:hideMark/>
          </w:tcPr>
          <w:p w14:paraId="1F04C7E3" w14:textId="77777777" w:rsidR="00274A18" w:rsidRPr="00DB5B50" w:rsidRDefault="00274A18" w:rsidP="00274A18">
            <w:pPr>
              <w:rPr>
                <w:rFonts w:eastAsiaTheme="minorHAnsi"/>
                <w:color w:val="000000"/>
                <w:sz w:val="24"/>
                <w:szCs w:val="24"/>
                <w:lang w:eastAsia="en-US"/>
              </w:rPr>
            </w:pPr>
            <w:r w:rsidRPr="00DB5B50">
              <w:rPr>
                <w:color w:val="000000"/>
                <w:sz w:val="24"/>
                <w:szCs w:val="24"/>
              </w:rPr>
              <w:t>&gt;30</w:t>
            </w:r>
          </w:p>
        </w:tc>
        <w:tc>
          <w:tcPr>
            <w:tcW w:w="2430" w:type="dxa"/>
            <w:noWrap/>
            <w:hideMark/>
          </w:tcPr>
          <w:p w14:paraId="15751287" w14:textId="77777777" w:rsidR="00274A18" w:rsidRPr="00DB5B50" w:rsidRDefault="00274A18" w:rsidP="00274A18">
            <w:pPr>
              <w:rPr>
                <w:rFonts w:eastAsiaTheme="minorHAnsi"/>
                <w:color w:val="000000"/>
                <w:sz w:val="24"/>
                <w:szCs w:val="24"/>
                <w:lang w:eastAsia="en-US"/>
              </w:rPr>
            </w:pPr>
            <w:r w:rsidRPr="00DB5B50">
              <w:rPr>
                <w:color w:val="000000"/>
                <w:sz w:val="24"/>
                <w:szCs w:val="24"/>
              </w:rPr>
              <w:t>35.5</w:t>
            </w:r>
          </w:p>
        </w:tc>
        <w:tc>
          <w:tcPr>
            <w:tcW w:w="1980" w:type="dxa"/>
            <w:noWrap/>
            <w:hideMark/>
          </w:tcPr>
          <w:p w14:paraId="47548E53" w14:textId="77777777" w:rsidR="00274A18" w:rsidRPr="00DB5B50" w:rsidRDefault="00274A18" w:rsidP="00274A18">
            <w:pPr>
              <w:rPr>
                <w:rFonts w:eastAsiaTheme="minorHAnsi"/>
                <w:color w:val="000000"/>
                <w:sz w:val="24"/>
                <w:szCs w:val="24"/>
                <w:lang w:eastAsia="en-US"/>
              </w:rPr>
            </w:pPr>
            <w:r w:rsidRPr="00DB5B50">
              <w:rPr>
                <w:color w:val="000000"/>
                <w:sz w:val="24"/>
                <w:szCs w:val="24"/>
              </w:rPr>
              <w:t>41.1</w:t>
            </w:r>
          </w:p>
        </w:tc>
        <w:tc>
          <w:tcPr>
            <w:tcW w:w="1980" w:type="dxa"/>
          </w:tcPr>
          <w:p w14:paraId="11E4D25C" w14:textId="77777777" w:rsidR="00274A18" w:rsidRPr="00DB5B50" w:rsidRDefault="00274A18" w:rsidP="00274A18">
            <w:pPr>
              <w:rPr>
                <w:rFonts w:eastAsiaTheme="minorHAnsi"/>
                <w:color w:val="000000"/>
                <w:sz w:val="24"/>
                <w:szCs w:val="24"/>
                <w:lang w:eastAsia="en-US"/>
              </w:rPr>
            </w:pPr>
            <w:r w:rsidRPr="00DB5B50">
              <w:rPr>
                <w:color w:val="000000"/>
                <w:sz w:val="24"/>
                <w:szCs w:val="24"/>
              </w:rPr>
              <w:t>42.9</w:t>
            </w:r>
          </w:p>
        </w:tc>
      </w:tr>
      <w:tr w:rsidR="00274A18" w:rsidRPr="00DB5B50" w14:paraId="2760ABF1" w14:textId="77777777" w:rsidTr="00274A18">
        <w:trPr>
          <w:trHeight w:val="300"/>
        </w:trPr>
        <w:tc>
          <w:tcPr>
            <w:tcW w:w="1548" w:type="dxa"/>
            <w:noWrap/>
          </w:tcPr>
          <w:p w14:paraId="0A59A935" w14:textId="77777777" w:rsidR="00274A18" w:rsidRPr="00DB5B50" w:rsidRDefault="00274A18" w:rsidP="00274A18">
            <w:pPr>
              <w:rPr>
                <w:rFonts w:eastAsiaTheme="minorHAnsi"/>
                <w:color w:val="000000"/>
                <w:sz w:val="24"/>
                <w:szCs w:val="24"/>
                <w:lang w:eastAsia="en-US"/>
              </w:rPr>
            </w:pPr>
            <w:r w:rsidRPr="00DB5B50">
              <w:rPr>
                <w:color w:val="000000"/>
                <w:sz w:val="24"/>
                <w:szCs w:val="24"/>
              </w:rPr>
              <w:t>N</w:t>
            </w:r>
          </w:p>
        </w:tc>
        <w:tc>
          <w:tcPr>
            <w:tcW w:w="2430" w:type="dxa"/>
            <w:noWrap/>
          </w:tcPr>
          <w:p w14:paraId="2CBD06A9" w14:textId="77777777" w:rsidR="00274A18" w:rsidRPr="00DB5B50" w:rsidRDefault="00274A18" w:rsidP="00274A18">
            <w:pPr>
              <w:rPr>
                <w:rFonts w:eastAsiaTheme="minorHAnsi"/>
                <w:color w:val="000000"/>
                <w:sz w:val="24"/>
                <w:szCs w:val="24"/>
                <w:lang w:eastAsia="en-US"/>
              </w:rPr>
            </w:pPr>
            <w:r w:rsidRPr="00DB5B50">
              <w:rPr>
                <w:color w:val="000000"/>
                <w:sz w:val="24"/>
                <w:szCs w:val="24"/>
              </w:rPr>
              <w:t>485</w:t>
            </w:r>
          </w:p>
        </w:tc>
        <w:tc>
          <w:tcPr>
            <w:tcW w:w="1980" w:type="dxa"/>
            <w:noWrap/>
          </w:tcPr>
          <w:p w14:paraId="6AB541E8" w14:textId="77777777" w:rsidR="00274A18" w:rsidRPr="00DB5B50" w:rsidRDefault="00274A18" w:rsidP="00274A18">
            <w:pPr>
              <w:rPr>
                <w:rFonts w:eastAsiaTheme="minorHAnsi"/>
                <w:color w:val="000000"/>
                <w:sz w:val="24"/>
                <w:szCs w:val="24"/>
                <w:lang w:eastAsia="en-US"/>
              </w:rPr>
            </w:pPr>
            <w:r w:rsidRPr="00DB5B50">
              <w:rPr>
                <w:color w:val="000000"/>
                <w:sz w:val="24"/>
                <w:szCs w:val="24"/>
              </w:rPr>
              <w:t>479</w:t>
            </w:r>
          </w:p>
        </w:tc>
        <w:tc>
          <w:tcPr>
            <w:tcW w:w="1980" w:type="dxa"/>
          </w:tcPr>
          <w:p w14:paraId="46AE4A2E" w14:textId="77777777" w:rsidR="00274A18" w:rsidRPr="00DB5B50" w:rsidRDefault="00274A18" w:rsidP="00274A18">
            <w:pPr>
              <w:rPr>
                <w:rFonts w:eastAsiaTheme="minorHAnsi"/>
                <w:color w:val="000000"/>
                <w:sz w:val="24"/>
                <w:szCs w:val="24"/>
                <w:lang w:eastAsia="en-US"/>
              </w:rPr>
            </w:pPr>
            <w:r w:rsidRPr="00DB5B50">
              <w:rPr>
                <w:color w:val="000000"/>
                <w:sz w:val="24"/>
                <w:szCs w:val="24"/>
              </w:rPr>
              <w:t>154</w:t>
            </w:r>
          </w:p>
        </w:tc>
      </w:tr>
    </w:tbl>
    <w:p w14:paraId="42B0FF3D" w14:textId="77777777" w:rsidR="00274A18" w:rsidRPr="00DB5B50" w:rsidRDefault="00274A18" w:rsidP="00274A18">
      <w:pPr>
        <w:spacing w:line="360" w:lineRule="auto"/>
        <w:rPr>
          <w:rFonts w:eastAsia="Times New Roman"/>
          <w:lang w:eastAsia="en-GB"/>
        </w:rPr>
      </w:pPr>
    </w:p>
    <w:p w14:paraId="36FA1121" w14:textId="77777777" w:rsidR="00086D07" w:rsidRPr="00DB5B50" w:rsidRDefault="00086D07" w:rsidP="00647393">
      <w:pPr>
        <w:spacing w:line="360" w:lineRule="auto"/>
      </w:pPr>
    </w:p>
    <w:sectPr w:rsidR="00086D07" w:rsidRPr="00DB5B50">
      <w:headerReference w:type="default" r:id="rId18"/>
      <w:footerReference w:type="default" r:id="rId1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BFCE8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EF3A2" w14:textId="77777777" w:rsidR="00E77F28" w:rsidRDefault="00E77F28" w:rsidP="001708C9">
      <w:r>
        <w:separator/>
      </w:r>
    </w:p>
  </w:endnote>
  <w:endnote w:type="continuationSeparator" w:id="0">
    <w:p w14:paraId="766B255F" w14:textId="77777777" w:rsidR="00E77F28" w:rsidRDefault="00E77F28" w:rsidP="0017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922021"/>
      <w:docPartObj>
        <w:docPartGallery w:val="Page Numbers (Bottom of Page)"/>
        <w:docPartUnique/>
      </w:docPartObj>
    </w:sdtPr>
    <w:sdtEndPr>
      <w:rPr>
        <w:noProof/>
      </w:rPr>
    </w:sdtEndPr>
    <w:sdtContent>
      <w:p w14:paraId="688F6174" w14:textId="7B6B2965" w:rsidR="00E77F28" w:rsidRDefault="00E77F28">
        <w:pPr>
          <w:pStyle w:val="Footer"/>
          <w:jc w:val="center"/>
        </w:pPr>
        <w:r>
          <w:fldChar w:fldCharType="begin"/>
        </w:r>
        <w:r>
          <w:instrText xml:space="preserve"> PAGE   \* MERGEFORMAT </w:instrText>
        </w:r>
        <w:r>
          <w:fldChar w:fldCharType="separate"/>
        </w:r>
        <w:r w:rsidR="00B20AE7">
          <w:rPr>
            <w:noProof/>
          </w:rPr>
          <w:t>1</w:t>
        </w:r>
        <w:r>
          <w:rPr>
            <w:noProof/>
          </w:rPr>
          <w:fldChar w:fldCharType="end"/>
        </w:r>
      </w:p>
    </w:sdtContent>
  </w:sdt>
  <w:p w14:paraId="5F9A8D35" w14:textId="77777777" w:rsidR="00E77F28" w:rsidRDefault="00E77F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D2A67" w14:textId="77777777" w:rsidR="00E77F28" w:rsidRDefault="00E77F28" w:rsidP="001708C9">
      <w:r>
        <w:separator/>
      </w:r>
    </w:p>
  </w:footnote>
  <w:footnote w:type="continuationSeparator" w:id="0">
    <w:p w14:paraId="5DBF136D" w14:textId="77777777" w:rsidR="00E77F28" w:rsidRDefault="00E77F28" w:rsidP="001708C9">
      <w:r>
        <w:continuationSeparator/>
      </w:r>
    </w:p>
  </w:footnote>
  <w:footnote w:id="1">
    <w:p w14:paraId="58CCD422" w14:textId="77777777" w:rsidR="00E77F28" w:rsidRDefault="00E77F28" w:rsidP="00E90853">
      <w:pPr>
        <w:pStyle w:val="FootnoteText"/>
      </w:pPr>
      <w:r>
        <w:rPr>
          <w:rStyle w:val="FootnoteReference"/>
        </w:rPr>
        <w:footnoteRef/>
      </w:r>
      <w:r>
        <w:t xml:space="preserve"> Department of Economics, University of York email jo.swaffield@york.ac.uk</w:t>
      </w:r>
    </w:p>
  </w:footnote>
  <w:footnote w:id="2">
    <w:p w14:paraId="44F301F4" w14:textId="77777777" w:rsidR="00E77F28" w:rsidRDefault="00E77F28" w:rsidP="00E90853">
      <w:pPr>
        <w:pStyle w:val="FootnoteText"/>
      </w:pPr>
      <w:r>
        <w:rPr>
          <w:rStyle w:val="FootnoteReference"/>
        </w:rPr>
        <w:footnoteRef/>
      </w:r>
      <w:r>
        <w:t xml:space="preserve"> Department of  Social Policy and Social Work, University of York email caz.snell@york.ac.uk</w:t>
      </w:r>
    </w:p>
  </w:footnote>
  <w:footnote w:id="3">
    <w:p w14:paraId="399ED32B" w14:textId="77777777" w:rsidR="00E77F28" w:rsidRDefault="00E77F28" w:rsidP="00E90853">
      <w:pPr>
        <w:pStyle w:val="FootnoteText"/>
      </w:pPr>
      <w:r>
        <w:rPr>
          <w:rStyle w:val="FootnoteReference"/>
        </w:rPr>
        <w:footnoteRef/>
      </w:r>
      <w:r>
        <w:t xml:space="preserve"> Centre for Housing Policy, University of York email becky.tunstall@york.ac.uk</w:t>
      </w:r>
    </w:p>
  </w:footnote>
  <w:footnote w:id="4">
    <w:p w14:paraId="1D17F72F" w14:textId="77777777" w:rsidR="00E77F28" w:rsidRDefault="00E77F28" w:rsidP="00E90853">
      <w:pPr>
        <w:pStyle w:val="FootnoteText"/>
      </w:pPr>
      <w:r>
        <w:rPr>
          <w:rStyle w:val="FootnoteReference"/>
        </w:rPr>
        <w:footnoteRef/>
      </w:r>
      <w:r>
        <w:t xml:space="preserve"> Social Policy Research Unit, University of York email jonathan.bradshaw@york.ac.uk</w:t>
      </w:r>
    </w:p>
  </w:footnote>
  <w:footnote w:id="5">
    <w:p w14:paraId="37D3744B" w14:textId="48B0B672" w:rsidR="00E77F28" w:rsidRDefault="00E77F28">
      <w:pPr>
        <w:pStyle w:val="FootnoteText"/>
      </w:pPr>
      <w:r>
        <w:rPr>
          <w:rStyle w:val="FootnoteReference"/>
        </w:rPr>
        <w:footnoteRef/>
      </w:r>
      <w:r>
        <w:t xml:space="preserve"> From here on we refer to units - singles, married or cohabiting couples, families (singles or couples with dependent children) and households. Households may consist of one or more than one unit. Units are effectively tax/benefit units – it is assumed that income and other resources are shared. It is assumed that the income of other units in a multi-unit household are not shared. </w:t>
      </w:r>
    </w:p>
  </w:footnote>
  <w:footnote w:id="6">
    <w:p w14:paraId="7C7E13BF" w14:textId="13FF1B86" w:rsidR="00E77F28" w:rsidRDefault="00E77F28">
      <w:pPr>
        <w:pStyle w:val="FootnoteText"/>
      </w:pPr>
      <w:r>
        <w:rPr>
          <w:rStyle w:val="FootnoteReference"/>
        </w:rPr>
        <w:footnoteRef/>
      </w:r>
      <w:r>
        <w:t xml:space="preserve"> In this case respondents were asked whether they (or their children) lacked items because they could not afford them. If they were sharing a household with other family units they might say they are not lacking household items because they shared them.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CC872" w14:textId="0FB341E9" w:rsidR="00E77F28" w:rsidRDefault="00E77F28" w:rsidP="00EA3B12">
    <w:pPr>
      <w:pStyle w:val="Header"/>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D634C"/>
    <w:multiLevelType w:val="hybridMultilevel"/>
    <w:tmpl w:val="2FBE0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E10E1F"/>
    <w:multiLevelType w:val="hybridMultilevel"/>
    <w:tmpl w:val="DC7078EC"/>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nsid w:val="1B03789E"/>
    <w:multiLevelType w:val="hybridMultilevel"/>
    <w:tmpl w:val="66D0B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856037"/>
    <w:multiLevelType w:val="hybridMultilevel"/>
    <w:tmpl w:val="CB30A900"/>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7551F90"/>
    <w:multiLevelType w:val="hybridMultilevel"/>
    <w:tmpl w:val="76808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D14E4"/>
    <w:multiLevelType w:val="hybridMultilevel"/>
    <w:tmpl w:val="8AF08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B17CBA"/>
    <w:multiLevelType w:val="hybridMultilevel"/>
    <w:tmpl w:val="75A23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122409"/>
    <w:multiLevelType w:val="hybridMultilevel"/>
    <w:tmpl w:val="FB800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AD32E7"/>
    <w:multiLevelType w:val="hybridMultilevel"/>
    <w:tmpl w:val="1A7C600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nsid w:val="39CF0AE6"/>
    <w:multiLevelType w:val="hybridMultilevel"/>
    <w:tmpl w:val="7124F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3E729EB"/>
    <w:multiLevelType w:val="hybridMultilevel"/>
    <w:tmpl w:val="CCCEA11C"/>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nsid w:val="4C16235A"/>
    <w:multiLevelType w:val="hybridMultilevel"/>
    <w:tmpl w:val="B4A49A30"/>
    <w:lvl w:ilvl="0" w:tplc="2F22A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E87912"/>
    <w:multiLevelType w:val="hybridMultilevel"/>
    <w:tmpl w:val="55E6BDEA"/>
    <w:lvl w:ilvl="0" w:tplc="477E0830">
      <w:start w:val="1"/>
      <w:numFmt w:val="bullet"/>
      <w:lvlText w:val="-"/>
      <w:lvlJc w:val="left"/>
      <w:pPr>
        <w:ind w:left="720" w:hanging="360"/>
      </w:pPr>
      <w:rPr>
        <w:rFonts w:ascii="Times New Roman" w:eastAsiaTheme="minorHAnsi"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A409BD"/>
    <w:multiLevelType w:val="hybridMultilevel"/>
    <w:tmpl w:val="E9C4A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2C9296C"/>
    <w:multiLevelType w:val="hybridMultilevel"/>
    <w:tmpl w:val="C8F635DA"/>
    <w:lvl w:ilvl="0" w:tplc="0809000F">
      <w:start w:val="1"/>
      <w:numFmt w:val="decimal"/>
      <w:lvlText w:val="%1."/>
      <w:lvlJc w:val="left"/>
      <w:pPr>
        <w:ind w:left="360" w:hanging="360"/>
      </w:p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nsid w:val="55C66499"/>
    <w:multiLevelType w:val="hybridMultilevel"/>
    <w:tmpl w:val="BC826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1E70DC"/>
    <w:multiLevelType w:val="hybridMultilevel"/>
    <w:tmpl w:val="A45E25B2"/>
    <w:lvl w:ilvl="0" w:tplc="0360CCA0">
      <w:start w:val="100"/>
      <w:numFmt w:val="bullet"/>
      <w:lvlText w:val="-"/>
      <w:lvlJc w:val="left"/>
      <w:pPr>
        <w:ind w:left="720" w:hanging="360"/>
      </w:pPr>
      <w:rPr>
        <w:rFonts w:ascii="Calibri" w:eastAsiaTheme="minorHAnsi" w:hAnsi="Calibri"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50427B"/>
    <w:multiLevelType w:val="hybridMultilevel"/>
    <w:tmpl w:val="7156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D293771"/>
    <w:multiLevelType w:val="hybridMultilevel"/>
    <w:tmpl w:val="4EC0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676427"/>
    <w:multiLevelType w:val="hybridMultilevel"/>
    <w:tmpl w:val="33407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9A1202"/>
    <w:multiLevelType w:val="hybridMultilevel"/>
    <w:tmpl w:val="42E80F18"/>
    <w:lvl w:ilvl="0" w:tplc="5C8A9032">
      <w:start w:val="1"/>
      <w:numFmt w:val="decimal"/>
      <w:lvlText w:val="%1."/>
      <w:lvlJc w:val="left"/>
      <w:pPr>
        <w:ind w:left="720" w:hanging="360"/>
      </w:pPr>
      <w:rPr>
        <w:rFonts w:ascii="Times New Roman" w:eastAsia="Times New Roman" w:hAnsi="Times New Roman" w:cs="Times New Roman"/>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EB6460A"/>
    <w:multiLevelType w:val="hybridMultilevel"/>
    <w:tmpl w:val="4878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3D760B"/>
    <w:multiLevelType w:val="hybridMultilevel"/>
    <w:tmpl w:val="771E3B4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3">
    <w:nsid w:val="60196A5F"/>
    <w:multiLevelType w:val="multilevel"/>
    <w:tmpl w:val="00A04F16"/>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271530D"/>
    <w:multiLevelType w:val="hybridMultilevel"/>
    <w:tmpl w:val="C4CAEB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3020FBB"/>
    <w:multiLevelType w:val="multilevel"/>
    <w:tmpl w:val="4E7A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A15EB3"/>
    <w:multiLevelType w:val="multilevel"/>
    <w:tmpl w:val="ED2C579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72F386D"/>
    <w:multiLevelType w:val="multilevel"/>
    <w:tmpl w:val="B6DA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D53503"/>
    <w:multiLevelType w:val="hybridMultilevel"/>
    <w:tmpl w:val="F830FDC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9">
    <w:nsid w:val="68A67C69"/>
    <w:multiLevelType w:val="hybridMultilevel"/>
    <w:tmpl w:val="574682E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21F5878"/>
    <w:multiLevelType w:val="hybridMultilevel"/>
    <w:tmpl w:val="80D6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921FE7"/>
    <w:multiLevelType w:val="hybridMultilevel"/>
    <w:tmpl w:val="4D9CCCA0"/>
    <w:lvl w:ilvl="0" w:tplc="EDD214FC">
      <w:start w:val="23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3A85396"/>
    <w:multiLevelType w:val="hybridMultilevel"/>
    <w:tmpl w:val="B7748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1A474F"/>
    <w:multiLevelType w:val="hybridMultilevel"/>
    <w:tmpl w:val="BA608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6880ABF"/>
    <w:multiLevelType w:val="hybridMultilevel"/>
    <w:tmpl w:val="52B202B2"/>
    <w:lvl w:ilvl="0" w:tplc="24240028">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9F087F"/>
    <w:multiLevelType w:val="hybridMultilevel"/>
    <w:tmpl w:val="51B85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DD9467D"/>
    <w:multiLevelType w:val="hybridMultilevel"/>
    <w:tmpl w:val="D69A8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6"/>
  </w:num>
  <w:num w:numId="3">
    <w:abstractNumId w:val="6"/>
  </w:num>
  <w:num w:numId="4">
    <w:abstractNumId w:val="9"/>
  </w:num>
  <w:num w:numId="5">
    <w:abstractNumId w:val="12"/>
  </w:num>
  <w:num w:numId="6">
    <w:abstractNumId w:val="11"/>
  </w:num>
  <w:num w:numId="7">
    <w:abstractNumId w:val="33"/>
  </w:num>
  <w:num w:numId="8">
    <w:abstractNumId w:val="29"/>
  </w:num>
  <w:num w:numId="9">
    <w:abstractNumId w:val="5"/>
  </w:num>
  <w:num w:numId="10">
    <w:abstractNumId w:val="35"/>
  </w:num>
  <w:num w:numId="11">
    <w:abstractNumId w:val="32"/>
  </w:num>
  <w:num w:numId="12">
    <w:abstractNumId w:val="34"/>
  </w:num>
  <w:num w:numId="13">
    <w:abstractNumId w:val="22"/>
  </w:num>
  <w:num w:numId="14">
    <w:abstractNumId w:val="13"/>
  </w:num>
  <w:num w:numId="15">
    <w:abstractNumId w:val="2"/>
  </w:num>
  <w:num w:numId="16">
    <w:abstractNumId w:val="24"/>
  </w:num>
  <w:num w:numId="17">
    <w:abstractNumId w:val="4"/>
  </w:num>
  <w:num w:numId="18">
    <w:abstractNumId w:val="0"/>
  </w:num>
  <w:num w:numId="19">
    <w:abstractNumId w:val="7"/>
  </w:num>
  <w:num w:numId="20">
    <w:abstractNumId w:val="17"/>
  </w:num>
  <w:num w:numId="21">
    <w:abstractNumId w:val="18"/>
  </w:num>
  <w:num w:numId="22">
    <w:abstractNumId w:val="15"/>
  </w:num>
  <w:num w:numId="23">
    <w:abstractNumId w:val="21"/>
  </w:num>
  <w:num w:numId="24">
    <w:abstractNumId w:val="3"/>
  </w:num>
  <w:num w:numId="25">
    <w:abstractNumId w:val="26"/>
  </w:num>
  <w:num w:numId="26">
    <w:abstractNumId w:val="16"/>
  </w:num>
  <w:num w:numId="27">
    <w:abstractNumId w:val="19"/>
  </w:num>
  <w:num w:numId="28">
    <w:abstractNumId w:val="23"/>
  </w:num>
  <w:num w:numId="29">
    <w:abstractNumId w:val="25"/>
  </w:num>
  <w:num w:numId="30">
    <w:abstractNumId w:val="30"/>
  </w:num>
  <w:num w:numId="31">
    <w:abstractNumId w:val="31"/>
  </w:num>
  <w:num w:numId="32">
    <w:abstractNumId w:val="20"/>
  </w:num>
  <w:num w:numId="33">
    <w:abstractNumId w:val="14"/>
  </w:num>
  <w:num w:numId="34">
    <w:abstractNumId w:val="8"/>
  </w:num>
  <w:num w:numId="35">
    <w:abstractNumId w:val="28"/>
  </w:num>
  <w:num w:numId="36">
    <w:abstractNumId w:val="10"/>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8C9"/>
    <w:rsid w:val="000011B2"/>
    <w:rsid w:val="00011F02"/>
    <w:rsid w:val="000271B3"/>
    <w:rsid w:val="00033965"/>
    <w:rsid w:val="000417F4"/>
    <w:rsid w:val="0005401D"/>
    <w:rsid w:val="00055E8C"/>
    <w:rsid w:val="00063971"/>
    <w:rsid w:val="00070C6B"/>
    <w:rsid w:val="000761BA"/>
    <w:rsid w:val="00077C8B"/>
    <w:rsid w:val="00081E94"/>
    <w:rsid w:val="00086D07"/>
    <w:rsid w:val="00093E65"/>
    <w:rsid w:val="00097CDE"/>
    <w:rsid w:val="000C2872"/>
    <w:rsid w:val="000C6D5B"/>
    <w:rsid w:val="000F6F5A"/>
    <w:rsid w:val="00107C94"/>
    <w:rsid w:val="001115F7"/>
    <w:rsid w:val="001156F9"/>
    <w:rsid w:val="001224A8"/>
    <w:rsid w:val="0014634C"/>
    <w:rsid w:val="00156F96"/>
    <w:rsid w:val="001708C9"/>
    <w:rsid w:val="0019367B"/>
    <w:rsid w:val="001A5A5F"/>
    <w:rsid w:val="001D1200"/>
    <w:rsid w:val="001E1DE1"/>
    <w:rsid w:val="001E2743"/>
    <w:rsid w:val="001F65C3"/>
    <w:rsid w:val="002004A9"/>
    <w:rsid w:val="00201558"/>
    <w:rsid w:val="00213E5F"/>
    <w:rsid w:val="00217E7B"/>
    <w:rsid w:val="00231264"/>
    <w:rsid w:val="002342C0"/>
    <w:rsid w:val="002355A5"/>
    <w:rsid w:val="00250E05"/>
    <w:rsid w:val="00274A18"/>
    <w:rsid w:val="00281192"/>
    <w:rsid w:val="00283992"/>
    <w:rsid w:val="002915D2"/>
    <w:rsid w:val="0029354D"/>
    <w:rsid w:val="002A670A"/>
    <w:rsid w:val="002B16C0"/>
    <w:rsid w:val="002B71F4"/>
    <w:rsid w:val="002D5CA4"/>
    <w:rsid w:val="0030666B"/>
    <w:rsid w:val="0031280C"/>
    <w:rsid w:val="003436CA"/>
    <w:rsid w:val="003600FA"/>
    <w:rsid w:val="00367CB3"/>
    <w:rsid w:val="00374B33"/>
    <w:rsid w:val="00377559"/>
    <w:rsid w:val="00382002"/>
    <w:rsid w:val="00393790"/>
    <w:rsid w:val="003A0781"/>
    <w:rsid w:val="003A2B3F"/>
    <w:rsid w:val="003A37C1"/>
    <w:rsid w:val="003B3D5B"/>
    <w:rsid w:val="003B6E10"/>
    <w:rsid w:val="003C0D56"/>
    <w:rsid w:val="003D4329"/>
    <w:rsid w:val="003E1662"/>
    <w:rsid w:val="003E238C"/>
    <w:rsid w:val="004039B0"/>
    <w:rsid w:val="00407B91"/>
    <w:rsid w:val="0041117D"/>
    <w:rsid w:val="00413D43"/>
    <w:rsid w:val="00426D52"/>
    <w:rsid w:val="004301C1"/>
    <w:rsid w:val="00431AF8"/>
    <w:rsid w:val="00443461"/>
    <w:rsid w:val="0047454E"/>
    <w:rsid w:val="00474807"/>
    <w:rsid w:val="00476650"/>
    <w:rsid w:val="004770D3"/>
    <w:rsid w:val="00477CEC"/>
    <w:rsid w:val="00480BAD"/>
    <w:rsid w:val="004908A6"/>
    <w:rsid w:val="00493DEB"/>
    <w:rsid w:val="00494F88"/>
    <w:rsid w:val="004B5F67"/>
    <w:rsid w:val="004C2A2C"/>
    <w:rsid w:val="004E433F"/>
    <w:rsid w:val="004E6A27"/>
    <w:rsid w:val="004F69F6"/>
    <w:rsid w:val="004F6EB9"/>
    <w:rsid w:val="00557ED6"/>
    <w:rsid w:val="00567A97"/>
    <w:rsid w:val="00572164"/>
    <w:rsid w:val="00577D08"/>
    <w:rsid w:val="00580031"/>
    <w:rsid w:val="005808F8"/>
    <w:rsid w:val="0058196B"/>
    <w:rsid w:val="00586650"/>
    <w:rsid w:val="005A229A"/>
    <w:rsid w:val="005A2FC6"/>
    <w:rsid w:val="005A6E46"/>
    <w:rsid w:val="005B2CAD"/>
    <w:rsid w:val="005C67C3"/>
    <w:rsid w:val="005D70D2"/>
    <w:rsid w:val="005E0D8D"/>
    <w:rsid w:val="005E63D0"/>
    <w:rsid w:val="005F21E9"/>
    <w:rsid w:val="005F3150"/>
    <w:rsid w:val="005F3BA5"/>
    <w:rsid w:val="00601668"/>
    <w:rsid w:val="006016C3"/>
    <w:rsid w:val="00610D81"/>
    <w:rsid w:val="00623428"/>
    <w:rsid w:val="00623F54"/>
    <w:rsid w:val="006400C9"/>
    <w:rsid w:val="00647393"/>
    <w:rsid w:val="00650086"/>
    <w:rsid w:val="00651379"/>
    <w:rsid w:val="0065465B"/>
    <w:rsid w:val="00684A4B"/>
    <w:rsid w:val="0069235A"/>
    <w:rsid w:val="006A2153"/>
    <w:rsid w:val="006B7920"/>
    <w:rsid w:val="006C667F"/>
    <w:rsid w:val="006D023D"/>
    <w:rsid w:val="006E0ABA"/>
    <w:rsid w:val="006E2E1A"/>
    <w:rsid w:val="006E3974"/>
    <w:rsid w:val="006E6D9D"/>
    <w:rsid w:val="006F0598"/>
    <w:rsid w:val="006F6F53"/>
    <w:rsid w:val="007060E8"/>
    <w:rsid w:val="0071715E"/>
    <w:rsid w:val="0072232B"/>
    <w:rsid w:val="0072750F"/>
    <w:rsid w:val="00730962"/>
    <w:rsid w:val="00730F87"/>
    <w:rsid w:val="00731DF2"/>
    <w:rsid w:val="00751943"/>
    <w:rsid w:val="00771CEA"/>
    <w:rsid w:val="007857A5"/>
    <w:rsid w:val="00786BCD"/>
    <w:rsid w:val="00786E99"/>
    <w:rsid w:val="00790427"/>
    <w:rsid w:val="0079274A"/>
    <w:rsid w:val="00793412"/>
    <w:rsid w:val="00797A96"/>
    <w:rsid w:val="007B0AD0"/>
    <w:rsid w:val="007B2C76"/>
    <w:rsid w:val="007C2CBD"/>
    <w:rsid w:val="007D6FF8"/>
    <w:rsid w:val="007E223B"/>
    <w:rsid w:val="007F451D"/>
    <w:rsid w:val="007F5FC9"/>
    <w:rsid w:val="00803C30"/>
    <w:rsid w:val="008218FC"/>
    <w:rsid w:val="00823101"/>
    <w:rsid w:val="00826623"/>
    <w:rsid w:val="00832278"/>
    <w:rsid w:val="008576FB"/>
    <w:rsid w:val="00870C21"/>
    <w:rsid w:val="00877822"/>
    <w:rsid w:val="00881FB3"/>
    <w:rsid w:val="00882187"/>
    <w:rsid w:val="00894244"/>
    <w:rsid w:val="0089458D"/>
    <w:rsid w:val="008A06E2"/>
    <w:rsid w:val="008C04CA"/>
    <w:rsid w:val="008E0C7F"/>
    <w:rsid w:val="008E3AF7"/>
    <w:rsid w:val="00907A0A"/>
    <w:rsid w:val="00921BF7"/>
    <w:rsid w:val="00931EE3"/>
    <w:rsid w:val="0093541D"/>
    <w:rsid w:val="00960089"/>
    <w:rsid w:val="00967702"/>
    <w:rsid w:val="00972590"/>
    <w:rsid w:val="009834FB"/>
    <w:rsid w:val="00994CC0"/>
    <w:rsid w:val="009A72C6"/>
    <w:rsid w:val="009B2756"/>
    <w:rsid w:val="009D57A8"/>
    <w:rsid w:val="009D7D6F"/>
    <w:rsid w:val="009E16BC"/>
    <w:rsid w:val="00A0061B"/>
    <w:rsid w:val="00A36CD7"/>
    <w:rsid w:val="00A37D53"/>
    <w:rsid w:val="00A55097"/>
    <w:rsid w:val="00A66C6C"/>
    <w:rsid w:val="00A770F4"/>
    <w:rsid w:val="00A82850"/>
    <w:rsid w:val="00A87FB1"/>
    <w:rsid w:val="00AA48FB"/>
    <w:rsid w:val="00AA4954"/>
    <w:rsid w:val="00AC427B"/>
    <w:rsid w:val="00AC6042"/>
    <w:rsid w:val="00AD3F08"/>
    <w:rsid w:val="00AD4457"/>
    <w:rsid w:val="00AE7C90"/>
    <w:rsid w:val="00AF32A1"/>
    <w:rsid w:val="00AF70AC"/>
    <w:rsid w:val="00B07F4E"/>
    <w:rsid w:val="00B1346A"/>
    <w:rsid w:val="00B13E0B"/>
    <w:rsid w:val="00B163AD"/>
    <w:rsid w:val="00B16C08"/>
    <w:rsid w:val="00B20AE7"/>
    <w:rsid w:val="00B30CF9"/>
    <w:rsid w:val="00B3186E"/>
    <w:rsid w:val="00B35958"/>
    <w:rsid w:val="00B4133A"/>
    <w:rsid w:val="00B4257B"/>
    <w:rsid w:val="00B47A4B"/>
    <w:rsid w:val="00B5037D"/>
    <w:rsid w:val="00B50CB9"/>
    <w:rsid w:val="00B61F9D"/>
    <w:rsid w:val="00B67914"/>
    <w:rsid w:val="00B9751B"/>
    <w:rsid w:val="00BA341D"/>
    <w:rsid w:val="00BA5B8C"/>
    <w:rsid w:val="00BA6D2E"/>
    <w:rsid w:val="00BB4DDA"/>
    <w:rsid w:val="00BD4AF9"/>
    <w:rsid w:val="00C04D91"/>
    <w:rsid w:val="00C323F1"/>
    <w:rsid w:val="00C63EAA"/>
    <w:rsid w:val="00C74B5B"/>
    <w:rsid w:val="00C93562"/>
    <w:rsid w:val="00CA3DD1"/>
    <w:rsid w:val="00CB2BA9"/>
    <w:rsid w:val="00CD5393"/>
    <w:rsid w:val="00CD6FA7"/>
    <w:rsid w:val="00CF3D5C"/>
    <w:rsid w:val="00D01B98"/>
    <w:rsid w:val="00D04E8E"/>
    <w:rsid w:val="00D1193B"/>
    <w:rsid w:val="00D145A7"/>
    <w:rsid w:val="00D14FC8"/>
    <w:rsid w:val="00D44455"/>
    <w:rsid w:val="00D451E0"/>
    <w:rsid w:val="00D60E52"/>
    <w:rsid w:val="00D64481"/>
    <w:rsid w:val="00D64C44"/>
    <w:rsid w:val="00D737B9"/>
    <w:rsid w:val="00D82C00"/>
    <w:rsid w:val="00D84E31"/>
    <w:rsid w:val="00D87B0A"/>
    <w:rsid w:val="00DA6686"/>
    <w:rsid w:val="00DB4472"/>
    <w:rsid w:val="00DB5B50"/>
    <w:rsid w:val="00DC4B34"/>
    <w:rsid w:val="00DC7BDA"/>
    <w:rsid w:val="00DD32A4"/>
    <w:rsid w:val="00DE1F15"/>
    <w:rsid w:val="00DE5C3C"/>
    <w:rsid w:val="00DF5421"/>
    <w:rsid w:val="00DF7A5B"/>
    <w:rsid w:val="00E132A2"/>
    <w:rsid w:val="00E16AC4"/>
    <w:rsid w:val="00E2554C"/>
    <w:rsid w:val="00E306C1"/>
    <w:rsid w:val="00E3475F"/>
    <w:rsid w:val="00E423A9"/>
    <w:rsid w:val="00E51E92"/>
    <w:rsid w:val="00E52750"/>
    <w:rsid w:val="00E64913"/>
    <w:rsid w:val="00E65651"/>
    <w:rsid w:val="00E66B67"/>
    <w:rsid w:val="00E77F28"/>
    <w:rsid w:val="00E90853"/>
    <w:rsid w:val="00E935CA"/>
    <w:rsid w:val="00EA2541"/>
    <w:rsid w:val="00EA2D04"/>
    <w:rsid w:val="00EA3B12"/>
    <w:rsid w:val="00EA49FE"/>
    <w:rsid w:val="00EA5BF6"/>
    <w:rsid w:val="00EC1206"/>
    <w:rsid w:val="00EE7663"/>
    <w:rsid w:val="00F01D95"/>
    <w:rsid w:val="00F03AF0"/>
    <w:rsid w:val="00F227CA"/>
    <w:rsid w:val="00F237F1"/>
    <w:rsid w:val="00F246C2"/>
    <w:rsid w:val="00F73E60"/>
    <w:rsid w:val="00F863E1"/>
    <w:rsid w:val="00FA545A"/>
    <w:rsid w:val="00FC580E"/>
    <w:rsid w:val="00FD1172"/>
    <w:rsid w:val="00FD154C"/>
    <w:rsid w:val="00FD1FC2"/>
    <w:rsid w:val="00FD214C"/>
    <w:rsid w:val="00FE766C"/>
    <w:rsid w:val="00FF2F22"/>
    <w:rsid w:val="00FF2F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E05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7B9"/>
  </w:style>
  <w:style w:type="paragraph" w:styleId="Heading1">
    <w:name w:val="heading 1"/>
    <w:basedOn w:val="Normal"/>
    <w:next w:val="Normal"/>
    <w:link w:val="Heading1Char"/>
    <w:qFormat/>
    <w:rsid w:val="002A670A"/>
    <w:pPr>
      <w:keepNext/>
      <w:keepLines/>
      <w:spacing w:before="480"/>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semiHidden/>
    <w:unhideWhenUsed/>
    <w:qFormat/>
    <w:rsid w:val="002A670A"/>
    <w:pPr>
      <w:keepNext/>
      <w:keepLines/>
      <w:spacing w:before="200"/>
      <w:outlineLvl w:val="1"/>
    </w:pPr>
    <w:rPr>
      <w:rFonts w:asciiTheme="majorHAnsi" w:eastAsiaTheme="majorEastAsia" w:hAnsiTheme="majorHAnsi" w:cstheme="majorBidi"/>
      <w:b/>
      <w:bCs/>
      <w:color w:val="4F81BD" w:themeColor="accent1"/>
      <w:sz w:val="26"/>
      <w:szCs w:val="26"/>
      <w:lang w:eastAsia="en-GB"/>
    </w:rPr>
  </w:style>
  <w:style w:type="paragraph" w:styleId="Heading3">
    <w:name w:val="heading 3"/>
    <w:basedOn w:val="Normal"/>
    <w:next w:val="Normal"/>
    <w:link w:val="Heading3Char"/>
    <w:semiHidden/>
    <w:unhideWhenUsed/>
    <w:qFormat/>
    <w:rsid w:val="002A670A"/>
    <w:pPr>
      <w:keepNext/>
      <w:keepLines/>
      <w:spacing w:before="200"/>
      <w:outlineLvl w:val="2"/>
    </w:pPr>
    <w:rPr>
      <w:rFonts w:asciiTheme="majorHAnsi" w:eastAsiaTheme="majorEastAsia" w:hAnsiTheme="majorHAnsi" w:cstheme="majorBidi"/>
      <w:b/>
      <w:bCs/>
      <w:color w:val="4F81BD" w:themeColor="accent1"/>
      <w:lang w:eastAsia="en-GB"/>
    </w:rPr>
  </w:style>
  <w:style w:type="paragraph" w:styleId="Heading4">
    <w:name w:val="heading 4"/>
    <w:basedOn w:val="Normal"/>
    <w:next w:val="Normal"/>
    <w:link w:val="Heading4Char"/>
    <w:semiHidden/>
    <w:unhideWhenUsed/>
    <w:qFormat/>
    <w:rsid w:val="002A670A"/>
    <w:pPr>
      <w:keepNext/>
      <w:keepLines/>
      <w:spacing w:before="200"/>
      <w:outlineLvl w:val="3"/>
    </w:pPr>
    <w:rPr>
      <w:rFonts w:asciiTheme="majorHAnsi" w:eastAsiaTheme="majorEastAsia" w:hAnsiTheme="majorHAnsi" w:cstheme="majorBidi"/>
      <w:b/>
      <w:bCs/>
      <w:i/>
      <w:iCs/>
      <w:color w:val="4F81BD" w:themeColor="accent1"/>
      <w:lang w:eastAsia="en-GB"/>
    </w:rPr>
  </w:style>
  <w:style w:type="paragraph" w:styleId="Heading5">
    <w:name w:val="heading 5"/>
    <w:basedOn w:val="Normal"/>
    <w:next w:val="Normal"/>
    <w:link w:val="Heading5Char"/>
    <w:semiHidden/>
    <w:unhideWhenUsed/>
    <w:qFormat/>
    <w:rsid w:val="002A670A"/>
    <w:pPr>
      <w:keepNext/>
      <w:keepLines/>
      <w:spacing w:before="200"/>
      <w:outlineLvl w:val="4"/>
    </w:pPr>
    <w:rPr>
      <w:rFonts w:asciiTheme="majorHAnsi" w:eastAsiaTheme="majorEastAsia" w:hAnsiTheme="majorHAnsi" w:cstheme="majorBidi"/>
      <w:color w:val="243F60" w:themeColor="accent1" w:themeShade="7F"/>
      <w:lang w:eastAsia="en-GB"/>
    </w:rPr>
  </w:style>
  <w:style w:type="paragraph" w:styleId="Heading6">
    <w:name w:val="heading 6"/>
    <w:basedOn w:val="Normal"/>
    <w:next w:val="Normal"/>
    <w:link w:val="Heading6Char"/>
    <w:semiHidden/>
    <w:unhideWhenUsed/>
    <w:qFormat/>
    <w:rsid w:val="002A670A"/>
    <w:pPr>
      <w:keepNext/>
      <w:keepLines/>
      <w:spacing w:before="200"/>
      <w:outlineLvl w:val="5"/>
    </w:pPr>
    <w:rPr>
      <w:rFonts w:asciiTheme="majorHAnsi" w:eastAsiaTheme="majorEastAsia" w:hAnsiTheme="majorHAnsi" w:cstheme="majorBidi"/>
      <w:i/>
      <w:iCs/>
      <w:color w:val="243F60" w:themeColor="accent1" w:themeShade="7F"/>
      <w:lang w:eastAsia="en-GB"/>
    </w:rPr>
  </w:style>
  <w:style w:type="paragraph" w:styleId="Heading7">
    <w:name w:val="heading 7"/>
    <w:basedOn w:val="Normal"/>
    <w:next w:val="Normal"/>
    <w:link w:val="Heading7Char"/>
    <w:semiHidden/>
    <w:unhideWhenUsed/>
    <w:qFormat/>
    <w:rsid w:val="002A670A"/>
    <w:pPr>
      <w:keepNext/>
      <w:keepLines/>
      <w:spacing w:before="200"/>
      <w:outlineLvl w:val="6"/>
    </w:pPr>
    <w:rPr>
      <w:rFonts w:asciiTheme="majorHAnsi" w:eastAsiaTheme="majorEastAsia" w:hAnsiTheme="majorHAnsi" w:cstheme="majorBidi"/>
      <w:i/>
      <w:iCs/>
      <w:color w:val="404040" w:themeColor="text1" w:themeTint="BF"/>
      <w:lang w:eastAsia="en-GB"/>
    </w:rPr>
  </w:style>
  <w:style w:type="paragraph" w:styleId="Heading8">
    <w:name w:val="heading 8"/>
    <w:basedOn w:val="Normal"/>
    <w:next w:val="Normal"/>
    <w:link w:val="Heading8Char"/>
    <w:semiHidden/>
    <w:unhideWhenUsed/>
    <w:qFormat/>
    <w:rsid w:val="002A670A"/>
    <w:pPr>
      <w:keepNext/>
      <w:keepLines/>
      <w:spacing w:before="200"/>
      <w:outlineLvl w:val="7"/>
    </w:pPr>
    <w:rPr>
      <w:rFonts w:asciiTheme="majorHAnsi" w:eastAsiaTheme="majorEastAsia" w:hAnsiTheme="majorHAnsi" w:cstheme="majorBidi"/>
      <w:color w:val="404040" w:themeColor="text1" w:themeTint="BF"/>
      <w:sz w:val="20"/>
      <w:szCs w:val="20"/>
      <w:lang w:eastAsia="en-GB"/>
    </w:rPr>
  </w:style>
  <w:style w:type="paragraph" w:styleId="Heading9">
    <w:name w:val="heading 9"/>
    <w:basedOn w:val="Normal"/>
    <w:next w:val="Normal"/>
    <w:link w:val="Heading9Char"/>
    <w:semiHidden/>
    <w:unhideWhenUsed/>
    <w:qFormat/>
    <w:rsid w:val="002A670A"/>
    <w:pPr>
      <w:keepNext/>
      <w:keepLines/>
      <w:spacing w:before="200"/>
      <w:outlineLvl w:val="8"/>
    </w:pPr>
    <w:rPr>
      <w:rFonts w:asciiTheme="majorHAnsi" w:eastAsiaTheme="majorEastAsia" w:hAnsiTheme="majorHAnsi" w:cstheme="majorBidi"/>
      <w:i/>
      <w:iCs/>
      <w:color w:val="404040" w:themeColor="text1" w:themeTint="B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708C9"/>
    <w:rPr>
      <w:sz w:val="20"/>
      <w:szCs w:val="20"/>
    </w:rPr>
  </w:style>
  <w:style w:type="character" w:customStyle="1" w:styleId="FootnoteTextChar">
    <w:name w:val="Footnote Text Char"/>
    <w:basedOn w:val="DefaultParagraphFont"/>
    <w:link w:val="FootnoteText"/>
    <w:uiPriority w:val="99"/>
    <w:rsid w:val="001708C9"/>
    <w:rPr>
      <w:sz w:val="20"/>
      <w:szCs w:val="20"/>
    </w:rPr>
  </w:style>
  <w:style w:type="character" w:styleId="FootnoteReference">
    <w:name w:val="footnote reference"/>
    <w:basedOn w:val="DefaultParagraphFont"/>
    <w:uiPriority w:val="99"/>
    <w:unhideWhenUsed/>
    <w:rsid w:val="001708C9"/>
    <w:rPr>
      <w:vertAlign w:val="superscript"/>
    </w:rPr>
  </w:style>
  <w:style w:type="character" w:styleId="Hyperlink">
    <w:name w:val="Hyperlink"/>
    <w:basedOn w:val="DefaultParagraphFont"/>
    <w:uiPriority w:val="99"/>
    <w:unhideWhenUsed/>
    <w:rsid w:val="004301C1"/>
    <w:rPr>
      <w:color w:val="0000FF" w:themeColor="hyperlink"/>
      <w:u w:val="single"/>
    </w:rPr>
  </w:style>
  <w:style w:type="paragraph" w:styleId="Header">
    <w:name w:val="header"/>
    <w:basedOn w:val="Normal"/>
    <w:link w:val="HeaderChar"/>
    <w:uiPriority w:val="99"/>
    <w:unhideWhenUsed/>
    <w:rsid w:val="0093541D"/>
    <w:pPr>
      <w:tabs>
        <w:tab w:val="center" w:pos="4513"/>
        <w:tab w:val="right" w:pos="9026"/>
      </w:tabs>
    </w:pPr>
  </w:style>
  <w:style w:type="character" w:customStyle="1" w:styleId="HeaderChar">
    <w:name w:val="Header Char"/>
    <w:basedOn w:val="DefaultParagraphFont"/>
    <w:link w:val="Header"/>
    <w:uiPriority w:val="99"/>
    <w:rsid w:val="0093541D"/>
  </w:style>
  <w:style w:type="paragraph" w:styleId="Footer">
    <w:name w:val="footer"/>
    <w:basedOn w:val="Normal"/>
    <w:link w:val="FooterChar"/>
    <w:uiPriority w:val="99"/>
    <w:unhideWhenUsed/>
    <w:rsid w:val="0093541D"/>
    <w:pPr>
      <w:tabs>
        <w:tab w:val="center" w:pos="4513"/>
        <w:tab w:val="right" w:pos="9026"/>
      </w:tabs>
    </w:pPr>
  </w:style>
  <w:style w:type="character" w:customStyle="1" w:styleId="FooterChar">
    <w:name w:val="Footer Char"/>
    <w:basedOn w:val="DefaultParagraphFont"/>
    <w:link w:val="Footer"/>
    <w:uiPriority w:val="99"/>
    <w:rsid w:val="0093541D"/>
  </w:style>
  <w:style w:type="table" w:styleId="TableGrid">
    <w:name w:val="Table Grid"/>
    <w:basedOn w:val="TableNormal"/>
    <w:rsid w:val="00684A4B"/>
    <w:rPr>
      <w:rFonts w:eastAsia="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477CEC"/>
    <w:pPr>
      <w:spacing w:after="160"/>
    </w:pPr>
    <w:rPr>
      <w:rFonts w:asciiTheme="minorHAnsi" w:hAnsiTheme="minorHAnsi" w:cstheme="minorBidi"/>
    </w:rPr>
  </w:style>
  <w:style w:type="character" w:customStyle="1" w:styleId="CommentTextChar">
    <w:name w:val="Comment Text Char"/>
    <w:basedOn w:val="DefaultParagraphFont"/>
    <w:link w:val="CommentText"/>
    <w:uiPriority w:val="99"/>
    <w:rsid w:val="00477CEC"/>
    <w:rPr>
      <w:rFonts w:asciiTheme="minorHAnsi" w:hAnsiTheme="minorHAnsi" w:cstheme="minorBidi"/>
    </w:rPr>
  </w:style>
  <w:style w:type="paragraph" w:styleId="ListParagraph">
    <w:name w:val="List Paragraph"/>
    <w:basedOn w:val="Normal"/>
    <w:uiPriority w:val="34"/>
    <w:qFormat/>
    <w:rsid w:val="001E1DE1"/>
    <w:pPr>
      <w:spacing w:after="160" w:line="259"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unhideWhenUsed/>
    <w:rsid w:val="00B16C08"/>
    <w:rPr>
      <w:sz w:val="16"/>
      <w:szCs w:val="16"/>
    </w:rPr>
  </w:style>
  <w:style w:type="paragraph" w:styleId="CommentSubject">
    <w:name w:val="annotation subject"/>
    <w:basedOn w:val="CommentText"/>
    <w:next w:val="CommentText"/>
    <w:link w:val="CommentSubjectChar"/>
    <w:uiPriority w:val="99"/>
    <w:unhideWhenUsed/>
    <w:rsid w:val="00B16C08"/>
    <w:pPr>
      <w:spacing w:after="0"/>
    </w:pPr>
    <w:rPr>
      <w:rFonts w:ascii="Times New Roman" w:hAnsi="Times New Roman" w:cs="Times New Roman"/>
      <w:b/>
      <w:bCs/>
      <w:sz w:val="20"/>
      <w:szCs w:val="20"/>
    </w:rPr>
  </w:style>
  <w:style w:type="character" w:customStyle="1" w:styleId="CommentSubjectChar">
    <w:name w:val="Comment Subject Char"/>
    <w:basedOn w:val="CommentTextChar"/>
    <w:link w:val="CommentSubject"/>
    <w:uiPriority w:val="99"/>
    <w:rsid w:val="00B16C08"/>
    <w:rPr>
      <w:rFonts w:asciiTheme="minorHAnsi" w:hAnsiTheme="minorHAnsi" w:cstheme="minorBidi"/>
      <w:b/>
      <w:bCs/>
      <w:sz w:val="20"/>
      <w:szCs w:val="20"/>
    </w:rPr>
  </w:style>
  <w:style w:type="paragraph" w:styleId="BalloonText">
    <w:name w:val="Balloon Text"/>
    <w:basedOn w:val="Normal"/>
    <w:link w:val="BalloonTextChar"/>
    <w:uiPriority w:val="99"/>
    <w:unhideWhenUsed/>
    <w:rsid w:val="00B16C08"/>
    <w:rPr>
      <w:rFonts w:ascii="Tahoma" w:hAnsi="Tahoma" w:cs="Tahoma"/>
      <w:sz w:val="16"/>
      <w:szCs w:val="16"/>
    </w:rPr>
  </w:style>
  <w:style w:type="character" w:customStyle="1" w:styleId="BalloonTextChar">
    <w:name w:val="Balloon Text Char"/>
    <w:basedOn w:val="DefaultParagraphFont"/>
    <w:link w:val="BalloonText"/>
    <w:uiPriority w:val="99"/>
    <w:rsid w:val="00B16C08"/>
    <w:rPr>
      <w:rFonts w:ascii="Tahoma" w:hAnsi="Tahoma" w:cs="Tahoma"/>
      <w:sz w:val="16"/>
      <w:szCs w:val="16"/>
    </w:rPr>
  </w:style>
  <w:style w:type="character" w:customStyle="1" w:styleId="Heading1Char">
    <w:name w:val="Heading 1 Char"/>
    <w:basedOn w:val="DefaultParagraphFont"/>
    <w:link w:val="Heading1"/>
    <w:rsid w:val="002A670A"/>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semiHidden/>
    <w:rsid w:val="002A670A"/>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semiHidden/>
    <w:rsid w:val="002A670A"/>
    <w:rPr>
      <w:rFonts w:asciiTheme="majorHAnsi" w:eastAsiaTheme="majorEastAsia" w:hAnsiTheme="majorHAnsi" w:cstheme="majorBidi"/>
      <w:b/>
      <w:bCs/>
      <w:color w:val="4F81BD" w:themeColor="accent1"/>
      <w:lang w:eastAsia="en-GB"/>
    </w:rPr>
  </w:style>
  <w:style w:type="character" w:customStyle="1" w:styleId="Heading4Char">
    <w:name w:val="Heading 4 Char"/>
    <w:basedOn w:val="DefaultParagraphFont"/>
    <w:link w:val="Heading4"/>
    <w:semiHidden/>
    <w:rsid w:val="002A670A"/>
    <w:rPr>
      <w:rFonts w:asciiTheme="majorHAnsi" w:eastAsiaTheme="majorEastAsia" w:hAnsiTheme="majorHAnsi" w:cstheme="majorBidi"/>
      <w:b/>
      <w:bCs/>
      <w:i/>
      <w:iCs/>
      <w:color w:val="4F81BD" w:themeColor="accent1"/>
      <w:lang w:eastAsia="en-GB"/>
    </w:rPr>
  </w:style>
  <w:style w:type="character" w:customStyle="1" w:styleId="Heading5Char">
    <w:name w:val="Heading 5 Char"/>
    <w:basedOn w:val="DefaultParagraphFont"/>
    <w:link w:val="Heading5"/>
    <w:semiHidden/>
    <w:rsid w:val="002A670A"/>
    <w:rPr>
      <w:rFonts w:asciiTheme="majorHAnsi" w:eastAsiaTheme="majorEastAsia" w:hAnsiTheme="majorHAnsi" w:cstheme="majorBidi"/>
      <w:color w:val="243F60" w:themeColor="accent1" w:themeShade="7F"/>
      <w:lang w:eastAsia="en-GB"/>
    </w:rPr>
  </w:style>
  <w:style w:type="character" w:customStyle="1" w:styleId="Heading6Char">
    <w:name w:val="Heading 6 Char"/>
    <w:basedOn w:val="DefaultParagraphFont"/>
    <w:link w:val="Heading6"/>
    <w:semiHidden/>
    <w:rsid w:val="002A670A"/>
    <w:rPr>
      <w:rFonts w:asciiTheme="majorHAnsi" w:eastAsiaTheme="majorEastAsia" w:hAnsiTheme="majorHAnsi" w:cstheme="majorBidi"/>
      <w:i/>
      <w:iCs/>
      <w:color w:val="243F60" w:themeColor="accent1" w:themeShade="7F"/>
      <w:lang w:eastAsia="en-GB"/>
    </w:rPr>
  </w:style>
  <w:style w:type="character" w:customStyle="1" w:styleId="Heading7Char">
    <w:name w:val="Heading 7 Char"/>
    <w:basedOn w:val="DefaultParagraphFont"/>
    <w:link w:val="Heading7"/>
    <w:semiHidden/>
    <w:rsid w:val="002A670A"/>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semiHidden/>
    <w:rsid w:val="002A670A"/>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semiHidden/>
    <w:rsid w:val="002A670A"/>
    <w:rPr>
      <w:rFonts w:asciiTheme="majorHAnsi" w:eastAsiaTheme="majorEastAsia" w:hAnsiTheme="majorHAnsi" w:cstheme="majorBidi"/>
      <w:i/>
      <w:iCs/>
      <w:color w:val="404040" w:themeColor="text1" w:themeTint="BF"/>
      <w:sz w:val="20"/>
      <w:szCs w:val="20"/>
      <w:lang w:eastAsia="en-GB"/>
    </w:rPr>
  </w:style>
  <w:style w:type="numbering" w:customStyle="1" w:styleId="NoList1">
    <w:name w:val="No List1"/>
    <w:next w:val="NoList"/>
    <w:uiPriority w:val="99"/>
    <w:semiHidden/>
    <w:unhideWhenUsed/>
    <w:rsid w:val="002A670A"/>
  </w:style>
  <w:style w:type="character" w:styleId="PageNumber">
    <w:name w:val="page number"/>
    <w:basedOn w:val="DefaultParagraphFont"/>
    <w:uiPriority w:val="99"/>
    <w:rsid w:val="002A670A"/>
  </w:style>
  <w:style w:type="paragraph" w:styleId="DocumentMap">
    <w:name w:val="Document Map"/>
    <w:basedOn w:val="Normal"/>
    <w:link w:val="DocumentMapChar"/>
    <w:uiPriority w:val="99"/>
    <w:unhideWhenUsed/>
    <w:rsid w:val="002A670A"/>
    <w:pPr>
      <w:widowControl w:val="0"/>
      <w:autoSpaceDE w:val="0"/>
      <w:autoSpaceDN w:val="0"/>
      <w:adjustRightInd w:val="0"/>
    </w:pPr>
    <w:rPr>
      <w:color w:val="000000"/>
      <w:lang w:val="en-US"/>
    </w:rPr>
  </w:style>
  <w:style w:type="character" w:customStyle="1" w:styleId="DocumentMapChar">
    <w:name w:val="Document Map Char"/>
    <w:basedOn w:val="DefaultParagraphFont"/>
    <w:link w:val="DocumentMap"/>
    <w:uiPriority w:val="99"/>
    <w:rsid w:val="002A670A"/>
    <w:rPr>
      <w:color w:val="000000"/>
      <w:lang w:val="en-US"/>
    </w:rPr>
  </w:style>
  <w:style w:type="paragraph" w:styleId="EndnoteText">
    <w:name w:val="endnote text"/>
    <w:basedOn w:val="Normal"/>
    <w:link w:val="EndnoteTextChar"/>
    <w:uiPriority w:val="99"/>
    <w:unhideWhenUsed/>
    <w:rsid w:val="002A670A"/>
    <w:pPr>
      <w:widowControl w:val="0"/>
      <w:autoSpaceDE w:val="0"/>
      <w:autoSpaceDN w:val="0"/>
      <w:adjustRightInd w:val="0"/>
    </w:pPr>
    <w:rPr>
      <w:rFonts w:ascii="Courier New" w:hAnsi="Courier New" w:cs="Courier New"/>
      <w:color w:val="000000"/>
      <w:lang w:val="en-US"/>
    </w:rPr>
  </w:style>
  <w:style w:type="character" w:customStyle="1" w:styleId="EndnoteTextChar">
    <w:name w:val="Endnote Text Char"/>
    <w:basedOn w:val="DefaultParagraphFont"/>
    <w:link w:val="EndnoteText"/>
    <w:uiPriority w:val="99"/>
    <w:rsid w:val="002A670A"/>
    <w:rPr>
      <w:rFonts w:ascii="Courier New" w:hAnsi="Courier New" w:cs="Courier New"/>
      <w:color w:val="000000"/>
      <w:lang w:val="en-US"/>
    </w:rPr>
  </w:style>
  <w:style w:type="character" w:styleId="EndnoteReference">
    <w:name w:val="endnote reference"/>
    <w:basedOn w:val="DefaultParagraphFont"/>
    <w:uiPriority w:val="99"/>
    <w:unhideWhenUsed/>
    <w:rsid w:val="002A670A"/>
    <w:rPr>
      <w:vertAlign w:val="superscript"/>
    </w:rPr>
  </w:style>
  <w:style w:type="paragraph" w:styleId="NormalWeb">
    <w:name w:val="Normal (Web)"/>
    <w:basedOn w:val="Normal"/>
    <w:uiPriority w:val="99"/>
    <w:unhideWhenUsed/>
    <w:rsid w:val="002A670A"/>
    <w:pPr>
      <w:spacing w:before="100" w:beforeAutospacing="1" w:after="100" w:afterAutospacing="1"/>
    </w:pPr>
    <w:rPr>
      <w:lang w:val="en-US"/>
    </w:rPr>
  </w:style>
  <w:style w:type="paragraph" w:styleId="Title">
    <w:name w:val="Title"/>
    <w:basedOn w:val="Normal"/>
    <w:next w:val="Normal"/>
    <w:link w:val="TitleChar"/>
    <w:uiPriority w:val="10"/>
    <w:qFormat/>
    <w:rsid w:val="002A67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A670A"/>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2A670A"/>
    <w:pPr>
      <w:autoSpaceDE w:val="0"/>
      <w:autoSpaceDN w:val="0"/>
      <w:adjustRightInd w:val="0"/>
    </w:pPr>
    <w:rPr>
      <w:rFonts w:ascii="Gill Sans MT" w:hAnsi="Gill Sans MT" w:cs="Gill Sans MT"/>
      <w:color w:val="000000"/>
    </w:rPr>
  </w:style>
  <w:style w:type="character" w:customStyle="1" w:styleId="il">
    <w:name w:val="il"/>
    <w:basedOn w:val="DefaultParagraphFont"/>
    <w:rsid w:val="002A670A"/>
  </w:style>
  <w:style w:type="character" w:styleId="FollowedHyperlink">
    <w:name w:val="FollowedHyperlink"/>
    <w:basedOn w:val="DefaultParagraphFont"/>
    <w:uiPriority w:val="99"/>
    <w:semiHidden/>
    <w:unhideWhenUsed/>
    <w:rsid w:val="00832278"/>
    <w:rPr>
      <w:color w:val="800080" w:themeColor="followedHyperlink"/>
      <w:u w:val="single"/>
    </w:rPr>
  </w:style>
  <w:style w:type="character" w:customStyle="1" w:styleId="cit-auth">
    <w:name w:val="cit-auth"/>
    <w:basedOn w:val="DefaultParagraphFont"/>
    <w:rsid w:val="00217E7B"/>
  </w:style>
  <w:style w:type="character" w:customStyle="1" w:styleId="slug-pages">
    <w:name w:val="slug-pages"/>
    <w:basedOn w:val="DefaultParagraphFont"/>
    <w:rsid w:val="00217E7B"/>
  </w:style>
  <w:style w:type="character" w:customStyle="1" w:styleId="apple-converted-space">
    <w:name w:val="apple-converted-space"/>
    <w:basedOn w:val="DefaultParagraphFont"/>
    <w:rsid w:val="00B30C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7B9"/>
  </w:style>
  <w:style w:type="paragraph" w:styleId="Heading1">
    <w:name w:val="heading 1"/>
    <w:basedOn w:val="Normal"/>
    <w:next w:val="Normal"/>
    <w:link w:val="Heading1Char"/>
    <w:qFormat/>
    <w:rsid w:val="002A670A"/>
    <w:pPr>
      <w:keepNext/>
      <w:keepLines/>
      <w:spacing w:before="480"/>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semiHidden/>
    <w:unhideWhenUsed/>
    <w:qFormat/>
    <w:rsid w:val="002A670A"/>
    <w:pPr>
      <w:keepNext/>
      <w:keepLines/>
      <w:spacing w:before="200"/>
      <w:outlineLvl w:val="1"/>
    </w:pPr>
    <w:rPr>
      <w:rFonts w:asciiTheme="majorHAnsi" w:eastAsiaTheme="majorEastAsia" w:hAnsiTheme="majorHAnsi" w:cstheme="majorBidi"/>
      <w:b/>
      <w:bCs/>
      <w:color w:val="4F81BD" w:themeColor="accent1"/>
      <w:sz w:val="26"/>
      <w:szCs w:val="26"/>
      <w:lang w:eastAsia="en-GB"/>
    </w:rPr>
  </w:style>
  <w:style w:type="paragraph" w:styleId="Heading3">
    <w:name w:val="heading 3"/>
    <w:basedOn w:val="Normal"/>
    <w:next w:val="Normal"/>
    <w:link w:val="Heading3Char"/>
    <w:semiHidden/>
    <w:unhideWhenUsed/>
    <w:qFormat/>
    <w:rsid w:val="002A670A"/>
    <w:pPr>
      <w:keepNext/>
      <w:keepLines/>
      <w:spacing w:before="200"/>
      <w:outlineLvl w:val="2"/>
    </w:pPr>
    <w:rPr>
      <w:rFonts w:asciiTheme="majorHAnsi" w:eastAsiaTheme="majorEastAsia" w:hAnsiTheme="majorHAnsi" w:cstheme="majorBidi"/>
      <w:b/>
      <w:bCs/>
      <w:color w:val="4F81BD" w:themeColor="accent1"/>
      <w:lang w:eastAsia="en-GB"/>
    </w:rPr>
  </w:style>
  <w:style w:type="paragraph" w:styleId="Heading4">
    <w:name w:val="heading 4"/>
    <w:basedOn w:val="Normal"/>
    <w:next w:val="Normal"/>
    <w:link w:val="Heading4Char"/>
    <w:semiHidden/>
    <w:unhideWhenUsed/>
    <w:qFormat/>
    <w:rsid w:val="002A670A"/>
    <w:pPr>
      <w:keepNext/>
      <w:keepLines/>
      <w:spacing w:before="200"/>
      <w:outlineLvl w:val="3"/>
    </w:pPr>
    <w:rPr>
      <w:rFonts w:asciiTheme="majorHAnsi" w:eastAsiaTheme="majorEastAsia" w:hAnsiTheme="majorHAnsi" w:cstheme="majorBidi"/>
      <w:b/>
      <w:bCs/>
      <w:i/>
      <w:iCs/>
      <w:color w:val="4F81BD" w:themeColor="accent1"/>
      <w:lang w:eastAsia="en-GB"/>
    </w:rPr>
  </w:style>
  <w:style w:type="paragraph" w:styleId="Heading5">
    <w:name w:val="heading 5"/>
    <w:basedOn w:val="Normal"/>
    <w:next w:val="Normal"/>
    <w:link w:val="Heading5Char"/>
    <w:semiHidden/>
    <w:unhideWhenUsed/>
    <w:qFormat/>
    <w:rsid w:val="002A670A"/>
    <w:pPr>
      <w:keepNext/>
      <w:keepLines/>
      <w:spacing w:before="200"/>
      <w:outlineLvl w:val="4"/>
    </w:pPr>
    <w:rPr>
      <w:rFonts w:asciiTheme="majorHAnsi" w:eastAsiaTheme="majorEastAsia" w:hAnsiTheme="majorHAnsi" w:cstheme="majorBidi"/>
      <w:color w:val="243F60" w:themeColor="accent1" w:themeShade="7F"/>
      <w:lang w:eastAsia="en-GB"/>
    </w:rPr>
  </w:style>
  <w:style w:type="paragraph" w:styleId="Heading6">
    <w:name w:val="heading 6"/>
    <w:basedOn w:val="Normal"/>
    <w:next w:val="Normal"/>
    <w:link w:val="Heading6Char"/>
    <w:semiHidden/>
    <w:unhideWhenUsed/>
    <w:qFormat/>
    <w:rsid w:val="002A670A"/>
    <w:pPr>
      <w:keepNext/>
      <w:keepLines/>
      <w:spacing w:before="200"/>
      <w:outlineLvl w:val="5"/>
    </w:pPr>
    <w:rPr>
      <w:rFonts w:asciiTheme="majorHAnsi" w:eastAsiaTheme="majorEastAsia" w:hAnsiTheme="majorHAnsi" w:cstheme="majorBidi"/>
      <w:i/>
      <w:iCs/>
      <w:color w:val="243F60" w:themeColor="accent1" w:themeShade="7F"/>
      <w:lang w:eastAsia="en-GB"/>
    </w:rPr>
  </w:style>
  <w:style w:type="paragraph" w:styleId="Heading7">
    <w:name w:val="heading 7"/>
    <w:basedOn w:val="Normal"/>
    <w:next w:val="Normal"/>
    <w:link w:val="Heading7Char"/>
    <w:semiHidden/>
    <w:unhideWhenUsed/>
    <w:qFormat/>
    <w:rsid w:val="002A670A"/>
    <w:pPr>
      <w:keepNext/>
      <w:keepLines/>
      <w:spacing w:before="200"/>
      <w:outlineLvl w:val="6"/>
    </w:pPr>
    <w:rPr>
      <w:rFonts w:asciiTheme="majorHAnsi" w:eastAsiaTheme="majorEastAsia" w:hAnsiTheme="majorHAnsi" w:cstheme="majorBidi"/>
      <w:i/>
      <w:iCs/>
      <w:color w:val="404040" w:themeColor="text1" w:themeTint="BF"/>
      <w:lang w:eastAsia="en-GB"/>
    </w:rPr>
  </w:style>
  <w:style w:type="paragraph" w:styleId="Heading8">
    <w:name w:val="heading 8"/>
    <w:basedOn w:val="Normal"/>
    <w:next w:val="Normal"/>
    <w:link w:val="Heading8Char"/>
    <w:semiHidden/>
    <w:unhideWhenUsed/>
    <w:qFormat/>
    <w:rsid w:val="002A670A"/>
    <w:pPr>
      <w:keepNext/>
      <w:keepLines/>
      <w:spacing w:before="200"/>
      <w:outlineLvl w:val="7"/>
    </w:pPr>
    <w:rPr>
      <w:rFonts w:asciiTheme="majorHAnsi" w:eastAsiaTheme="majorEastAsia" w:hAnsiTheme="majorHAnsi" w:cstheme="majorBidi"/>
      <w:color w:val="404040" w:themeColor="text1" w:themeTint="BF"/>
      <w:sz w:val="20"/>
      <w:szCs w:val="20"/>
      <w:lang w:eastAsia="en-GB"/>
    </w:rPr>
  </w:style>
  <w:style w:type="paragraph" w:styleId="Heading9">
    <w:name w:val="heading 9"/>
    <w:basedOn w:val="Normal"/>
    <w:next w:val="Normal"/>
    <w:link w:val="Heading9Char"/>
    <w:semiHidden/>
    <w:unhideWhenUsed/>
    <w:qFormat/>
    <w:rsid w:val="002A670A"/>
    <w:pPr>
      <w:keepNext/>
      <w:keepLines/>
      <w:spacing w:before="200"/>
      <w:outlineLvl w:val="8"/>
    </w:pPr>
    <w:rPr>
      <w:rFonts w:asciiTheme="majorHAnsi" w:eastAsiaTheme="majorEastAsia" w:hAnsiTheme="majorHAnsi" w:cstheme="majorBidi"/>
      <w:i/>
      <w:iCs/>
      <w:color w:val="404040" w:themeColor="text1" w:themeTint="B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708C9"/>
    <w:rPr>
      <w:sz w:val="20"/>
      <w:szCs w:val="20"/>
    </w:rPr>
  </w:style>
  <w:style w:type="character" w:customStyle="1" w:styleId="FootnoteTextChar">
    <w:name w:val="Footnote Text Char"/>
    <w:basedOn w:val="DefaultParagraphFont"/>
    <w:link w:val="FootnoteText"/>
    <w:uiPriority w:val="99"/>
    <w:rsid w:val="001708C9"/>
    <w:rPr>
      <w:sz w:val="20"/>
      <w:szCs w:val="20"/>
    </w:rPr>
  </w:style>
  <w:style w:type="character" w:styleId="FootnoteReference">
    <w:name w:val="footnote reference"/>
    <w:basedOn w:val="DefaultParagraphFont"/>
    <w:uiPriority w:val="99"/>
    <w:unhideWhenUsed/>
    <w:rsid w:val="001708C9"/>
    <w:rPr>
      <w:vertAlign w:val="superscript"/>
    </w:rPr>
  </w:style>
  <w:style w:type="character" w:styleId="Hyperlink">
    <w:name w:val="Hyperlink"/>
    <w:basedOn w:val="DefaultParagraphFont"/>
    <w:uiPriority w:val="99"/>
    <w:unhideWhenUsed/>
    <w:rsid w:val="004301C1"/>
    <w:rPr>
      <w:color w:val="0000FF" w:themeColor="hyperlink"/>
      <w:u w:val="single"/>
    </w:rPr>
  </w:style>
  <w:style w:type="paragraph" w:styleId="Header">
    <w:name w:val="header"/>
    <w:basedOn w:val="Normal"/>
    <w:link w:val="HeaderChar"/>
    <w:uiPriority w:val="99"/>
    <w:unhideWhenUsed/>
    <w:rsid w:val="0093541D"/>
    <w:pPr>
      <w:tabs>
        <w:tab w:val="center" w:pos="4513"/>
        <w:tab w:val="right" w:pos="9026"/>
      </w:tabs>
    </w:pPr>
  </w:style>
  <w:style w:type="character" w:customStyle="1" w:styleId="HeaderChar">
    <w:name w:val="Header Char"/>
    <w:basedOn w:val="DefaultParagraphFont"/>
    <w:link w:val="Header"/>
    <w:uiPriority w:val="99"/>
    <w:rsid w:val="0093541D"/>
  </w:style>
  <w:style w:type="paragraph" w:styleId="Footer">
    <w:name w:val="footer"/>
    <w:basedOn w:val="Normal"/>
    <w:link w:val="FooterChar"/>
    <w:uiPriority w:val="99"/>
    <w:unhideWhenUsed/>
    <w:rsid w:val="0093541D"/>
    <w:pPr>
      <w:tabs>
        <w:tab w:val="center" w:pos="4513"/>
        <w:tab w:val="right" w:pos="9026"/>
      </w:tabs>
    </w:pPr>
  </w:style>
  <w:style w:type="character" w:customStyle="1" w:styleId="FooterChar">
    <w:name w:val="Footer Char"/>
    <w:basedOn w:val="DefaultParagraphFont"/>
    <w:link w:val="Footer"/>
    <w:uiPriority w:val="99"/>
    <w:rsid w:val="0093541D"/>
  </w:style>
  <w:style w:type="table" w:styleId="TableGrid">
    <w:name w:val="Table Grid"/>
    <w:basedOn w:val="TableNormal"/>
    <w:rsid w:val="00684A4B"/>
    <w:rPr>
      <w:rFonts w:eastAsia="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477CEC"/>
    <w:pPr>
      <w:spacing w:after="160"/>
    </w:pPr>
    <w:rPr>
      <w:rFonts w:asciiTheme="minorHAnsi" w:hAnsiTheme="minorHAnsi" w:cstheme="minorBidi"/>
    </w:rPr>
  </w:style>
  <w:style w:type="character" w:customStyle="1" w:styleId="CommentTextChar">
    <w:name w:val="Comment Text Char"/>
    <w:basedOn w:val="DefaultParagraphFont"/>
    <w:link w:val="CommentText"/>
    <w:uiPriority w:val="99"/>
    <w:rsid w:val="00477CEC"/>
    <w:rPr>
      <w:rFonts w:asciiTheme="minorHAnsi" w:hAnsiTheme="minorHAnsi" w:cstheme="minorBidi"/>
    </w:rPr>
  </w:style>
  <w:style w:type="paragraph" w:styleId="ListParagraph">
    <w:name w:val="List Paragraph"/>
    <w:basedOn w:val="Normal"/>
    <w:uiPriority w:val="34"/>
    <w:qFormat/>
    <w:rsid w:val="001E1DE1"/>
    <w:pPr>
      <w:spacing w:after="160" w:line="259"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unhideWhenUsed/>
    <w:rsid w:val="00B16C08"/>
    <w:rPr>
      <w:sz w:val="16"/>
      <w:szCs w:val="16"/>
    </w:rPr>
  </w:style>
  <w:style w:type="paragraph" w:styleId="CommentSubject">
    <w:name w:val="annotation subject"/>
    <w:basedOn w:val="CommentText"/>
    <w:next w:val="CommentText"/>
    <w:link w:val="CommentSubjectChar"/>
    <w:uiPriority w:val="99"/>
    <w:unhideWhenUsed/>
    <w:rsid w:val="00B16C08"/>
    <w:pPr>
      <w:spacing w:after="0"/>
    </w:pPr>
    <w:rPr>
      <w:rFonts w:ascii="Times New Roman" w:hAnsi="Times New Roman" w:cs="Times New Roman"/>
      <w:b/>
      <w:bCs/>
      <w:sz w:val="20"/>
      <w:szCs w:val="20"/>
    </w:rPr>
  </w:style>
  <w:style w:type="character" w:customStyle="1" w:styleId="CommentSubjectChar">
    <w:name w:val="Comment Subject Char"/>
    <w:basedOn w:val="CommentTextChar"/>
    <w:link w:val="CommentSubject"/>
    <w:uiPriority w:val="99"/>
    <w:rsid w:val="00B16C08"/>
    <w:rPr>
      <w:rFonts w:asciiTheme="minorHAnsi" w:hAnsiTheme="minorHAnsi" w:cstheme="minorBidi"/>
      <w:b/>
      <w:bCs/>
      <w:sz w:val="20"/>
      <w:szCs w:val="20"/>
    </w:rPr>
  </w:style>
  <w:style w:type="paragraph" w:styleId="BalloonText">
    <w:name w:val="Balloon Text"/>
    <w:basedOn w:val="Normal"/>
    <w:link w:val="BalloonTextChar"/>
    <w:uiPriority w:val="99"/>
    <w:unhideWhenUsed/>
    <w:rsid w:val="00B16C08"/>
    <w:rPr>
      <w:rFonts w:ascii="Tahoma" w:hAnsi="Tahoma" w:cs="Tahoma"/>
      <w:sz w:val="16"/>
      <w:szCs w:val="16"/>
    </w:rPr>
  </w:style>
  <w:style w:type="character" w:customStyle="1" w:styleId="BalloonTextChar">
    <w:name w:val="Balloon Text Char"/>
    <w:basedOn w:val="DefaultParagraphFont"/>
    <w:link w:val="BalloonText"/>
    <w:uiPriority w:val="99"/>
    <w:rsid w:val="00B16C08"/>
    <w:rPr>
      <w:rFonts w:ascii="Tahoma" w:hAnsi="Tahoma" w:cs="Tahoma"/>
      <w:sz w:val="16"/>
      <w:szCs w:val="16"/>
    </w:rPr>
  </w:style>
  <w:style w:type="character" w:customStyle="1" w:styleId="Heading1Char">
    <w:name w:val="Heading 1 Char"/>
    <w:basedOn w:val="DefaultParagraphFont"/>
    <w:link w:val="Heading1"/>
    <w:rsid w:val="002A670A"/>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semiHidden/>
    <w:rsid w:val="002A670A"/>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semiHidden/>
    <w:rsid w:val="002A670A"/>
    <w:rPr>
      <w:rFonts w:asciiTheme="majorHAnsi" w:eastAsiaTheme="majorEastAsia" w:hAnsiTheme="majorHAnsi" w:cstheme="majorBidi"/>
      <w:b/>
      <w:bCs/>
      <w:color w:val="4F81BD" w:themeColor="accent1"/>
      <w:lang w:eastAsia="en-GB"/>
    </w:rPr>
  </w:style>
  <w:style w:type="character" w:customStyle="1" w:styleId="Heading4Char">
    <w:name w:val="Heading 4 Char"/>
    <w:basedOn w:val="DefaultParagraphFont"/>
    <w:link w:val="Heading4"/>
    <w:semiHidden/>
    <w:rsid w:val="002A670A"/>
    <w:rPr>
      <w:rFonts w:asciiTheme="majorHAnsi" w:eastAsiaTheme="majorEastAsia" w:hAnsiTheme="majorHAnsi" w:cstheme="majorBidi"/>
      <w:b/>
      <w:bCs/>
      <w:i/>
      <w:iCs/>
      <w:color w:val="4F81BD" w:themeColor="accent1"/>
      <w:lang w:eastAsia="en-GB"/>
    </w:rPr>
  </w:style>
  <w:style w:type="character" w:customStyle="1" w:styleId="Heading5Char">
    <w:name w:val="Heading 5 Char"/>
    <w:basedOn w:val="DefaultParagraphFont"/>
    <w:link w:val="Heading5"/>
    <w:semiHidden/>
    <w:rsid w:val="002A670A"/>
    <w:rPr>
      <w:rFonts w:asciiTheme="majorHAnsi" w:eastAsiaTheme="majorEastAsia" w:hAnsiTheme="majorHAnsi" w:cstheme="majorBidi"/>
      <w:color w:val="243F60" w:themeColor="accent1" w:themeShade="7F"/>
      <w:lang w:eastAsia="en-GB"/>
    </w:rPr>
  </w:style>
  <w:style w:type="character" w:customStyle="1" w:styleId="Heading6Char">
    <w:name w:val="Heading 6 Char"/>
    <w:basedOn w:val="DefaultParagraphFont"/>
    <w:link w:val="Heading6"/>
    <w:semiHidden/>
    <w:rsid w:val="002A670A"/>
    <w:rPr>
      <w:rFonts w:asciiTheme="majorHAnsi" w:eastAsiaTheme="majorEastAsia" w:hAnsiTheme="majorHAnsi" w:cstheme="majorBidi"/>
      <w:i/>
      <w:iCs/>
      <w:color w:val="243F60" w:themeColor="accent1" w:themeShade="7F"/>
      <w:lang w:eastAsia="en-GB"/>
    </w:rPr>
  </w:style>
  <w:style w:type="character" w:customStyle="1" w:styleId="Heading7Char">
    <w:name w:val="Heading 7 Char"/>
    <w:basedOn w:val="DefaultParagraphFont"/>
    <w:link w:val="Heading7"/>
    <w:semiHidden/>
    <w:rsid w:val="002A670A"/>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semiHidden/>
    <w:rsid w:val="002A670A"/>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semiHidden/>
    <w:rsid w:val="002A670A"/>
    <w:rPr>
      <w:rFonts w:asciiTheme="majorHAnsi" w:eastAsiaTheme="majorEastAsia" w:hAnsiTheme="majorHAnsi" w:cstheme="majorBidi"/>
      <w:i/>
      <w:iCs/>
      <w:color w:val="404040" w:themeColor="text1" w:themeTint="BF"/>
      <w:sz w:val="20"/>
      <w:szCs w:val="20"/>
      <w:lang w:eastAsia="en-GB"/>
    </w:rPr>
  </w:style>
  <w:style w:type="numbering" w:customStyle="1" w:styleId="NoList1">
    <w:name w:val="No List1"/>
    <w:next w:val="NoList"/>
    <w:uiPriority w:val="99"/>
    <w:semiHidden/>
    <w:unhideWhenUsed/>
    <w:rsid w:val="002A670A"/>
  </w:style>
  <w:style w:type="character" w:styleId="PageNumber">
    <w:name w:val="page number"/>
    <w:basedOn w:val="DefaultParagraphFont"/>
    <w:uiPriority w:val="99"/>
    <w:rsid w:val="002A670A"/>
  </w:style>
  <w:style w:type="paragraph" w:styleId="DocumentMap">
    <w:name w:val="Document Map"/>
    <w:basedOn w:val="Normal"/>
    <w:link w:val="DocumentMapChar"/>
    <w:uiPriority w:val="99"/>
    <w:unhideWhenUsed/>
    <w:rsid w:val="002A670A"/>
    <w:pPr>
      <w:widowControl w:val="0"/>
      <w:autoSpaceDE w:val="0"/>
      <w:autoSpaceDN w:val="0"/>
      <w:adjustRightInd w:val="0"/>
    </w:pPr>
    <w:rPr>
      <w:color w:val="000000"/>
      <w:lang w:val="en-US"/>
    </w:rPr>
  </w:style>
  <w:style w:type="character" w:customStyle="1" w:styleId="DocumentMapChar">
    <w:name w:val="Document Map Char"/>
    <w:basedOn w:val="DefaultParagraphFont"/>
    <w:link w:val="DocumentMap"/>
    <w:uiPriority w:val="99"/>
    <w:rsid w:val="002A670A"/>
    <w:rPr>
      <w:color w:val="000000"/>
      <w:lang w:val="en-US"/>
    </w:rPr>
  </w:style>
  <w:style w:type="paragraph" w:styleId="EndnoteText">
    <w:name w:val="endnote text"/>
    <w:basedOn w:val="Normal"/>
    <w:link w:val="EndnoteTextChar"/>
    <w:uiPriority w:val="99"/>
    <w:unhideWhenUsed/>
    <w:rsid w:val="002A670A"/>
    <w:pPr>
      <w:widowControl w:val="0"/>
      <w:autoSpaceDE w:val="0"/>
      <w:autoSpaceDN w:val="0"/>
      <w:adjustRightInd w:val="0"/>
    </w:pPr>
    <w:rPr>
      <w:rFonts w:ascii="Courier New" w:hAnsi="Courier New" w:cs="Courier New"/>
      <w:color w:val="000000"/>
      <w:lang w:val="en-US"/>
    </w:rPr>
  </w:style>
  <w:style w:type="character" w:customStyle="1" w:styleId="EndnoteTextChar">
    <w:name w:val="Endnote Text Char"/>
    <w:basedOn w:val="DefaultParagraphFont"/>
    <w:link w:val="EndnoteText"/>
    <w:uiPriority w:val="99"/>
    <w:rsid w:val="002A670A"/>
    <w:rPr>
      <w:rFonts w:ascii="Courier New" w:hAnsi="Courier New" w:cs="Courier New"/>
      <w:color w:val="000000"/>
      <w:lang w:val="en-US"/>
    </w:rPr>
  </w:style>
  <w:style w:type="character" w:styleId="EndnoteReference">
    <w:name w:val="endnote reference"/>
    <w:basedOn w:val="DefaultParagraphFont"/>
    <w:uiPriority w:val="99"/>
    <w:unhideWhenUsed/>
    <w:rsid w:val="002A670A"/>
    <w:rPr>
      <w:vertAlign w:val="superscript"/>
    </w:rPr>
  </w:style>
  <w:style w:type="paragraph" w:styleId="NormalWeb">
    <w:name w:val="Normal (Web)"/>
    <w:basedOn w:val="Normal"/>
    <w:uiPriority w:val="99"/>
    <w:unhideWhenUsed/>
    <w:rsid w:val="002A670A"/>
    <w:pPr>
      <w:spacing w:before="100" w:beforeAutospacing="1" w:after="100" w:afterAutospacing="1"/>
    </w:pPr>
    <w:rPr>
      <w:lang w:val="en-US"/>
    </w:rPr>
  </w:style>
  <w:style w:type="paragraph" w:styleId="Title">
    <w:name w:val="Title"/>
    <w:basedOn w:val="Normal"/>
    <w:next w:val="Normal"/>
    <w:link w:val="TitleChar"/>
    <w:uiPriority w:val="10"/>
    <w:qFormat/>
    <w:rsid w:val="002A67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A670A"/>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2A670A"/>
    <w:pPr>
      <w:autoSpaceDE w:val="0"/>
      <w:autoSpaceDN w:val="0"/>
      <w:adjustRightInd w:val="0"/>
    </w:pPr>
    <w:rPr>
      <w:rFonts w:ascii="Gill Sans MT" w:hAnsi="Gill Sans MT" w:cs="Gill Sans MT"/>
      <w:color w:val="000000"/>
    </w:rPr>
  </w:style>
  <w:style w:type="character" w:customStyle="1" w:styleId="il">
    <w:name w:val="il"/>
    <w:basedOn w:val="DefaultParagraphFont"/>
    <w:rsid w:val="002A670A"/>
  </w:style>
  <w:style w:type="character" w:styleId="FollowedHyperlink">
    <w:name w:val="FollowedHyperlink"/>
    <w:basedOn w:val="DefaultParagraphFont"/>
    <w:uiPriority w:val="99"/>
    <w:semiHidden/>
    <w:unhideWhenUsed/>
    <w:rsid w:val="00832278"/>
    <w:rPr>
      <w:color w:val="800080" w:themeColor="followedHyperlink"/>
      <w:u w:val="single"/>
    </w:rPr>
  </w:style>
  <w:style w:type="character" w:customStyle="1" w:styleId="cit-auth">
    <w:name w:val="cit-auth"/>
    <w:basedOn w:val="DefaultParagraphFont"/>
    <w:rsid w:val="00217E7B"/>
  </w:style>
  <w:style w:type="character" w:customStyle="1" w:styleId="slug-pages">
    <w:name w:val="slug-pages"/>
    <w:basedOn w:val="DefaultParagraphFont"/>
    <w:rsid w:val="00217E7B"/>
  </w:style>
  <w:style w:type="character" w:customStyle="1" w:styleId="apple-converted-space">
    <w:name w:val="apple-converted-space"/>
    <w:basedOn w:val="DefaultParagraphFont"/>
    <w:rsid w:val="00B30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10150">
      <w:bodyDiv w:val="1"/>
      <w:marLeft w:val="0"/>
      <w:marRight w:val="0"/>
      <w:marTop w:val="0"/>
      <w:marBottom w:val="0"/>
      <w:divBdr>
        <w:top w:val="none" w:sz="0" w:space="0" w:color="auto"/>
        <w:left w:val="none" w:sz="0" w:space="0" w:color="auto"/>
        <w:bottom w:val="none" w:sz="0" w:space="0" w:color="auto"/>
        <w:right w:val="none" w:sz="0" w:space="0" w:color="auto"/>
      </w:divBdr>
    </w:div>
    <w:div w:id="688213199">
      <w:bodyDiv w:val="1"/>
      <w:marLeft w:val="0"/>
      <w:marRight w:val="0"/>
      <w:marTop w:val="0"/>
      <w:marBottom w:val="0"/>
      <w:divBdr>
        <w:top w:val="none" w:sz="0" w:space="0" w:color="auto"/>
        <w:left w:val="none" w:sz="0" w:space="0" w:color="auto"/>
        <w:bottom w:val="none" w:sz="0" w:space="0" w:color="auto"/>
        <w:right w:val="none" w:sz="0" w:space="0" w:color="auto"/>
      </w:divBdr>
    </w:div>
    <w:div w:id="917784292">
      <w:bodyDiv w:val="1"/>
      <w:marLeft w:val="0"/>
      <w:marRight w:val="0"/>
      <w:marTop w:val="0"/>
      <w:marBottom w:val="0"/>
      <w:divBdr>
        <w:top w:val="none" w:sz="0" w:space="0" w:color="auto"/>
        <w:left w:val="none" w:sz="0" w:space="0" w:color="auto"/>
        <w:bottom w:val="none" w:sz="0" w:space="0" w:color="auto"/>
        <w:right w:val="none" w:sz="0" w:space="0" w:color="auto"/>
      </w:divBdr>
    </w:div>
    <w:div w:id="1266041764">
      <w:bodyDiv w:val="1"/>
      <w:marLeft w:val="0"/>
      <w:marRight w:val="0"/>
      <w:marTop w:val="0"/>
      <w:marBottom w:val="0"/>
      <w:divBdr>
        <w:top w:val="none" w:sz="0" w:space="0" w:color="auto"/>
        <w:left w:val="none" w:sz="0" w:space="0" w:color="auto"/>
        <w:bottom w:val="none" w:sz="0" w:space="0" w:color="auto"/>
        <w:right w:val="none" w:sz="0" w:space="0" w:color="auto"/>
      </w:divBdr>
    </w:div>
    <w:div w:id="149378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fs.org.uk/publications/798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esolutionfoundation.org/wp-content/uploads/2015/09/NLW1.pdf" TargetMode="External"/><Relationship Id="rId17" Type="http://schemas.openxmlformats.org/officeDocument/2006/relationships/hyperlink" Target="http://www.resolutionfoundation.org/wp-content/uploads/2015/11/SR2015.pdf" TargetMode="External"/><Relationship Id="rId2" Type="http://schemas.openxmlformats.org/officeDocument/2006/relationships/numbering" Target="numbering.xml"/><Relationship Id="rId16" Type="http://schemas.openxmlformats.org/officeDocument/2006/relationships/hyperlink" Target="http://www.york.ac.uk/inst/spru/pubs/pdf/PSEfina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ppr.org/files/images/media/files/publication/2011/05/working_out_of_poverty_1616.pdf?noredirect=1" TargetMode="External"/><Relationship Id="rId5" Type="http://schemas.openxmlformats.org/officeDocument/2006/relationships/settings" Target="settings.xml"/><Relationship Id="rId15" Type="http://schemas.openxmlformats.org/officeDocument/2006/relationships/hyperlink" Target="https://www.ifs.org.uk/budgets/gb2014/gb2014.pdf" TargetMode="External"/><Relationship Id="rId10" Type="http://schemas.openxmlformats.org/officeDocument/2006/relationships/hyperlink" Target="http://www.livingwage.org.uk/news/new-2015-living-wage-rates-announced"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ivingwage.org.uk/what-living-wage" TargetMode="External"/><Relationship Id="rId14" Type="http://schemas.openxmlformats.org/officeDocument/2006/relationships/hyperlink" Target="https://www.jrf.org.uk/report/minimum-income-standard-uk-2015"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3883-CFF4-4FB2-AA6C-67EA8C363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CC946BFC.dotm</Template>
  <TotalTime>0</TotalTime>
  <Pages>19</Pages>
  <Words>6457</Words>
  <Characters>36811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2017-01-05T15:34:00Z</dcterms:created>
  <dcterms:modified xsi:type="dcterms:W3CDTF">2017-01-05T16:55:00Z</dcterms:modified>
</cp:coreProperties>
</file>