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B3C84" w14:textId="77777777" w:rsidR="00B67640" w:rsidRDefault="0054487C" w:rsidP="00C51244">
      <w:pPr>
        <w:pStyle w:val="Heading1"/>
        <w:rPr>
          <w:rFonts w:cstheme="minorHAnsi"/>
          <w:sz w:val="32"/>
          <w:szCs w:val="32"/>
          <w:shd w:val="clear" w:color="auto" w:fill="FFFFFF"/>
        </w:rPr>
      </w:pPr>
      <w:r w:rsidRPr="0054487C">
        <w:rPr>
          <w:rFonts w:cstheme="minorHAnsi"/>
          <w:sz w:val="32"/>
          <w:szCs w:val="32"/>
          <w:shd w:val="clear" w:color="auto" w:fill="FFFFFF"/>
        </w:rPr>
        <w:t>Blood cytokine profiles – potential biomarkers for asthma persistence into adulthood?</w:t>
      </w:r>
    </w:p>
    <w:p w14:paraId="311FEF59" w14:textId="7C3204B3" w:rsidR="00C51244" w:rsidRPr="001A032D" w:rsidRDefault="00C51244" w:rsidP="00C51244">
      <w:pPr>
        <w:pStyle w:val="Heading1"/>
        <w:rPr>
          <w:rFonts w:ascii="Arial" w:hAnsi="Arial" w:cs="Arial"/>
        </w:rPr>
      </w:pPr>
      <w:r w:rsidRPr="001A032D">
        <w:rPr>
          <w:rFonts w:ascii="Arial" w:hAnsi="Arial" w:cs="Arial"/>
        </w:rPr>
        <w:t>Authors:</w:t>
      </w:r>
    </w:p>
    <w:p w14:paraId="311FEF5A" w14:textId="4A63844B" w:rsidR="00B02E60" w:rsidRPr="001A032D" w:rsidRDefault="00B02E60" w:rsidP="00B02E60">
      <w:pPr>
        <w:spacing w:line="360" w:lineRule="auto"/>
        <w:rPr>
          <w:rFonts w:ascii="Arial" w:hAnsi="Arial" w:cs="Arial"/>
          <w:szCs w:val="20"/>
        </w:rPr>
      </w:pPr>
      <w:r w:rsidRPr="001A032D">
        <w:rPr>
          <w:rFonts w:ascii="Arial" w:hAnsi="Arial" w:cs="Arial"/>
          <w:szCs w:val="20"/>
        </w:rPr>
        <w:t>Wei Chern Gavin Fong</w:t>
      </w:r>
      <w:r w:rsidR="0019210E" w:rsidRPr="001A032D">
        <w:rPr>
          <w:rFonts w:ascii="Arial" w:hAnsi="Arial" w:cs="Arial"/>
          <w:szCs w:val="20"/>
        </w:rPr>
        <w:t>, MSc</w:t>
      </w:r>
      <w:r w:rsidRPr="001A032D">
        <w:rPr>
          <w:rFonts w:ascii="Arial" w:hAnsi="Arial" w:cs="Arial"/>
          <w:szCs w:val="20"/>
        </w:rPr>
        <w:t xml:space="preserve">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 xml:space="preserve">, </w:t>
      </w:r>
      <w:r w:rsidR="00831AFF" w:rsidRPr="001A032D">
        <w:rPr>
          <w:rFonts w:ascii="Arial" w:hAnsi="Arial" w:cs="Arial"/>
          <w:szCs w:val="20"/>
        </w:rPr>
        <w:t>Latha Kadalayil</w:t>
      </w:r>
      <w:r w:rsidR="0019210E" w:rsidRPr="001A032D">
        <w:rPr>
          <w:rFonts w:ascii="Arial" w:hAnsi="Arial" w:cs="Arial"/>
          <w:szCs w:val="20"/>
        </w:rPr>
        <w:t>, PhD</w:t>
      </w:r>
      <w:r w:rsidR="00831AFF" w:rsidRPr="001A032D">
        <w:rPr>
          <w:rFonts w:ascii="Arial" w:hAnsi="Arial" w:cs="Arial"/>
          <w:szCs w:val="20"/>
        </w:rPr>
        <w:t xml:space="preserve"> </w:t>
      </w:r>
      <w:r w:rsidR="00831AFF" w:rsidRPr="001A032D">
        <w:rPr>
          <w:rFonts w:ascii="Arial" w:hAnsi="Arial" w:cs="Arial"/>
          <w:szCs w:val="20"/>
          <w:vertAlign w:val="superscript"/>
        </w:rPr>
        <w:t>1,2</w:t>
      </w:r>
      <w:r w:rsidR="00831AFF" w:rsidRPr="001A032D">
        <w:rPr>
          <w:rFonts w:ascii="Arial" w:hAnsi="Arial" w:cs="Arial"/>
          <w:szCs w:val="20"/>
        </w:rPr>
        <w:t xml:space="preserve">, </w:t>
      </w:r>
      <w:r w:rsidRPr="001A032D">
        <w:rPr>
          <w:rFonts w:ascii="Arial" w:hAnsi="Arial" w:cs="Arial"/>
          <w:szCs w:val="20"/>
        </w:rPr>
        <w:t>Laurie Lau</w:t>
      </w:r>
      <w:r w:rsidR="0019210E" w:rsidRPr="001A032D">
        <w:rPr>
          <w:rFonts w:ascii="Arial" w:hAnsi="Arial" w:cs="Arial"/>
          <w:szCs w:val="20"/>
        </w:rPr>
        <w:t>, PhD</w:t>
      </w:r>
      <w:r w:rsidRPr="001A032D">
        <w:rPr>
          <w:rFonts w:ascii="Arial" w:hAnsi="Arial" w:cs="Arial"/>
          <w:szCs w:val="20"/>
        </w:rPr>
        <w:t xml:space="preserve"> </w:t>
      </w:r>
      <w:r w:rsidRPr="001A032D">
        <w:rPr>
          <w:rFonts w:ascii="Arial" w:hAnsi="Arial" w:cs="Arial"/>
          <w:szCs w:val="20"/>
          <w:vertAlign w:val="superscript"/>
        </w:rPr>
        <w:t>2</w:t>
      </w:r>
      <w:r w:rsidRPr="001A032D">
        <w:rPr>
          <w:rFonts w:ascii="Arial" w:hAnsi="Arial" w:cs="Arial"/>
          <w:szCs w:val="20"/>
        </w:rPr>
        <w:t>, Ramesh J Kurukulaaratchy</w:t>
      </w:r>
      <w:r w:rsidR="0019210E" w:rsidRPr="001A032D">
        <w:rPr>
          <w:rFonts w:ascii="Arial" w:hAnsi="Arial" w:cs="Arial"/>
          <w:szCs w:val="20"/>
        </w:rPr>
        <w:t>, DM</w:t>
      </w:r>
      <w:r w:rsidRPr="001A032D">
        <w:rPr>
          <w:rFonts w:ascii="Arial" w:hAnsi="Arial" w:cs="Arial"/>
          <w:szCs w:val="20"/>
        </w:rPr>
        <w:t xml:space="preserve">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>, S Hasan Arshad</w:t>
      </w:r>
      <w:r w:rsidR="0019210E" w:rsidRPr="001A032D">
        <w:rPr>
          <w:rFonts w:ascii="Arial" w:hAnsi="Arial" w:cs="Arial"/>
          <w:szCs w:val="20"/>
        </w:rPr>
        <w:t>, DM</w:t>
      </w:r>
      <w:r w:rsidRPr="001A032D">
        <w:rPr>
          <w:rFonts w:ascii="Arial" w:hAnsi="Arial" w:cs="Arial"/>
          <w:szCs w:val="20"/>
        </w:rPr>
        <w:t xml:space="preserve">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>.</w:t>
      </w:r>
    </w:p>
    <w:p w14:paraId="311FEF5B" w14:textId="77777777" w:rsidR="00C51244" w:rsidRPr="001A032D" w:rsidRDefault="00B02E60" w:rsidP="00C51244">
      <w:pPr>
        <w:pStyle w:val="Heading1"/>
        <w:rPr>
          <w:rFonts w:ascii="Arial" w:hAnsi="Arial" w:cs="Arial"/>
        </w:rPr>
      </w:pPr>
      <w:r w:rsidRPr="001A032D">
        <w:rPr>
          <w:rFonts w:ascii="Arial" w:hAnsi="Arial" w:cs="Arial"/>
        </w:rPr>
        <w:t>I</w:t>
      </w:r>
      <w:r w:rsidR="00C51244" w:rsidRPr="001A032D">
        <w:rPr>
          <w:rFonts w:ascii="Arial" w:hAnsi="Arial" w:cs="Arial"/>
        </w:rPr>
        <w:t>nstitutions</w:t>
      </w:r>
    </w:p>
    <w:p w14:paraId="311FEF5C" w14:textId="235540FD" w:rsidR="00C51244" w:rsidRPr="001A032D" w:rsidRDefault="00B02E60" w:rsidP="00C51244">
      <w:pPr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</w:pPr>
      <w:r w:rsidRPr="001A032D">
        <w:rPr>
          <w:rFonts w:ascii="Arial" w:eastAsiaTheme="minorEastAsia" w:hAnsi="Arial" w:cs="Arial"/>
          <w:color w:val="000000" w:themeColor="text1"/>
          <w:szCs w:val="20"/>
          <w:vertAlign w:val="superscript"/>
          <w:lang w:val="en-US" w:eastAsia="zh-CN"/>
        </w:rPr>
        <w:t>1</w:t>
      </w:r>
      <w:r w:rsidR="0019210E"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t>The D</w:t>
      </w:r>
      <w:r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t xml:space="preserve">avid Hide Asthma and Allergy Research Centre, Isle of Wight, United Kingdom. </w:t>
      </w:r>
      <w:r w:rsidR="0019210E"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br/>
      </w:r>
      <w:r w:rsidRPr="001A032D">
        <w:rPr>
          <w:rFonts w:ascii="Arial" w:eastAsiaTheme="minorEastAsia" w:hAnsi="Arial" w:cs="Arial"/>
          <w:color w:val="000000" w:themeColor="text1"/>
          <w:szCs w:val="20"/>
          <w:vertAlign w:val="superscript"/>
          <w:lang w:val="en-US" w:eastAsia="zh-CN"/>
        </w:rPr>
        <w:t>2</w:t>
      </w:r>
      <w:r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t>Clinical and Experimental Sciences, Faculty of Medicine, University of Southampton, Southampton, United Kingdom.</w:t>
      </w:r>
    </w:p>
    <w:p w14:paraId="311FEF5D" w14:textId="1F449BB4" w:rsidR="00B02E60" w:rsidRPr="001A032D" w:rsidRDefault="00B02E60" w:rsidP="00B02E60">
      <w:pPr>
        <w:pStyle w:val="Heading1"/>
        <w:spacing w:line="360" w:lineRule="auto"/>
        <w:rPr>
          <w:rFonts w:ascii="Arial" w:hAnsi="Arial" w:cs="Arial"/>
        </w:rPr>
      </w:pPr>
      <w:r w:rsidRPr="001A032D">
        <w:rPr>
          <w:rFonts w:ascii="Arial" w:hAnsi="Arial" w:cs="Arial"/>
          <w:color w:val="1F497D" w:themeColor="text2"/>
        </w:rPr>
        <w:t>Conflict of interest statement</w:t>
      </w:r>
      <w:r w:rsidRPr="001A032D">
        <w:rPr>
          <w:rFonts w:ascii="Arial" w:hAnsi="Arial" w:cs="Arial"/>
        </w:rPr>
        <w:br/>
      </w:r>
      <w:r w:rsidRPr="001A032D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The authors declare that they do not have any relevant conflicts of interest. </w:t>
      </w:r>
      <w:r w:rsidRPr="001A032D">
        <w:rPr>
          <w:rFonts w:ascii="Arial" w:hAnsi="Arial" w:cs="Arial"/>
          <w:b w:val="0"/>
          <w:color w:val="auto"/>
          <w:sz w:val="22"/>
          <w:szCs w:val="22"/>
          <w:lang w:val="en-US"/>
        </w:rPr>
        <w:tab/>
      </w:r>
    </w:p>
    <w:p w14:paraId="311FEF5F" w14:textId="1C1AAB33" w:rsidR="00C51244" w:rsidRPr="001A032D" w:rsidRDefault="00C51244" w:rsidP="00C51244">
      <w:pPr>
        <w:pStyle w:val="Heading1"/>
        <w:rPr>
          <w:rFonts w:ascii="Arial" w:hAnsi="Arial" w:cs="Arial"/>
        </w:rPr>
      </w:pPr>
      <w:r w:rsidRPr="001A032D">
        <w:rPr>
          <w:rFonts w:ascii="Arial" w:hAnsi="Arial" w:cs="Arial"/>
        </w:rPr>
        <w:t>Corresponding author</w:t>
      </w:r>
    </w:p>
    <w:p w14:paraId="311FEF61" w14:textId="0BF1B8F0" w:rsidR="00B02E60" w:rsidRDefault="00B02E60" w:rsidP="00077C06">
      <w:pPr>
        <w:spacing w:line="360" w:lineRule="auto"/>
        <w:rPr>
          <w:rFonts w:ascii="Arial" w:hAnsi="Arial" w:cs="Arial"/>
          <w:szCs w:val="20"/>
          <w:lang w:val="en-US"/>
        </w:rPr>
      </w:pPr>
      <w:r w:rsidRPr="001A032D">
        <w:rPr>
          <w:rFonts w:ascii="Arial" w:hAnsi="Arial" w:cs="Arial"/>
          <w:b/>
          <w:szCs w:val="20"/>
          <w:lang w:val="en-US"/>
        </w:rPr>
        <w:t>Professor Hasan Arshad</w:t>
      </w:r>
      <w:r w:rsidRPr="001A032D">
        <w:rPr>
          <w:rFonts w:ascii="Arial" w:hAnsi="Arial" w:cs="Arial"/>
          <w:szCs w:val="20"/>
          <w:lang w:val="en-US"/>
        </w:rPr>
        <w:br/>
      </w:r>
      <w:r w:rsidR="0083072B" w:rsidRPr="001A032D">
        <w:rPr>
          <w:rFonts w:ascii="Arial" w:hAnsi="Arial" w:cs="Arial"/>
          <w:szCs w:val="20"/>
          <w:lang w:val="en-US"/>
        </w:rPr>
        <w:t xml:space="preserve">The </w:t>
      </w:r>
      <w:r w:rsidRPr="001A032D">
        <w:rPr>
          <w:rFonts w:ascii="Arial" w:hAnsi="Arial" w:cs="Arial"/>
          <w:szCs w:val="20"/>
          <w:lang w:val="en-US"/>
        </w:rPr>
        <w:t xml:space="preserve">David Hide Asthma and Allergy Research Centre, Isle of Wight, </w:t>
      </w:r>
      <w:r w:rsidRPr="001A032D">
        <w:rPr>
          <w:rFonts w:ascii="Arial" w:eastAsiaTheme="minorEastAsia" w:hAnsi="Arial" w:cs="Arial"/>
          <w:szCs w:val="20"/>
          <w:lang w:val="en-US" w:eastAsia="zh-CN"/>
        </w:rPr>
        <w:t>United Kingdom</w:t>
      </w:r>
      <w:r w:rsidRPr="001A032D">
        <w:rPr>
          <w:rFonts w:ascii="Arial" w:hAnsi="Arial" w:cs="Arial"/>
          <w:szCs w:val="20"/>
          <w:lang w:val="en-US"/>
        </w:rPr>
        <w:t>.</w:t>
      </w:r>
      <w:r w:rsidRPr="001A032D">
        <w:rPr>
          <w:rFonts w:ascii="Arial" w:hAnsi="Arial" w:cs="Arial"/>
          <w:szCs w:val="20"/>
          <w:lang w:val="en-US"/>
        </w:rPr>
        <w:br/>
        <w:t xml:space="preserve">&amp; School of Clinical and Experimental Sciences, Faculty of Medicine, University of Southampton, </w:t>
      </w:r>
      <w:r w:rsidRPr="001A032D">
        <w:rPr>
          <w:rFonts w:ascii="Arial" w:eastAsiaTheme="minorEastAsia" w:hAnsi="Arial" w:cs="Arial"/>
          <w:szCs w:val="20"/>
          <w:lang w:val="en-US" w:eastAsia="zh-CN"/>
        </w:rPr>
        <w:t>United Kingdom</w:t>
      </w:r>
      <w:r w:rsidRPr="001A032D">
        <w:rPr>
          <w:rFonts w:ascii="Arial" w:hAnsi="Arial" w:cs="Arial"/>
          <w:szCs w:val="20"/>
          <w:lang w:val="en-US"/>
        </w:rPr>
        <w:t>.</w:t>
      </w:r>
      <w:r w:rsidRPr="001A032D">
        <w:rPr>
          <w:rFonts w:ascii="Arial" w:hAnsi="Arial" w:cs="Arial"/>
          <w:szCs w:val="20"/>
          <w:lang w:val="en-US"/>
        </w:rPr>
        <w:br/>
        <w:t>Level F, South Academic Block, Southampton General Hospital</w:t>
      </w:r>
      <w:r w:rsidRPr="001A032D">
        <w:rPr>
          <w:rFonts w:ascii="Arial" w:hAnsi="Arial" w:cs="Arial"/>
          <w:szCs w:val="20"/>
          <w:lang w:val="en-US"/>
        </w:rPr>
        <w:br/>
        <w:t>Southampton SO16 6YD, United Kingdom</w:t>
      </w:r>
      <w:r w:rsidRPr="001A032D">
        <w:rPr>
          <w:rFonts w:ascii="Arial" w:hAnsi="Arial" w:cs="Arial"/>
          <w:szCs w:val="20"/>
          <w:lang w:val="en-US"/>
        </w:rPr>
        <w:br/>
        <w:t>Telephone:       +44 (0)23 81203366</w:t>
      </w:r>
      <w:r w:rsidRPr="001A032D">
        <w:rPr>
          <w:rFonts w:ascii="Arial" w:hAnsi="Arial" w:cs="Arial"/>
          <w:szCs w:val="20"/>
          <w:lang w:val="en-US"/>
        </w:rPr>
        <w:br/>
        <w:t xml:space="preserve">Email:     </w:t>
      </w:r>
      <w:hyperlink r:id="rId8" w:history="1">
        <w:r w:rsidR="00E96545" w:rsidRPr="00115E65">
          <w:rPr>
            <w:rStyle w:val="Hyperlink"/>
            <w:rFonts w:ascii="Arial" w:hAnsi="Arial" w:cs="Arial"/>
            <w:szCs w:val="20"/>
            <w:lang w:val="en-US"/>
          </w:rPr>
          <w:t>S.H.Arshad@soton.ac.uk</w:t>
        </w:r>
      </w:hyperlink>
    </w:p>
    <w:p w14:paraId="5DAE4B12" w14:textId="0EC15738" w:rsidR="00E96545" w:rsidRDefault="00E96545" w:rsidP="00E9654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Funding</w:t>
      </w:r>
    </w:p>
    <w:p w14:paraId="2A3BA5A2" w14:textId="79378C01" w:rsidR="000C5945" w:rsidRPr="000C5945" w:rsidRDefault="000C5945" w:rsidP="000C5945">
      <w:pPr>
        <w:spacing w:line="360" w:lineRule="auto"/>
        <w:rPr>
          <w:rFonts w:ascii="Arial" w:hAnsi="Arial" w:cs="Arial"/>
        </w:rPr>
      </w:pPr>
      <w:r w:rsidRPr="000C5945">
        <w:rPr>
          <w:rFonts w:ascii="Arial" w:hAnsi="Arial" w:cs="Arial"/>
        </w:rPr>
        <w:t>This work was funded by the National Institutes of Health [grant numbers R01 AI061471, R01HL082925, R01 AI091905, and R01 HL132321], Asthma UK for 10 years assessment (Grant no. 364. PI: S.H. Arshad), and the David Hide Asthma and Allergy Research Trust for 26 years</w:t>
      </w:r>
      <w:r>
        <w:rPr>
          <w:rFonts w:ascii="Arial" w:hAnsi="Arial" w:cs="Arial"/>
        </w:rPr>
        <w:t xml:space="preserve"> </w:t>
      </w:r>
      <w:r w:rsidRPr="000C5945">
        <w:rPr>
          <w:rFonts w:ascii="Arial" w:hAnsi="Arial" w:cs="Arial"/>
        </w:rPr>
        <w:t>assessment (PI: S.H. Arshad). The funders did not contribute to study design, data collection,</w:t>
      </w:r>
      <w:r>
        <w:rPr>
          <w:rFonts w:ascii="Arial" w:hAnsi="Arial" w:cs="Arial"/>
        </w:rPr>
        <w:t xml:space="preserve"> </w:t>
      </w:r>
      <w:r w:rsidRPr="000C5945">
        <w:rPr>
          <w:rFonts w:ascii="Arial" w:hAnsi="Arial" w:cs="Arial"/>
        </w:rPr>
        <w:t>analysis, interpretation of data or in the preparation of the manuscript</w:t>
      </w:r>
    </w:p>
    <w:p w14:paraId="44C2B4EB" w14:textId="0205C757" w:rsidR="00A76A7B" w:rsidRPr="00BF2A5A" w:rsidRDefault="00BF2A5A" w:rsidP="00121494">
      <w:pPr>
        <w:rPr>
          <w:rFonts w:ascii="Arial" w:hAnsi="Arial" w:cs="Arial"/>
        </w:rPr>
      </w:pPr>
      <w:r w:rsidRPr="00BF2A5A">
        <w:rPr>
          <w:rStyle w:val="Hyperlink"/>
          <w:rFonts w:ascii="Arial" w:hAnsi="Arial" w:cs="Arial"/>
          <w:b/>
          <w:color w:val="auto"/>
          <w:u w:val="none"/>
        </w:rPr>
        <w:t>Keywords:</w:t>
      </w:r>
      <w:r w:rsidRPr="00BF2A5A">
        <w:rPr>
          <w:rStyle w:val="Hyperlink"/>
          <w:rFonts w:ascii="Arial" w:hAnsi="Arial" w:cs="Arial"/>
          <w:bCs/>
          <w:color w:val="auto"/>
          <w:u w:val="none"/>
        </w:rPr>
        <w:t xml:space="preserve"> asthma; cohort studies; asthma persistence; longitudinal studies; respiratory hypersensitivity; cytokines</w:t>
      </w:r>
      <w:r w:rsidR="0036285E">
        <w:rPr>
          <w:rStyle w:val="Hyperlink"/>
          <w:rFonts w:ascii="Arial" w:hAnsi="Arial" w:cs="Arial"/>
          <w:bCs/>
          <w:color w:val="auto"/>
          <w:u w:val="none"/>
        </w:rPr>
        <w:t>; biomarker; predictor</w:t>
      </w:r>
    </w:p>
    <w:p w14:paraId="44330A6A" w14:textId="0AAABCA7" w:rsidR="00121494" w:rsidRDefault="00CE5DC4" w:rsidP="00121494">
      <w:pPr>
        <w:rPr>
          <w:rFonts w:ascii="Arial" w:hAnsi="Arial" w:cs="Arial"/>
        </w:rPr>
      </w:pPr>
      <w:r w:rsidRPr="00CE5DC4">
        <w:rPr>
          <w:rFonts w:ascii="Arial" w:hAnsi="Arial" w:cs="Arial"/>
        </w:rPr>
        <w:lastRenderedPageBreak/>
        <w:t>Word count text: around 1000 words</w:t>
      </w:r>
      <w:r w:rsidRPr="00CE5DC4">
        <w:rPr>
          <w:rFonts w:ascii="Arial" w:hAnsi="Arial" w:cs="Arial"/>
        </w:rPr>
        <w:br/>
        <w:t xml:space="preserve">Tables/ Figures: </w:t>
      </w:r>
      <w:r w:rsidR="00346568">
        <w:rPr>
          <w:rFonts w:ascii="Arial" w:hAnsi="Arial" w:cs="Arial"/>
        </w:rPr>
        <w:t>3</w:t>
      </w:r>
    </w:p>
    <w:p w14:paraId="159DCED9" w14:textId="272E949D" w:rsidR="002728EF" w:rsidRDefault="002728EF" w:rsidP="00121494">
      <w:pPr>
        <w:rPr>
          <w:rFonts w:ascii="Arial" w:hAnsi="Arial" w:cs="Arial"/>
        </w:rPr>
      </w:pPr>
    </w:p>
    <w:p w14:paraId="41081151" w14:textId="1A6ED1C0" w:rsidR="00522D7D" w:rsidRDefault="00522D7D" w:rsidP="00121494">
      <w:pPr>
        <w:rPr>
          <w:rFonts w:ascii="Arial" w:hAnsi="Arial" w:cs="Arial"/>
        </w:rPr>
      </w:pPr>
      <w:r>
        <w:rPr>
          <w:rFonts w:ascii="Arial" w:hAnsi="Arial" w:cs="Arial"/>
        </w:rPr>
        <w:t>To the Editor,</w:t>
      </w:r>
    </w:p>
    <w:p w14:paraId="28716B2C" w14:textId="77777777" w:rsidR="00522D7D" w:rsidRDefault="00522D7D" w:rsidP="00121494">
      <w:pPr>
        <w:rPr>
          <w:rFonts w:ascii="Arial" w:hAnsi="Arial" w:cs="Arial"/>
        </w:rPr>
      </w:pPr>
    </w:p>
    <w:p w14:paraId="4E55D4DC" w14:textId="7A3CD057" w:rsidR="00265A1A" w:rsidRPr="00E256DA" w:rsidRDefault="00717C2A" w:rsidP="00E256DA">
      <w:pPr>
        <w:spacing w:line="360" w:lineRule="auto"/>
        <w:rPr>
          <w:rFonts w:ascii="Arial" w:hAnsi="Arial" w:cs="Arial"/>
        </w:rPr>
      </w:pPr>
      <w:r w:rsidRPr="00E256DA">
        <w:rPr>
          <w:rFonts w:ascii="Arial" w:hAnsi="Arial" w:cs="Arial"/>
        </w:rPr>
        <w:t>The p</w:t>
      </w:r>
      <w:r w:rsidR="00085F50" w:rsidRPr="00E256DA">
        <w:rPr>
          <w:rFonts w:ascii="Arial" w:hAnsi="Arial" w:cs="Arial"/>
        </w:rPr>
        <w:t xml:space="preserve">ersistence of asthma </w:t>
      </w:r>
      <w:r w:rsidR="005B629A" w:rsidRPr="00E256DA">
        <w:rPr>
          <w:rFonts w:ascii="Arial" w:hAnsi="Arial" w:cs="Arial"/>
        </w:rPr>
        <w:t xml:space="preserve">into adulthood </w:t>
      </w:r>
      <w:r w:rsidR="00440CC4" w:rsidRPr="00E256DA">
        <w:rPr>
          <w:rFonts w:ascii="Arial" w:hAnsi="Arial" w:cs="Arial"/>
        </w:rPr>
        <w:t xml:space="preserve">is thought to occur in 35-65% of children with asthma and </w:t>
      </w:r>
      <w:r w:rsidR="005B629A" w:rsidRPr="00E256DA">
        <w:rPr>
          <w:rFonts w:ascii="Arial" w:hAnsi="Arial" w:cs="Arial"/>
        </w:rPr>
        <w:t>is</w:t>
      </w:r>
      <w:r w:rsidR="00085F50" w:rsidRPr="00E256DA">
        <w:rPr>
          <w:rFonts w:ascii="Arial" w:hAnsi="Arial" w:cs="Arial"/>
        </w:rPr>
        <w:t xml:space="preserve"> associated with poorer outcomes</w:t>
      </w:r>
      <w:r w:rsidR="005B629A" w:rsidRPr="00E256DA">
        <w:rPr>
          <w:rFonts w:ascii="Arial" w:hAnsi="Arial" w:cs="Arial"/>
        </w:rPr>
        <w:t xml:space="preserve"> including </w:t>
      </w:r>
      <w:r w:rsidR="00440CC4" w:rsidRPr="00E256DA">
        <w:rPr>
          <w:rFonts w:ascii="Arial" w:hAnsi="Arial" w:cs="Arial"/>
        </w:rPr>
        <w:t>impaired lung function</w:t>
      </w:r>
      <w:r w:rsidR="00A76C66" w:rsidRPr="00E256DA">
        <w:rPr>
          <w:rFonts w:ascii="Arial" w:hAnsi="Arial" w:cs="Arial"/>
        </w:rPr>
        <w:t xml:space="preserve"> </w:t>
      </w:r>
      <w:r w:rsidR="00A1626B" w:rsidRPr="00F55295">
        <w:rPr>
          <w:rFonts w:ascii="Arial" w:hAnsi="Arial" w:cs="Arial"/>
        </w:rPr>
        <w:t>(1)</w:t>
      </w:r>
      <w:r w:rsidR="00077C06" w:rsidRPr="00F55295">
        <w:rPr>
          <w:rFonts w:ascii="Arial" w:hAnsi="Arial" w:cs="Arial"/>
        </w:rPr>
        <w:t>.</w:t>
      </w:r>
      <w:r w:rsidR="0067384C" w:rsidRPr="00F55295">
        <w:rPr>
          <w:rFonts w:ascii="Arial" w:hAnsi="Arial" w:cs="Arial"/>
        </w:rPr>
        <w:t xml:space="preserve"> </w:t>
      </w:r>
      <w:r w:rsidR="00C408FA" w:rsidRPr="00E256DA">
        <w:rPr>
          <w:rFonts w:ascii="Arial" w:hAnsi="Arial" w:cs="Arial"/>
        </w:rPr>
        <w:t>Predicting asthma persistence</w:t>
      </w:r>
      <w:r w:rsidR="00EB1499" w:rsidRPr="00E256DA">
        <w:rPr>
          <w:rFonts w:ascii="Arial" w:hAnsi="Arial" w:cs="Arial"/>
        </w:rPr>
        <w:t xml:space="preserve"> in an outpatient setting</w:t>
      </w:r>
      <w:r w:rsidR="00350F54" w:rsidRPr="00E256DA">
        <w:rPr>
          <w:rFonts w:ascii="Arial" w:hAnsi="Arial" w:cs="Arial"/>
        </w:rPr>
        <w:t xml:space="preserve"> using biomarkers c</w:t>
      </w:r>
      <w:r w:rsidR="003F3FDF">
        <w:rPr>
          <w:rFonts w:ascii="Arial" w:hAnsi="Arial" w:cs="Arial"/>
        </w:rPr>
        <w:t>ould</w:t>
      </w:r>
      <w:r w:rsidR="00350F54" w:rsidRPr="00E256DA">
        <w:rPr>
          <w:rFonts w:ascii="Arial" w:hAnsi="Arial" w:cs="Arial"/>
        </w:rPr>
        <w:t xml:space="preserve"> </w:t>
      </w:r>
      <w:r w:rsidR="006D294B" w:rsidRPr="00E256DA">
        <w:rPr>
          <w:rFonts w:ascii="Arial" w:hAnsi="Arial" w:cs="Arial"/>
        </w:rPr>
        <w:t xml:space="preserve">help </w:t>
      </w:r>
      <w:r w:rsidR="009A7D3E" w:rsidRPr="00E256DA">
        <w:rPr>
          <w:rFonts w:ascii="Arial" w:hAnsi="Arial" w:cs="Arial"/>
        </w:rPr>
        <w:t xml:space="preserve">personalize care </w:t>
      </w:r>
      <w:r w:rsidR="0087190D">
        <w:rPr>
          <w:rFonts w:ascii="Arial" w:hAnsi="Arial" w:cs="Arial"/>
        </w:rPr>
        <w:t xml:space="preserve">with </w:t>
      </w:r>
      <w:r w:rsidR="0078726E">
        <w:rPr>
          <w:rFonts w:ascii="Arial" w:hAnsi="Arial" w:cs="Arial"/>
        </w:rPr>
        <w:t>a view to</w:t>
      </w:r>
      <w:r w:rsidR="006C655E">
        <w:rPr>
          <w:rFonts w:ascii="Arial" w:hAnsi="Arial" w:cs="Arial"/>
        </w:rPr>
        <w:t xml:space="preserve"> improving </w:t>
      </w:r>
      <w:r w:rsidR="00166FD0">
        <w:rPr>
          <w:rFonts w:ascii="Arial" w:hAnsi="Arial" w:cs="Arial"/>
        </w:rPr>
        <w:t xml:space="preserve">clinical </w:t>
      </w:r>
      <w:r w:rsidR="006C655E">
        <w:rPr>
          <w:rFonts w:ascii="Arial" w:hAnsi="Arial" w:cs="Arial"/>
        </w:rPr>
        <w:t>outcomes</w:t>
      </w:r>
      <w:r w:rsidR="00EB1499" w:rsidRPr="00E256DA">
        <w:rPr>
          <w:rFonts w:ascii="Arial" w:hAnsi="Arial" w:cs="Arial"/>
        </w:rPr>
        <w:t>.</w:t>
      </w:r>
      <w:r w:rsidR="009A7D3E" w:rsidRPr="00E256DA">
        <w:rPr>
          <w:rFonts w:ascii="Arial" w:hAnsi="Arial" w:cs="Arial"/>
        </w:rPr>
        <w:t xml:space="preserve"> Cytokines may </w:t>
      </w:r>
      <w:r w:rsidR="00FB7A68">
        <w:rPr>
          <w:rFonts w:ascii="Arial" w:hAnsi="Arial" w:cs="Arial"/>
        </w:rPr>
        <w:t>be viable candidate biomarkers</w:t>
      </w:r>
      <w:r w:rsidR="009A7D3E" w:rsidRPr="00E256DA">
        <w:rPr>
          <w:rFonts w:ascii="Arial" w:hAnsi="Arial" w:cs="Arial"/>
        </w:rPr>
        <w:t xml:space="preserve"> as they can </w:t>
      </w:r>
      <w:r w:rsidR="00F70DD9" w:rsidRPr="00E256DA">
        <w:rPr>
          <w:rFonts w:ascii="Arial" w:hAnsi="Arial" w:cs="Arial"/>
        </w:rPr>
        <w:t xml:space="preserve">be </w:t>
      </w:r>
      <w:r w:rsidR="009A7D3E" w:rsidRPr="00E256DA">
        <w:rPr>
          <w:rFonts w:ascii="Arial" w:hAnsi="Arial" w:cs="Arial"/>
        </w:rPr>
        <w:t>measured in the peripheral blood</w:t>
      </w:r>
      <w:r w:rsidR="007A64AE" w:rsidRPr="00E256DA">
        <w:rPr>
          <w:rFonts w:ascii="Arial" w:hAnsi="Arial" w:cs="Arial"/>
        </w:rPr>
        <w:t xml:space="preserve"> and are </w:t>
      </w:r>
      <w:r w:rsidR="0032046B">
        <w:rPr>
          <w:rFonts w:ascii="Arial" w:hAnsi="Arial" w:cs="Arial"/>
        </w:rPr>
        <w:t>fundamental to</w:t>
      </w:r>
      <w:r w:rsidR="007A64AE" w:rsidRPr="00E256DA">
        <w:rPr>
          <w:rFonts w:ascii="Arial" w:hAnsi="Arial" w:cs="Arial"/>
        </w:rPr>
        <w:t xml:space="preserve"> the immunobiology of asthma</w:t>
      </w:r>
      <w:r w:rsidR="009A7D3E" w:rsidRPr="00E256DA">
        <w:rPr>
          <w:rFonts w:ascii="Arial" w:hAnsi="Arial" w:cs="Arial"/>
        </w:rPr>
        <w:t xml:space="preserve">. </w:t>
      </w:r>
      <w:r w:rsidR="0083072B" w:rsidRPr="00E256DA">
        <w:rPr>
          <w:rFonts w:ascii="Arial" w:hAnsi="Arial" w:cs="Arial"/>
        </w:rPr>
        <w:t>W</w:t>
      </w:r>
      <w:r w:rsidR="00077C06" w:rsidRPr="00E256DA">
        <w:rPr>
          <w:rFonts w:ascii="Arial" w:hAnsi="Arial" w:cs="Arial"/>
        </w:rPr>
        <w:t>hile there have been cross-sectional evaluations of cytokines in asthma</w:t>
      </w:r>
      <w:r w:rsidR="00233A9E" w:rsidRPr="00E256DA">
        <w:rPr>
          <w:rFonts w:ascii="Arial" w:hAnsi="Arial" w:cs="Arial"/>
        </w:rPr>
        <w:t xml:space="preserve"> </w:t>
      </w:r>
      <w:r w:rsidR="00233A9E" w:rsidRPr="00F55295">
        <w:rPr>
          <w:rFonts w:ascii="Arial" w:hAnsi="Arial" w:cs="Arial"/>
        </w:rPr>
        <w:t>(2</w:t>
      </w:r>
      <w:r w:rsidR="00233A9E" w:rsidRPr="00E256DA">
        <w:rPr>
          <w:rFonts w:ascii="Arial" w:hAnsi="Arial" w:cs="Arial"/>
        </w:rPr>
        <w:t>)</w:t>
      </w:r>
      <w:r w:rsidR="00077C06" w:rsidRPr="00E256DA">
        <w:rPr>
          <w:rFonts w:ascii="Arial" w:hAnsi="Arial" w:cs="Arial"/>
        </w:rPr>
        <w:t xml:space="preserve">, there have been </w:t>
      </w:r>
      <w:r w:rsidR="007170EA" w:rsidRPr="00E256DA">
        <w:rPr>
          <w:rFonts w:ascii="Arial" w:hAnsi="Arial" w:cs="Arial"/>
        </w:rPr>
        <w:t>limited</w:t>
      </w:r>
      <w:r w:rsidR="00077C06" w:rsidRPr="00E256DA">
        <w:rPr>
          <w:rFonts w:ascii="Arial" w:hAnsi="Arial" w:cs="Arial"/>
        </w:rPr>
        <w:t xml:space="preserve"> longitudinal assessments.</w:t>
      </w:r>
      <w:r w:rsidR="00014AC2" w:rsidRPr="00E256DA">
        <w:rPr>
          <w:rFonts w:ascii="Arial" w:hAnsi="Arial" w:cs="Arial"/>
        </w:rPr>
        <w:t xml:space="preserve"> Th</w:t>
      </w:r>
      <w:r w:rsidR="00E36B45" w:rsidRPr="00E256DA">
        <w:rPr>
          <w:rFonts w:ascii="Arial" w:hAnsi="Arial" w:cs="Arial"/>
        </w:rPr>
        <w:t>is study aimed</w:t>
      </w:r>
      <w:r w:rsidR="00014AC2" w:rsidRPr="00E256DA">
        <w:rPr>
          <w:rFonts w:ascii="Arial" w:hAnsi="Arial" w:cs="Arial"/>
        </w:rPr>
        <w:t xml:space="preserve"> to </w:t>
      </w:r>
      <w:r w:rsidR="005761EC" w:rsidRPr="00E256DA">
        <w:rPr>
          <w:rFonts w:ascii="Arial" w:hAnsi="Arial" w:cs="Arial"/>
        </w:rPr>
        <w:t>characteri</w:t>
      </w:r>
      <w:r w:rsidR="00D32A78" w:rsidRPr="00E256DA">
        <w:rPr>
          <w:rFonts w:ascii="Arial" w:hAnsi="Arial" w:cs="Arial"/>
        </w:rPr>
        <w:t>z</w:t>
      </w:r>
      <w:r w:rsidR="005761EC" w:rsidRPr="00E256DA">
        <w:rPr>
          <w:rFonts w:ascii="Arial" w:hAnsi="Arial" w:cs="Arial"/>
        </w:rPr>
        <w:t>e the</w:t>
      </w:r>
      <w:r w:rsidR="00014AC2" w:rsidRPr="00E256DA">
        <w:rPr>
          <w:rFonts w:ascii="Arial" w:hAnsi="Arial" w:cs="Arial"/>
        </w:rPr>
        <w:t xml:space="preserve"> relationship between </w:t>
      </w:r>
      <w:r w:rsidR="00586665" w:rsidRPr="00E256DA">
        <w:rPr>
          <w:rFonts w:ascii="Arial" w:hAnsi="Arial" w:cs="Arial"/>
        </w:rPr>
        <w:t>serum</w:t>
      </w:r>
      <w:r w:rsidR="00014AC2" w:rsidRPr="00E256DA">
        <w:rPr>
          <w:rFonts w:ascii="Arial" w:hAnsi="Arial" w:cs="Arial"/>
        </w:rPr>
        <w:t xml:space="preserve"> cytokine levels </w:t>
      </w:r>
      <w:r w:rsidR="000E38BE">
        <w:rPr>
          <w:rFonts w:ascii="Arial" w:hAnsi="Arial" w:cs="Arial"/>
        </w:rPr>
        <w:t>in</w:t>
      </w:r>
      <w:r w:rsidR="00F672C8">
        <w:rPr>
          <w:rFonts w:ascii="Arial" w:hAnsi="Arial" w:cs="Arial"/>
        </w:rPr>
        <w:t xml:space="preserve"> </w:t>
      </w:r>
      <w:r w:rsidR="000E38BE">
        <w:rPr>
          <w:rFonts w:ascii="Arial" w:hAnsi="Arial" w:cs="Arial"/>
        </w:rPr>
        <w:t>adolescence (10 years)</w:t>
      </w:r>
      <w:r w:rsidR="00444BA7">
        <w:rPr>
          <w:rFonts w:ascii="Arial" w:hAnsi="Arial" w:cs="Arial"/>
        </w:rPr>
        <w:t xml:space="preserve"> and </w:t>
      </w:r>
      <w:r w:rsidR="00F672C8">
        <w:rPr>
          <w:rFonts w:ascii="Arial" w:hAnsi="Arial" w:cs="Arial"/>
        </w:rPr>
        <w:t>in young adulthood (</w:t>
      </w:r>
      <w:r w:rsidR="00A55DF0">
        <w:rPr>
          <w:rFonts w:ascii="Arial" w:hAnsi="Arial" w:cs="Arial"/>
        </w:rPr>
        <w:t>18 years</w:t>
      </w:r>
      <w:r w:rsidR="00F672C8">
        <w:rPr>
          <w:rFonts w:ascii="Arial" w:hAnsi="Arial" w:cs="Arial"/>
        </w:rPr>
        <w:t>)</w:t>
      </w:r>
      <w:r w:rsidR="00A55DF0">
        <w:rPr>
          <w:rFonts w:ascii="Arial" w:hAnsi="Arial" w:cs="Arial"/>
        </w:rPr>
        <w:t xml:space="preserve"> with</w:t>
      </w:r>
      <w:r w:rsidR="00014AC2" w:rsidRPr="00E256DA">
        <w:rPr>
          <w:rFonts w:ascii="Arial" w:hAnsi="Arial" w:cs="Arial"/>
        </w:rPr>
        <w:t xml:space="preserve"> subsequent </w:t>
      </w:r>
      <w:r w:rsidR="00A55DF0">
        <w:rPr>
          <w:rFonts w:ascii="Arial" w:hAnsi="Arial" w:cs="Arial"/>
        </w:rPr>
        <w:t xml:space="preserve">asthma </w:t>
      </w:r>
      <w:r w:rsidR="00014AC2" w:rsidRPr="00E256DA">
        <w:rPr>
          <w:rFonts w:ascii="Arial" w:hAnsi="Arial" w:cs="Arial"/>
        </w:rPr>
        <w:t>persistence, using longitudinal data from the Isle of Wight birth cohort.</w:t>
      </w:r>
    </w:p>
    <w:p w14:paraId="311FEF64" w14:textId="16B05AD9" w:rsidR="00466365" w:rsidRPr="00392F85" w:rsidRDefault="00980E54" w:rsidP="00E256DA">
      <w:pPr>
        <w:spacing w:line="360" w:lineRule="auto"/>
        <w:rPr>
          <w:rFonts w:ascii="Arial" w:hAnsi="Arial" w:cs="Arial"/>
          <w:shd w:val="clear" w:color="auto" w:fill="FFFFFF"/>
          <w:lang w:val="en-US"/>
        </w:rPr>
      </w:pPr>
      <w:r w:rsidRPr="00E256DA">
        <w:rPr>
          <w:rFonts w:ascii="Arial" w:hAnsi="Arial" w:cs="Arial"/>
        </w:rPr>
        <w:t>Briefly, children (N=1456) were enrolled at birth and followed up at ages</w:t>
      </w:r>
      <w:r w:rsidRPr="00E256DA">
        <w:rPr>
          <w:rFonts w:ascii="Arial" w:hAnsi="Arial" w:cs="Arial"/>
          <w:shd w:val="clear" w:color="auto" w:fill="FFFFFF"/>
          <w:lang w:val="en-US"/>
        </w:rPr>
        <w:t> 1 (94.4%), 2 (84.5%), 4 (83.6%), 10 (94.3%), 18 years (90.2%), and 26 years (70.9%)</w:t>
      </w:r>
      <w:r w:rsidR="00233A9E" w:rsidRPr="00E256DA">
        <w:rPr>
          <w:rFonts w:ascii="Arial" w:hAnsi="Arial" w:cs="Arial"/>
          <w:shd w:val="clear" w:color="auto" w:fill="FFFFFF"/>
          <w:lang w:val="en-US"/>
        </w:rPr>
        <w:t xml:space="preserve"> </w:t>
      </w:r>
      <w:r w:rsidR="00233A9E" w:rsidRPr="00E256DA">
        <w:rPr>
          <w:rFonts w:ascii="Arial" w:hAnsi="Arial" w:cs="Arial"/>
        </w:rPr>
        <w:t>(3)</w:t>
      </w:r>
      <w:r w:rsidRPr="00E256DA">
        <w:rPr>
          <w:rFonts w:ascii="Arial" w:hAnsi="Arial" w:cs="Arial"/>
          <w:shd w:val="clear" w:color="auto" w:fill="FFFFFF"/>
          <w:lang w:val="en-US"/>
        </w:rPr>
        <w:t xml:space="preserve">. </w:t>
      </w:r>
      <w:r w:rsidRPr="00E256DA">
        <w:rPr>
          <w:rFonts w:ascii="Arial" w:hAnsi="Arial" w:cs="Arial"/>
        </w:rPr>
        <w:t xml:space="preserve">Additionally, at age 10 (N=282) and age 18 (N=398), </w:t>
      </w:r>
      <w:r w:rsidR="006527CA" w:rsidRPr="00E256DA">
        <w:rPr>
          <w:rFonts w:ascii="Arial" w:hAnsi="Arial" w:cs="Arial"/>
        </w:rPr>
        <w:t>serum samples of participants were analysed for measurement of cytokine concentrations</w:t>
      </w:r>
      <w:r w:rsidR="0019753D">
        <w:rPr>
          <w:rFonts w:ascii="Arial" w:hAnsi="Arial" w:cs="Arial"/>
        </w:rPr>
        <w:t xml:space="preserve">: </w:t>
      </w:r>
      <w:r w:rsidR="00E7570B">
        <w:rPr>
          <w:rFonts w:ascii="Arial" w:hAnsi="Arial" w:cs="Arial"/>
        </w:rPr>
        <w:t>Interleukin-5 (</w:t>
      </w:r>
      <w:r w:rsidR="00E7570B" w:rsidRPr="00E256DA">
        <w:rPr>
          <w:rFonts w:ascii="Arial" w:hAnsi="Arial" w:cs="Arial"/>
        </w:rPr>
        <w:t>IL-5</w:t>
      </w:r>
      <w:r w:rsidR="00E7570B">
        <w:rPr>
          <w:rFonts w:ascii="Arial" w:hAnsi="Arial" w:cs="Arial"/>
        </w:rPr>
        <w:t>)</w:t>
      </w:r>
      <w:r w:rsidR="00BE052D">
        <w:rPr>
          <w:rFonts w:ascii="Arial" w:hAnsi="Arial" w:cs="Arial"/>
        </w:rPr>
        <w:t xml:space="preserve"> and</w:t>
      </w:r>
      <w:r w:rsidR="00E7570B">
        <w:rPr>
          <w:rFonts w:ascii="Arial" w:hAnsi="Arial" w:cs="Arial"/>
        </w:rPr>
        <w:t xml:space="preserve"> </w:t>
      </w:r>
      <w:r w:rsidR="006527CA" w:rsidRPr="00E256DA">
        <w:rPr>
          <w:rFonts w:ascii="Arial" w:hAnsi="Arial" w:cs="Arial"/>
        </w:rPr>
        <w:t>I</w:t>
      </w:r>
      <w:r w:rsidR="0019753D">
        <w:rPr>
          <w:rFonts w:ascii="Arial" w:hAnsi="Arial" w:cs="Arial"/>
        </w:rPr>
        <w:t>nterferon-gamma (I</w:t>
      </w:r>
      <w:r w:rsidR="006527CA" w:rsidRPr="00E256DA">
        <w:rPr>
          <w:rFonts w:ascii="Arial" w:hAnsi="Arial" w:cs="Arial"/>
        </w:rPr>
        <w:t>FN-g</w:t>
      </w:r>
      <w:r w:rsidR="0019753D">
        <w:rPr>
          <w:rFonts w:ascii="Arial" w:hAnsi="Arial" w:cs="Arial"/>
        </w:rPr>
        <w:t>)</w:t>
      </w:r>
      <w:r w:rsidR="006527CA" w:rsidRPr="00E256DA">
        <w:rPr>
          <w:rFonts w:ascii="Arial" w:hAnsi="Arial" w:cs="Arial"/>
        </w:rPr>
        <w:t>.</w:t>
      </w:r>
      <w:r w:rsidR="002A63A1" w:rsidRPr="00E256DA">
        <w:rPr>
          <w:rFonts w:ascii="Arial" w:hAnsi="Arial" w:cs="Arial"/>
        </w:rPr>
        <w:t xml:space="preserve"> </w:t>
      </w:r>
      <w:r w:rsidR="00656DCF" w:rsidRPr="00E256DA">
        <w:rPr>
          <w:rFonts w:ascii="Arial" w:hAnsi="Arial" w:cs="Arial"/>
        </w:rPr>
        <w:t>IL-5</w:t>
      </w:r>
      <w:r w:rsidR="002728EF">
        <w:rPr>
          <w:rFonts w:ascii="Arial" w:hAnsi="Arial" w:cs="Arial"/>
        </w:rPr>
        <w:t>/IFN-g</w:t>
      </w:r>
      <w:r w:rsidR="00656DCF" w:rsidRPr="00E256DA">
        <w:rPr>
          <w:rFonts w:ascii="Arial" w:hAnsi="Arial" w:cs="Arial"/>
        </w:rPr>
        <w:t xml:space="preserve"> ratio was also examined as a surrogate marker of Th1</w:t>
      </w:r>
      <w:r w:rsidR="00B36361" w:rsidRPr="00E256DA">
        <w:rPr>
          <w:rFonts w:ascii="Arial" w:hAnsi="Arial" w:cs="Arial"/>
        </w:rPr>
        <w:t>/</w:t>
      </w:r>
      <w:r w:rsidR="00656DCF" w:rsidRPr="00E256DA">
        <w:rPr>
          <w:rFonts w:ascii="Arial" w:hAnsi="Arial" w:cs="Arial"/>
        </w:rPr>
        <w:t xml:space="preserve"> Th2 skewing.</w:t>
      </w:r>
      <w:r w:rsidR="00346568">
        <w:rPr>
          <w:rFonts w:ascii="Arial" w:hAnsi="Arial" w:cs="Arial"/>
        </w:rPr>
        <w:t xml:space="preserve"> </w:t>
      </w:r>
      <w:r w:rsidR="00346568" w:rsidRPr="00E256DA">
        <w:rPr>
          <w:rFonts w:ascii="Arial" w:hAnsi="Arial" w:cs="Arial"/>
        </w:rPr>
        <w:t>Relevant clinical characteristics of the study participants</w:t>
      </w:r>
      <w:r w:rsidR="00346568">
        <w:rPr>
          <w:rFonts w:ascii="Arial" w:hAnsi="Arial" w:cs="Arial"/>
        </w:rPr>
        <w:t xml:space="preserve"> with cytokine data</w:t>
      </w:r>
      <w:r w:rsidR="00346568" w:rsidRPr="00E256DA">
        <w:rPr>
          <w:rFonts w:ascii="Arial" w:hAnsi="Arial" w:cs="Arial"/>
        </w:rPr>
        <w:t xml:space="preserve"> are in </w:t>
      </w:r>
      <w:r w:rsidR="00346568">
        <w:rPr>
          <w:rFonts w:ascii="Arial" w:hAnsi="Arial" w:cs="Arial"/>
        </w:rPr>
        <w:t>Table 1</w:t>
      </w:r>
      <w:r w:rsidR="00346568" w:rsidRPr="00E256DA">
        <w:rPr>
          <w:rFonts w:ascii="Arial" w:hAnsi="Arial" w:cs="Arial"/>
        </w:rPr>
        <w:t>.</w:t>
      </w:r>
      <w:r w:rsidR="00656DCF" w:rsidRPr="00E256DA">
        <w:rPr>
          <w:rFonts w:ascii="Arial" w:hAnsi="Arial" w:cs="Arial"/>
        </w:rPr>
        <w:t xml:space="preserve"> </w:t>
      </w:r>
      <w:r w:rsidR="006527CA" w:rsidRPr="00E256DA">
        <w:rPr>
          <w:rFonts w:ascii="Arial" w:hAnsi="Arial" w:cs="Arial"/>
        </w:rPr>
        <w:t xml:space="preserve"> </w:t>
      </w:r>
      <w:r w:rsidR="00503CD6">
        <w:rPr>
          <w:rFonts w:ascii="Arial" w:hAnsi="Arial" w:cs="Arial"/>
        </w:rPr>
        <w:t xml:space="preserve">Cytokines were log-transformed for analysis. </w:t>
      </w:r>
      <w:r w:rsidR="006527CA" w:rsidRPr="00E256DA">
        <w:rPr>
          <w:rFonts w:ascii="Arial" w:hAnsi="Arial" w:cs="Arial"/>
        </w:rPr>
        <w:t xml:space="preserve">Asthma was defined as </w:t>
      </w:r>
      <w:r w:rsidR="006527CA" w:rsidRPr="00E256DA">
        <w:rPr>
          <w:rFonts w:ascii="Arial" w:hAnsi="Arial" w:cs="Arial"/>
          <w:lang w:val="en-US"/>
        </w:rPr>
        <w:t xml:space="preserve">having a physician diagnosis of asthma and either the presence of wheezing or requirement for asthma medications in the last 12 months. </w:t>
      </w:r>
      <w:r w:rsidR="006527CA" w:rsidRPr="00E256DA">
        <w:rPr>
          <w:rFonts w:ascii="Arial" w:hAnsi="Arial" w:cs="Arial"/>
        </w:rPr>
        <w:t xml:space="preserve"> </w:t>
      </w:r>
      <w:r w:rsidR="0083072B" w:rsidRPr="007B222A">
        <w:rPr>
          <w:rFonts w:ascii="Arial" w:hAnsi="Arial" w:cs="Arial"/>
        </w:rPr>
        <w:t xml:space="preserve">Case </w:t>
      </w:r>
      <w:r w:rsidR="0083072B" w:rsidRPr="007B222A">
        <w:rPr>
          <w:rFonts w:ascii="Arial" w:hAnsi="Arial" w:cs="Arial"/>
          <w:lang w:val="en-US"/>
        </w:rPr>
        <w:t xml:space="preserve">definition for </w:t>
      </w:r>
      <w:r w:rsidR="00B67640" w:rsidRPr="007B222A">
        <w:rPr>
          <w:rFonts w:ascii="Arial" w:hAnsi="Arial" w:cs="Arial"/>
          <w:lang w:val="en-US"/>
        </w:rPr>
        <w:t>persistent</w:t>
      </w:r>
      <w:r w:rsidR="006527CA" w:rsidRPr="007B222A">
        <w:rPr>
          <w:rFonts w:ascii="Arial" w:hAnsi="Arial" w:cs="Arial"/>
          <w:lang w:val="en-US"/>
        </w:rPr>
        <w:t xml:space="preserve"> asthma </w:t>
      </w:r>
      <w:proofErr w:type="gramStart"/>
      <w:r w:rsidR="006527CA" w:rsidRPr="007B222A">
        <w:rPr>
          <w:rFonts w:ascii="Arial" w:hAnsi="Arial" w:cs="Arial"/>
          <w:lang w:val="en-US"/>
        </w:rPr>
        <w:t>was</w:t>
      </w:r>
      <w:r w:rsidR="0083072B" w:rsidRPr="007B222A">
        <w:rPr>
          <w:rFonts w:ascii="Arial" w:hAnsi="Arial" w:cs="Arial"/>
          <w:lang w:val="en-US"/>
        </w:rPr>
        <w:t>;</w:t>
      </w:r>
      <w:proofErr w:type="gramEnd"/>
      <w:r w:rsidR="006527CA" w:rsidRPr="007B222A">
        <w:rPr>
          <w:rFonts w:ascii="Arial" w:hAnsi="Arial" w:cs="Arial"/>
          <w:lang w:val="en-US"/>
        </w:rPr>
        <w:t xml:space="preserve"> asthma present at 10 </w:t>
      </w:r>
      <w:r w:rsidR="00164E15" w:rsidRPr="007B222A">
        <w:rPr>
          <w:rFonts w:ascii="Arial" w:hAnsi="Arial" w:cs="Arial"/>
          <w:lang w:val="en-US"/>
        </w:rPr>
        <w:t>to</w:t>
      </w:r>
      <w:r w:rsidR="006527CA" w:rsidRPr="007B222A">
        <w:rPr>
          <w:rFonts w:ascii="Arial" w:hAnsi="Arial" w:cs="Arial"/>
          <w:lang w:val="en-US"/>
        </w:rPr>
        <w:t xml:space="preserve"> 18</w:t>
      </w:r>
      <w:r w:rsidR="00FC5CCC" w:rsidRPr="007B222A">
        <w:rPr>
          <w:rFonts w:ascii="Arial" w:hAnsi="Arial" w:cs="Arial"/>
          <w:lang w:val="en-US"/>
        </w:rPr>
        <w:t xml:space="preserve">, </w:t>
      </w:r>
      <w:r w:rsidR="00164E15" w:rsidRPr="007B222A">
        <w:rPr>
          <w:rFonts w:ascii="Arial" w:hAnsi="Arial" w:cs="Arial"/>
          <w:lang w:val="en-US"/>
        </w:rPr>
        <w:t>18 to 26</w:t>
      </w:r>
      <w:r w:rsidR="00B67640" w:rsidRPr="007B222A">
        <w:rPr>
          <w:rFonts w:ascii="Arial" w:hAnsi="Arial" w:cs="Arial"/>
          <w:lang w:val="en-US"/>
        </w:rPr>
        <w:t>,</w:t>
      </w:r>
      <w:r w:rsidR="00FC5CCC" w:rsidRPr="007B222A">
        <w:rPr>
          <w:rFonts w:ascii="Arial" w:hAnsi="Arial" w:cs="Arial"/>
          <w:lang w:val="en-US"/>
        </w:rPr>
        <w:t xml:space="preserve"> or 10</w:t>
      </w:r>
      <w:r w:rsidR="00EC6214" w:rsidRPr="007B222A">
        <w:rPr>
          <w:rFonts w:ascii="Arial" w:hAnsi="Arial" w:cs="Arial"/>
          <w:lang w:val="en-US"/>
        </w:rPr>
        <w:t xml:space="preserve"> to </w:t>
      </w:r>
      <w:r w:rsidR="00FC5CCC" w:rsidRPr="007B222A">
        <w:rPr>
          <w:rFonts w:ascii="Arial" w:hAnsi="Arial" w:cs="Arial"/>
          <w:lang w:val="en-US"/>
        </w:rPr>
        <w:t>26</w:t>
      </w:r>
      <w:r w:rsidR="00164E15" w:rsidRPr="007B222A">
        <w:rPr>
          <w:rFonts w:ascii="Arial" w:hAnsi="Arial" w:cs="Arial"/>
          <w:lang w:val="en-US"/>
        </w:rPr>
        <w:t xml:space="preserve"> </w:t>
      </w:r>
      <w:r w:rsidR="0083072B" w:rsidRPr="007B222A">
        <w:rPr>
          <w:rFonts w:ascii="Arial" w:hAnsi="Arial" w:cs="Arial"/>
          <w:lang w:val="en-US"/>
        </w:rPr>
        <w:t>years of age</w:t>
      </w:r>
      <w:r w:rsidR="006527CA" w:rsidRPr="007B222A">
        <w:rPr>
          <w:rFonts w:ascii="Arial" w:hAnsi="Arial" w:cs="Arial"/>
          <w:lang w:val="en-US"/>
        </w:rPr>
        <w:t>.</w:t>
      </w:r>
      <w:r w:rsidR="006527CA" w:rsidRPr="00E256DA">
        <w:rPr>
          <w:rFonts w:ascii="Arial" w:hAnsi="Arial" w:cs="Arial"/>
          <w:lang w:val="en-US"/>
        </w:rPr>
        <w:t xml:space="preserve"> </w:t>
      </w:r>
      <w:r w:rsidR="0083072B" w:rsidRPr="00E256DA">
        <w:rPr>
          <w:rFonts w:ascii="Arial" w:hAnsi="Arial" w:cs="Arial"/>
          <w:lang w:val="en-US"/>
        </w:rPr>
        <w:t>Controls were defined as no asthma or n</w:t>
      </w:r>
      <w:r w:rsidR="00733DBF" w:rsidRPr="00E256DA">
        <w:rPr>
          <w:rFonts w:ascii="Arial" w:hAnsi="Arial" w:cs="Arial"/>
          <w:lang w:val="en-US"/>
        </w:rPr>
        <w:t>on-persistent asthma</w:t>
      </w:r>
      <w:r w:rsidR="0083072B" w:rsidRPr="00E256DA">
        <w:rPr>
          <w:rFonts w:ascii="Arial" w:hAnsi="Arial" w:cs="Arial"/>
          <w:lang w:val="en-US"/>
        </w:rPr>
        <w:t>;</w:t>
      </w:r>
      <w:r w:rsidR="00733DBF" w:rsidRPr="00E256DA">
        <w:rPr>
          <w:rFonts w:ascii="Arial" w:hAnsi="Arial" w:cs="Arial"/>
          <w:lang w:val="en-US"/>
        </w:rPr>
        <w:t xml:space="preserve"> </w:t>
      </w:r>
      <w:r w:rsidR="00E878D6" w:rsidRPr="00E256DA">
        <w:rPr>
          <w:rFonts w:ascii="Arial" w:hAnsi="Arial" w:cs="Arial"/>
          <w:lang w:val="en-US"/>
        </w:rPr>
        <w:t xml:space="preserve">(asthma at one time point but not at the following time point, </w:t>
      </w:r>
      <w:proofErr w:type="spellStart"/>
      <w:r w:rsidR="00E878D6" w:rsidRPr="00E256DA">
        <w:rPr>
          <w:rFonts w:ascii="Arial" w:hAnsi="Arial" w:cs="Arial"/>
          <w:lang w:val="en-US"/>
        </w:rPr>
        <w:t>eg</w:t>
      </w:r>
      <w:proofErr w:type="spellEnd"/>
      <w:r w:rsidR="00E878D6" w:rsidRPr="00E256DA">
        <w:rPr>
          <w:rFonts w:ascii="Arial" w:hAnsi="Arial" w:cs="Arial"/>
          <w:lang w:val="en-US"/>
        </w:rPr>
        <w:t>: 10 but not at 18</w:t>
      </w:r>
      <w:r w:rsidR="0083072B" w:rsidRPr="00E256DA">
        <w:rPr>
          <w:rFonts w:ascii="Arial" w:hAnsi="Arial" w:cs="Arial"/>
          <w:lang w:val="en-US"/>
        </w:rPr>
        <w:t xml:space="preserve"> or 18 but not </w:t>
      </w:r>
      <w:r w:rsidR="00164E15" w:rsidRPr="00E256DA">
        <w:rPr>
          <w:rFonts w:ascii="Arial" w:hAnsi="Arial" w:cs="Arial"/>
          <w:lang w:val="en-US"/>
        </w:rPr>
        <w:t>26</w:t>
      </w:r>
      <w:r w:rsidR="0083072B" w:rsidRPr="00E256DA">
        <w:rPr>
          <w:rFonts w:ascii="Arial" w:hAnsi="Arial" w:cs="Arial"/>
          <w:lang w:val="en-US"/>
        </w:rPr>
        <w:t xml:space="preserve"> years</w:t>
      </w:r>
      <w:r w:rsidR="00E878D6" w:rsidRPr="00E256DA">
        <w:rPr>
          <w:rFonts w:ascii="Arial" w:hAnsi="Arial" w:cs="Arial"/>
          <w:lang w:val="en-US"/>
        </w:rPr>
        <w:t xml:space="preserve">). </w:t>
      </w:r>
      <w:r w:rsidR="006527CA" w:rsidRPr="00E256DA">
        <w:rPr>
          <w:rFonts w:ascii="Arial" w:hAnsi="Arial" w:cs="Arial"/>
          <w:lang w:val="en-US"/>
        </w:rPr>
        <w:t xml:space="preserve"> </w:t>
      </w:r>
      <w:r w:rsidR="000547FD" w:rsidRPr="00E256DA">
        <w:rPr>
          <w:rFonts w:ascii="Arial" w:hAnsi="Arial" w:cs="Arial"/>
        </w:rPr>
        <w:t xml:space="preserve">Atopy was defined as having a positive skin prick test. </w:t>
      </w:r>
      <w:r w:rsidR="006527CA" w:rsidRPr="00E256DA">
        <w:rPr>
          <w:rFonts w:ascii="Arial" w:hAnsi="Arial" w:cs="Arial"/>
        </w:rPr>
        <w:t>Detailed study methodology is described elsewhere</w:t>
      </w:r>
      <w:r w:rsidR="000E2218" w:rsidRPr="00E256DA">
        <w:rPr>
          <w:rFonts w:ascii="Arial" w:hAnsi="Arial" w:cs="Arial"/>
        </w:rPr>
        <w:t xml:space="preserve"> </w:t>
      </w:r>
      <w:r w:rsidR="000E2218" w:rsidRPr="00F55295">
        <w:rPr>
          <w:rFonts w:ascii="Arial" w:hAnsi="Arial" w:cs="Arial"/>
        </w:rPr>
        <w:t>(3</w:t>
      </w:r>
      <w:r w:rsidR="000E2218" w:rsidRPr="00E256DA">
        <w:rPr>
          <w:rFonts w:ascii="Arial" w:hAnsi="Arial" w:cs="Arial"/>
        </w:rPr>
        <w:t>)</w:t>
      </w:r>
      <w:r w:rsidR="005331AD" w:rsidRPr="00E256DA">
        <w:rPr>
          <w:rFonts w:ascii="Arial" w:hAnsi="Arial" w:cs="Arial"/>
        </w:rPr>
        <w:t xml:space="preserve">. </w:t>
      </w:r>
      <w:r w:rsidR="002A63A1" w:rsidRPr="00E256DA">
        <w:rPr>
          <w:rFonts w:ascii="Arial" w:hAnsi="Arial" w:cs="Arial"/>
          <w:lang w:val="en-US"/>
        </w:rPr>
        <w:t>Multi</w:t>
      </w:r>
      <w:r w:rsidR="00FC5CCC">
        <w:rPr>
          <w:rFonts w:ascii="Arial" w:hAnsi="Arial" w:cs="Arial"/>
          <w:lang w:val="en-US"/>
        </w:rPr>
        <w:t>variable</w:t>
      </w:r>
      <w:r w:rsidR="002A63A1" w:rsidRPr="00E256DA">
        <w:rPr>
          <w:rFonts w:ascii="Arial" w:hAnsi="Arial" w:cs="Arial"/>
          <w:lang w:val="en-US"/>
        </w:rPr>
        <w:t xml:space="preserve"> logistic regression modelling was performed to assess the relationship between </w:t>
      </w:r>
      <w:r w:rsidR="00503CD6">
        <w:rPr>
          <w:rFonts w:ascii="Arial" w:hAnsi="Arial" w:cs="Arial"/>
          <w:lang w:val="en-US"/>
        </w:rPr>
        <w:t xml:space="preserve">log-transformed </w:t>
      </w:r>
      <w:r w:rsidR="002A63A1" w:rsidRPr="00E256DA">
        <w:rPr>
          <w:rFonts w:ascii="Arial" w:hAnsi="Arial" w:cs="Arial"/>
          <w:lang w:val="en-US"/>
        </w:rPr>
        <w:t xml:space="preserve">cytokines and </w:t>
      </w:r>
      <w:r w:rsidR="001F1B09" w:rsidRPr="00E256DA">
        <w:rPr>
          <w:rFonts w:ascii="Arial" w:hAnsi="Arial" w:cs="Arial"/>
          <w:lang w:val="en-US"/>
        </w:rPr>
        <w:t>asthma</w:t>
      </w:r>
      <w:r w:rsidR="00F537DF" w:rsidRPr="00E256DA">
        <w:rPr>
          <w:rFonts w:ascii="Arial" w:hAnsi="Arial" w:cs="Arial"/>
          <w:lang w:val="en-US"/>
        </w:rPr>
        <w:t>, adjusting for</w:t>
      </w:r>
      <w:r w:rsidR="00C26E93" w:rsidRPr="00E256DA">
        <w:rPr>
          <w:rFonts w:ascii="Arial" w:hAnsi="Arial" w:cs="Arial"/>
          <w:lang w:val="en-US"/>
        </w:rPr>
        <w:t xml:space="preserve"> Sex</w:t>
      </w:r>
      <w:r w:rsidR="00997D4B" w:rsidRPr="00E256DA">
        <w:rPr>
          <w:rFonts w:ascii="Arial" w:hAnsi="Arial" w:cs="Arial"/>
          <w:lang w:val="en-US"/>
        </w:rPr>
        <w:t xml:space="preserve"> (</w:t>
      </w:r>
      <w:r w:rsidR="0060495C" w:rsidRPr="00E256DA">
        <w:rPr>
          <w:rFonts w:ascii="Arial" w:hAnsi="Arial" w:cs="Arial"/>
          <w:lang w:val="en-US"/>
        </w:rPr>
        <w:t>dichoto</w:t>
      </w:r>
      <w:r w:rsidR="000523E2" w:rsidRPr="00E256DA">
        <w:rPr>
          <w:rFonts w:ascii="Arial" w:hAnsi="Arial" w:cs="Arial"/>
          <w:lang w:val="en-US"/>
        </w:rPr>
        <w:t>mous</w:t>
      </w:r>
      <w:r w:rsidR="00997D4B" w:rsidRPr="00E256DA">
        <w:rPr>
          <w:rFonts w:ascii="Arial" w:hAnsi="Arial" w:cs="Arial"/>
          <w:lang w:val="en-US"/>
        </w:rPr>
        <w:t>)</w:t>
      </w:r>
      <w:r w:rsidR="00C26E93" w:rsidRPr="00E256DA">
        <w:rPr>
          <w:rFonts w:ascii="Arial" w:hAnsi="Arial" w:cs="Arial"/>
          <w:lang w:val="en-US"/>
        </w:rPr>
        <w:t>, Maternal smoking</w:t>
      </w:r>
      <w:r w:rsidR="004F3C91" w:rsidRPr="00E256DA">
        <w:rPr>
          <w:rFonts w:ascii="Arial" w:hAnsi="Arial" w:cs="Arial"/>
          <w:lang w:val="en-US"/>
        </w:rPr>
        <w:t xml:space="preserve"> (</w:t>
      </w:r>
      <w:r w:rsidR="0060495C" w:rsidRPr="00E256DA">
        <w:rPr>
          <w:rFonts w:ascii="Arial" w:hAnsi="Arial" w:cs="Arial"/>
          <w:lang w:val="en-US"/>
        </w:rPr>
        <w:t>dichotomous, questionnaire at birth</w:t>
      </w:r>
      <w:r w:rsidR="004F3C91" w:rsidRPr="00E256DA">
        <w:rPr>
          <w:rFonts w:ascii="Arial" w:hAnsi="Arial" w:cs="Arial"/>
          <w:lang w:val="en-US"/>
        </w:rPr>
        <w:t>)</w:t>
      </w:r>
      <w:r w:rsidR="00C26E93" w:rsidRPr="00E256DA">
        <w:rPr>
          <w:rFonts w:ascii="Arial" w:hAnsi="Arial" w:cs="Arial"/>
          <w:lang w:val="en-US"/>
        </w:rPr>
        <w:t>, Family</w:t>
      </w:r>
      <w:r w:rsidR="0060495C" w:rsidRPr="00E256DA">
        <w:rPr>
          <w:rFonts w:ascii="Arial" w:hAnsi="Arial" w:cs="Arial"/>
          <w:lang w:val="en-US"/>
        </w:rPr>
        <w:t xml:space="preserve"> </w:t>
      </w:r>
      <w:r w:rsidR="0060495C" w:rsidRPr="00E256DA">
        <w:rPr>
          <w:rFonts w:ascii="Arial" w:hAnsi="Arial" w:cs="Arial"/>
        </w:rPr>
        <w:t>(maternal, paternal or sibling)</w:t>
      </w:r>
      <w:r w:rsidR="00C26E93" w:rsidRPr="00E256DA">
        <w:rPr>
          <w:rFonts w:ascii="Arial" w:hAnsi="Arial" w:cs="Arial"/>
          <w:lang w:val="en-US"/>
        </w:rPr>
        <w:t xml:space="preserve"> history of atopic disease</w:t>
      </w:r>
      <w:r w:rsidR="00997D4B" w:rsidRPr="00E256DA">
        <w:rPr>
          <w:rFonts w:ascii="Arial" w:hAnsi="Arial" w:cs="Arial"/>
          <w:lang w:val="en-US"/>
        </w:rPr>
        <w:t xml:space="preserve"> (</w:t>
      </w:r>
      <w:r w:rsidR="0060495C" w:rsidRPr="00E256DA">
        <w:rPr>
          <w:rFonts w:ascii="Arial" w:hAnsi="Arial" w:cs="Arial"/>
          <w:lang w:val="en-US"/>
        </w:rPr>
        <w:t>dichotomous, questionnaire at birth</w:t>
      </w:r>
      <w:r w:rsidR="00997D4B" w:rsidRPr="00E256DA">
        <w:rPr>
          <w:rFonts w:ascii="Arial" w:hAnsi="Arial" w:cs="Arial"/>
          <w:lang w:val="en-US"/>
        </w:rPr>
        <w:t>)</w:t>
      </w:r>
      <w:r w:rsidR="00C26E93" w:rsidRPr="00E256DA">
        <w:rPr>
          <w:rFonts w:ascii="Arial" w:hAnsi="Arial" w:cs="Arial"/>
          <w:lang w:val="en-US"/>
        </w:rPr>
        <w:t xml:space="preserve"> and Cord IgE levels</w:t>
      </w:r>
      <w:r w:rsidR="00997D4B" w:rsidRPr="00E256DA">
        <w:rPr>
          <w:rFonts w:ascii="Arial" w:hAnsi="Arial" w:cs="Arial"/>
          <w:lang w:val="en-US"/>
        </w:rPr>
        <w:t xml:space="preserve"> (</w:t>
      </w:r>
      <w:r w:rsidR="000523E2" w:rsidRPr="00E256DA">
        <w:rPr>
          <w:rFonts w:ascii="Arial" w:hAnsi="Arial" w:cs="Arial"/>
        </w:rPr>
        <w:t>&gt;0.5kU/L, dichotomous</w:t>
      </w:r>
      <w:r w:rsidR="00997D4B" w:rsidRPr="00E256DA">
        <w:rPr>
          <w:rFonts w:ascii="Arial" w:hAnsi="Arial" w:cs="Arial"/>
          <w:lang w:val="en-US"/>
        </w:rPr>
        <w:t>)</w:t>
      </w:r>
      <w:r w:rsidR="00C26E93" w:rsidRPr="00E256DA">
        <w:rPr>
          <w:rFonts w:ascii="Arial" w:hAnsi="Arial" w:cs="Arial"/>
          <w:lang w:val="en-US"/>
        </w:rPr>
        <w:t xml:space="preserve">. </w:t>
      </w:r>
      <w:r w:rsidR="00763953" w:rsidRPr="00E256DA">
        <w:rPr>
          <w:rFonts w:ascii="Arial" w:hAnsi="Arial" w:cs="Arial"/>
        </w:rPr>
        <w:t xml:space="preserve">Subgroup analyses </w:t>
      </w:r>
      <w:r w:rsidR="007A64AE" w:rsidRPr="00E256DA">
        <w:rPr>
          <w:rFonts w:ascii="Arial" w:hAnsi="Arial" w:cs="Arial"/>
        </w:rPr>
        <w:t>were</w:t>
      </w:r>
      <w:r w:rsidR="00763953" w:rsidRPr="00E256DA">
        <w:rPr>
          <w:rFonts w:ascii="Arial" w:hAnsi="Arial" w:cs="Arial"/>
        </w:rPr>
        <w:t xml:space="preserve"> also conducted using</w:t>
      </w:r>
      <w:r w:rsidR="00265A1A" w:rsidRPr="00E256DA">
        <w:rPr>
          <w:rFonts w:ascii="Arial" w:hAnsi="Arial" w:cs="Arial"/>
        </w:rPr>
        <w:t xml:space="preserve"> the subjects’ atopic state at age 10 and 18 for stratification. </w:t>
      </w:r>
      <w:r w:rsidR="00D05965" w:rsidRPr="00E256DA">
        <w:rPr>
          <w:rFonts w:ascii="Arial" w:hAnsi="Arial" w:cs="Arial"/>
        </w:rPr>
        <w:t>Statistical analys</w:t>
      </w:r>
      <w:r w:rsidR="00265A1A" w:rsidRPr="00E256DA">
        <w:rPr>
          <w:rFonts w:ascii="Arial" w:hAnsi="Arial" w:cs="Arial"/>
        </w:rPr>
        <w:t>e</w:t>
      </w:r>
      <w:r w:rsidR="00D05965" w:rsidRPr="00E256DA">
        <w:rPr>
          <w:rFonts w:ascii="Arial" w:hAnsi="Arial" w:cs="Arial"/>
        </w:rPr>
        <w:t>s w</w:t>
      </w:r>
      <w:r w:rsidR="00265A1A" w:rsidRPr="00E256DA">
        <w:rPr>
          <w:rFonts w:ascii="Arial" w:hAnsi="Arial" w:cs="Arial"/>
        </w:rPr>
        <w:t xml:space="preserve">ere </w:t>
      </w:r>
      <w:r w:rsidR="00D05965" w:rsidRPr="00E256DA">
        <w:rPr>
          <w:rFonts w:ascii="Arial" w:hAnsi="Arial" w:cs="Arial"/>
        </w:rPr>
        <w:t>conducted using Stata (version 1</w:t>
      </w:r>
      <w:r w:rsidR="006B0ADF">
        <w:rPr>
          <w:rFonts w:ascii="Arial" w:hAnsi="Arial" w:cs="Arial"/>
        </w:rPr>
        <w:t>5</w:t>
      </w:r>
      <w:r w:rsidR="00D05965" w:rsidRPr="00E256DA">
        <w:rPr>
          <w:rFonts w:ascii="Arial" w:hAnsi="Arial" w:cs="Arial"/>
        </w:rPr>
        <w:t xml:space="preserve">, College Station, TX).  </w:t>
      </w:r>
      <w:r w:rsidR="0046702F" w:rsidRPr="00E256DA">
        <w:rPr>
          <w:rFonts w:ascii="Arial" w:hAnsi="Arial" w:cs="Arial"/>
          <w:lang w:val="en-US"/>
        </w:rPr>
        <w:t xml:space="preserve">Logistic regression </w:t>
      </w:r>
      <w:r w:rsidR="0046702F" w:rsidRPr="00E256DA">
        <w:rPr>
          <w:rFonts w:ascii="Arial" w:hAnsi="Arial" w:cs="Arial"/>
          <w:lang w:val="en-US"/>
        </w:rPr>
        <w:lastRenderedPageBreak/>
        <w:t xml:space="preserve">results were </w:t>
      </w:r>
      <w:r w:rsidR="00E41C81">
        <w:rPr>
          <w:rFonts w:ascii="Arial" w:hAnsi="Arial" w:cs="Arial"/>
          <w:lang w:val="en-US"/>
        </w:rPr>
        <w:t>presented</w:t>
      </w:r>
      <w:r w:rsidR="00E41C81" w:rsidRPr="00E256DA">
        <w:rPr>
          <w:rFonts w:ascii="Arial" w:hAnsi="Arial" w:cs="Arial"/>
          <w:lang w:val="en-US"/>
        </w:rPr>
        <w:t xml:space="preserve"> </w:t>
      </w:r>
      <w:r w:rsidR="0046702F" w:rsidRPr="00E256DA">
        <w:rPr>
          <w:rFonts w:ascii="Arial" w:hAnsi="Arial" w:cs="Arial"/>
          <w:lang w:val="en-US"/>
        </w:rPr>
        <w:t xml:space="preserve">as </w:t>
      </w:r>
      <w:r w:rsidR="00841F9F" w:rsidRPr="00E256DA">
        <w:rPr>
          <w:rFonts w:ascii="Arial" w:hAnsi="Arial" w:cs="Arial"/>
          <w:lang w:val="en-US"/>
        </w:rPr>
        <w:t>adjusted odds ratios (</w:t>
      </w:r>
      <w:proofErr w:type="spellStart"/>
      <w:r w:rsidR="00841F9F" w:rsidRPr="00E256DA">
        <w:rPr>
          <w:rFonts w:ascii="Arial" w:hAnsi="Arial" w:cs="Arial"/>
          <w:lang w:val="en-US"/>
        </w:rPr>
        <w:t>aOR</w:t>
      </w:r>
      <w:proofErr w:type="spellEnd"/>
      <w:r w:rsidR="00841F9F" w:rsidRPr="00E256DA">
        <w:rPr>
          <w:rFonts w:ascii="Arial" w:hAnsi="Arial" w:cs="Arial"/>
          <w:lang w:val="en-US"/>
        </w:rPr>
        <w:t>) and 95% confidence intervals (CI). P</w:t>
      </w:r>
      <w:r w:rsidR="007A64AE" w:rsidRPr="00E256DA">
        <w:rPr>
          <w:rFonts w:ascii="Arial" w:hAnsi="Arial" w:cs="Arial"/>
          <w:lang w:val="en-US"/>
        </w:rPr>
        <w:t>-</w:t>
      </w:r>
      <w:r w:rsidR="00841F9F" w:rsidRPr="00E256DA">
        <w:rPr>
          <w:rFonts w:ascii="Arial" w:hAnsi="Arial" w:cs="Arial"/>
          <w:lang w:val="en-US"/>
        </w:rPr>
        <w:t xml:space="preserve">values &lt;0.05 were regarded as statistically significant. </w:t>
      </w:r>
    </w:p>
    <w:p w14:paraId="4C0EA417" w14:textId="58A249AA" w:rsidR="00EC6214" w:rsidRDefault="00F60F70" w:rsidP="00EC6214">
      <w:pPr>
        <w:spacing w:line="360" w:lineRule="auto"/>
        <w:rPr>
          <w:rFonts w:ascii="Arial" w:hAnsi="Arial" w:cs="Arial"/>
        </w:rPr>
      </w:pPr>
      <w:r w:rsidRPr="00693031">
        <w:rPr>
          <w:rFonts w:ascii="Arial" w:hAnsi="Arial" w:cs="Arial"/>
        </w:rPr>
        <w:t xml:space="preserve">At age 10, </w:t>
      </w:r>
      <w:r w:rsidR="00153B5A" w:rsidRPr="00693031">
        <w:rPr>
          <w:rFonts w:ascii="Arial" w:hAnsi="Arial" w:cs="Arial"/>
        </w:rPr>
        <w:t xml:space="preserve">18 (6.4%) </w:t>
      </w:r>
      <w:r w:rsidRPr="00693031">
        <w:rPr>
          <w:rFonts w:ascii="Arial" w:hAnsi="Arial" w:cs="Arial"/>
        </w:rPr>
        <w:t>of 282 individuals with cytokine data</w:t>
      </w:r>
      <w:r w:rsidR="00346568">
        <w:rPr>
          <w:rFonts w:ascii="Arial" w:hAnsi="Arial" w:cs="Arial"/>
        </w:rPr>
        <w:t xml:space="preserve"> </w:t>
      </w:r>
      <w:r w:rsidR="007A64AE" w:rsidRPr="00693031">
        <w:rPr>
          <w:rFonts w:ascii="Arial" w:hAnsi="Arial" w:cs="Arial"/>
        </w:rPr>
        <w:t>had asthma</w:t>
      </w:r>
      <w:r w:rsidR="004766F0" w:rsidRPr="00693031">
        <w:rPr>
          <w:rFonts w:ascii="Arial" w:hAnsi="Arial" w:cs="Arial"/>
        </w:rPr>
        <w:t>, of whom 61.1% (</w:t>
      </w:r>
      <w:r w:rsidR="00B442FE">
        <w:rPr>
          <w:rFonts w:ascii="Arial" w:hAnsi="Arial" w:cs="Arial"/>
        </w:rPr>
        <w:t>n=</w:t>
      </w:r>
      <w:r w:rsidR="004766F0" w:rsidRPr="00693031">
        <w:rPr>
          <w:rFonts w:ascii="Arial" w:hAnsi="Arial" w:cs="Arial"/>
        </w:rPr>
        <w:t>11) had persistent asthma to age 18</w:t>
      </w:r>
      <w:r w:rsidR="00FC5CCC" w:rsidRPr="00693031">
        <w:rPr>
          <w:rFonts w:ascii="Arial" w:hAnsi="Arial" w:cs="Arial"/>
        </w:rPr>
        <w:t xml:space="preserve"> while </w:t>
      </w:r>
      <w:r w:rsidR="009E2157">
        <w:rPr>
          <w:rFonts w:ascii="Arial" w:hAnsi="Arial" w:cs="Arial"/>
        </w:rPr>
        <w:t xml:space="preserve">6 </w:t>
      </w:r>
      <w:r w:rsidR="0042714F" w:rsidRPr="00693031">
        <w:rPr>
          <w:rFonts w:ascii="Arial" w:hAnsi="Arial" w:cs="Arial"/>
        </w:rPr>
        <w:t>(</w:t>
      </w:r>
      <w:r w:rsidR="009E2157">
        <w:rPr>
          <w:rFonts w:ascii="Arial" w:hAnsi="Arial" w:cs="Arial"/>
        </w:rPr>
        <w:t>3</w:t>
      </w:r>
      <w:r w:rsidR="0042714F" w:rsidRPr="00693031">
        <w:rPr>
          <w:rFonts w:ascii="Arial" w:hAnsi="Arial" w:cs="Arial"/>
        </w:rPr>
        <w:t>0%)</w:t>
      </w:r>
      <w:r w:rsidR="00FC5CCC" w:rsidRPr="00693031">
        <w:rPr>
          <w:rFonts w:ascii="Arial" w:hAnsi="Arial" w:cs="Arial"/>
        </w:rPr>
        <w:t xml:space="preserve"> had persistent asthma up to age 26</w:t>
      </w:r>
      <w:r w:rsidR="004766F0" w:rsidRPr="00693031">
        <w:rPr>
          <w:rFonts w:ascii="Arial" w:hAnsi="Arial" w:cs="Arial"/>
        </w:rPr>
        <w:t>.</w:t>
      </w:r>
      <w:r w:rsidR="00411A43" w:rsidRPr="00693031">
        <w:rPr>
          <w:rFonts w:ascii="Arial" w:hAnsi="Arial" w:cs="Arial"/>
        </w:rPr>
        <w:t xml:space="preserve"> In multi</w:t>
      </w:r>
      <w:r w:rsidR="00FC5CCC" w:rsidRPr="00693031">
        <w:rPr>
          <w:rFonts w:ascii="Arial" w:hAnsi="Arial" w:cs="Arial"/>
        </w:rPr>
        <w:t>variable</w:t>
      </w:r>
      <w:r w:rsidR="00411A43" w:rsidRPr="00693031">
        <w:rPr>
          <w:rFonts w:ascii="Arial" w:hAnsi="Arial" w:cs="Arial"/>
        </w:rPr>
        <w:t xml:space="preserve"> analysis, a </w:t>
      </w:r>
      <w:r w:rsidR="002728EF" w:rsidRPr="00693031">
        <w:rPr>
          <w:rFonts w:ascii="Arial" w:hAnsi="Arial" w:cs="Arial"/>
        </w:rPr>
        <w:t>higher</w:t>
      </w:r>
      <w:r w:rsidR="00D810AA" w:rsidRPr="00693031">
        <w:rPr>
          <w:rFonts w:ascii="Arial" w:hAnsi="Arial" w:cs="Arial"/>
        </w:rPr>
        <w:t xml:space="preserve"> </w:t>
      </w:r>
      <w:r w:rsidR="00224B12" w:rsidRPr="00693031">
        <w:rPr>
          <w:rFonts w:ascii="Arial" w:hAnsi="Arial" w:cs="Arial"/>
        </w:rPr>
        <w:t xml:space="preserve">serum </w:t>
      </w:r>
      <w:r w:rsidR="002728EF" w:rsidRPr="00693031">
        <w:rPr>
          <w:rFonts w:ascii="Arial" w:hAnsi="Arial" w:cs="Arial"/>
        </w:rPr>
        <w:t>IL-5/IFN-g</w:t>
      </w:r>
      <w:r w:rsidR="00D810AA" w:rsidRPr="00693031">
        <w:rPr>
          <w:rFonts w:ascii="Arial" w:hAnsi="Arial" w:cs="Arial"/>
        </w:rPr>
        <w:t xml:space="preserve"> ratio at age 10 was associated with asthma persistence between ages 10 to 18 </w:t>
      </w:r>
      <w:r w:rsidR="00F90452" w:rsidRPr="00693031">
        <w:rPr>
          <w:rFonts w:ascii="Arial" w:hAnsi="Arial" w:cs="Arial"/>
        </w:rPr>
        <w:t xml:space="preserve">(Table 1) </w:t>
      </w:r>
      <w:r w:rsidR="00543DF4" w:rsidRPr="00693031">
        <w:rPr>
          <w:rFonts w:ascii="Arial" w:hAnsi="Arial" w:cs="Arial"/>
        </w:rPr>
        <w:t>[</w:t>
      </w:r>
      <w:proofErr w:type="spellStart"/>
      <w:r w:rsidR="00682BAA" w:rsidRPr="00693031">
        <w:rPr>
          <w:rFonts w:ascii="Arial" w:hAnsi="Arial" w:cs="Arial"/>
        </w:rPr>
        <w:t>aOR</w:t>
      </w:r>
      <w:proofErr w:type="spellEnd"/>
      <w:r w:rsidR="00543DF4" w:rsidRPr="00693031">
        <w:rPr>
          <w:rFonts w:ascii="Arial" w:hAnsi="Arial" w:cs="Arial"/>
        </w:rPr>
        <w:t xml:space="preserve"> (</w:t>
      </w:r>
      <w:r w:rsidR="00297121" w:rsidRPr="00693031">
        <w:rPr>
          <w:rFonts w:ascii="Arial" w:hAnsi="Arial" w:cs="Arial"/>
        </w:rPr>
        <w:t>95% CI</w:t>
      </w:r>
      <w:r w:rsidR="00543DF4" w:rsidRPr="00693031">
        <w:rPr>
          <w:rFonts w:ascii="Arial" w:hAnsi="Arial" w:cs="Arial"/>
        </w:rPr>
        <w:t>)</w:t>
      </w:r>
      <w:r w:rsidR="00297121" w:rsidRPr="00693031">
        <w:rPr>
          <w:rFonts w:ascii="Arial" w:hAnsi="Arial" w:cs="Arial"/>
        </w:rPr>
        <w:t>:</w:t>
      </w:r>
      <w:r w:rsidR="00543DF4" w:rsidRPr="00693031">
        <w:rPr>
          <w:rFonts w:ascii="Arial" w:hAnsi="Arial" w:cs="Arial"/>
        </w:rPr>
        <w:t xml:space="preserve"> </w:t>
      </w:r>
      <w:r w:rsidR="0042747B" w:rsidRPr="0042747B">
        <w:rPr>
          <w:rFonts w:ascii="Arial" w:hAnsi="Arial" w:cs="Arial"/>
        </w:rPr>
        <w:t>4.06 (1.24, 13.25)</w:t>
      </w:r>
      <w:r w:rsidR="00841F9F" w:rsidRPr="00693031">
        <w:rPr>
          <w:rFonts w:ascii="Arial" w:hAnsi="Arial" w:cs="Arial"/>
        </w:rPr>
        <w:t>, P= 0.02</w:t>
      </w:r>
      <w:r w:rsidR="00BE4098" w:rsidRPr="00693031">
        <w:rPr>
          <w:rFonts w:ascii="Arial" w:hAnsi="Arial" w:cs="Arial"/>
        </w:rPr>
        <w:t>0</w:t>
      </w:r>
      <w:r w:rsidR="00C66FF3">
        <w:rPr>
          <w:rFonts w:ascii="Arial" w:hAnsi="Arial" w:cs="Arial"/>
        </w:rPr>
        <w:t>]</w:t>
      </w:r>
      <w:r w:rsidR="00EC6214" w:rsidRPr="00693031">
        <w:rPr>
          <w:rFonts w:ascii="Arial" w:hAnsi="Arial" w:cs="Arial"/>
        </w:rPr>
        <w:t xml:space="preserve"> and</w:t>
      </w:r>
      <w:r w:rsidR="00FC5CCC" w:rsidRPr="00693031">
        <w:rPr>
          <w:rFonts w:ascii="Arial" w:hAnsi="Arial" w:cs="Arial"/>
        </w:rPr>
        <w:t xml:space="preserve"> with asthma persistence </w:t>
      </w:r>
      <w:r w:rsidR="00EC6214" w:rsidRPr="00693031">
        <w:rPr>
          <w:rFonts w:ascii="Arial" w:hAnsi="Arial" w:cs="Arial"/>
        </w:rPr>
        <w:t xml:space="preserve">from age 10 </w:t>
      </w:r>
      <w:r w:rsidR="00FC5CCC" w:rsidRPr="00693031">
        <w:rPr>
          <w:rFonts w:ascii="Arial" w:hAnsi="Arial" w:cs="Arial"/>
        </w:rPr>
        <w:t xml:space="preserve">to age 26 (Table </w:t>
      </w:r>
      <w:r w:rsidR="006A63A5">
        <w:rPr>
          <w:rFonts w:ascii="Arial" w:hAnsi="Arial" w:cs="Arial"/>
        </w:rPr>
        <w:t>2</w:t>
      </w:r>
      <w:r w:rsidR="00FC5CCC" w:rsidRPr="00693031">
        <w:rPr>
          <w:rFonts w:ascii="Arial" w:hAnsi="Arial" w:cs="Arial"/>
        </w:rPr>
        <w:t>) [</w:t>
      </w:r>
      <w:proofErr w:type="spellStart"/>
      <w:r w:rsidR="00FC5CCC" w:rsidRPr="00693031">
        <w:rPr>
          <w:rFonts w:ascii="Arial" w:hAnsi="Arial" w:cs="Arial"/>
        </w:rPr>
        <w:t>aOR</w:t>
      </w:r>
      <w:proofErr w:type="spellEnd"/>
      <w:r w:rsidR="00FC5CCC" w:rsidRPr="00693031">
        <w:rPr>
          <w:rFonts w:ascii="Arial" w:hAnsi="Arial" w:cs="Arial"/>
        </w:rPr>
        <w:t xml:space="preserve"> (95% CI):</w:t>
      </w:r>
      <w:r w:rsidR="00EC6214" w:rsidRPr="00693031">
        <w:rPr>
          <w:rFonts w:ascii="Arial" w:hAnsi="Arial" w:cs="Arial"/>
        </w:rPr>
        <w:t xml:space="preserve"> </w:t>
      </w:r>
      <w:r w:rsidR="0042747B" w:rsidRPr="0042747B">
        <w:rPr>
          <w:rFonts w:ascii="Arial" w:hAnsi="Arial" w:cs="Arial"/>
        </w:rPr>
        <w:t>3.62 (1.10,</w:t>
      </w:r>
      <w:r w:rsidR="0042747B" w:rsidRPr="00693031">
        <w:rPr>
          <w:rFonts w:ascii="Arial" w:hAnsi="Arial" w:cs="Arial"/>
        </w:rPr>
        <w:t xml:space="preserve"> 11.94)</w:t>
      </w:r>
      <w:r w:rsidR="00693031">
        <w:rPr>
          <w:rFonts w:ascii="Arial" w:hAnsi="Arial" w:cs="Arial"/>
        </w:rPr>
        <w:t xml:space="preserve">, </w:t>
      </w:r>
      <w:r w:rsidR="00EC6214" w:rsidRPr="00693031">
        <w:rPr>
          <w:rFonts w:ascii="Arial" w:hAnsi="Arial" w:cs="Arial"/>
        </w:rPr>
        <w:t>P=0.034</w:t>
      </w:r>
      <w:r w:rsidR="007A275E">
        <w:rPr>
          <w:rFonts w:ascii="Arial" w:hAnsi="Arial" w:cs="Arial"/>
        </w:rPr>
        <w:t>]</w:t>
      </w:r>
      <w:r w:rsidR="00EC6214" w:rsidRPr="00693031">
        <w:rPr>
          <w:rFonts w:ascii="Arial" w:hAnsi="Arial" w:cs="Arial"/>
        </w:rPr>
        <w:t>.</w:t>
      </w:r>
      <w:r w:rsidR="00EC6214" w:rsidRPr="0042747B">
        <w:rPr>
          <w:rFonts w:ascii="Arial" w:hAnsi="Arial" w:cs="Arial"/>
        </w:rPr>
        <w:t xml:space="preserve"> </w:t>
      </w:r>
      <w:r w:rsidR="00EC6214" w:rsidRPr="00693031">
        <w:rPr>
          <w:rFonts w:ascii="Arial" w:hAnsi="Arial" w:cs="Arial"/>
        </w:rPr>
        <w:t>No other statistically significant associations were observed.</w:t>
      </w:r>
      <w:r w:rsidR="00EC6214" w:rsidRPr="00E256DA">
        <w:rPr>
          <w:rFonts w:ascii="Arial" w:hAnsi="Arial" w:cs="Arial"/>
        </w:rPr>
        <w:t xml:space="preserve"> </w:t>
      </w:r>
    </w:p>
    <w:p w14:paraId="5CCCEEBF" w14:textId="711F8CD4" w:rsidR="00327A53" w:rsidRDefault="00411A43" w:rsidP="00E256DA">
      <w:pPr>
        <w:spacing w:line="360" w:lineRule="auto"/>
        <w:rPr>
          <w:rFonts w:ascii="Arial" w:hAnsi="Arial" w:cs="Arial"/>
        </w:rPr>
      </w:pPr>
      <w:r w:rsidRPr="00E256DA">
        <w:rPr>
          <w:rFonts w:ascii="Arial" w:hAnsi="Arial" w:cs="Arial"/>
        </w:rPr>
        <w:t xml:space="preserve">At age 18, </w:t>
      </w:r>
      <w:r w:rsidR="00BE052D">
        <w:rPr>
          <w:rFonts w:ascii="Arial" w:hAnsi="Arial" w:cs="Arial"/>
        </w:rPr>
        <w:t>14 (10.3</w:t>
      </w:r>
      <w:r w:rsidR="00577C93">
        <w:rPr>
          <w:rFonts w:ascii="Arial" w:hAnsi="Arial" w:cs="Arial"/>
        </w:rPr>
        <w:t>%</w:t>
      </w:r>
      <w:r w:rsidR="00BE052D">
        <w:rPr>
          <w:rFonts w:ascii="Arial" w:hAnsi="Arial" w:cs="Arial"/>
        </w:rPr>
        <w:t xml:space="preserve">) </w:t>
      </w:r>
      <w:r w:rsidRPr="00E256DA">
        <w:rPr>
          <w:rFonts w:ascii="Arial" w:hAnsi="Arial" w:cs="Arial"/>
        </w:rPr>
        <w:t>of 398 participants with cytokine data</w:t>
      </w:r>
      <w:r w:rsidR="00EC2C52" w:rsidRPr="00E256DA">
        <w:rPr>
          <w:rFonts w:ascii="Arial" w:hAnsi="Arial" w:cs="Arial"/>
        </w:rPr>
        <w:t xml:space="preserve"> had asthma </w:t>
      </w:r>
      <w:r w:rsidR="004766F0" w:rsidRPr="004766F0">
        <w:rPr>
          <w:rFonts w:ascii="Arial" w:hAnsi="Arial" w:cs="Arial"/>
        </w:rPr>
        <w:t xml:space="preserve">of whom 58.5% (24) had persistent asthma to age </w:t>
      </w:r>
      <w:r w:rsidR="004766F0">
        <w:rPr>
          <w:rFonts w:ascii="Arial" w:hAnsi="Arial" w:cs="Arial"/>
        </w:rPr>
        <w:t>26</w:t>
      </w:r>
      <w:r w:rsidR="00235604" w:rsidRPr="00CC04BF">
        <w:rPr>
          <w:rFonts w:ascii="Arial" w:hAnsi="Arial" w:cs="Arial"/>
        </w:rPr>
        <w:t>.</w:t>
      </w:r>
      <w:r w:rsidR="00235604" w:rsidRPr="00E256DA">
        <w:rPr>
          <w:rFonts w:ascii="Arial" w:hAnsi="Arial" w:cs="Arial"/>
        </w:rPr>
        <w:t xml:space="preserve"> </w:t>
      </w:r>
      <w:r w:rsidR="00EC2C52" w:rsidRPr="00E256DA">
        <w:rPr>
          <w:rFonts w:ascii="Arial" w:hAnsi="Arial" w:cs="Arial"/>
        </w:rPr>
        <w:t>A</w:t>
      </w:r>
      <w:r w:rsidR="00D810AA" w:rsidRPr="00E256DA">
        <w:rPr>
          <w:rFonts w:ascii="Arial" w:hAnsi="Arial" w:cs="Arial"/>
        </w:rPr>
        <w:t xml:space="preserve"> higher</w:t>
      </w:r>
      <w:r w:rsidR="00235604" w:rsidRPr="00E256DA">
        <w:rPr>
          <w:rFonts w:ascii="Arial" w:hAnsi="Arial" w:cs="Arial"/>
        </w:rPr>
        <w:t xml:space="preserve"> serum</w:t>
      </w:r>
      <w:r w:rsidR="00D810AA" w:rsidRPr="00E256DA">
        <w:rPr>
          <w:rFonts w:ascii="Arial" w:hAnsi="Arial" w:cs="Arial"/>
        </w:rPr>
        <w:t xml:space="preserve"> IL</w:t>
      </w:r>
      <w:r w:rsidRPr="00E256DA">
        <w:rPr>
          <w:rFonts w:ascii="Arial" w:hAnsi="Arial" w:cs="Arial"/>
        </w:rPr>
        <w:t>-</w:t>
      </w:r>
      <w:r w:rsidR="00D810AA" w:rsidRPr="00E256DA">
        <w:rPr>
          <w:rFonts w:ascii="Arial" w:hAnsi="Arial" w:cs="Arial"/>
        </w:rPr>
        <w:t xml:space="preserve">5 at age 18 </w:t>
      </w:r>
      <w:r w:rsidR="009E4E85" w:rsidRPr="00E256DA">
        <w:rPr>
          <w:rFonts w:ascii="Arial" w:hAnsi="Arial" w:cs="Arial"/>
        </w:rPr>
        <w:t>was</w:t>
      </w:r>
      <w:r w:rsidR="00FE72B8" w:rsidRPr="00E256DA">
        <w:rPr>
          <w:rFonts w:ascii="Arial" w:hAnsi="Arial" w:cs="Arial"/>
        </w:rPr>
        <w:t xml:space="preserve"> independently</w:t>
      </w:r>
      <w:r w:rsidR="00D810AA" w:rsidRPr="00E256DA">
        <w:rPr>
          <w:rFonts w:ascii="Arial" w:hAnsi="Arial" w:cs="Arial"/>
        </w:rPr>
        <w:t xml:space="preserve"> associated </w:t>
      </w:r>
      <w:r w:rsidR="002728EF">
        <w:rPr>
          <w:rFonts w:ascii="Arial" w:hAnsi="Arial" w:cs="Arial"/>
        </w:rPr>
        <w:t xml:space="preserve">with </w:t>
      </w:r>
      <w:r w:rsidR="00D810AA" w:rsidRPr="00E256DA">
        <w:rPr>
          <w:rFonts w:ascii="Arial" w:hAnsi="Arial" w:cs="Arial"/>
        </w:rPr>
        <w:t xml:space="preserve">asthma persistence </w:t>
      </w:r>
      <w:proofErr w:type="gramStart"/>
      <w:r w:rsidR="00D810AA" w:rsidRPr="00E256DA">
        <w:rPr>
          <w:rFonts w:ascii="Arial" w:hAnsi="Arial" w:cs="Arial"/>
        </w:rPr>
        <w:t xml:space="preserve">between </w:t>
      </w:r>
      <w:r w:rsidR="00AA41BC">
        <w:rPr>
          <w:rFonts w:ascii="Arial" w:hAnsi="Arial" w:cs="Arial"/>
        </w:rPr>
        <w:t xml:space="preserve"> </w:t>
      </w:r>
      <w:r w:rsidR="00D810AA" w:rsidRPr="00E256DA">
        <w:rPr>
          <w:rFonts w:ascii="Arial" w:hAnsi="Arial" w:cs="Arial"/>
        </w:rPr>
        <w:t>18</w:t>
      </w:r>
      <w:proofErr w:type="gramEnd"/>
      <w:r w:rsidR="00D810AA" w:rsidRPr="00E256DA">
        <w:rPr>
          <w:rFonts w:ascii="Arial" w:hAnsi="Arial" w:cs="Arial"/>
        </w:rPr>
        <w:t>-26</w:t>
      </w:r>
      <w:r w:rsidR="009E4E85" w:rsidRPr="00E256DA">
        <w:rPr>
          <w:rFonts w:ascii="Arial" w:hAnsi="Arial" w:cs="Arial"/>
        </w:rPr>
        <w:t xml:space="preserve"> </w:t>
      </w:r>
      <w:r w:rsidR="00D67663" w:rsidRPr="00E256DA">
        <w:rPr>
          <w:rFonts w:ascii="Arial" w:hAnsi="Arial" w:cs="Arial"/>
        </w:rPr>
        <w:t>[</w:t>
      </w:r>
      <w:proofErr w:type="spellStart"/>
      <w:r w:rsidR="00D67663" w:rsidRPr="00E256DA">
        <w:rPr>
          <w:rFonts w:ascii="Arial" w:hAnsi="Arial" w:cs="Arial"/>
        </w:rPr>
        <w:t>aOR</w:t>
      </w:r>
      <w:proofErr w:type="spellEnd"/>
      <w:r w:rsidR="00D67663" w:rsidRPr="00E256DA">
        <w:rPr>
          <w:rFonts w:ascii="Arial" w:hAnsi="Arial" w:cs="Arial"/>
        </w:rPr>
        <w:t xml:space="preserve"> (95% CI): </w:t>
      </w:r>
      <w:r w:rsidR="009E4E85" w:rsidRPr="00E256DA">
        <w:rPr>
          <w:rFonts w:ascii="Arial" w:hAnsi="Arial" w:cs="Arial"/>
        </w:rPr>
        <w:t xml:space="preserve"> </w:t>
      </w:r>
      <w:r w:rsidR="00D67663" w:rsidRPr="00E256DA">
        <w:rPr>
          <w:rFonts w:ascii="Arial" w:hAnsi="Arial" w:cs="Arial"/>
        </w:rPr>
        <w:t>2.2</w:t>
      </w:r>
      <w:r w:rsidR="00BE4098">
        <w:rPr>
          <w:rFonts w:ascii="Arial" w:hAnsi="Arial" w:cs="Arial"/>
        </w:rPr>
        <w:t>9</w:t>
      </w:r>
      <w:r w:rsidR="00D67663" w:rsidRPr="00E256DA">
        <w:rPr>
          <w:rFonts w:ascii="Arial" w:hAnsi="Arial" w:cs="Arial"/>
        </w:rPr>
        <w:t xml:space="preserve"> (1.</w:t>
      </w:r>
      <w:r w:rsidR="00BE4098">
        <w:rPr>
          <w:rFonts w:ascii="Arial" w:hAnsi="Arial" w:cs="Arial"/>
        </w:rPr>
        <w:t>11</w:t>
      </w:r>
      <w:r w:rsidR="00D67663" w:rsidRPr="00E256DA">
        <w:rPr>
          <w:rFonts w:ascii="Arial" w:hAnsi="Arial" w:cs="Arial"/>
        </w:rPr>
        <w:t xml:space="preserve">, 4.72), P= </w:t>
      </w:r>
      <w:r w:rsidR="004A6C7D" w:rsidRPr="00E256DA">
        <w:rPr>
          <w:rFonts w:ascii="Arial" w:hAnsi="Arial" w:cs="Arial"/>
        </w:rPr>
        <w:t>0.0</w:t>
      </w:r>
      <w:r w:rsidR="00BE4098">
        <w:rPr>
          <w:rFonts w:ascii="Arial" w:hAnsi="Arial" w:cs="Arial"/>
        </w:rPr>
        <w:t>2</w:t>
      </w:r>
      <w:r w:rsidR="004A6C7D" w:rsidRPr="00E256DA">
        <w:rPr>
          <w:rFonts w:ascii="Arial" w:hAnsi="Arial" w:cs="Arial"/>
        </w:rPr>
        <w:t>4</w:t>
      </w:r>
      <w:r w:rsidR="007A275E">
        <w:rPr>
          <w:rFonts w:ascii="Arial" w:hAnsi="Arial" w:cs="Arial"/>
        </w:rPr>
        <w:t>]</w:t>
      </w:r>
      <w:r w:rsidR="00EC2C52" w:rsidRPr="00E256DA">
        <w:rPr>
          <w:rFonts w:ascii="Arial" w:hAnsi="Arial" w:cs="Arial"/>
        </w:rPr>
        <w:t xml:space="preserve"> in multi</w:t>
      </w:r>
      <w:r w:rsidR="00FC5CCC">
        <w:rPr>
          <w:rFonts w:ascii="Arial" w:hAnsi="Arial" w:cs="Arial"/>
        </w:rPr>
        <w:t>variable</w:t>
      </w:r>
      <w:r w:rsidR="00EC2C52" w:rsidRPr="00E256DA">
        <w:rPr>
          <w:rFonts w:ascii="Arial" w:hAnsi="Arial" w:cs="Arial"/>
        </w:rPr>
        <w:t xml:space="preserve"> analysis</w:t>
      </w:r>
      <w:r w:rsidR="004A6C7D" w:rsidRPr="00E256DA">
        <w:rPr>
          <w:rFonts w:ascii="Arial" w:hAnsi="Arial" w:cs="Arial"/>
        </w:rPr>
        <w:t xml:space="preserve">. No other significant associations were observed. </w:t>
      </w:r>
    </w:p>
    <w:p w14:paraId="378903BA" w14:textId="5A5143C6" w:rsidR="008435EB" w:rsidRDefault="00EC2C52" w:rsidP="00E256DA">
      <w:pPr>
        <w:spacing w:line="360" w:lineRule="auto"/>
        <w:rPr>
          <w:rFonts w:ascii="Arial" w:hAnsi="Arial" w:cs="Arial"/>
        </w:rPr>
      </w:pPr>
      <w:r w:rsidRPr="00E256DA">
        <w:rPr>
          <w:rFonts w:ascii="Arial" w:hAnsi="Arial" w:cs="Arial"/>
        </w:rPr>
        <w:t xml:space="preserve">Subgroup analyses at age 18 found that the </w:t>
      </w:r>
      <w:r w:rsidR="00224B12" w:rsidRPr="00E256DA">
        <w:rPr>
          <w:rFonts w:ascii="Arial" w:hAnsi="Arial" w:cs="Arial"/>
        </w:rPr>
        <w:t xml:space="preserve">association between higher </w:t>
      </w:r>
      <w:r w:rsidR="00FE72B8" w:rsidRPr="00E256DA">
        <w:rPr>
          <w:rFonts w:ascii="Arial" w:hAnsi="Arial" w:cs="Arial"/>
        </w:rPr>
        <w:t xml:space="preserve">IL-5 </w:t>
      </w:r>
      <w:r w:rsidR="00224B12" w:rsidRPr="00E256DA">
        <w:rPr>
          <w:rFonts w:ascii="Arial" w:hAnsi="Arial" w:cs="Arial"/>
        </w:rPr>
        <w:t xml:space="preserve">levels </w:t>
      </w:r>
      <w:r w:rsidR="00FE72B8" w:rsidRPr="00E256DA">
        <w:rPr>
          <w:rFonts w:ascii="Arial" w:hAnsi="Arial" w:cs="Arial"/>
        </w:rPr>
        <w:t xml:space="preserve">at age 18 </w:t>
      </w:r>
      <w:r w:rsidR="00051D2F" w:rsidRPr="00E256DA">
        <w:rPr>
          <w:rFonts w:ascii="Arial" w:hAnsi="Arial" w:cs="Arial"/>
        </w:rPr>
        <w:t>with asthma persistence</w:t>
      </w:r>
      <w:r w:rsidRPr="00E256DA">
        <w:rPr>
          <w:rFonts w:ascii="Arial" w:hAnsi="Arial" w:cs="Arial"/>
        </w:rPr>
        <w:t xml:space="preserve"> from age 18-26</w:t>
      </w:r>
      <w:r w:rsidR="00051D2F" w:rsidRPr="00E256DA">
        <w:rPr>
          <w:rFonts w:ascii="Arial" w:hAnsi="Arial" w:cs="Arial"/>
        </w:rPr>
        <w:t xml:space="preserve"> </w:t>
      </w:r>
      <w:r w:rsidRPr="00E256DA">
        <w:rPr>
          <w:rFonts w:ascii="Arial" w:hAnsi="Arial" w:cs="Arial"/>
        </w:rPr>
        <w:t xml:space="preserve">was only seen </w:t>
      </w:r>
      <w:r w:rsidR="00051D2F" w:rsidRPr="00E256DA">
        <w:rPr>
          <w:rFonts w:ascii="Arial" w:hAnsi="Arial" w:cs="Arial"/>
        </w:rPr>
        <w:t>in atopic individuals [</w:t>
      </w:r>
      <w:proofErr w:type="spellStart"/>
      <w:r w:rsidR="00051D2F" w:rsidRPr="00E256DA">
        <w:rPr>
          <w:rFonts w:ascii="Arial" w:hAnsi="Arial" w:cs="Arial"/>
        </w:rPr>
        <w:t>aOR</w:t>
      </w:r>
      <w:proofErr w:type="spellEnd"/>
      <w:r w:rsidR="00051D2F" w:rsidRPr="00E256DA">
        <w:rPr>
          <w:rFonts w:ascii="Arial" w:hAnsi="Arial" w:cs="Arial"/>
        </w:rPr>
        <w:t xml:space="preserve"> (95% CI):</w:t>
      </w:r>
      <w:r w:rsidRPr="00E256DA">
        <w:rPr>
          <w:rFonts w:ascii="Arial" w:hAnsi="Arial" w:cs="Arial"/>
        </w:rPr>
        <w:t xml:space="preserve"> 4.72 (1.32, 16.95), P=0.017</w:t>
      </w:r>
      <w:r w:rsidR="00546035" w:rsidRPr="00E256DA">
        <w:rPr>
          <w:rFonts w:ascii="Arial" w:hAnsi="Arial" w:cs="Arial"/>
        </w:rPr>
        <w:t>], but not in non-atopic participants</w:t>
      </w:r>
      <w:r w:rsidR="006A63A5">
        <w:rPr>
          <w:rFonts w:ascii="Arial" w:hAnsi="Arial" w:cs="Arial"/>
        </w:rPr>
        <w:t xml:space="preserve"> (Table 3)</w:t>
      </w:r>
      <w:r w:rsidR="00546035" w:rsidRPr="00E256DA">
        <w:rPr>
          <w:rFonts w:ascii="Arial" w:hAnsi="Arial" w:cs="Arial"/>
        </w:rPr>
        <w:t xml:space="preserve">. </w:t>
      </w:r>
      <w:r w:rsidRPr="00E256DA">
        <w:rPr>
          <w:rFonts w:ascii="Arial" w:hAnsi="Arial" w:cs="Arial"/>
        </w:rPr>
        <w:t xml:space="preserve"> Conversely, subgroup analyses at 10 found no association between cytokines and asthma persistence from age 10-18, </w:t>
      </w:r>
      <w:r w:rsidR="00EC6214">
        <w:rPr>
          <w:rFonts w:ascii="Arial" w:hAnsi="Arial" w:cs="Arial"/>
        </w:rPr>
        <w:t>and ages 10-26</w:t>
      </w:r>
      <w:r w:rsidRPr="00E256DA">
        <w:rPr>
          <w:rFonts w:ascii="Arial" w:hAnsi="Arial" w:cs="Arial"/>
        </w:rPr>
        <w:t xml:space="preserve"> in atopic and non-atopic participants</w:t>
      </w:r>
      <w:r w:rsidR="006A63A5">
        <w:rPr>
          <w:rFonts w:ascii="Arial" w:hAnsi="Arial" w:cs="Arial"/>
        </w:rPr>
        <w:t xml:space="preserve"> (Table 3)</w:t>
      </w:r>
      <w:r w:rsidRPr="00E256DA">
        <w:rPr>
          <w:rFonts w:ascii="Arial" w:hAnsi="Arial" w:cs="Arial"/>
        </w:rPr>
        <w:t>.</w:t>
      </w:r>
    </w:p>
    <w:p w14:paraId="7FB4AE11" w14:textId="7158BA4F" w:rsidR="00A24FC3" w:rsidRPr="00E256DA" w:rsidRDefault="00374A2B" w:rsidP="00E256D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Sensitivity, specificity, false positives (FP) and false negatives (FN) were estimated at different concentrations of IL-5 at 18 years as cut-offs to design </w:t>
      </w:r>
      <w:r w:rsidR="00583F4B">
        <w:rPr>
          <w:rFonts w:ascii="Arial" w:hAnsi="Arial" w:cs="Arial"/>
        </w:rPr>
        <w:t xml:space="preserve">a preliminary IL-5 </w:t>
      </w:r>
      <w:r>
        <w:rPr>
          <w:rFonts w:ascii="Arial" w:hAnsi="Arial" w:cs="Arial"/>
        </w:rPr>
        <w:t>test</w:t>
      </w:r>
      <w:r w:rsidR="00583F4B">
        <w:rPr>
          <w:rFonts w:ascii="Arial" w:hAnsi="Arial" w:cs="Arial"/>
        </w:rPr>
        <w:t xml:space="preserve"> to predict asthma persistence</w:t>
      </w:r>
      <w:r>
        <w:rPr>
          <w:rFonts w:ascii="Arial" w:hAnsi="Arial" w:cs="Arial"/>
        </w:rPr>
        <w:t xml:space="preserve">. The best IL-5 cut-off was selected based on the diagnostic odds ratio (DOR) which incorporates </w:t>
      </w:r>
      <w:r w:rsidR="008B612B">
        <w:rPr>
          <w:rFonts w:ascii="Arial" w:hAnsi="Arial" w:cs="Arial"/>
        </w:rPr>
        <w:t>s</w:t>
      </w:r>
      <w:r w:rsidR="00583F4B">
        <w:rPr>
          <w:rFonts w:ascii="Arial" w:hAnsi="Arial" w:cs="Arial"/>
        </w:rPr>
        <w:t xml:space="preserve">ensitivity, specificity, </w:t>
      </w:r>
      <w:r w:rsidR="008B612B">
        <w:rPr>
          <w:rFonts w:ascii="Arial" w:hAnsi="Arial" w:cs="Arial"/>
        </w:rPr>
        <w:t>FP</w:t>
      </w:r>
      <w:r w:rsidR="00583F4B">
        <w:rPr>
          <w:rFonts w:ascii="Arial" w:hAnsi="Arial" w:cs="Arial"/>
        </w:rPr>
        <w:t xml:space="preserve"> and </w:t>
      </w:r>
      <w:r w:rsidR="008B612B">
        <w:rPr>
          <w:rFonts w:ascii="Arial" w:hAnsi="Arial" w:cs="Arial"/>
        </w:rPr>
        <w:t>FN</w:t>
      </w:r>
      <w:r w:rsidR="00583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into a single metric to evaluate the test performance (4). In the 80 individuals analysed for persistence from 18 to 26 years (range of IL</w:t>
      </w:r>
      <w:r w:rsidR="008B612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5 at age 18: 0.05 to 8.86 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 xml:space="preserve">/mL, median: 0.34 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 xml:space="preserve">/mL), a IL-5 cut-off of 0.45 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>/mL had the highest DOR (Sensitivity: 69%, Specificity: 69%, FP: 31%, FN: 31%, DOR: 4.93) and therefore</w:t>
      </w:r>
      <w:r w:rsidR="007A404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the best cut-off to predict asthma persistence </w:t>
      </w:r>
      <w:r w:rsidR="007A4043">
        <w:rPr>
          <w:rFonts w:ascii="Arial" w:hAnsi="Arial" w:cs="Arial"/>
        </w:rPr>
        <w:t>based on our data</w:t>
      </w:r>
      <w:r>
        <w:rPr>
          <w:rFonts w:ascii="Arial" w:hAnsi="Arial" w:cs="Arial"/>
        </w:rPr>
        <w:t>.</w:t>
      </w:r>
      <w:r w:rsidR="00BE0EAF" w:rsidRPr="00E256DA">
        <w:rPr>
          <w:rFonts w:ascii="Arial" w:hAnsi="Arial" w:cs="Arial"/>
          <w:lang w:val="en-US"/>
        </w:rPr>
        <w:t xml:space="preserve">To our knowledge, this is the first report to describe </w:t>
      </w:r>
      <w:r w:rsidR="007E510D" w:rsidRPr="00E256DA">
        <w:rPr>
          <w:rFonts w:ascii="Arial" w:hAnsi="Arial" w:cs="Arial"/>
          <w:lang w:val="en-US"/>
        </w:rPr>
        <w:t>the longitudinal</w:t>
      </w:r>
      <w:r w:rsidR="00BE0EAF" w:rsidRPr="00E256DA">
        <w:rPr>
          <w:rFonts w:ascii="Arial" w:hAnsi="Arial" w:cs="Arial"/>
          <w:lang w:val="en-US"/>
        </w:rPr>
        <w:t xml:space="preserve"> relationship between serum cytokines and </w:t>
      </w:r>
      <w:r w:rsidR="001509D1" w:rsidRPr="00E256DA">
        <w:rPr>
          <w:rFonts w:ascii="Arial" w:hAnsi="Arial" w:cs="Arial"/>
          <w:lang w:val="en-US"/>
        </w:rPr>
        <w:t>asthma</w:t>
      </w:r>
      <w:r w:rsidR="00BE0EAF" w:rsidRPr="00E256DA">
        <w:rPr>
          <w:rFonts w:ascii="Arial" w:hAnsi="Arial" w:cs="Arial"/>
          <w:lang w:val="en-US"/>
        </w:rPr>
        <w:t xml:space="preserve"> during adolescence</w:t>
      </w:r>
      <w:r w:rsidR="006B007E" w:rsidRPr="00E256DA">
        <w:rPr>
          <w:rFonts w:ascii="Arial" w:hAnsi="Arial" w:cs="Arial"/>
          <w:lang w:val="en-US"/>
        </w:rPr>
        <w:t xml:space="preserve"> and adulthood</w:t>
      </w:r>
      <w:r w:rsidR="00BE0EAF" w:rsidRPr="00E256DA">
        <w:rPr>
          <w:rFonts w:ascii="Arial" w:hAnsi="Arial" w:cs="Arial"/>
          <w:lang w:val="en-US"/>
        </w:rPr>
        <w:t xml:space="preserve">. Our findings </w:t>
      </w:r>
      <w:r w:rsidR="00515AC8" w:rsidRPr="00E256DA">
        <w:rPr>
          <w:rFonts w:ascii="Arial" w:hAnsi="Arial" w:cs="Arial"/>
          <w:lang w:val="en-US"/>
        </w:rPr>
        <w:t>highlight the potential</w:t>
      </w:r>
      <w:r w:rsidR="00C27F54" w:rsidRPr="00E256DA">
        <w:rPr>
          <w:rFonts w:ascii="Arial" w:hAnsi="Arial" w:cs="Arial"/>
          <w:lang w:val="en-US"/>
        </w:rPr>
        <w:t xml:space="preserve"> utility of peripheral blood IL-5, IFN-g and the IL-5</w:t>
      </w:r>
      <w:r w:rsidR="002728EF">
        <w:rPr>
          <w:rFonts w:ascii="Arial" w:hAnsi="Arial" w:cs="Arial"/>
          <w:lang w:val="en-US"/>
        </w:rPr>
        <w:t>/IFN-g</w:t>
      </w:r>
      <w:r w:rsidR="00C27F54" w:rsidRPr="00E256DA">
        <w:rPr>
          <w:rFonts w:ascii="Arial" w:hAnsi="Arial" w:cs="Arial"/>
          <w:lang w:val="en-US"/>
        </w:rPr>
        <w:t xml:space="preserve"> ratio as biomarkers </w:t>
      </w:r>
      <w:r w:rsidR="00B21A7F" w:rsidRPr="00E256DA">
        <w:rPr>
          <w:rFonts w:ascii="Arial" w:hAnsi="Arial" w:cs="Arial"/>
          <w:lang w:val="en-US"/>
        </w:rPr>
        <w:t xml:space="preserve">to </w:t>
      </w:r>
      <w:r w:rsidR="00C27F54" w:rsidRPr="00E256DA">
        <w:rPr>
          <w:rFonts w:ascii="Arial" w:hAnsi="Arial" w:cs="Arial"/>
          <w:lang w:val="en-US"/>
        </w:rPr>
        <w:t xml:space="preserve">predict </w:t>
      </w:r>
      <w:r w:rsidR="00FD51D6" w:rsidRPr="00E256DA">
        <w:rPr>
          <w:rFonts w:ascii="Arial" w:hAnsi="Arial" w:cs="Arial"/>
          <w:lang w:val="en-US"/>
        </w:rPr>
        <w:t xml:space="preserve">asthma </w:t>
      </w:r>
      <w:r w:rsidR="00D9181D" w:rsidRPr="00E256DA">
        <w:rPr>
          <w:rFonts w:ascii="Arial" w:hAnsi="Arial" w:cs="Arial"/>
          <w:lang w:val="en-US"/>
        </w:rPr>
        <w:t>persistence</w:t>
      </w:r>
      <w:r w:rsidR="004844FB" w:rsidRPr="00E256DA">
        <w:rPr>
          <w:rFonts w:ascii="Arial" w:hAnsi="Arial" w:cs="Arial"/>
          <w:lang w:val="en-US"/>
        </w:rPr>
        <w:t xml:space="preserve"> in </w:t>
      </w:r>
      <w:r w:rsidR="002728EF" w:rsidRPr="00E256DA">
        <w:rPr>
          <w:rFonts w:ascii="Arial" w:hAnsi="Arial" w:cs="Arial"/>
          <w:lang w:val="en-US"/>
        </w:rPr>
        <w:t>adolescents</w:t>
      </w:r>
      <w:r w:rsidR="004844FB" w:rsidRPr="00E256DA">
        <w:rPr>
          <w:rFonts w:ascii="Arial" w:hAnsi="Arial" w:cs="Arial"/>
          <w:lang w:val="en-US"/>
        </w:rPr>
        <w:t xml:space="preserve"> and young adults.</w:t>
      </w:r>
      <w:r w:rsidR="00B21A7F" w:rsidRPr="00E256DA">
        <w:rPr>
          <w:rFonts w:ascii="Arial" w:hAnsi="Arial" w:cs="Arial"/>
          <w:lang w:val="en-US"/>
        </w:rPr>
        <w:t xml:space="preserve"> </w:t>
      </w:r>
      <w:r w:rsidR="00FE19B1" w:rsidRPr="00E256DA">
        <w:rPr>
          <w:rFonts w:ascii="Arial" w:hAnsi="Arial" w:cs="Arial"/>
          <w:lang w:val="en-US"/>
        </w:rPr>
        <w:t>One of the</w:t>
      </w:r>
      <w:r w:rsidR="00B21A7F" w:rsidRPr="00E256DA">
        <w:rPr>
          <w:rFonts w:ascii="Arial" w:hAnsi="Arial" w:cs="Arial"/>
          <w:lang w:val="en-US"/>
        </w:rPr>
        <w:t xml:space="preserve"> key finding</w:t>
      </w:r>
      <w:r w:rsidR="00FE19B1" w:rsidRPr="00E256DA">
        <w:rPr>
          <w:rFonts w:ascii="Arial" w:hAnsi="Arial" w:cs="Arial"/>
          <w:lang w:val="en-US"/>
        </w:rPr>
        <w:t>s</w:t>
      </w:r>
      <w:r w:rsidR="00B21A7F" w:rsidRPr="00E256DA">
        <w:rPr>
          <w:rFonts w:ascii="Arial" w:hAnsi="Arial" w:cs="Arial"/>
          <w:lang w:val="en-US"/>
        </w:rPr>
        <w:t xml:space="preserve"> is that a </w:t>
      </w:r>
      <w:r w:rsidR="002728EF">
        <w:rPr>
          <w:rFonts w:ascii="Arial" w:hAnsi="Arial" w:cs="Arial"/>
          <w:lang w:val="en-US"/>
        </w:rPr>
        <w:t xml:space="preserve">higher </w:t>
      </w:r>
      <w:r w:rsidR="002728EF" w:rsidRPr="00E256DA">
        <w:rPr>
          <w:rFonts w:ascii="Arial" w:hAnsi="Arial" w:cs="Arial"/>
          <w:lang w:val="en-US"/>
        </w:rPr>
        <w:t>IL-5</w:t>
      </w:r>
      <w:r w:rsidR="002728EF">
        <w:rPr>
          <w:rFonts w:ascii="Arial" w:hAnsi="Arial" w:cs="Arial"/>
          <w:lang w:val="en-US"/>
        </w:rPr>
        <w:t>/IFN-g</w:t>
      </w:r>
      <w:r w:rsidR="002728EF" w:rsidRPr="00E256DA">
        <w:rPr>
          <w:rFonts w:ascii="Arial" w:hAnsi="Arial" w:cs="Arial"/>
          <w:lang w:val="en-US"/>
        </w:rPr>
        <w:t xml:space="preserve"> </w:t>
      </w:r>
      <w:r w:rsidR="00B21A7F" w:rsidRPr="00E256DA">
        <w:rPr>
          <w:rFonts w:ascii="Arial" w:hAnsi="Arial" w:cs="Arial"/>
          <w:lang w:val="en-US"/>
        </w:rPr>
        <w:t xml:space="preserve">ratio is seen in </w:t>
      </w:r>
      <w:r w:rsidR="00425352" w:rsidRPr="00E256DA">
        <w:rPr>
          <w:rFonts w:ascii="Arial" w:hAnsi="Arial" w:cs="Arial"/>
          <w:lang w:val="en-US"/>
        </w:rPr>
        <w:t>adolescents</w:t>
      </w:r>
      <w:r w:rsidR="00B21A7F" w:rsidRPr="00E256DA">
        <w:rPr>
          <w:rFonts w:ascii="Arial" w:hAnsi="Arial" w:cs="Arial"/>
          <w:lang w:val="en-US"/>
        </w:rPr>
        <w:t xml:space="preserve"> who </w:t>
      </w:r>
      <w:r w:rsidR="00176752" w:rsidRPr="00E256DA">
        <w:rPr>
          <w:rFonts w:ascii="Arial" w:hAnsi="Arial" w:cs="Arial"/>
          <w:lang w:val="en-US"/>
        </w:rPr>
        <w:t>have persistent asthma</w:t>
      </w:r>
      <w:r w:rsidR="00FC5CCC">
        <w:rPr>
          <w:rFonts w:ascii="Arial" w:hAnsi="Arial" w:cs="Arial"/>
          <w:lang w:val="en-US"/>
        </w:rPr>
        <w:t xml:space="preserve"> into adulthood</w:t>
      </w:r>
      <w:r w:rsidR="00B21A7F" w:rsidRPr="00E256DA">
        <w:rPr>
          <w:rFonts w:ascii="Arial" w:hAnsi="Arial" w:cs="Arial"/>
          <w:lang w:val="en-US"/>
        </w:rPr>
        <w:t>. Th</w:t>
      </w:r>
      <w:r w:rsidR="00FE19B1" w:rsidRPr="00E256DA">
        <w:rPr>
          <w:rFonts w:ascii="Arial" w:hAnsi="Arial" w:cs="Arial"/>
          <w:lang w:val="en-US"/>
        </w:rPr>
        <w:t>is</w:t>
      </w:r>
      <w:r w:rsidR="00DE516E" w:rsidRPr="00E256DA">
        <w:rPr>
          <w:rFonts w:ascii="Arial" w:hAnsi="Arial" w:cs="Arial"/>
          <w:lang w:val="en-US"/>
        </w:rPr>
        <w:t xml:space="preserve"> observation</w:t>
      </w:r>
      <w:r w:rsidR="004A1D38" w:rsidRPr="00E256DA">
        <w:rPr>
          <w:rFonts w:ascii="Arial" w:hAnsi="Arial" w:cs="Arial"/>
          <w:lang w:val="en-US"/>
        </w:rPr>
        <w:t xml:space="preserve"> </w:t>
      </w:r>
      <w:r w:rsidR="00834ED0" w:rsidRPr="00E256DA">
        <w:rPr>
          <w:rFonts w:ascii="Arial" w:hAnsi="Arial" w:cs="Arial"/>
          <w:lang w:val="en-US"/>
        </w:rPr>
        <w:t>is</w:t>
      </w:r>
      <w:r w:rsidR="00B21A7F" w:rsidRPr="00E256DA">
        <w:rPr>
          <w:rFonts w:ascii="Arial" w:hAnsi="Arial" w:cs="Arial"/>
          <w:lang w:val="en-US"/>
        </w:rPr>
        <w:t xml:space="preserve"> in</w:t>
      </w:r>
      <w:r w:rsidR="00FB5E7D" w:rsidRPr="00E256DA">
        <w:rPr>
          <w:rFonts w:ascii="Arial" w:hAnsi="Arial" w:cs="Arial"/>
          <w:lang w:val="en-US"/>
        </w:rPr>
        <w:t xml:space="preserve"> </w:t>
      </w:r>
      <w:r w:rsidR="00B21A7F" w:rsidRPr="00E256DA">
        <w:rPr>
          <w:rFonts w:ascii="Arial" w:hAnsi="Arial" w:cs="Arial"/>
          <w:lang w:val="en-US"/>
        </w:rPr>
        <w:t xml:space="preserve">keeping with our current understanding that skewing towards </w:t>
      </w:r>
      <w:r w:rsidR="00F9462A">
        <w:rPr>
          <w:rFonts w:ascii="Arial" w:hAnsi="Arial" w:cs="Arial"/>
          <w:lang w:val="en-US"/>
        </w:rPr>
        <w:t>T2</w:t>
      </w:r>
      <w:r w:rsidR="00B21A7F" w:rsidRPr="00E256DA">
        <w:rPr>
          <w:rFonts w:ascii="Arial" w:hAnsi="Arial" w:cs="Arial"/>
          <w:lang w:val="en-US"/>
        </w:rPr>
        <w:t xml:space="preserve"> inflammation is central in </w:t>
      </w:r>
      <w:r w:rsidR="00EC2C52" w:rsidRPr="00E256DA">
        <w:rPr>
          <w:rFonts w:ascii="Arial" w:hAnsi="Arial" w:cs="Arial"/>
          <w:lang w:val="en-US"/>
        </w:rPr>
        <w:t>asthma, especially asthma in adolescence</w:t>
      </w:r>
      <w:r w:rsidR="00FB37AF" w:rsidRPr="00E256DA">
        <w:rPr>
          <w:rFonts w:ascii="Arial" w:hAnsi="Arial" w:cs="Arial"/>
          <w:lang w:val="en-US"/>
        </w:rPr>
        <w:t xml:space="preserve"> which is pre</w:t>
      </w:r>
      <w:r w:rsidR="00485552" w:rsidRPr="00E256DA">
        <w:rPr>
          <w:rFonts w:ascii="Arial" w:hAnsi="Arial" w:cs="Arial"/>
          <w:lang w:val="en-US"/>
        </w:rPr>
        <w:t>dom</w:t>
      </w:r>
      <w:r w:rsidR="00FB37AF" w:rsidRPr="00E256DA">
        <w:rPr>
          <w:rFonts w:ascii="Arial" w:hAnsi="Arial" w:cs="Arial"/>
          <w:lang w:val="en-US"/>
        </w:rPr>
        <w:t>inantly allergic</w:t>
      </w:r>
      <w:r w:rsidR="000C6993" w:rsidRPr="00E256DA">
        <w:rPr>
          <w:rFonts w:ascii="Arial" w:hAnsi="Arial" w:cs="Arial"/>
          <w:lang w:val="en-US"/>
        </w:rPr>
        <w:t xml:space="preserve"> </w:t>
      </w:r>
      <w:r w:rsidR="000C6993" w:rsidRPr="00656702">
        <w:rPr>
          <w:rFonts w:ascii="Arial" w:hAnsi="Arial" w:cs="Arial"/>
        </w:rPr>
        <w:t>(</w:t>
      </w:r>
      <w:r w:rsidR="00CC63D1">
        <w:rPr>
          <w:rFonts w:ascii="Arial" w:hAnsi="Arial" w:cs="Arial"/>
        </w:rPr>
        <w:t>5</w:t>
      </w:r>
      <w:r w:rsidR="000C6993" w:rsidRPr="00656702">
        <w:rPr>
          <w:rFonts w:ascii="Arial" w:hAnsi="Arial" w:cs="Arial"/>
        </w:rPr>
        <w:t>)</w:t>
      </w:r>
      <w:r w:rsidR="00B21A7F" w:rsidRPr="00656702">
        <w:rPr>
          <w:rFonts w:ascii="Arial" w:hAnsi="Arial" w:cs="Arial"/>
          <w:lang w:val="en-US"/>
        </w:rPr>
        <w:t>.</w:t>
      </w:r>
      <w:r w:rsidR="00DE516E" w:rsidRPr="00656702">
        <w:rPr>
          <w:rFonts w:ascii="Arial" w:hAnsi="Arial" w:cs="Arial"/>
          <w:lang w:val="en-US"/>
        </w:rPr>
        <w:t xml:space="preserve"> </w:t>
      </w:r>
      <w:r w:rsidR="00662AC0" w:rsidRPr="00656702">
        <w:rPr>
          <w:rFonts w:ascii="Arial" w:hAnsi="Arial" w:cs="Arial"/>
          <w:lang w:val="en-US"/>
        </w:rPr>
        <w:t xml:space="preserve"> </w:t>
      </w:r>
      <w:r w:rsidR="00610518" w:rsidRPr="00E256DA">
        <w:rPr>
          <w:rFonts w:ascii="Arial" w:hAnsi="Arial" w:cs="Arial"/>
          <w:lang w:val="en-US"/>
        </w:rPr>
        <w:t xml:space="preserve">The role of </w:t>
      </w:r>
      <w:r w:rsidR="00FC5CCC">
        <w:rPr>
          <w:rFonts w:ascii="Arial" w:hAnsi="Arial" w:cs="Arial"/>
          <w:lang w:val="en-US"/>
        </w:rPr>
        <w:t>T2 inflammation</w:t>
      </w:r>
      <w:r w:rsidR="00FC5CCC" w:rsidRPr="00E256DA">
        <w:rPr>
          <w:rFonts w:ascii="Arial" w:hAnsi="Arial" w:cs="Arial"/>
          <w:lang w:val="en-US"/>
        </w:rPr>
        <w:t xml:space="preserve"> </w:t>
      </w:r>
      <w:r w:rsidR="00610518" w:rsidRPr="00E256DA">
        <w:rPr>
          <w:rFonts w:ascii="Arial" w:hAnsi="Arial" w:cs="Arial"/>
          <w:lang w:val="en-US"/>
        </w:rPr>
        <w:t>is also highlighted by our subgroup analyses, which showed that the associations between cytokines and disease persistence were only present in our atopic subjects</w:t>
      </w:r>
      <w:r w:rsidR="004D69D8">
        <w:rPr>
          <w:rFonts w:ascii="Arial" w:hAnsi="Arial" w:cs="Arial"/>
          <w:lang w:val="en-US"/>
        </w:rPr>
        <w:t xml:space="preserve"> from 18 to 26 years</w:t>
      </w:r>
      <w:r w:rsidR="00610518" w:rsidRPr="00E256DA">
        <w:rPr>
          <w:rFonts w:ascii="Arial" w:hAnsi="Arial" w:cs="Arial"/>
          <w:lang w:val="en-US"/>
        </w:rPr>
        <w:t xml:space="preserve">. </w:t>
      </w:r>
      <w:r w:rsidR="00B62D93" w:rsidRPr="00E256DA">
        <w:rPr>
          <w:rFonts w:ascii="Arial" w:hAnsi="Arial" w:cs="Arial"/>
          <w:lang w:val="en-US"/>
        </w:rPr>
        <w:t xml:space="preserve">Indeed, </w:t>
      </w:r>
      <w:r w:rsidR="00B9316D" w:rsidRPr="00E256DA">
        <w:rPr>
          <w:rFonts w:ascii="Arial" w:hAnsi="Arial" w:cs="Arial"/>
          <w:lang w:val="en-US"/>
        </w:rPr>
        <w:t xml:space="preserve">it has previously been </w:t>
      </w:r>
      <w:r w:rsidR="00B9316D" w:rsidRPr="00E256DA">
        <w:rPr>
          <w:rFonts w:ascii="Arial" w:hAnsi="Arial" w:cs="Arial"/>
          <w:lang w:val="en-US"/>
        </w:rPr>
        <w:lastRenderedPageBreak/>
        <w:t xml:space="preserve">shown that </w:t>
      </w:r>
      <w:r w:rsidR="005D1E64" w:rsidRPr="00E256DA">
        <w:rPr>
          <w:rFonts w:ascii="Arial" w:hAnsi="Arial" w:cs="Arial"/>
          <w:lang w:val="en-US"/>
        </w:rPr>
        <w:t xml:space="preserve">in atopic asthmatics, </w:t>
      </w:r>
      <w:r w:rsidR="00B9316D" w:rsidRPr="00E256DA">
        <w:rPr>
          <w:rFonts w:ascii="Arial" w:hAnsi="Arial" w:cs="Arial"/>
          <w:lang w:val="en-US"/>
        </w:rPr>
        <w:t>a lower Th1/Th2 ratio,</w:t>
      </w:r>
      <w:r w:rsidR="005D1E64" w:rsidRPr="00E256DA">
        <w:rPr>
          <w:rFonts w:ascii="Arial" w:hAnsi="Arial" w:cs="Arial"/>
          <w:lang w:val="en-US"/>
        </w:rPr>
        <w:t xml:space="preserve"> </w:t>
      </w:r>
      <w:r w:rsidR="00B9316D" w:rsidRPr="00E256DA">
        <w:rPr>
          <w:rFonts w:ascii="Arial" w:hAnsi="Arial" w:cs="Arial"/>
          <w:lang w:val="en-US"/>
        </w:rPr>
        <w:t>as measured in IFN-g/IL-4</w:t>
      </w:r>
      <w:r w:rsidR="00463FF4">
        <w:rPr>
          <w:rFonts w:ascii="Arial" w:hAnsi="Arial" w:cs="Arial"/>
          <w:lang w:val="en-US"/>
        </w:rPr>
        <w:t>,</w:t>
      </w:r>
      <w:r w:rsidR="00B9316D" w:rsidRPr="00E256DA">
        <w:rPr>
          <w:rFonts w:ascii="Arial" w:hAnsi="Arial" w:cs="Arial"/>
          <w:lang w:val="en-US"/>
        </w:rPr>
        <w:t xml:space="preserve"> corresponded </w:t>
      </w:r>
      <w:r w:rsidR="005D1E64" w:rsidRPr="00E256DA">
        <w:rPr>
          <w:rFonts w:ascii="Arial" w:hAnsi="Arial" w:cs="Arial"/>
          <w:lang w:val="en-US"/>
        </w:rPr>
        <w:t>with diseas</w:t>
      </w:r>
      <w:r w:rsidR="005D1E64" w:rsidRPr="00787A6C">
        <w:rPr>
          <w:rFonts w:ascii="Arial" w:hAnsi="Arial" w:cs="Arial"/>
          <w:lang w:val="en-US"/>
        </w:rPr>
        <w:t>e severity</w:t>
      </w:r>
      <w:r w:rsidR="00AB005B" w:rsidRPr="00787A6C">
        <w:rPr>
          <w:rFonts w:ascii="Arial" w:hAnsi="Arial" w:cs="Arial"/>
          <w:lang w:val="en-US"/>
        </w:rPr>
        <w:t xml:space="preserve"> </w:t>
      </w:r>
      <w:r w:rsidR="00AB005B" w:rsidRPr="00787A6C">
        <w:rPr>
          <w:rFonts w:ascii="Arial" w:hAnsi="Arial" w:cs="Arial"/>
        </w:rPr>
        <w:t>(</w:t>
      </w:r>
      <w:r w:rsidR="00CC63D1" w:rsidRPr="00787A6C">
        <w:rPr>
          <w:rFonts w:ascii="Arial" w:hAnsi="Arial" w:cs="Arial"/>
        </w:rPr>
        <w:t>6)</w:t>
      </w:r>
      <w:r w:rsidR="005D1E64" w:rsidRPr="00787A6C">
        <w:rPr>
          <w:rFonts w:ascii="Arial" w:hAnsi="Arial" w:cs="Arial"/>
          <w:lang w:val="en-US"/>
        </w:rPr>
        <w:t xml:space="preserve">. </w:t>
      </w:r>
    </w:p>
    <w:p w14:paraId="0251FCC6" w14:textId="0E0CB0A2" w:rsidR="007E0546" w:rsidRPr="00E256DA" w:rsidRDefault="00FE19B1" w:rsidP="00E256DA">
      <w:pPr>
        <w:spacing w:line="360" w:lineRule="auto"/>
        <w:rPr>
          <w:rFonts w:ascii="Arial" w:hAnsi="Arial" w:cs="Arial"/>
          <w:lang w:val="en-US"/>
        </w:rPr>
      </w:pPr>
      <w:r w:rsidRPr="00E256DA">
        <w:rPr>
          <w:rFonts w:ascii="Arial" w:hAnsi="Arial" w:cs="Arial"/>
          <w:lang w:val="en-US"/>
        </w:rPr>
        <w:t xml:space="preserve">Our other key finding </w:t>
      </w:r>
      <w:r w:rsidRPr="00503CD6">
        <w:rPr>
          <w:rFonts w:ascii="Arial" w:hAnsi="Arial" w:cs="Arial"/>
          <w:lang w:val="en-US"/>
        </w:rPr>
        <w:t xml:space="preserve">was that higher serum IL-5 levels </w:t>
      </w:r>
      <w:r w:rsidR="00503CD6">
        <w:rPr>
          <w:rFonts w:ascii="Arial" w:hAnsi="Arial" w:cs="Arial"/>
          <w:lang w:val="en-US"/>
        </w:rPr>
        <w:t>at age</w:t>
      </w:r>
      <w:r w:rsidRPr="00503CD6">
        <w:rPr>
          <w:rFonts w:ascii="Arial" w:hAnsi="Arial" w:cs="Arial"/>
          <w:lang w:val="en-US"/>
        </w:rPr>
        <w:t xml:space="preserve"> 18 </w:t>
      </w:r>
      <w:r w:rsidR="00503CD6">
        <w:rPr>
          <w:rFonts w:ascii="Arial" w:hAnsi="Arial" w:cs="Arial"/>
          <w:lang w:val="en-US"/>
        </w:rPr>
        <w:t>w</w:t>
      </w:r>
      <w:r w:rsidR="002728EF">
        <w:rPr>
          <w:rFonts w:ascii="Arial" w:hAnsi="Arial" w:cs="Arial"/>
          <w:lang w:val="en-US"/>
        </w:rPr>
        <w:t>ere</w:t>
      </w:r>
      <w:r w:rsidR="00503CD6">
        <w:rPr>
          <w:rFonts w:ascii="Arial" w:hAnsi="Arial" w:cs="Arial"/>
          <w:lang w:val="en-US"/>
        </w:rPr>
        <w:t xml:space="preserve"> associated with increased odds of </w:t>
      </w:r>
      <w:r w:rsidRPr="00503CD6">
        <w:rPr>
          <w:rFonts w:ascii="Arial" w:hAnsi="Arial" w:cs="Arial"/>
          <w:lang w:val="en-US"/>
        </w:rPr>
        <w:t>persistent asthma</w:t>
      </w:r>
      <w:r w:rsidR="00620356" w:rsidRPr="00503CD6">
        <w:rPr>
          <w:rFonts w:ascii="Arial" w:hAnsi="Arial" w:cs="Arial"/>
          <w:lang w:val="en-US"/>
        </w:rPr>
        <w:t xml:space="preserve"> between 18-26.</w:t>
      </w:r>
      <w:r w:rsidR="00722540">
        <w:rPr>
          <w:rFonts w:ascii="Arial" w:hAnsi="Arial" w:cs="Arial"/>
          <w:lang w:val="en-US"/>
        </w:rPr>
        <w:t xml:space="preserve"> Indeed</w:t>
      </w:r>
      <w:r w:rsidR="00D16BDC">
        <w:rPr>
          <w:rFonts w:ascii="Arial" w:hAnsi="Arial" w:cs="Arial"/>
          <w:lang w:val="en-US"/>
        </w:rPr>
        <w:t>,</w:t>
      </w:r>
      <w:r w:rsidR="00722540">
        <w:rPr>
          <w:rFonts w:ascii="Arial" w:hAnsi="Arial" w:cs="Arial"/>
          <w:lang w:val="en-US"/>
        </w:rPr>
        <w:t xml:space="preserve"> we showed that </w:t>
      </w:r>
      <w:r w:rsidR="00350AB5">
        <w:rPr>
          <w:rFonts w:ascii="Arial" w:hAnsi="Arial" w:cs="Arial"/>
          <w:lang w:val="en-US"/>
        </w:rPr>
        <w:t>serum IL-5 levels above 0.45</w:t>
      </w:r>
      <w:r w:rsidR="00350AB5" w:rsidRPr="00350AB5">
        <w:rPr>
          <w:rFonts w:ascii="Arial" w:hAnsi="Arial" w:cs="Arial"/>
        </w:rPr>
        <w:t xml:space="preserve"> </w:t>
      </w:r>
      <w:proofErr w:type="spellStart"/>
      <w:r w:rsidR="00350AB5">
        <w:rPr>
          <w:rFonts w:ascii="Arial" w:hAnsi="Arial" w:cs="Arial"/>
        </w:rPr>
        <w:t>pg</w:t>
      </w:r>
      <w:proofErr w:type="spellEnd"/>
      <w:r w:rsidR="00350AB5">
        <w:rPr>
          <w:rFonts w:ascii="Arial" w:hAnsi="Arial" w:cs="Arial"/>
        </w:rPr>
        <w:t>/mL</w:t>
      </w:r>
      <w:r w:rsidR="00FB696A">
        <w:rPr>
          <w:rFonts w:ascii="Arial" w:hAnsi="Arial" w:cs="Arial"/>
        </w:rPr>
        <w:t xml:space="preserve"> had </w:t>
      </w:r>
      <w:r w:rsidR="003751DC">
        <w:rPr>
          <w:rFonts w:ascii="Arial" w:hAnsi="Arial" w:cs="Arial"/>
        </w:rPr>
        <w:t>clinically meaningful</w:t>
      </w:r>
      <w:r w:rsidR="00FB696A">
        <w:rPr>
          <w:rFonts w:ascii="Arial" w:hAnsi="Arial" w:cs="Arial"/>
        </w:rPr>
        <w:t xml:space="preserve"> sensitivity and specificity in predicting asthma persistence between these ages.</w:t>
      </w:r>
      <w:r w:rsidRPr="00E256DA">
        <w:rPr>
          <w:rFonts w:ascii="Arial" w:hAnsi="Arial" w:cs="Arial"/>
          <w:lang w:val="en-US"/>
        </w:rPr>
        <w:t xml:space="preserve"> </w:t>
      </w:r>
      <w:r w:rsidR="00FB696A">
        <w:rPr>
          <w:rFonts w:ascii="Arial" w:hAnsi="Arial" w:cs="Arial"/>
          <w:lang w:val="en-US"/>
        </w:rPr>
        <w:t>These findings</w:t>
      </w:r>
      <w:r w:rsidR="00B21A7F" w:rsidRPr="00E256DA">
        <w:rPr>
          <w:rFonts w:ascii="Arial" w:hAnsi="Arial" w:cs="Arial"/>
          <w:lang w:val="en-US"/>
        </w:rPr>
        <w:t xml:space="preserve"> corroborate current understanding</w:t>
      </w:r>
      <w:r w:rsidR="00662AC0" w:rsidRPr="00E256DA">
        <w:rPr>
          <w:rFonts w:ascii="Arial" w:hAnsi="Arial" w:cs="Arial"/>
          <w:lang w:val="en-US"/>
        </w:rPr>
        <w:t xml:space="preserve">, whereby </w:t>
      </w:r>
      <w:r w:rsidR="00BE0EAF" w:rsidRPr="00E256DA">
        <w:rPr>
          <w:rFonts w:ascii="Arial" w:hAnsi="Arial" w:cs="Arial"/>
          <w:lang w:val="en-US"/>
        </w:rPr>
        <w:t>IL-5 is a</w:t>
      </w:r>
      <w:r w:rsidR="00662AC0" w:rsidRPr="00E256DA">
        <w:rPr>
          <w:rFonts w:ascii="Arial" w:hAnsi="Arial" w:cs="Arial"/>
          <w:lang w:val="en-US"/>
        </w:rPr>
        <w:t xml:space="preserve"> known</w:t>
      </w:r>
      <w:r w:rsidR="00BE0EAF" w:rsidRPr="00E256DA">
        <w:rPr>
          <w:rFonts w:ascii="Arial" w:hAnsi="Arial" w:cs="Arial"/>
          <w:lang w:val="en-US"/>
        </w:rPr>
        <w:t xml:space="preserve"> key mediator of asthma</w:t>
      </w:r>
      <w:r w:rsidR="0003735B" w:rsidRPr="00E256DA">
        <w:rPr>
          <w:rFonts w:ascii="Arial" w:hAnsi="Arial" w:cs="Arial"/>
          <w:lang w:val="en-US"/>
        </w:rPr>
        <w:t>, particularly T2 asthma</w:t>
      </w:r>
      <w:r w:rsidR="0061708E" w:rsidRPr="00E256DA">
        <w:rPr>
          <w:rFonts w:ascii="Arial" w:hAnsi="Arial" w:cs="Arial"/>
          <w:lang w:val="en-US"/>
        </w:rPr>
        <w:t xml:space="preserve"> </w:t>
      </w:r>
      <w:r w:rsidR="00AB005B" w:rsidRPr="00E256DA">
        <w:rPr>
          <w:rFonts w:ascii="Arial" w:hAnsi="Arial" w:cs="Arial"/>
        </w:rPr>
        <w:t>(</w:t>
      </w:r>
      <w:r w:rsidR="00DC0F03">
        <w:rPr>
          <w:rFonts w:ascii="Arial" w:hAnsi="Arial" w:cs="Arial"/>
        </w:rPr>
        <w:t>7</w:t>
      </w:r>
      <w:r w:rsidR="00AB005B" w:rsidRPr="00E256DA">
        <w:rPr>
          <w:rFonts w:ascii="Arial" w:hAnsi="Arial" w:cs="Arial"/>
        </w:rPr>
        <w:t>)</w:t>
      </w:r>
      <w:r w:rsidR="0003735B" w:rsidRPr="00E256DA">
        <w:rPr>
          <w:rFonts w:ascii="Arial" w:hAnsi="Arial" w:cs="Arial"/>
          <w:lang w:val="en-US"/>
        </w:rPr>
        <w:t xml:space="preserve">. IL-5 is central in </w:t>
      </w:r>
      <w:r w:rsidR="00BE0EAF" w:rsidRPr="00E256DA">
        <w:rPr>
          <w:rFonts w:ascii="Arial" w:hAnsi="Arial" w:cs="Arial"/>
          <w:lang w:val="en-US"/>
        </w:rPr>
        <w:t xml:space="preserve">enabling eosinophil survival, differentiation, maturation, migration and proliferation, and thereby is likely to be implicated in asthma persistence. One question arising from our findings is whether </w:t>
      </w:r>
      <w:r w:rsidR="00A10649">
        <w:rPr>
          <w:rFonts w:ascii="Arial" w:hAnsi="Arial" w:cs="Arial"/>
          <w:lang w:val="en-US"/>
        </w:rPr>
        <w:t xml:space="preserve">early </w:t>
      </w:r>
      <w:r w:rsidR="00BE0EAF" w:rsidRPr="00E256DA">
        <w:rPr>
          <w:rFonts w:ascii="Arial" w:hAnsi="Arial" w:cs="Arial"/>
          <w:lang w:val="en-US"/>
        </w:rPr>
        <w:t xml:space="preserve">treatment with anti-IL-5 </w:t>
      </w:r>
      <w:r w:rsidR="005C3AC6">
        <w:rPr>
          <w:rFonts w:ascii="Arial" w:hAnsi="Arial" w:cs="Arial"/>
          <w:lang w:val="en-US"/>
        </w:rPr>
        <w:t xml:space="preserve">/ anti-IL-5R </w:t>
      </w:r>
      <w:r w:rsidR="00BE0EAF" w:rsidRPr="00E256DA">
        <w:rPr>
          <w:rFonts w:ascii="Arial" w:hAnsi="Arial" w:cs="Arial"/>
          <w:lang w:val="en-US"/>
        </w:rPr>
        <w:t xml:space="preserve">monoclonal antibody therapies could therefore </w:t>
      </w:r>
      <w:r w:rsidR="003F3414">
        <w:rPr>
          <w:rFonts w:ascii="Arial" w:hAnsi="Arial" w:cs="Arial"/>
          <w:lang w:val="en-US"/>
        </w:rPr>
        <w:t>facilitate</w:t>
      </w:r>
      <w:r w:rsidR="003F3414" w:rsidRPr="00E256DA">
        <w:rPr>
          <w:rFonts w:ascii="Arial" w:hAnsi="Arial" w:cs="Arial"/>
          <w:lang w:val="en-US"/>
        </w:rPr>
        <w:t xml:space="preserve"> </w:t>
      </w:r>
      <w:r w:rsidR="00BE0EAF" w:rsidRPr="00E256DA">
        <w:rPr>
          <w:rFonts w:ascii="Arial" w:hAnsi="Arial" w:cs="Arial"/>
          <w:lang w:val="en-US"/>
        </w:rPr>
        <w:t>subsequent disease remission</w:t>
      </w:r>
      <w:r w:rsidR="006A6853" w:rsidRPr="00E256DA">
        <w:rPr>
          <w:rFonts w:ascii="Arial" w:hAnsi="Arial" w:cs="Arial"/>
          <w:lang w:val="en-US"/>
        </w:rPr>
        <w:t xml:space="preserve"> </w:t>
      </w:r>
      <w:r w:rsidR="00CE5DC4" w:rsidRPr="00CE5DC4">
        <w:rPr>
          <w:rFonts w:ascii="Arial" w:hAnsi="Arial" w:cs="Arial"/>
        </w:rPr>
        <w:t>(</w:t>
      </w:r>
      <w:r w:rsidR="00DC0F03">
        <w:rPr>
          <w:rFonts w:ascii="Arial" w:hAnsi="Arial" w:cs="Arial"/>
        </w:rPr>
        <w:t>8</w:t>
      </w:r>
      <w:r w:rsidR="00CE5DC4" w:rsidRPr="00CE5DC4">
        <w:rPr>
          <w:rFonts w:ascii="Arial" w:hAnsi="Arial" w:cs="Arial"/>
        </w:rPr>
        <w:t>)</w:t>
      </w:r>
      <w:r w:rsidR="00BE0EAF" w:rsidRPr="00E256DA">
        <w:rPr>
          <w:rFonts w:ascii="Arial" w:hAnsi="Arial" w:cs="Arial"/>
          <w:lang w:val="en-US"/>
        </w:rPr>
        <w:t xml:space="preserve">. </w:t>
      </w:r>
      <w:r w:rsidR="00726930" w:rsidRPr="00E256DA">
        <w:rPr>
          <w:rFonts w:ascii="Arial" w:hAnsi="Arial" w:cs="Arial"/>
          <w:lang w:val="en-US"/>
        </w:rPr>
        <w:t>The significance surrounding IL-5</w:t>
      </w:r>
      <w:r w:rsidR="00662AC0" w:rsidRPr="00E256DA">
        <w:rPr>
          <w:rFonts w:ascii="Arial" w:hAnsi="Arial" w:cs="Arial"/>
          <w:lang w:val="en-US"/>
        </w:rPr>
        <w:t xml:space="preserve"> </w:t>
      </w:r>
      <w:r w:rsidR="00726930" w:rsidRPr="00E256DA">
        <w:rPr>
          <w:rFonts w:ascii="Arial" w:hAnsi="Arial" w:cs="Arial"/>
          <w:lang w:val="en-US"/>
        </w:rPr>
        <w:t>in our data</w:t>
      </w:r>
      <w:r w:rsidR="00114A3B" w:rsidRPr="00E256DA">
        <w:rPr>
          <w:rFonts w:ascii="Arial" w:hAnsi="Arial" w:cs="Arial"/>
          <w:lang w:val="en-US"/>
        </w:rPr>
        <w:t xml:space="preserve"> and asthma persistence </w:t>
      </w:r>
      <w:r w:rsidR="00BE0EAF" w:rsidRPr="00E256DA">
        <w:rPr>
          <w:rFonts w:ascii="Arial" w:hAnsi="Arial" w:cs="Arial"/>
          <w:lang w:val="en-US"/>
        </w:rPr>
        <w:t xml:space="preserve">contrasted </w:t>
      </w:r>
      <w:r w:rsidR="00A20DBD" w:rsidRPr="00E256DA">
        <w:rPr>
          <w:rFonts w:ascii="Arial" w:hAnsi="Arial" w:cs="Arial"/>
          <w:lang w:val="en-US"/>
        </w:rPr>
        <w:t xml:space="preserve">with </w:t>
      </w:r>
      <w:r w:rsidR="00BE0EAF" w:rsidRPr="00E256DA">
        <w:rPr>
          <w:rFonts w:ascii="Arial" w:hAnsi="Arial" w:cs="Arial"/>
          <w:lang w:val="en-US"/>
        </w:rPr>
        <w:t>the findings of a recent report</w:t>
      </w:r>
      <w:r w:rsidR="00193C52" w:rsidRPr="00E256DA">
        <w:rPr>
          <w:rFonts w:ascii="Arial" w:hAnsi="Arial" w:cs="Arial"/>
          <w:lang w:val="en-US"/>
        </w:rPr>
        <w:t xml:space="preserve"> </w:t>
      </w:r>
      <w:r w:rsidR="000700C8" w:rsidRPr="00E256DA">
        <w:rPr>
          <w:rFonts w:ascii="Arial" w:hAnsi="Arial" w:cs="Arial"/>
          <w:lang w:val="en-US"/>
        </w:rPr>
        <w:t>by the Tasmanian health study</w:t>
      </w:r>
      <w:r w:rsidR="00503CD6">
        <w:rPr>
          <w:rFonts w:ascii="Arial" w:hAnsi="Arial" w:cs="Arial"/>
          <w:lang w:val="en-US"/>
        </w:rPr>
        <w:t>, which found IL-4, but not IL-5,</w:t>
      </w:r>
      <w:r w:rsidR="002728EF">
        <w:rPr>
          <w:rFonts w:ascii="Arial" w:hAnsi="Arial" w:cs="Arial"/>
          <w:lang w:val="en-US"/>
        </w:rPr>
        <w:t xml:space="preserve"> </w:t>
      </w:r>
      <w:r w:rsidR="00503CD6">
        <w:rPr>
          <w:rFonts w:ascii="Arial" w:hAnsi="Arial" w:cs="Arial"/>
          <w:lang w:val="en-US"/>
        </w:rPr>
        <w:t>to be associated with asthma persistence</w:t>
      </w:r>
      <w:r w:rsidR="00BE0EAF" w:rsidRPr="00E256DA">
        <w:rPr>
          <w:rFonts w:ascii="Arial" w:hAnsi="Arial" w:cs="Arial"/>
          <w:lang w:val="en-US"/>
        </w:rPr>
        <w:t xml:space="preserve">. However, that </w:t>
      </w:r>
      <w:r w:rsidR="000700C8" w:rsidRPr="00E256DA">
        <w:rPr>
          <w:rFonts w:ascii="Arial" w:hAnsi="Arial" w:cs="Arial"/>
          <w:lang w:val="en-US"/>
        </w:rPr>
        <w:t>group</w:t>
      </w:r>
      <w:r w:rsidR="00BE0EAF" w:rsidRPr="00E256DA">
        <w:rPr>
          <w:rFonts w:ascii="Arial" w:hAnsi="Arial" w:cs="Arial"/>
          <w:lang w:val="en-US"/>
        </w:rPr>
        <w:t xml:space="preserve"> focused on asthma</w:t>
      </w:r>
      <w:r w:rsidR="00E66391" w:rsidRPr="00E256DA">
        <w:rPr>
          <w:rFonts w:ascii="Arial" w:hAnsi="Arial" w:cs="Arial"/>
          <w:lang w:val="en-US"/>
        </w:rPr>
        <w:t xml:space="preserve"> in</w:t>
      </w:r>
      <w:r w:rsidR="000700C8" w:rsidRPr="00E256DA">
        <w:rPr>
          <w:rFonts w:ascii="Arial" w:hAnsi="Arial" w:cs="Arial"/>
          <w:lang w:val="en-US"/>
        </w:rPr>
        <w:t xml:space="preserve"> middle-age</w:t>
      </w:r>
      <w:r w:rsidR="00BE0EAF" w:rsidRPr="00E256DA">
        <w:rPr>
          <w:rFonts w:ascii="Arial" w:hAnsi="Arial" w:cs="Arial"/>
          <w:lang w:val="en-US"/>
        </w:rPr>
        <w:t xml:space="preserve">, and its persistence further into adulthood, which may explain the </w:t>
      </w:r>
      <w:r w:rsidR="00FD4691">
        <w:rPr>
          <w:rFonts w:ascii="Arial" w:hAnsi="Arial" w:cs="Arial"/>
          <w:lang w:val="en-US"/>
        </w:rPr>
        <w:t>different</w:t>
      </w:r>
      <w:r w:rsidR="00BE0EAF" w:rsidRPr="00E256DA">
        <w:rPr>
          <w:rFonts w:ascii="Arial" w:hAnsi="Arial" w:cs="Arial"/>
          <w:lang w:val="en-US"/>
        </w:rPr>
        <w:t xml:space="preserve"> findings</w:t>
      </w:r>
      <w:r w:rsidR="00936D99" w:rsidRPr="00E256DA">
        <w:rPr>
          <w:rFonts w:ascii="Arial" w:hAnsi="Arial" w:cs="Arial"/>
          <w:lang w:val="en-US"/>
        </w:rPr>
        <w:t xml:space="preserve"> </w:t>
      </w:r>
      <w:r w:rsidR="00CE5DC4" w:rsidRPr="00CE5DC4">
        <w:rPr>
          <w:rFonts w:ascii="Arial" w:hAnsi="Arial" w:cs="Arial"/>
        </w:rPr>
        <w:t>(</w:t>
      </w:r>
      <w:r w:rsidR="00DC0F03">
        <w:rPr>
          <w:rFonts w:ascii="Arial" w:hAnsi="Arial" w:cs="Arial"/>
        </w:rPr>
        <w:t>9</w:t>
      </w:r>
      <w:r w:rsidR="00CE5DC4" w:rsidRPr="00CE5DC4">
        <w:rPr>
          <w:rFonts w:ascii="Arial" w:hAnsi="Arial" w:cs="Arial"/>
        </w:rPr>
        <w:t>)</w:t>
      </w:r>
      <w:r w:rsidR="00BE0EAF" w:rsidRPr="00E256DA">
        <w:rPr>
          <w:rFonts w:ascii="Arial" w:hAnsi="Arial" w:cs="Arial"/>
          <w:lang w:val="en-US"/>
        </w:rPr>
        <w:t xml:space="preserve">. </w:t>
      </w:r>
    </w:p>
    <w:p w14:paraId="754D14BE" w14:textId="39712CEE" w:rsidR="006B007E" w:rsidRPr="00E256DA" w:rsidRDefault="002728EF" w:rsidP="003C0F7D">
      <w:pPr>
        <w:spacing w:line="360" w:lineRule="auto"/>
        <w:rPr>
          <w:rFonts w:ascii="Arial" w:hAnsi="Arial" w:cs="Arial"/>
          <w:lang w:val="en-US"/>
        </w:rPr>
      </w:pPr>
      <w:r w:rsidRPr="00E256DA">
        <w:rPr>
          <w:rFonts w:ascii="Arial" w:hAnsi="Arial" w:cs="Arial"/>
          <w:lang w:val="en-US"/>
        </w:rPr>
        <w:t>Our study’s strength lies in its prospective</w:t>
      </w:r>
      <w:r>
        <w:rPr>
          <w:rFonts w:ascii="Arial" w:hAnsi="Arial" w:cs="Arial"/>
          <w:lang w:val="en-US"/>
        </w:rPr>
        <w:t>, longitudinal</w:t>
      </w:r>
      <w:r w:rsidR="00CA5AFE">
        <w:rPr>
          <w:rFonts w:ascii="Arial" w:hAnsi="Arial" w:cs="Arial"/>
          <w:lang w:val="en-US"/>
        </w:rPr>
        <w:t xml:space="preserve"> </w:t>
      </w:r>
      <w:r w:rsidRPr="00E256DA">
        <w:rPr>
          <w:rFonts w:ascii="Arial" w:hAnsi="Arial" w:cs="Arial"/>
          <w:lang w:val="en-US"/>
        </w:rPr>
        <w:t>nature, multiple follow-ups</w:t>
      </w:r>
      <w:r>
        <w:rPr>
          <w:rFonts w:ascii="Arial" w:hAnsi="Arial" w:cs="Arial"/>
          <w:lang w:val="en-US"/>
        </w:rPr>
        <w:t xml:space="preserve">, high </w:t>
      </w:r>
      <w:r w:rsidR="00CA5AFE">
        <w:rPr>
          <w:rFonts w:ascii="Arial" w:hAnsi="Arial" w:cs="Arial"/>
          <w:lang w:val="en-US"/>
        </w:rPr>
        <w:t>retention</w:t>
      </w:r>
      <w:r>
        <w:rPr>
          <w:rFonts w:ascii="Arial" w:hAnsi="Arial" w:cs="Arial"/>
          <w:lang w:val="en-US"/>
        </w:rPr>
        <w:t>,</w:t>
      </w:r>
      <w:r w:rsidRPr="00E256DA">
        <w:rPr>
          <w:rFonts w:ascii="Arial" w:hAnsi="Arial" w:cs="Arial"/>
          <w:lang w:val="en-US"/>
        </w:rPr>
        <w:t xml:space="preserve"> and that we used standard</w:t>
      </w:r>
      <w:r>
        <w:rPr>
          <w:rFonts w:ascii="Arial" w:hAnsi="Arial" w:cs="Arial"/>
          <w:lang w:val="en-US"/>
        </w:rPr>
        <w:t xml:space="preserve">, physician diagnosis </w:t>
      </w:r>
      <w:r w:rsidRPr="00E256DA">
        <w:rPr>
          <w:rFonts w:ascii="Arial" w:hAnsi="Arial" w:cs="Arial"/>
          <w:lang w:val="en-US"/>
        </w:rPr>
        <w:t xml:space="preserve">for asthma, reducing bias. </w:t>
      </w:r>
      <w:r>
        <w:rPr>
          <w:rFonts w:ascii="Arial" w:hAnsi="Arial" w:cs="Arial"/>
          <w:lang w:val="en-US"/>
        </w:rPr>
        <w:t>T</w:t>
      </w:r>
      <w:r w:rsidR="00AA26CB" w:rsidRPr="00E256DA">
        <w:rPr>
          <w:rFonts w:ascii="Arial" w:hAnsi="Arial" w:cs="Arial"/>
          <w:lang w:val="en-US"/>
        </w:rPr>
        <w:t>he study is</w:t>
      </w:r>
      <w:r>
        <w:rPr>
          <w:rFonts w:ascii="Arial" w:hAnsi="Arial" w:cs="Arial"/>
          <w:lang w:val="en-US"/>
        </w:rPr>
        <w:t xml:space="preserve"> </w:t>
      </w:r>
      <w:r w:rsidR="000708B2" w:rsidRPr="00E256DA">
        <w:rPr>
          <w:rFonts w:ascii="Arial" w:hAnsi="Arial" w:cs="Arial"/>
          <w:lang w:val="en-US"/>
        </w:rPr>
        <w:t xml:space="preserve">limited by the relatively small number of subjects with cytokine measures, especially at 10 years </w:t>
      </w:r>
      <w:r w:rsidR="00AA26CB" w:rsidRPr="00E256DA">
        <w:rPr>
          <w:rFonts w:ascii="Arial" w:hAnsi="Arial" w:cs="Arial"/>
          <w:lang w:val="en-US"/>
        </w:rPr>
        <w:t>of age</w:t>
      </w:r>
      <w:r w:rsidR="008124FA">
        <w:rPr>
          <w:rFonts w:ascii="Arial" w:hAnsi="Arial" w:cs="Arial"/>
          <w:lang w:val="en-US"/>
        </w:rPr>
        <w:t xml:space="preserve">, which </w:t>
      </w:r>
      <w:r w:rsidR="00A0253D">
        <w:rPr>
          <w:rFonts w:ascii="Arial" w:hAnsi="Arial" w:cs="Arial"/>
          <w:lang w:val="en-US"/>
        </w:rPr>
        <w:t xml:space="preserve">limits the statistical power of this study and </w:t>
      </w:r>
      <w:r w:rsidR="008124FA">
        <w:rPr>
          <w:rFonts w:ascii="Arial" w:hAnsi="Arial" w:cs="Arial"/>
          <w:lang w:val="en-US"/>
        </w:rPr>
        <w:t>may have led to</w:t>
      </w:r>
      <w:r w:rsidR="00E559ED">
        <w:rPr>
          <w:rFonts w:ascii="Arial" w:hAnsi="Arial" w:cs="Arial"/>
          <w:lang w:val="en-US"/>
        </w:rPr>
        <w:t xml:space="preserve"> possible</w:t>
      </w:r>
      <w:r w:rsidR="008124FA">
        <w:rPr>
          <w:rFonts w:ascii="Arial" w:hAnsi="Arial" w:cs="Arial"/>
          <w:lang w:val="en-US"/>
        </w:rPr>
        <w:t xml:space="preserve"> </w:t>
      </w:r>
      <w:r w:rsidR="00E559ED">
        <w:rPr>
          <w:rFonts w:ascii="Arial" w:hAnsi="Arial" w:cs="Arial"/>
          <w:lang w:val="en-US"/>
        </w:rPr>
        <w:t>false</w:t>
      </w:r>
      <w:r w:rsidR="000C52CD">
        <w:rPr>
          <w:rFonts w:ascii="Arial" w:hAnsi="Arial" w:cs="Arial"/>
          <w:lang w:val="en-US"/>
        </w:rPr>
        <w:t>-</w:t>
      </w:r>
      <w:r w:rsidR="00E559ED">
        <w:rPr>
          <w:rFonts w:ascii="Arial" w:hAnsi="Arial" w:cs="Arial"/>
          <w:lang w:val="en-US"/>
        </w:rPr>
        <w:t>negative results</w:t>
      </w:r>
      <w:r w:rsidR="000C52CD">
        <w:rPr>
          <w:rFonts w:ascii="Arial" w:hAnsi="Arial" w:cs="Arial"/>
          <w:lang w:val="en-US"/>
        </w:rPr>
        <w:t>.</w:t>
      </w:r>
      <w:r w:rsidR="00AA26CB" w:rsidRPr="00E256DA">
        <w:rPr>
          <w:rFonts w:ascii="Arial" w:hAnsi="Arial" w:cs="Arial"/>
          <w:lang w:val="en-US"/>
        </w:rPr>
        <w:t xml:space="preserve"> </w:t>
      </w:r>
      <w:r w:rsidR="00AE45C0" w:rsidRPr="00E256DA">
        <w:rPr>
          <w:rFonts w:ascii="Arial" w:hAnsi="Arial" w:cs="Arial"/>
          <w:lang w:val="en-US"/>
        </w:rPr>
        <w:t xml:space="preserve">However, key, consistent messages emerged </w:t>
      </w:r>
      <w:r w:rsidR="00CA5AFE">
        <w:rPr>
          <w:rFonts w:ascii="Arial" w:hAnsi="Arial" w:cs="Arial"/>
          <w:lang w:val="en-US"/>
        </w:rPr>
        <w:t>which merit</w:t>
      </w:r>
      <w:r w:rsidR="00A23636">
        <w:rPr>
          <w:rFonts w:ascii="Arial" w:hAnsi="Arial" w:cs="Arial"/>
          <w:lang w:val="en-US"/>
        </w:rPr>
        <w:t xml:space="preserve"> further research </w:t>
      </w:r>
      <w:r w:rsidR="00CA5AFE">
        <w:rPr>
          <w:rFonts w:ascii="Arial" w:hAnsi="Arial" w:cs="Arial"/>
          <w:lang w:val="en-US"/>
        </w:rPr>
        <w:t xml:space="preserve">to determine </w:t>
      </w:r>
      <w:r w:rsidR="00577C93">
        <w:rPr>
          <w:rFonts w:ascii="Arial" w:hAnsi="Arial" w:cs="Arial"/>
          <w:lang w:val="en-US"/>
        </w:rPr>
        <w:t xml:space="preserve">the </w:t>
      </w:r>
      <w:r w:rsidR="00CA5AFE">
        <w:rPr>
          <w:rFonts w:ascii="Arial" w:hAnsi="Arial" w:cs="Arial"/>
          <w:lang w:val="en-US"/>
        </w:rPr>
        <w:t>utility of serum cytokines as biomarker</w:t>
      </w:r>
      <w:r w:rsidR="00577C93">
        <w:rPr>
          <w:rFonts w:ascii="Arial" w:hAnsi="Arial" w:cs="Arial"/>
          <w:lang w:val="en-US"/>
        </w:rPr>
        <w:t>s</w:t>
      </w:r>
      <w:r w:rsidR="00CA5AFE">
        <w:rPr>
          <w:rFonts w:ascii="Arial" w:hAnsi="Arial" w:cs="Arial"/>
          <w:lang w:val="en-US"/>
        </w:rPr>
        <w:t xml:space="preserve"> for asthma persistence</w:t>
      </w:r>
      <w:r w:rsidR="00AE45C0" w:rsidRPr="00E256DA">
        <w:rPr>
          <w:rFonts w:ascii="Arial" w:hAnsi="Arial" w:cs="Arial"/>
          <w:lang w:val="en-US"/>
        </w:rPr>
        <w:t xml:space="preserve">. </w:t>
      </w:r>
      <w:r w:rsidR="00BE0EAF" w:rsidRPr="00E256DA">
        <w:rPr>
          <w:rFonts w:ascii="Arial" w:hAnsi="Arial" w:cs="Arial"/>
          <w:lang w:val="en-US"/>
        </w:rPr>
        <w:br/>
      </w:r>
      <w:r w:rsidR="003C0F7D">
        <w:rPr>
          <w:rFonts w:ascii="Arial" w:hAnsi="Arial" w:cs="Arial"/>
          <w:lang w:val="en-US"/>
        </w:rPr>
        <w:br/>
      </w:r>
      <w:r w:rsidR="006B007E" w:rsidRPr="00E256DA">
        <w:rPr>
          <w:rFonts w:ascii="Arial" w:hAnsi="Arial" w:cs="Arial"/>
          <w:lang w:val="en-US"/>
        </w:rPr>
        <w:t>In conclusion, peripheral blood IL-5</w:t>
      </w:r>
      <w:r w:rsidR="00AE45C0" w:rsidRPr="00E256DA">
        <w:rPr>
          <w:rFonts w:ascii="Arial" w:hAnsi="Arial" w:cs="Arial"/>
          <w:lang w:val="en-US"/>
        </w:rPr>
        <w:t xml:space="preserve"> and IL-5</w:t>
      </w:r>
      <w:r>
        <w:rPr>
          <w:rFonts w:ascii="Arial" w:hAnsi="Arial" w:cs="Arial"/>
          <w:lang w:val="en-US"/>
        </w:rPr>
        <w:t>/IFN-g</w:t>
      </w:r>
      <w:r w:rsidR="00AE45C0" w:rsidRPr="00E256DA">
        <w:rPr>
          <w:rFonts w:ascii="Arial" w:hAnsi="Arial" w:cs="Arial"/>
          <w:lang w:val="en-US"/>
        </w:rPr>
        <w:t xml:space="preserve"> ratio</w:t>
      </w:r>
      <w:r w:rsidR="006B007E" w:rsidRPr="00E256DA">
        <w:rPr>
          <w:rFonts w:ascii="Arial" w:hAnsi="Arial" w:cs="Arial"/>
          <w:lang w:val="en-US"/>
        </w:rPr>
        <w:t xml:space="preserve"> may be useful biomarker</w:t>
      </w:r>
      <w:r w:rsidR="00577C93">
        <w:rPr>
          <w:rFonts w:ascii="Arial" w:hAnsi="Arial" w:cs="Arial"/>
          <w:lang w:val="en-US"/>
        </w:rPr>
        <w:t>s</w:t>
      </w:r>
      <w:r w:rsidR="006B007E" w:rsidRPr="00E256DA">
        <w:rPr>
          <w:rFonts w:ascii="Arial" w:hAnsi="Arial" w:cs="Arial"/>
          <w:lang w:val="en-US"/>
        </w:rPr>
        <w:t xml:space="preserve"> to predict </w:t>
      </w:r>
      <w:r w:rsidR="00577C93">
        <w:rPr>
          <w:rFonts w:ascii="Arial" w:hAnsi="Arial" w:cs="Arial"/>
          <w:lang w:val="en-US"/>
        </w:rPr>
        <w:t xml:space="preserve">the </w:t>
      </w:r>
      <w:r w:rsidR="006B007E" w:rsidRPr="00E256DA">
        <w:rPr>
          <w:rFonts w:ascii="Arial" w:hAnsi="Arial" w:cs="Arial"/>
          <w:lang w:val="en-US"/>
        </w:rPr>
        <w:t>persistence of asthma</w:t>
      </w:r>
      <w:r w:rsidR="0067060C">
        <w:rPr>
          <w:rFonts w:ascii="Arial" w:hAnsi="Arial" w:cs="Arial"/>
          <w:lang w:val="en-US"/>
        </w:rPr>
        <w:t xml:space="preserve"> into adulthood</w:t>
      </w:r>
      <w:r w:rsidR="006B007E" w:rsidRPr="00E256DA">
        <w:rPr>
          <w:rFonts w:ascii="Arial" w:hAnsi="Arial" w:cs="Arial"/>
          <w:lang w:val="en-US"/>
        </w:rPr>
        <w:t xml:space="preserve">. However, larger prospective studies are needed to further elucidate the utility of cytokines </w:t>
      </w:r>
      <w:r w:rsidR="00AE45C0" w:rsidRPr="00E256DA">
        <w:rPr>
          <w:rFonts w:ascii="Arial" w:hAnsi="Arial" w:cs="Arial"/>
          <w:lang w:val="en-US"/>
        </w:rPr>
        <w:t>for such purposes.</w:t>
      </w:r>
    </w:p>
    <w:p w14:paraId="4B749A86" w14:textId="2198C21E" w:rsidR="00CE5DC4" w:rsidRDefault="00CE5DC4">
      <w:pPr>
        <w:rPr>
          <w:rFonts w:ascii="Arial" w:hAnsi="Arial" w:cs="Arial"/>
          <w:lang w:val="en-US"/>
        </w:rPr>
      </w:pPr>
    </w:p>
    <w:p w14:paraId="10D81CD5" w14:textId="77777777" w:rsidR="006A63A5" w:rsidRPr="001A032D" w:rsidRDefault="006A63A5" w:rsidP="006A63A5">
      <w:pPr>
        <w:pStyle w:val="Heading1"/>
        <w:rPr>
          <w:rFonts w:ascii="Arial" w:hAnsi="Arial" w:cs="Arial"/>
        </w:rPr>
      </w:pPr>
      <w:r w:rsidRPr="001A032D">
        <w:rPr>
          <w:rFonts w:ascii="Arial" w:hAnsi="Arial" w:cs="Arial"/>
        </w:rPr>
        <w:t>Authors:</w:t>
      </w:r>
    </w:p>
    <w:p w14:paraId="4DD6D68C" w14:textId="77777777" w:rsidR="006A63A5" w:rsidRPr="001A032D" w:rsidRDefault="006A63A5" w:rsidP="006A63A5">
      <w:pPr>
        <w:spacing w:line="360" w:lineRule="auto"/>
        <w:rPr>
          <w:rFonts w:ascii="Arial" w:hAnsi="Arial" w:cs="Arial"/>
          <w:szCs w:val="20"/>
        </w:rPr>
      </w:pPr>
      <w:r w:rsidRPr="001A032D">
        <w:rPr>
          <w:rFonts w:ascii="Arial" w:hAnsi="Arial" w:cs="Arial"/>
          <w:szCs w:val="20"/>
        </w:rPr>
        <w:t xml:space="preserve">Wei Chern Gavin Fong, MSc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 xml:space="preserve">, Latha Kadalayil, PhD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 xml:space="preserve">, Laurie Lau, PhD </w:t>
      </w:r>
      <w:r w:rsidRPr="001A032D">
        <w:rPr>
          <w:rFonts w:ascii="Arial" w:hAnsi="Arial" w:cs="Arial"/>
          <w:szCs w:val="20"/>
          <w:vertAlign w:val="superscript"/>
        </w:rPr>
        <w:t>2</w:t>
      </w:r>
      <w:r w:rsidRPr="001A032D">
        <w:rPr>
          <w:rFonts w:ascii="Arial" w:hAnsi="Arial" w:cs="Arial"/>
          <w:szCs w:val="20"/>
        </w:rPr>
        <w:t xml:space="preserve">, Ramesh J Kurukulaaratchy, DM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 xml:space="preserve">, S Hasan Arshad, DM </w:t>
      </w:r>
      <w:r w:rsidRPr="001A032D">
        <w:rPr>
          <w:rFonts w:ascii="Arial" w:hAnsi="Arial" w:cs="Arial"/>
          <w:szCs w:val="20"/>
          <w:vertAlign w:val="superscript"/>
        </w:rPr>
        <w:t>1,2</w:t>
      </w:r>
      <w:r w:rsidRPr="001A032D">
        <w:rPr>
          <w:rFonts w:ascii="Arial" w:hAnsi="Arial" w:cs="Arial"/>
          <w:szCs w:val="20"/>
        </w:rPr>
        <w:t>.</w:t>
      </w:r>
    </w:p>
    <w:p w14:paraId="45F1880F" w14:textId="77777777" w:rsidR="006A63A5" w:rsidRPr="001A032D" w:rsidRDefault="006A63A5" w:rsidP="006A63A5">
      <w:pPr>
        <w:pStyle w:val="Heading1"/>
        <w:rPr>
          <w:rFonts w:ascii="Arial" w:hAnsi="Arial" w:cs="Arial"/>
        </w:rPr>
      </w:pPr>
      <w:r w:rsidRPr="001A032D">
        <w:rPr>
          <w:rFonts w:ascii="Arial" w:hAnsi="Arial" w:cs="Arial"/>
        </w:rPr>
        <w:lastRenderedPageBreak/>
        <w:t>Institutions</w:t>
      </w:r>
    </w:p>
    <w:p w14:paraId="5DFD8110" w14:textId="77777777" w:rsidR="006A63A5" w:rsidRPr="001A032D" w:rsidRDefault="006A63A5" w:rsidP="006A63A5">
      <w:pPr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</w:pPr>
      <w:r w:rsidRPr="001A032D">
        <w:rPr>
          <w:rFonts w:ascii="Arial" w:eastAsiaTheme="minorEastAsia" w:hAnsi="Arial" w:cs="Arial"/>
          <w:color w:val="000000" w:themeColor="text1"/>
          <w:szCs w:val="20"/>
          <w:vertAlign w:val="superscript"/>
          <w:lang w:val="en-US" w:eastAsia="zh-CN"/>
        </w:rPr>
        <w:t>1</w:t>
      </w:r>
      <w:r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t xml:space="preserve">The David Hide Asthma and Allergy Research Centre, Isle of Wight, United Kingdom. </w:t>
      </w:r>
      <w:r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br/>
      </w:r>
      <w:r w:rsidRPr="001A032D">
        <w:rPr>
          <w:rFonts w:ascii="Arial" w:eastAsiaTheme="minorEastAsia" w:hAnsi="Arial" w:cs="Arial"/>
          <w:color w:val="000000" w:themeColor="text1"/>
          <w:szCs w:val="20"/>
          <w:vertAlign w:val="superscript"/>
          <w:lang w:val="en-US" w:eastAsia="zh-CN"/>
        </w:rPr>
        <w:t>2</w:t>
      </w:r>
      <w:r w:rsidRPr="001A032D">
        <w:rPr>
          <w:rFonts w:ascii="Arial" w:eastAsiaTheme="minorEastAsia" w:hAnsi="Arial" w:cs="Arial"/>
          <w:color w:val="000000" w:themeColor="text1"/>
          <w:szCs w:val="20"/>
          <w:lang w:val="en-US" w:eastAsia="zh-CN"/>
        </w:rPr>
        <w:t>Clinical and Experimental Sciences, Faculty of Medicine, University of Southampton, Southampton, United Kingdom.</w:t>
      </w:r>
    </w:p>
    <w:p w14:paraId="614D25F1" w14:textId="77777777" w:rsidR="006A63A5" w:rsidRPr="001A032D" w:rsidRDefault="006A63A5" w:rsidP="006A63A5">
      <w:pPr>
        <w:pStyle w:val="Heading1"/>
        <w:spacing w:line="360" w:lineRule="auto"/>
        <w:rPr>
          <w:rFonts w:ascii="Arial" w:hAnsi="Arial" w:cs="Arial"/>
        </w:rPr>
      </w:pPr>
      <w:r w:rsidRPr="001A032D">
        <w:rPr>
          <w:rFonts w:ascii="Arial" w:hAnsi="Arial" w:cs="Arial"/>
          <w:color w:val="1F497D" w:themeColor="text2"/>
        </w:rPr>
        <w:t>Conflict of interest statement</w:t>
      </w:r>
      <w:r w:rsidRPr="001A032D">
        <w:rPr>
          <w:rFonts w:ascii="Arial" w:hAnsi="Arial" w:cs="Arial"/>
        </w:rPr>
        <w:br/>
      </w:r>
      <w:r w:rsidRPr="001A032D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The authors declare that they do not have any relevant conflicts of interest. </w:t>
      </w:r>
      <w:r w:rsidRPr="001A032D">
        <w:rPr>
          <w:rFonts w:ascii="Arial" w:hAnsi="Arial" w:cs="Arial"/>
          <w:b w:val="0"/>
          <w:color w:val="auto"/>
          <w:sz w:val="22"/>
          <w:szCs w:val="22"/>
          <w:lang w:val="en-US"/>
        </w:rPr>
        <w:tab/>
      </w:r>
    </w:p>
    <w:p w14:paraId="67B5744D" w14:textId="77777777" w:rsidR="006A63A5" w:rsidRPr="001A032D" w:rsidRDefault="006A63A5" w:rsidP="006A63A5">
      <w:pPr>
        <w:pStyle w:val="Heading1"/>
        <w:rPr>
          <w:rFonts w:ascii="Arial" w:hAnsi="Arial" w:cs="Arial"/>
        </w:rPr>
      </w:pPr>
      <w:r w:rsidRPr="001A032D">
        <w:rPr>
          <w:rFonts w:ascii="Arial" w:hAnsi="Arial" w:cs="Arial"/>
        </w:rPr>
        <w:t>Corresponding author</w:t>
      </w:r>
    </w:p>
    <w:p w14:paraId="373BA170" w14:textId="77777777" w:rsidR="006A63A5" w:rsidRDefault="006A63A5" w:rsidP="006A63A5">
      <w:pPr>
        <w:spacing w:line="360" w:lineRule="auto"/>
        <w:rPr>
          <w:rFonts w:ascii="Arial" w:hAnsi="Arial" w:cs="Arial"/>
          <w:szCs w:val="20"/>
          <w:lang w:val="en-US"/>
        </w:rPr>
      </w:pPr>
      <w:r w:rsidRPr="001A032D">
        <w:rPr>
          <w:rFonts w:ascii="Arial" w:hAnsi="Arial" w:cs="Arial"/>
          <w:b/>
          <w:szCs w:val="20"/>
          <w:lang w:val="en-US"/>
        </w:rPr>
        <w:t>Professor Hasan Arshad</w:t>
      </w:r>
      <w:r w:rsidRPr="001A032D">
        <w:rPr>
          <w:rFonts w:ascii="Arial" w:hAnsi="Arial" w:cs="Arial"/>
          <w:szCs w:val="20"/>
          <w:lang w:val="en-US"/>
        </w:rPr>
        <w:br/>
        <w:t xml:space="preserve">The David Hide Asthma and Allergy Research Centre, Isle of Wight, </w:t>
      </w:r>
      <w:r w:rsidRPr="001A032D">
        <w:rPr>
          <w:rFonts w:ascii="Arial" w:eastAsiaTheme="minorEastAsia" w:hAnsi="Arial" w:cs="Arial"/>
          <w:szCs w:val="20"/>
          <w:lang w:val="en-US" w:eastAsia="zh-CN"/>
        </w:rPr>
        <w:t>United Kingdom</w:t>
      </w:r>
      <w:r w:rsidRPr="001A032D">
        <w:rPr>
          <w:rFonts w:ascii="Arial" w:hAnsi="Arial" w:cs="Arial"/>
          <w:szCs w:val="20"/>
          <w:lang w:val="en-US"/>
        </w:rPr>
        <w:t>.</w:t>
      </w:r>
      <w:r w:rsidRPr="001A032D">
        <w:rPr>
          <w:rFonts w:ascii="Arial" w:hAnsi="Arial" w:cs="Arial"/>
          <w:szCs w:val="20"/>
          <w:lang w:val="en-US"/>
        </w:rPr>
        <w:br/>
        <w:t xml:space="preserve">&amp; School of Clinical and Experimental Sciences, Faculty of Medicine, University of Southampton, </w:t>
      </w:r>
      <w:r w:rsidRPr="001A032D">
        <w:rPr>
          <w:rFonts w:ascii="Arial" w:eastAsiaTheme="minorEastAsia" w:hAnsi="Arial" w:cs="Arial"/>
          <w:szCs w:val="20"/>
          <w:lang w:val="en-US" w:eastAsia="zh-CN"/>
        </w:rPr>
        <w:t>United Kingdom</w:t>
      </w:r>
      <w:r w:rsidRPr="001A032D">
        <w:rPr>
          <w:rFonts w:ascii="Arial" w:hAnsi="Arial" w:cs="Arial"/>
          <w:szCs w:val="20"/>
          <w:lang w:val="en-US"/>
        </w:rPr>
        <w:t>.</w:t>
      </w:r>
      <w:r w:rsidRPr="001A032D">
        <w:rPr>
          <w:rFonts w:ascii="Arial" w:hAnsi="Arial" w:cs="Arial"/>
          <w:szCs w:val="20"/>
          <w:lang w:val="en-US"/>
        </w:rPr>
        <w:br/>
        <w:t>Level F, South Academic Block, Southampton General Hospital</w:t>
      </w:r>
      <w:r w:rsidRPr="001A032D">
        <w:rPr>
          <w:rFonts w:ascii="Arial" w:hAnsi="Arial" w:cs="Arial"/>
          <w:szCs w:val="20"/>
          <w:lang w:val="en-US"/>
        </w:rPr>
        <w:br/>
        <w:t>Southampton SO16 6YD, United Kingdom</w:t>
      </w:r>
      <w:r w:rsidRPr="001A032D">
        <w:rPr>
          <w:rFonts w:ascii="Arial" w:hAnsi="Arial" w:cs="Arial"/>
          <w:szCs w:val="20"/>
          <w:lang w:val="en-US"/>
        </w:rPr>
        <w:br/>
        <w:t>Telephone:       +44 (0)23 81203366</w:t>
      </w:r>
      <w:r w:rsidRPr="001A032D">
        <w:rPr>
          <w:rFonts w:ascii="Arial" w:hAnsi="Arial" w:cs="Arial"/>
          <w:szCs w:val="20"/>
          <w:lang w:val="en-US"/>
        </w:rPr>
        <w:br/>
        <w:t xml:space="preserve">Email:     </w:t>
      </w:r>
      <w:hyperlink r:id="rId9" w:history="1">
        <w:r w:rsidRPr="00115E65">
          <w:rPr>
            <w:rStyle w:val="Hyperlink"/>
            <w:rFonts w:ascii="Arial" w:hAnsi="Arial" w:cs="Arial"/>
            <w:szCs w:val="20"/>
            <w:lang w:val="en-US"/>
          </w:rPr>
          <w:t>S.H.Arshad@soton.ac.uk</w:t>
        </w:r>
      </w:hyperlink>
    </w:p>
    <w:p w14:paraId="7EDB3C2B" w14:textId="3BCD7E35" w:rsidR="00BD117F" w:rsidRPr="0085111E" w:rsidRDefault="00BD117F" w:rsidP="00BD117F">
      <w:pPr>
        <w:pStyle w:val="Heading1"/>
        <w:spacing w:line="360" w:lineRule="auto"/>
        <w:rPr>
          <w:rFonts w:ascii="Arial" w:hAnsi="Arial" w:cs="Arial"/>
          <w:lang w:val="en-US"/>
        </w:rPr>
      </w:pPr>
      <w:r w:rsidRPr="0085111E">
        <w:rPr>
          <w:rFonts w:ascii="Arial" w:hAnsi="Arial" w:cs="Arial"/>
          <w:lang w:val="en-US"/>
        </w:rPr>
        <w:t>Author contributions</w:t>
      </w:r>
    </w:p>
    <w:p w14:paraId="09558711" w14:textId="27CCA788" w:rsidR="00BD117F" w:rsidRPr="00CB30A6" w:rsidRDefault="006A63A5" w:rsidP="00BD117F">
      <w:p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 w:rsidR="00BD117F" w:rsidRPr="00CB30A6">
        <w:rPr>
          <w:rFonts w:ascii="Arial" w:hAnsi="Arial" w:cs="Arial"/>
          <w:lang w:val="en-US"/>
        </w:rPr>
        <w:t>Wei Chern Gavin Fong: Formal Analysis (</w:t>
      </w:r>
      <w:r w:rsidR="00BD117F">
        <w:rPr>
          <w:rFonts w:ascii="Arial" w:hAnsi="Arial" w:cs="Arial"/>
          <w:lang w:val="en-US"/>
        </w:rPr>
        <w:t>equal</w:t>
      </w:r>
      <w:r w:rsidR="00BD117F" w:rsidRPr="00CB30A6">
        <w:rPr>
          <w:rFonts w:ascii="Arial" w:hAnsi="Arial" w:cs="Arial"/>
          <w:lang w:val="en-US"/>
        </w:rPr>
        <w:t xml:space="preserve">), 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Methodology (equal)</w:t>
      </w:r>
      <w:r w:rsidR="00BD117F" w:rsidRPr="00CB30A6">
        <w:rPr>
          <w:rFonts w:ascii="Arial" w:hAnsi="Arial" w:cs="Arial"/>
          <w:lang w:val="en-US"/>
        </w:rPr>
        <w:t>, Writing – Original Draft Preparation (l</w:t>
      </w:r>
      <w:r w:rsidR="00BD117F">
        <w:rPr>
          <w:rFonts w:ascii="Arial" w:hAnsi="Arial" w:cs="Arial"/>
          <w:lang w:val="en-US"/>
        </w:rPr>
        <w:t>ead</w:t>
      </w:r>
      <w:r w:rsidR="00BD117F" w:rsidRPr="00CB30A6">
        <w:rPr>
          <w:rFonts w:ascii="Arial" w:hAnsi="Arial" w:cs="Arial"/>
          <w:lang w:val="en-US"/>
        </w:rPr>
        <w:t>)</w:t>
      </w:r>
      <w:r w:rsidR="00BD117F">
        <w:rPr>
          <w:rFonts w:ascii="Arial" w:hAnsi="Arial" w:cs="Arial"/>
          <w:lang w:val="en-US"/>
        </w:rPr>
        <w:t xml:space="preserve">, 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Writing – review and editing (</w:t>
      </w:r>
      <w:r w:rsidR="00BD117F">
        <w:rPr>
          <w:rFonts w:ascii="Arial" w:hAnsi="Arial" w:cs="Arial"/>
          <w:color w:val="1C1D1E"/>
          <w:shd w:val="clear" w:color="auto" w:fill="FFFFFF"/>
        </w:rPr>
        <w:t>equal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)</w:t>
      </w:r>
      <w:r w:rsidR="00BD117F">
        <w:rPr>
          <w:rFonts w:ascii="Arial" w:hAnsi="Arial" w:cs="Arial"/>
          <w:color w:val="1C1D1E"/>
          <w:shd w:val="clear" w:color="auto" w:fill="FFFFFF"/>
        </w:rPr>
        <w:t xml:space="preserve">, </w:t>
      </w:r>
      <w:r w:rsidR="00BD117F" w:rsidRPr="00BD117F">
        <w:rPr>
          <w:rFonts w:ascii="Arial" w:hAnsi="Arial" w:cs="Arial"/>
          <w:color w:val="1C1D1E"/>
          <w:shd w:val="clear" w:color="auto" w:fill="FFFFFF"/>
        </w:rPr>
        <w:t>Visualization</w:t>
      </w:r>
      <w:r w:rsidR="00BD117F">
        <w:rPr>
          <w:rFonts w:ascii="Arial" w:hAnsi="Arial" w:cs="Arial"/>
          <w:color w:val="1C1D1E"/>
          <w:shd w:val="clear" w:color="auto" w:fill="FFFFFF"/>
        </w:rPr>
        <w:t xml:space="preserve"> (equal)</w:t>
      </w:r>
      <w:r w:rsidR="00BD117F" w:rsidRPr="00CB30A6">
        <w:rPr>
          <w:rFonts w:ascii="Arial" w:hAnsi="Arial" w:cs="Arial"/>
          <w:lang w:val="en-US"/>
        </w:rPr>
        <w:t xml:space="preserve">. </w:t>
      </w:r>
      <w:r w:rsidR="00BD117F" w:rsidRPr="001A032D">
        <w:rPr>
          <w:rFonts w:ascii="Arial" w:hAnsi="Arial" w:cs="Arial"/>
          <w:szCs w:val="20"/>
        </w:rPr>
        <w:t>Latha Kadalayil</w:t>
      </w:r>
      <w:r w:rsidR="00BD117F" w:rsidRPr="00CB30A6">
        <w:rPr>
          <w:rFonts w:ascii="Arial" w:hAnsi="Arial" w:cs="Arial"/>
          <w:lang w:val="en-US"/>
        </w:rPr>
        <w:t>: Formal Analysis (</w:t>
      </w:r>
      <w:r w:rsidR="00BD117F">
        <w:rPr>
          <w:rFonts w:ascii="Arial" w:hAnsi="Arial" w:cs="Arial"/>
          <w:lang w:val="en-US"/>
        </w:rPr>
        <w:t>equal</w:t>
      </w:r>
      <w:r w:rsidR="00BD117F" w:rsidRPr="00CB30A6">
        <w:rPr>
          <w:rFonts w:ascii="Arial" w:hAnsi="Arial" w:cs="Arial"/>
          <w:lang w:val="en-US"/>
        </w:rPr>
        <w:t>),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 xml:space="preserve"> </w:t>
      </w:r>
      <w:r w:rsidR="00BD117F" w:rsidRPr="00BD117F">
        <w:rPr>
          <w:rFonts w:ascii="Arial" w:hAnsi="Arial" w:cs="Arial"/>
          <w:color w:val="1C1D1E"/>
          <w:shd w:val="clear" w:color="auto" w:fill="FFFFFF"/>
        </w:rPr>
        <w:t>Visualization</w:t>
      </w:r>
      <w:r w:rsidR="00BD117F">
        <w:rPr>
          <w:rFonts w:ascii="Arial" w:hAnsi="Arial" w:cs="Arial"/>
          <w:color w:val="1C1D1E"/>
          <w:shd w:val="clear" w:color="auto" w:fill="FFFFFF"/>
        </w:rPr>
        <w:t xml:space="preserve"> (equal), 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Methodology (equal),</w:t>
      </w:r>
      <w:r w:rsidR="00BD117F" w:rsidRPr="00CB30A6">
        <w:rPr>
          <w:rFonts w:ascii="Arial" w:hAnsi="Arial" w:cs="Arial"/>
          <w:lang w:val="en-US"/>
        </w:rPr>
        <w:t xml:space="preserve"> 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 xml:space="preserve">Writing – review and editing (equal). </w:t>
      </w:r>
      <w:r w:rsidR="00BD117F" w:rsidRPr="001A032D">
        <w:rPr>
          <w:rFonts w:ascii="Arial" w:hAnsi="Arial" w:cs="Arial"/>
          <w:szCs w:val="20"/>
        </w:rPr>
        <w:t>Laurie Lau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: Writing – review and editing (equal)</w:t>
      </w:r>
      <w:r w:rsidR="00BD117F">
        <w:rPr>
          <w:rFonts w:ascii="Arial" w:hAnsi="Arial" w:cs="Arial"/>
          <w:color w:val="1C1D1E"/>
          <w:shd w:val="clear" w:color="auto" w:fill="FFFFFF"/>
        </w:rPr>
        <w:t xml:space="preserve">, </w:t>
      </w:r>
      <w:r w:rsidR="00BD117F" w:rsidRPr="00BD117F">
        <w:rPr>
          <w:rFonts w:ascii="Arial" w:hAnsi="Arial" w:cs="Arial"/>
          <w:color w:val="1C1D1E"/>
          <w:shd w:val="clear" w:color="auto" w:fill="FFFFFF"/>
        </w:rPr>
        <w:t>Investigation</w:t>
      </w:r>
      <w:r w:rsidR="00BD117F">
        <w:rPr>
          <w:rFonts w:ascii="Arial" w:hAnsi="Arial" w:cs="Arial"/>
          <w:color w:val="1C1D1E"/>
          <w:shd w:val="clear" w:color="auto" w:fill="FFFFFF"/>
        </w:rPr>
        <w:t xml:space="preserve"> (lead)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. Ramesh Kurukulaaratchy: Supervision (supporting), Methodology (supporting)</w:t>
      </w:r>
      <w:r w:rsidR="00BD117F">
        <w:rPr>
          <w:rFonts w:ascii="Arial" w:hAnsi="Arial" w:cs="Arial"/>
          <w:color w:val="1C1D1E"/>
          <w:shd w:val="clear" w:color="auto" w:fill="FFFFFF"/>
        </w:rPr>
        <w:t>,</w:t>
      </w:r>
      <w:r w:rsidR="00BD117F" w:rsidRPr="00DA78DE">
        <w:rPr>
          <w:rFonts w:ascii="Arial" w:hAnsi="Arial" w:cs="Arial"/>
          <w:color w:val="1C1D1E"/>
          <w:shd w:val="clear" w:color="auto" w:fill="FFFFFF"/>
        </w:rPr>
        <w:t xml:space="preserve"> 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Writing – review and editing (equal)</w:t>
      </w:r>
      <w:r w:rsidR="00BD117F">
        <w:rPr>
          <w:rFonts w:ascii="Arial" w:hAnsi="Arial" w:cs="Arial"/>
          <w:color w:val="1C1D1E"/>
          <w:shd w:val="clear" w:color="auto" w:fill="FFFFFF"/>
        </w:rPr>
        <w:t xml:space="preserve">. </w:t>
      </w:r>
      <w:r w:rsidR="00BD117F" w:rsidRPr="00CB30A6">
        <w:rPr>
          <w:rFonts w:ascii="Arial" w:hAnsi="Arial" w:cs="Arial"/>
          <w:lang w:val="en-US"/>
        </w:rPr>
        <w:t>Hasan Arshad: Conceptualization (lead)</w:t>
      </w:r>
      <w:r w:rsidR="00BD117F">
        <w:rPr>
          <w:rFonts w:ascii="Arial" w:hAnsi="Arial" w:cs="Arial"/>
          <w:lang w:val="en-US"/>
        </w:rPr>
        <w:t xml:space="preserve">, </w:t>
      </w:r>
      <w:r w:rsidR="00BD117F" w:rsidRPr="00CB30A6">
        <w:rPr>
          <w:rFonts w:ascii="Arial" w:hAnsi="Arial" w:cs="Arial"/>
          <w:lang w:val="en-US"/>
        </w:rPr>
        <w:t>Formal Analysis (supporting), Funding Acquisition (lead)</w:t>
      </w:r>
      <w:r w:rsidR="00BD117F">
        <w:rPr>
          <w:rFonts w:ascii="Arial" w:hAnsi="Arial" w:cs="Arial"/>
          <w:lang w:val="en-US"/>
        </w:rPr>
        <w:t xml:space="preserve">, 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Supervision (</w:t>
      </w:r>
      <w:r w:rsidR="00BD117F">
        <w:rPr>
          <w:rFonts w:ascii="Arial" w:hAnsi="Arial" w:cs="Arial"/>
          <w:color w:val="1C1D1E"/>
          <w:shd w:val="clear" w:color="auto" w:fill="FFFFFF"/>
        </w:rPr>
        <w:t>lead</w:t>
      </w:r>
      <w:r w:rsidR="00BD117F" w:rsidRPr="00CB30A6">
        <w:rPr>
          <w:rFonts w:ascii="Arial" w:hAnsi="Arial" w:cs="Arial"/>
          <w:color w:val="1C1D1E"/>
          <w:shd w:val="clear" w:color="auto" w:fill="FFFFFF"/>
        </w:rPr>
        <w:t>), Writing – review and editing (equal)</w:t>
      </w:r>
      <w:r w:rsidR="00BD117F" w:rsidRPr="00CB30A6">
        <w:rPr>
          <w:rFonts w:ascii="Arial" w:hAnsi="Arial" w:cs="Arial"/>
          <w:lang w:val="en-US"/>
        </w:rPr>
        <w:t xml:space="preserve">. </w:t>
      </w:r>
    </w:p>
    <w:p w14:paraId="7C5BACE5" w14:textId="312B530B" w:rsidR="006A63A5" w:rsidRDefault="006A63A5">
      <w:pPr>
        <w:rPr>
          <w:rFonts w:ascii="Arial" w:hAnsi="Arial" w:cs="Arial"/>
          <w:lang w:val="en-US"/>
        </w:rPr>
      </w:pPr>
    </w:p>
    <w:p w14:paraId="11571AC3" w14:textId="77777777" w:rsidR="00CE5DC4" w:rsidRDefault="00CE5DC4">
      <w:pPr>
        <w:rPr>
          <w:rFonts w:ascii="Arial" w:hAnsi="Arial" w:cs="Arial"/>
          <w:lang w:val="en-US"/>
        </w:rPr>
      </w:pPr>
    </w:p>
    <w:p w14:paraId="053BAC3B" w14:textId="77777777" w:rsidR="00CE5DC4" w:rsidRDefault="00CE5DC4">
      <w:pPr>
        <w:rPr>
          <w:rFonts w:ascii="Arial" w:hAnsi="Arial" w:cs="Arial"/>
          <w:lang w:val="en-US"/>
        </w:rPr>
      </w:pPr>
    </w:p>
    <w:p w14:paraId="203B6281" w14:textId="77777777" w:rsidR="00CE5DC4" w:rsidRDefault="00CE5DC4">
      <w:pPr>
        <w:rPr>
          <w:rFonts w:ascii="Arial" w:hAnsi="Arial" w:cs="Arial"/>
          <w:lang w:val="en-US"/>
        </w:rPr>
      </w:pPr>
    </w:p>
    <w:p w14:paraId="7B56D03B" w14:textId="77777777" w:rsidR="00CE5DC4" w:rsidRDefault="00CE5DC4">
      <w:pPr>
        <w:rPr>
          <w:rFonts w:ascii="Arial" w:hAnsi="Arial" w:cs="Arial"/>
          <w:lang w:val="en-US"/>
        </w:rPr>
      </w:pPr>
    </w:p>
    <w:p w14:paraId="4D8F9735" w14:textId="77777777" w:rsidR="00CE5DC4" w:rsidRDefault="00CE5DC4">
      <w:pPr>
        <w:rPr>
          <w:rFonts w:ascii="Arial" w:hAnsi="Arial" w:cs="Arial"/>
          <w:lang w:val="en-US"/>
        </w:rPr>
      </w:pPr>
    </w:p>
    <w:p w14:paraId="303E6559" w14:textId="77777777" w:rsidR="00CE5DC4" w:rsidRDefault="00CE5DC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67D988D" w14:textId="74DCF730" w:rsidR="007D1A97" w:rsidRDefault="00CE5DC4" w:rsidP="00CE5DC4">
      <w:pPr>
        <w:pStyle w:val="Heading1"/>
        <w:rPr>
          <w:rFonts w:ascii="Arial" w:hAnsi="Arial" w:cs="Arial"/>
          <w:lang w:val="en-US"/>
        </w:rPr>
      </w:pPr>
      <w:r w:rsidRPr="00CE5DC4">
        <w:rPr>
          <w:rFonts w:ascii="Arial" w:hAnsi="Arial" w:cs="Arial"/>
          <w:lang w:val="en-US"/>
        </w:rPr>
        <w:lastRenderedPageBreak/>
        <w:t>References</w:t>
      </w:r>
    </w:p>
    <w:p w14:paraId="5C03D27D" w14:textId="77777777" w:rsidR="00CE5DC4" w:rsidRPr="00CE5DC4" w:rsidRDefault="00CE5DC4" w:rsidP="00CE5DC4">
      <w:pPr>
        <w:rPr>
          <w:lang w:val="en-US"/>
        </w:rPr>
      </w:pPr>
    </w:p>
    <w:p w14:paraId="23140EC1" w14:textId="76D2C71F" w:rsidR="00CE5DC4" w:rsidRPr="00CE5DC4" w:rsidRDefault="00CE5DC4" w:rsidP="00CE5DC4">
      <w:pPr>
        <w:pStyle w:val="Bibliography"/>
      </w:pPr>
      <w:r w:rsidRPr="00CE5DC4">
        <w:t xml:space="preserve">1. </w:t>
      </w:r>
      <w:r w:rsidRPr="00CE5DC4">
        <w:tab/>
        <w:t xml:space="preserve">Arshad SH, Raza A, Lau L, </w:t>
      </w:r>
      <w:proofErr w:type="spellStart"/>
      <w:r w:rsidRPr="00CE5DC4">
        <w:t>Bawakid</w:t>
      </w:r>
      <w:proofErr w:type="spellEnd"/>
      <w:r w:rsidRPr="00CE5DC4">
        <w:t xml:space="preserve"> K, </w:t>
      </w:r>
      <w:proofErr w:type="spellStart"/>
      <w:r w:rsidRPr="00CE5DC4">
        <w:t>Karmaus</w:t>
      </w:r>
      <w:proofErr w:type="spellEnd"/>
      <w:r w:rsidRPr="00CE5DC4">
        <w:t xml:space="preserve"> W, Zhang H, et al. Pathophysiological characterization of asthma transitions across adolescence. Respiratory Research. 2014 Nov 29;15(1):1–11. </w:t>
      </w:r>
    </w:p>
    <w:p w14:paraId="5386BA9C" w14:textId="77777777" w:rsidR="00CE5DC4" w:rsidRPr="00CE5DC4" w:rsidRDefault="00CE5DC4" w:rsidP="00CE5DC4">
      <w:pPr>
        <w:pStyle w:val="Bibliography"/>
      </w:pPr>
      <w:r w:rsidRPr="00CE5DC4">
        <w:t xml:space="preserve">2. </w:t>
      </w:r>
      <w:r w:rsidRPr="00CE5DC4">
        <w:tab/>
      </w:r>
      <w:proofErr w:type="spellStart"/>
      <w:r w:rsidRPr="00CE5DC4">
        <w:t>Waserman</w:t>
      </w:r>
      <w:proofErr w:type="spellEnd"/>
      <w:r w:rsidRPr="00CE5DC4">
        <w:t xml:space="preserve"> S, Nair P, Snider D, Conway M, Jayaram L, McCleary LM, et al. Local and systemic immunological parameters associated with remission of asthma symptoms in children. All </w:t>
      </w:r>
      <w:proofErr w:type="spellStart"/>
      <w:r w:rsidRPr="00CE5DC4">
        <w:t>Asth</w:t>
      </w:r>
      <w:proofErr w:type="spellEnd"/>
      <w:r w:rsidRPr="00CE5DC4">
        <w:t xml:space="preserve"> Clin Immun. 2012 Oct 8;8(1):16. </w:t>
      </w:r>
    </w:p>
    <w:p w14:paraId="72B1CADC" w14:textId="11D6F4B3" w:rsidR="00CE5DC4" w:rsidRDefault="00CE5DC4" w:rsidP="00CE5DC4">
      <w:pPr>
        <w:pStyle w:val="Bibliography"/>
      </w:pPr>
      <w:r w:rsidRPr="00CE5DC4">
        <w:t xml:space="preserve">3. </w:t>
      </w:r>
      <w:r w:rsidRPr="00CE5DC4">
        <w:tab/>
        <w:t xml:space="preserve">Arshad SH, Holloway JW, </w:t>
      </w:r>
      <w:proofErr w:type="spellStart"/>
      <w:r w:rsidRPr="00CE5DC4">
        <w:t>Karmaus</w:t>
      </w:r>
      <w:proofErr w:type="spellEnd"/>
      <w:r w:rsidRPr="00CE5DC4">
        <w:t xml:space="preserve"> W, Zhang H, Ewart S, Mansfield L, et al. Cohort Profile: The Isle </w:t>
      </w:r>
      <w:proofErr w:type="gramStart"/>
      <w:r w:rsidRPr="00CE5DC4">
        <w:t>Of</w:t>
      </w:r>
      <w:proofErr w:type="gramEnd"/>
      <w:r w:rsidRPr="00CE5DC4">
        <w:t xml:space="preserve"> Wight Whole Population Birth Cohort (IOWBC). International Journal of Epidemiology. 2018 Aug 1;47(4):1043–1044i. </w:t>
      </w:r>
    </w:p>
    <w:p w14:paraId="7E76264E" w14:textId="15DBB078" w:rsidR="00CC63D1" w:rsidRPr="00CC63D1" w:rsidRDefault="00DE3225" w:rsidP="00722A20">
      <w:pPr>
        <w:ind w:left="426" w:hanging="426"/>
      </w:pPr>
      <w:r>
        <w:t>4</w:t>
      </w:r>
      <w:r w:rsidR="00CC63D1">
        <w:t xml:space="preserve">.    </w:t>
      </w:r>
      <w:proofErr w:type="spellStart"/>
      <w:r w:rsidR="00CC63D1">
        <w:t>Glas</w:t>
      </w:r>
      <w:proofErr w:type="spellEnd"/>
      <w:r w:rsidR="00CC63D1">
        <w:t xml:space="preserve"> AS, </w:t>
      </w:r>
      <w:proofErr w:type="spellStart"/>
      <w:r w:rsidR="00CC63D1">
        <w:t>Lijmer</w:t>
      </w:r>
      <w:proofErr w:type="spellEnd"/>
      <w:r w:rsidR="00CC63D1">
        <w:t xml:space="preserve">, JG, </w:t>
      </w:r>
      <w:proofErr w:type="spellStart"/>
      <w:r w:rsidR="00CC63D1">
        <w:t>Prins</w:t>
      </w:r>
      <w:proofErr w:type="spellEnd"/>
      <w:r w:rsidR="00CC63D1">
        <w:t xml:space="preserve"> MH, </w:t>
      </w:r>
      <w:proofErr w:type="spellStart"/>
      <w:r w:rsidR="00CC63D1">
        <w:t>Bonsel</w:t>
      </w:r>
      <w:proofErr w:type="spellEnd"/>
      <w:r w:rsidR="00CC63D1">
        <w:t xml:space="preserve"> GJ, </w:t>
      </w:r>
      <w:proofErr w:type="spellStart"/>
      <w:r w:rsidR="00CC63D1">
        <w:t>Bossuyt</w:t>
      </w:r>
      <w:proofErr w:type="spellEnd"/>
      <w:r w:rsidR="00CC63D1">
        <w:t xml:space="preserve"> MMP, The diagnostic odds ratio: a single    indicator of test performance. J Clin Epidemiology. </w:t>
      </w:r>
      <w:r w:rsidR="003C5EC8">
        <w:t xml:space="preserve">2003, </w:t>
      </w:r>
      <w:r w:rsidR="00CC63D1">
        <w:t>56</w:t>
      </w:r>
      <w:r w:rsidR="003C5EC8">
        <w:t>:1129-1135.</w:t>
      </w:r>
    </w:p>
    <w:p w14:paraId="29C0521C" w14:textId="32D61B45" w:rsidR="00CE5DC4" w:rsidRPr="00CE5DC4" w:rsidRDefault="00DE3225" w:rsidP="00CE5DC4">
      <w:pPr>
        <w:pStyle w:val="Bibliography"/>
      </w:pPr>
      <w:r>
        <w:t>5</w:t>
      </w:r>
      <w:r w:rsidR="00CE5DC4" w:rsidRPr="00CE5DC4">
        <w:t xml:space="preserve">. </w:t>
      </w:r>
      <w:r w:rsidR="00CE5DC4" w:rsidRPr="00CE5DC4">
        <w:tab/>
        <w:t xml:space="preserve">Kurukulaaratchy RJ, Matthews S, Arshad SH. Defining childhood atopic phenotypes to investigate the association of atopic sensitization with allergic disease. Allergy. 2005;60(10):1280–6. </w:t>
      </w:r>
    </w:p>
    <w:p w14:paraId="521ABD22" w14:textId="17E0E5D6" w:rsidR="00CE5DC4" w:rsidRPr="00CE5DC4" w:rsidRDefault="00DE3225" w:rsidP="00CE5DC4">
      <w:pPr>
        <w:pStyle w:val="Bibliography"/>
      </w:pPr>
      <w:r>
        <w:t>6</w:t>
      </w:r>
      <w:r w:rsidR="00CE5DC4" w:rsidRPr="00CE5DC4">
        <w:t xml:space="preserve">. </w:t>
      </w:r>
      <w:r w:rsidR="00CE5DC4" w:rsidRPr="00CE5DC4">
        <w:tab/>
        <w:t xml:space="preserve">Leonard C, </w:t>
      </w:r>
      <w:proofErr w:type="spellStart"/>
      <w:r w:rsidR="00CE5DC4" w:rsidRPr="00CE5DC4">
        <w:t>Tormey</w:t>
      </w:r>
      <w:proofErr w:type="spellEnd"/>
      <w:r w:rsidR="00CE5DC4" w:rsidRPr="00CE5DC4">
        <w:t xml:space="preserve"> V, Burke C, Poulter LW. Allergen-induced cytokine production in atopic disease and its relationship to disease severity. Am J Respir Cell Mol Biol. 1997 Sep;17(3):368–75. </w:t>
      </w:r>
    </w:p>
    <w:p w14:paraId="66D6ADB2" w14:textId="29DDF1F3" w:rsidR="00CE5DC4" w:rsidRPr="00CE5DC4" w:rsidRDefault="00DE3225" w:rsidP="00CE5DC4">
      <w:pPr>
        <w:pStyle w:val="Bibliography"/>
      </w:pPr>
      <w:r>
        <w:t>7</w:t>
      </w:r>
      <w:r w:rsidR="00CE5DC4" w:rsidRPr="00CE5DC4">
        <w:t xml:space="preserve">. </w:t>
      </w:r>
      <w:r w:rsidR="00CE5DC4" w:rsidRPr="00CE5DC4">
        <w:tab/>
        <w:t xml:space="preserve">Lambrecht BN, Hammad H, Fahy JV. The Cytokines of Asthma. Immunity. 2019 Apr 16;50(4):975–91. </w:t>
      </w:r>
    </w:p>
    <w:p w14:paraId="54D27887" w14:textId="4297BB63" w:rsidR="00CE5DC4" w:rsidRPr="00CE5DC4" w:rsidRDefault="00DE3225" w:rsidP="00CE5DC4">
      <w:pPr>
        <w:pStyle w:val="Bibliography"/>
      </w:pPr>
      <w:r>
        <w:t>8</w:t>
      </w:r>
      <w:r w:rsidR="00CE5DC4" w:rsidRPr="00CE5DC4">
        <w:t xml:space="preserve">. </w:t>
      </w:r>
      <w:r w:rsidR="00CE5DC4" w:rsidRPr="00CE5DC4">
        <w:tab/>
      </w:r>
      <w:proofErr w:type="spellStart"/>
      <w:r w:rsidR="00CE5DC4" w:rsidRPr="00CE5DC4">
        <w:t>Farne</w:t>
      </w:r>
      <w:proofErr w:type="spellEnd"/>
      <w:r w:rsidR="00CE5DC4" w:rsidRPr="00CE5DC4">
        <w:t xml:space="preserve"> HA, Wilson A, Powell C, </w:t>
      </w:r>
      <w:proofErr w:type="spellStart"/>
      <w:r w:rsidR="00CE5DC4" w:rsidRPr="00CE5DC4">
        <w:t>Bax</w:t>
      </w:r>
      <w:proofErr w:type="spellEnd"/>
      <w:r w:rsidR="00CE5DC4" w:rsidRPr="00CE5DC4">
        <w:t xml:space="preserve"> L, Milan SJ. Anti‐IL5 therapies for asthma. Cochrane Database of Systematic Reviews [Internet]. 2017 [cited 2021 May </w:t>
      </w:r>
      <w:proofErr w:type="gramStart"/>
      <w:r w:rsidR="00CE5DC4" w:rsidRPr="00CE5DC4">
        <w:t>17];(</w:t>
      </w:r>
      <w:proofErr w:type="gramEnd"/>
      <w:r w:rsidR="00CE5DC4" w:rsidRPr="00CE5DC4">
        <w:t>9). Available from: https://www.cochranelibrary.com/cdsr/doi/10.1002/14651858.CD010834.pub3/full</w:t>
      </w:r>
    </w:p>
    <w:p w14:paraId="2966BE58" w14:textId="51FCA313" w:rsidR="00CE5DC4" w:rsidRPr="00CE5DC4" w:rsidRDefault="00DE3225" w:rsidP="00CE5DC4">
      <w:pPr>
        <w:pStyle w:val="Bibliography"/>
      </w:pPr>
      <w:r>
        <w:t>9</w:t>
      </w:r>
      <w:r w:rsidR="00CE5DC4" w:rsidRPr="00CE5DC4">
        <w:t xml:space="preserve">. </w:t>
      </w:r>
      <w:r w:rsidR="00CE5DC4" w:rsidRPr="00CE5DC4">
        <w:tab/>
        <w:t xml:space="preserve">Zhang J, Walters EH, Tang MLK, Lowe AJ, Lodge CJ, Bui D, et al. Serum cytokine concentrations and asthma persistence to middle age. Allergy. 2020;75(11):2985–8. </w:t>
      </w:r>
    </w:p>
    <w:p w14:paraId="27F3F4A0" w14:textId="0C0D5717" w:rsidR="00AA26CB" w:rsidRDefault="00AA26CB" w:rsidP="006B007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7E307FF" w14:textId="19AEEE8A" w:rsidR="00CE5DC4" w:rsidRDefault="00CE5D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01D18A" w14:textId="1CAB09F9" w:rsidR="00AA26CB" w:rsidRPr="00CE5DC4" w:rsidRDefault="00CE5DC4" w:rsidP="00CE5DC4">
      <w:pPr>
        <w:pStyle w:val="Heading1"/>
        <w:rPr>
          <w:rFonts w:ascii="Arial" w:hAnsi="Arial" w:cs="Arial"/>
        </w:rPr>
      </w:pPr>
      <w:r w:rsidRPr="00CE5DC4">
        <w:rPr>
          <w:rFonts w:ascii="Arial" w:hAnsi="Arial" w:cs="Arial"/>
        </w:rPr>
        <w:lastRenderedPageBreak/>
        <w:t>Tables</w:t>
      </w:r>
    </w:p>
    <w:p w14:paraId="23E31AFF" w14:textId="77777777" w:rsidR="006A63A5" w:rsidRDefault="006A63A5">
      <w:pPr>
        <w:rPr>
          <w:rFonts w:ascii="Arial" w:hAnsi="Arial" w:cs="Arial"/>
          <w:lang w:val="en-US"/>
        </w:rPr>
      </w:pPr>
    </w:p>
    <w:p w14:paraId="586AA801" w14:textId="77777777" w:rsidR="006A63A5" w:rsidRDefault="006A63A5">
      <w:pPr>
        <w:rPr>
          <w:rFonts w:ascii="Arial" w:hAnsi="Arial" w:cs="Arial"/>
          <w:lang w:val="en-US"/>
        </w:rPr>
      </w:pPr>
    </w:p>
    <w:tbl>
      <w:tblPr>
        <w:tblStyle w:val="TableGrid"/>
        <w:tblW w:w="3433" w:type="pct"/>
        <w:jc w:val="center"/>
        <w:tblLook w:val="04A0" w:firstRow="1" w:lastRow="0" w:firstColumn="1" w:lastColumn="0" w:noHBand="0" w:noVBand="1"/>
      </w:tblPr>
      <w:tblGrid>
        <w:gridCol w:w="3256"/>
        <w:gridCol w:w="2934"/>
      </w:tblGrid>
      <w:tr w:rsidR="006A63A5" w:rsidRPr="009D2212" w14:paraId="576D0F8E" w14:textId="77777777" w:rsidTr="006D373B">
        <w:trPr>
          <w:trHeight w:val="374"/>
          <w:jc w:val="center"/>
        </w:trPr>
        <w:tc>
          <w:tcPr>
            <w:tcW w:w="2630" w:type="pct"/>
            <w:vAlign w:val="center"/>
          </w:tcPr>
          <w:p w14:paraId="12811744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b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b/>
                <w:noProof/>
                <w:sz w:val="16"/>
                <w:szCs w:val="10"/>
              </w:rPr>
              <w:t>Clinical characteristics</w:t>
            </w:r>
          </w:p>
        </w:tc>
        <w:tc>
          <w:tcPr>
            <w:tcW w:w="2370" w:type="pct"/>
            <w:vAlign w:val="center"/>
          </w:tcPr>
          <w:p w14:paraId="7D6644DF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b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0"/>
              </w:rPr>
              <w:t>Percentage (%), frequency</w:t>
            </w:r>
            <w:r w:rsidRPr="009D2212">
              <w:rPr>
                <w:rFonts w:ascii="Arial" w:hAnsi="Arial" w:cs="Arial"/>
                <w:b/>
                <w:noProof/>
                <w:sz w:val="16"/>
                <w:szCs w:val="10"/>
              </w:rPr>
              <w:t xml:space="preserve"> (</w:t>
            </w:r>
            <w:r>
              <w:rPr>
                <w:rFonts w:ascii="Arial" w:hAnsi="Arial" w:cs="Arial"/>
                <w:b/>
                <w:noProof/>
                <w:sz w:val="16"/>
                <w:szCs w:val="10"/>
              </w:rPr>
              <w:t>n</w:t>
            </w:r>
            <w:r w:rsidRPr="009D2212">
              <w:rPr>
                <w:rFonts w:ascii="Arial" w:hAnsi="Arial" w:cs="Arial"/>
                <w:b/>
                <w:noProof/>
                <w:sz w:val="16"/>
                <w:szCs w:val="10"/>
              </w:rPr>
              <w:t>)</w:t>
            </w:r>
          </w:p>
        </w:tc>
      </w:tr>
      <w:tr w:rsidR="006A63A5" w:rsidRPr="009D2212" w14:paraId="601FF6A6" w14:textId="77777777" w:rsidTr="006D373B">
        <w:trPr>
          <w:trHeight w:val="359"/>
          <w:jc w:val="center"/>
        </w:trPr>
        <w:tc>
          <w:tcPr>
            <w:tcW w:w="5000" w:type="pct"/>
            <w:gridSpan w:val="2"/>
            <w:vAlign w:val="center"/>
          </w:tcPr>
          <w:p w14:paraId="0DFA8DD6" w14:textId="77777777" w:rsidR="006A63A5" w:rsidRPr="009D2212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Asthma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 xml:space="preserve"> (yes)</w:t>
            </w:r>
          </w:p>
        </w:tc>
      </w:tr>
      <w:tr w:rsidR="006A63A5" w:rsidRPr="009D2212" w14:paraId="10754E38" w14:textId="77777777" w:rsidTr="006D373B">
        <w:trPr>
          <w:trHeight w:val="374"/>
          <w:jc w:val="center"/>
        </w:trPr>
        <w:tc>
          <w:tcPr>
            <w:tcW w:w="2630" w:type="pct"/>
            <w:vAlign w:val="center"/>
          </w:tcPr>
          <w:p w14:paraId="45462914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noProof/>
                <w:sz w:val="16"/>
                <w:szCs w:val="10"/>
              </w:rPr>
              <w:t>Age 10</w:t>
            </w:r>
          </w:p>
        </w:tc>
        <w:tc>
          <w:tcPr>
            <w:tcW w:w="2370" w:type="pct"/>
            <w:vAlign w:val="center"/>
          </w:tcPr>
          <w:p w14:paraId="2FA2B7E3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6.4% (18)</w:t>
            </w:r>
          </w:p>
        </w:tc>
      </w:tr>
      <w:tr w:rsidR="006A63A5" w:rsidRPr="009D2212" w14:paraId="31688C31" w14:textId="77777777" w:rsidTr="006D373B">
        <w:trPr>
          <w:trHeight w:val="359"/>
          <w:jc w:val="center"/>
        </w:trPr>
        <w:tc>
          <w:tcPr>
            <w:tcW w:w="2630" w:type="pct"/>
            <w:vAlign w:val="center"/>
          </w:tcPr>
          <w:p w14:paraId="7F466A25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noProof/>
                <w:sz w:val="16"/>
                <w:szCs w:val="10"/>
              </w:rPr>
              <w:t>Age 18</w:t>
            </w:r>
          </w:p>
        </w:tc>
        <w:tc>
          <w:tcPr>
            <w:tcW w:w="2370" w:type="pct"/>
            <w:vAlign w:val="center"/>
          </w:tcPr>
          <w:p w14:paraId="4B63094C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10.3% (41)</w:t>
            </w:r>
          </w:p>
        </w:tc>
      </w:tr>
      <w:tr w:rsidR="006A63A5" w:rsidRPr="009D2212" w14:paraId="08AB5A36" w14:textId="77777777" w:rsidTr="006D373B">
        <w:trPr>
          <w:trHeight w:val="202"/>
          <w:jc w:val="center"/>
        </w:trPr>
        <w:tc>
          <w:tcPr>
            <w:tcW w:w="2630" w:type="pct"/>
            <w:vAlign w:val="center"/>
          </w:tcPr>
          <w:p w14:paraId="12D6F6A4" w14:textId="77777777" w:rsidR="006A63A5" w:rsidRPr="009D2212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 xml:space="preserve">Persistent asthma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(yes)</w:t>
            </w:r>
          </w:p>
        </w:tc>
        <w:tc>
          <w:tcPr>
            <w:tcW w:w="2370" w:type="pct"/>
            <w:vAlign w:val="center"/>
          </w:tcPr>
          <w:p w14:paraId="5BC0A5F4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</w:p>
        </w:tc>
      </w:tr>
      <w:tr w:rsidR="006A63A5" w:rsidRPr="009D2212" w14:paraId="534DC98E" w14:textId="77777777" w:rsidTr="006D373B">
        <w:trPr>
          <w:trHeight w:val="359"/>
          <w:jc w:val="center"/>
        </w:trPr>
        <w:tc>
          <w:tcPr>
            <w:tcW w:w="2630" w:type="pct"/>
            <w:vAlign w:val="center"/>
          </w:tcPr>
          <w:p w14:paraId="30B0718E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noProof/>
                <w:sz w:val="16"/>
                <w:szCs w:val="10"/>
              </w:rPr>
              <w:t>Age 10 to 18</w:t>
            </w:r>
          </w:p>
        </w:tc>
        <w:tc>
          <w:tcPr>
            <w:tcW w:w="2370" w:type="pct"/>
            <w:vAlign w:val="center"/>
          </w:tcPr>
          <w:p w14:paraId="7C01274E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3.9% (11)</w:t>
            </w:r>
          </w:p>
        </w:tc>
      </w:tr>
      <w:tr w:rsidR="006A63A5" w:rsidRPr="009D2212" w14:paraId="0BAF8E87" w14:textId="77777777" w:rsidTr="006D373B">
        <w:trPr>
          <w:trHeight w:val="374"/>
          <w:jc w:val="center"/>
        </w:trPr>
        <w:tc>
          <w:tcPr>
            <w:tcW w:w="2630" w:type="pct"/>
            <w:vAlign w:val="center"/>
          </w:tcPr>
          <w:p w14:paraId="6A3A2DEA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noProof/>
                <w:sz w:val="16"/>
                <w:szCs w:val="10"/>
              </w:rPr>
              <w:t>Age 18 to 26</w:t>
            </w:r>
          </w:p>
        </w:tc>
        <w:tc>
          <w:tcPr>
            <w:tcW w:w="2370" w:type="pct"/>
            <w:vAlign w:val="center"/>
          </w:tcPr>
          <w:p w14:paraId="55006856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6.2% (24)</w:t>
            </w:r>
          </w:p>
        </w:tc>
      </w:tr>
      <w:tr w:rsidR="006A63A5" w:rsidRPr="009D2212" w14:paraId="7C71B68E" w14:textId="77777777" w:rsidTr="006D373B">
        <w:trPr>
          <w:trHeight w:val="374"/>
          <w:jc w:val="center"/>
        </w:trPr>
        <w:tc>
          <w:tcPr>
            <w:tcW w:w="2630" w:type="pct"/>
            <w:vAlign w:val="center"/>
          </w:tcPr>
          <w:p w14:paraId="68FB7801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10 to 26</w:t>
            </w:r>
          </w:p>
        </w:tc>
        <w:tc>
          <w:tcPr>
            <w:tcW w:w="2370" w:type="pct"/>
            <w:vAlign w:val="center"/>
          </w:tcPr>
          <w:p w14:paraId="1237A997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2.1% (6)</w:t>
            </w:r>
          </w:p>
        </w:tc>
      </w:tr>
      <w:tr w:rsidR="006A63A5" w:rsidRPr="009D2212" w14:paraId="003083BD" w14:textId="77777777" w:rsidTr="006D373B">
        <w:trPr>
          <w:trHeight w:val="329"/>
          <w:jc w:val="center"/>
        </w:trPr>
        <w:tc>
          <w:tcPr>
            <w:tcW w:w="5000" w:type="pct"/>
            <w:gridSpan w:val="2"/>
            <w:vAlign w:val="center"/>
          </w:tcPr>
          <w:p w14:paraId="31756856" w14:textId="77777777" w:rsidR="006A63A5" w:rsidRPr="009D2212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Atopic</w:t>
            </w:r>
            <w:r w:rsidRPr="009D2212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(yes)</w:t>
            </w:r>
          </w:p>
        </w:tc>
      </w:tr>
      <w:tr w:rsidR="006A63A5" w:rsidRPr="009D2212" w14:paraId="3009A7BF" w14:textId="77777777" w:rsidTr="006D373B">
        <w:trPr>
          <w:trHeight w:val="374"/>
          <w:jc w:val="center"/>
        </w:trPr>
        <w:tc>
          <w:tcPr>
            <w:tcW w:w="2630" w:type="pct"/>
            <w:vAlign w:val="center"/>
          </w:tcPr>
          <w:p w14:paraId="603A8AA1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noProof/>
                <w:sz w:val="16"/>
                <w:szCs w:val="10"/>
              </w:rPr>
              <w:t>Age 10</w:t>
            </w:r>
          </w:p>
        </w:tc>
        <w:tc>
          <w:tcPr>
            <w:tcW w:w="2370" w:type="pct"/>
            <w:vAlign w:val="center"/>
          </w:tcPr>
          <w:p w14:paraId="40E51955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13% (36)</w:t>
            </w:r>
          </w:p>
        </w:tc>
      </w:tr>
      <w:tr w:rsidR="006A63A5" w:rsidRPr="009D2212" w14:paraId="4E60BB72" w14:textId="77777777" w:rsidTr="006D373B">
        <w:trPr>
          <w:trHeight w:val="359"/>
          <w:jc w:val="center"/>
        </w:trPr>
        <w:tc>
          <w:tcPr>
            <w:tcW w:w="2630" w:type="pct"/>
            <w:vAlign w:val="center"/>
          </w:tcPr>
          <w:p w14:paraId="7D752A5E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 w:rsidRPr="009D2212">
              <w:rPr>
                <w:rFonts w:ascii="Arial" w:hAnsi="Arial" w:cs="Arial"/>
                <w:noProof/>
                <w:sz w:val="16"/>
                <w:szCs w:val="10"/>
              </w:rPr>
              <w:t>Age 18</w:t>
            </w:r>
          </w:p>
        </w:tc>
        <w:tc>
          <w:tcPr>
            <w:tcW w:w="2370" w:type="pct"/>
            <w:vAlign w:val="center"/>
          </w:tcPr>
          <w:p w14:paraId="12E74C24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26.2% (102)</w:t>
            </w:r>
          </w:p>
        </w:tc>
      </w:tr>
      <w:tr w:rsidR="006A63A5" w:rsidRPr="009D2212" w14:paraId="624F344E" w14:textId="77777777" w:rsidTr="006D373B">
        <w:trPr>
          <w:trHeight w:val="380"/>
          <w:jc w:val="center"/>
        </w:trPr>
        <w:tc>
          <w:tcPr>
            <w:tcW w:w="5000" w:type="pct"/>
            <w:gridSpan w:val="2"/>
            <w:vAlign w:val="center"/>
          </w:tcPr>
          <w:p w14:paraId="7003F15B" w14:textId="77777777" w:rsidR="006A63A5" w:rsidRPr="00D250FC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 w:rsidRPr="00D250FC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Sex, Female</w:t>
            </w:r>
          </w:p>
        </w:tc>
      </w:tr>
      <w:tr w:rsidR="006A63A5" w:rsidRPr="009D2212" w14:paraId="2B05D9C0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1396851B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10</w:t>
            </w:r>
          </w:p>
        </w:tc>
        <w:tc>
          <w:tcPr>
            <w:tcW w:w="2370" w:type="pct"/>
            <w:vAlign w:val="center"/>
          </w:tcPr>
          <w:p w14:paraId="107D1E73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53.5% (151)</w:t>
            </w:r>
          </w:p>
        </w:tc>
      </w:tr>
      <w:tr w:rsidR="006A63A5" w:rsidRPr="009D2212" w14:paraId="525AFA09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1A7F6887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 xml:space="preserve">Age 18 </w:t>
            </w:r>
          </w:p>
        </w:tc>
        <w:tc>
          <w:tcPr>
            <w:tcW w:w="2370" w:type="pct"/>
            <w:vAlign w:val="center"/>
          </w:tcPr>
          <w:p w14:paraId="24D9CB5A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51.8% (206)</w:t>
            </w:r>
          </w:p>
        </w:tc>
      </w:tr>
      <w:tr w:rsidR="006A63A5" w:rsidRPr="009D2212" w14:paraId="6583CC91" w14:textId="77777777" w:rsidTr="006D373B">
        <w:trPr>
          <w:trHeight w:val="380"/>
          <w:jc w:val="center"/>
        </w:trPr>
        <w:tc>
          <w:tcPr>
            <w:tcW w:w="5000" w:type="pct"/>
            <w:gridSpan w:val="2"/>
            <w:vAlign w:val="center"/>
          </w:tcPr>
          <w:p w14:paraId="073709E8" w14:textId="77777777" w:rsidR="006A63A5" w:rsidRPr="009D2212" w:rsidRDefault="006A63A5" w:rsidP="006D373B">
            <w:pPr>
              <w:rPr>
                <w:rFonts w:ascii="Arial" w:hAnsi="Arial" w:cs="Arial"/>
                <w:noProof/>
                <w:sz w:val="16"/>
                <w:szCs w:val="10"/>
              </w:rPr>
            </w:pPr>
            <w:r w:rsidRPr="00D250FC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Maternal smoking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, Yes</w:t>
            </w:r>
          </w:p>
        </w:tc>
      </w:tr>
      <w:tr w:rsidR="006A63A5" w:rsidRPr="009D2212" w14:paraId="2103962D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0C4BB4DD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10</w:t>
            </w:r>
          </w:p>
        </w:tc>
        <w:tc>
          <w:tcPr>
            <w:tcW w:w="2370" w:type="pct"/>
            <w:vAlign w:val="center"/>
          </w:tcPr>
          <w:p w14:paraId="4F664220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17.6% (49/)</w:t>
            </w:r>
          </w:p>
        </w:tc>
      </w:tr>
      <w:tr w:rsidR="006A63A5" w:rsidRPr="009D2212" w14:paraId="39F277C8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21A4F9F1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18</w:t>
            </w:r>
          </w:p>
        </w:tc>
        <w:tc>
          <w:tcPr>
            <w:tcW w:w="2370" w:type="pct"/>
            <w:vAlign w:val="center"/>
          </w:tcPr>
          <w:p w14:paraId="511551DD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19.1% (75/)</w:t>
            </w:r>
          </w:p>
        </w:tc>
      </w:tr>
      <w:tr w:rsidR="006A63A5" w:rsidRPr="009D2212" w14:paraId="1F2B91C7" w14:textId="77777777" w:rsidTr="006D373B">
        <w:trPr>
          <w:trHeight w:val="380"/>
          <w:jc w:val="center"/>
        </w:trPr>
        <w:tc>
          <w:tcPr>
            <w:tcW w:w="5000" w:type="pct"/>
            <w:gridSpan w:val="2"/>
            <w:vAlign w:val="center"/>
          </w:tcPr>
          <w:p w14:paraId="25EA0E19" w14:textId="77777777" w:rsidR="006A63A5" w:rsidRPr="00D250FC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 w:rsidRPr="00D250FC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Cord IgE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, high (≥0.5 kU/L)</w:t>
            </w:r>
          </w:p>
        </w:tc>
      </w:tr>
      <w:tr w:rsidR="006A63A5" w:rsidRPr="009D2212" w14:paraId="4C3E2755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658437B6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10</w:t>
            </w:r>
          </w:p>
        </w:tc>
        <w:tc>
          <w:tcPr>
            <w:tcW w:w="2370" w:type="pct"/>
            <w:vAlign w:val="center"/>
          </w:tcPr>
          <w:p w14:paraId="1C5A38B5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10.9% (25)</w:t>
            </w:r>
          </w:p>
        </w:tc>
      </w:tr>
      <w:tr w:rsidR="006A63A5" w:rsidRPr="009D2212" w14:paraId="1F4AE136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0777CED6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18</w:t>
            </w:r>
          </w:p>
        </w:tc>
        <w:tc>
          <w:tcPr>
            <w:tcW w:w="2370" w:type="pct"/>
            <w:vAlign w:val="center"/>
          </w:tcPr>
          <w:p w14:paraId="1A468AE3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10.6% (33)</w:t>
            </w:r>
          </w:p>
        </w:tc>
      </w:tr>
      <w:tr w:rsidR="006A63A5" w:rsidRPr="009D2212" w14:paraId="1A7528FA" w14:textId="77777777" w:rsidTr="006D373B">
        <w:trPr>
          <w:trHeight w:val="380"/>
          <w:jc w:val="center"/>
        </w:trPr>
        <w:tc>
          <w:tcPr>
            <w:tcW w:w="5000" w:type="pct"/>
            <w:gridSpan w:val="2"/>
            <w:vAlign w:val="center"/>
          </w:tcPr>
          <w:p w14:paraId="16AE97AE" w14:textId="77777777" w:rsidR="006A63A5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 w:rsidRPr="00D250FC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 xml:space="preserve">Family history of atopic disease </w:t>
            </w:r>
          </w:p>
          <w:p w14:paraId="42FDB77E" w14:textId="77777777" w:rsidR="006A63A5" w:rsidRPr="00D250FC" w:rsidRDefault="006A63A5" w:rsidP="006D373B">
            <w:pPr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</w:pPr>
            <w:r w:rsidRPr="00D250FC">
              <w:rPr>
                <w:rFonts w:ascii="Arial" w:hAnsi="Arial" w:cs="Arial"/>
                <w:b/>
                <w:bCs/>
                <w:noProof/>
                <w:sz w:val="16"/>
                <w:szCs w:val="10"/>
              </w:rPr>
              <w:t>(asthma, eczema, rhinitis, food allergy)</w:t>
            </w:r>
          </w:p>
        </w:tc>
      </w:tr>
      <w:tr w:rsidR="006A63A5" w:rsidRPr="009D2212" w14:paraId="7447EFC3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1BB1CE3F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10</w:t>
            </w:r>
          </w:p>
        </w:tc>
        <w:tc>
          <w:tcPr>
            <w:tcW w:w="2370" w:type="pct"/>
            <w:vAlign w:val="center"/>
          </w:tcPr>
          <w:p w14:paraId="0F420F0C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60.7% (170)</w:t>
            </w:r>
          </w:p>
        </w:tc>
      </w:tr>
      <w:tr w:rsidR="006A63A5" w:rsidRPr="009D2212" w14:paraId="78783155" w14:textId="77777777" w:rsidTr="006D373B">
        <w:trPr>
          <w:trHeight w:val="380"/>
          <w:jc w:val="center"/>
        </w:trPr>
        <w:tc>
          <w:tcPr>
            <w:tcW w:w="2630" w:type="pct"/>
            <w:vAlign w:val="center"/>
          </w:tcPr>
          <w:p w14:paraId="06C5F2B8" w14:textId="77777777" w:rsidR="006A63A5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Age 18</w:t>
            </w:r>
          </w:p>
        </w:tc>
        <w:tc>
          <w:tcPr>
            <w:tcW w:w="2370" w:type="pct"/>
            <w:vAlign w:val="center"/>
          </w:tcPr>
          <w:p w14:paraId="72FD3F74" w14:textId="77777777" w:rsidR="006A63A5" w:rsidRPr="009D2212" w:rsidRDefault="006A63A5" w:rsidP="006D373B">
            <w:pPr>
              <w:jc w:val="center"/>
              <w:rPr>
                <w:rFonts w:ascii="Arial" w:hAnsi="Arial" w:cs="Arial"/>
                <w:noProof/>
                <w:sz w:val="16"/>
                <w:szCs w:val="10"/>
              </w:rPr>
            </w:pPr>
            <w:r>
              <w:rPr>
                <w:rFonts w:ascii="Arial" w:hAnsi="Arial" w:cs="Arial"/>
                <w:noProof/>
                <w:sz w:val="16"/>
                <w:szCs w:val="10"/>
              </w:rPr>
              <w:t>62.7% (247)</w:t>
            </w:r>
          </w:p>
        </w:tc>
      </w:tr>
    </w:tbl>
    <w:p w14:paraId="3609952C" w14:textId="77777777" w:rsidR="006A63A5" w:rsidRDefault="006A63A5" w:rsidP="006A63A5">
      <w:pPr>
        <w:rPr>
          <w:rFonts w:ascii="Arial" w:hAnsi="Arial" w:cs="Arial"/>
          <w:b/>
          <w:bCs/>
          <w:noProof/>
          <w:sz w:val="18"/>
          <w:szCs w:val="18"/>
          <w:u w:val="single"/>
        </w:rPr>
      </w:pPr>
    </w:p>
    <w:p w14:paraId="28AC863D" w14:textId="533F0E6C" w:rsidR="006A63A5" w:rsidRPr="00EC2C52" w:rsidRDefault="006A63A5" w:rsidP="006A63A5">
      <w:pPr>
        <w:rPr>
          <w:b/>
          <w:bCs/>
          <w:sz w:val="18"/>
          <w:szCs w:val="18"/>
          <w:lang w:val="en-US"/>
        </w:rPr>
      </w:pPr>
      <w:r w:rsidRPr="00EC2C52">
        <w:rPr>
          <w:rFonts w:ascii="Arial" w:hAnsi="Arial" w:cs="Arial"/>
          <w:b/>
          <w:bCs/>
          <w:noProof/>
          <w:sz w:val="18"/>
          <w:szCs w:val="18"/>
        </w:rPr>
        <w:t>Table 1. Clinical characteristics of the study participants</w:t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 with cytokine data</w:t>
      </w:r>
      <w:r w:rsidRPr="00EC2C52">
        <w:rPr>
          <w:rFonts w:ascii="Arial" w:hAnsi="Arial" w:cs="Arial"/>
          <w:b/>
          <w:bCs/>
          <w:noProof/>
          <w:sz w:val="18"/>
          <w:szCs w:val="18"/>
        </w:rPr>
        <w:t>.</w:t>
      </w:r>
    </w:p>
    <w:p w14:paraId="3CFFB48F" w14:textId="4849F5E2" w:rsidR="006A63A5" w:rsidRDefault="006A63A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43855B5" w14:textId="77777777" w:rsidR="00290B66" w:rsidRDefault="00290B66">
      <w:pPr>
        <w:rPr>
          <w:rFonts w:ascii="Arial" w:hAnsi="Arial" w:cs="Arial"/>
          <w:lang w:val="en-US"/>
        </w:rPr>
      </w:pPr>
    </w:p>
    <w:tbl>
      <w:tblPr>
        <w:tblW w:w="7592" w:type="dxa"/>
        <w:tblInd w:w="534" w:type="dxa"/>
        <w:tblLook w:val="04A0" w:firstRow="1" w:lastRow="0" w:firstColumn="1" w:lastColumn="0" w:noHBand="0" w:noVBand="1"/>
      </w:tblPr>
      <w:tblGrid>
        <w:gridCol w:w="3439"/>
        <w:gridCol w:w="1062"/>
        <w:gridCol w:w="2068"/>
        <w:gridCol w:w="1023"/>
      </w:tblGrid>
      <w:tr w:rsidR="003568D7" w:rsidRPr="00B5122C" w14:paraId="6A872A19" w14:textId="77777777" w:rsidTr="00C47475">
        <w:trPr>
          <w:trHeight w:val="576"/>
        </w:trPr>
        <w:tc>
          <w:tcPr>
            <w:tcW w:w="3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2A9F" w14:textId="4A4EE045" w:rsidR="00B5122C" w:rsidRPr="00B5122C" w:rsidRDefault="00B5122C" w:rsidP="00B03C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41EDF">
              <w:rPr>
                <w:rFonts w:ascii="Arial" w:eastAsia="Times New Roman" w:hAnsi="Arial" w:cs="Arial"/>
                <w:lang w:eastAsia="en-GB"/>
              </w:rPr>
              <w:t xml:space="preserve">Cytokines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1585" w14:textId="77777777" w:rsidR="00B5122C" w:rsidRPr="00B5122C" w:rsidRDefault="00B5122C" w:rsidP="003568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lang w:eastAsia="en-GB"/>
              </w:rPr>
              <w:t>Cases</w:t>
            </w:r>
            <w:proofErr w:type="gramStart"/>
            <w:r w:rsidRPr="00B5122C">
              <w:rPr>
                <w:rFonts w:ascii="Arial" w:eastAsia="Times New Roman" w:hAnsi="Arial" w:cs="Arial"/>
                <w:lang w:eastAsia="en-GB"/>
              </w:rPr>
              <w:t>/  subjects</w:t>
            </w:r>
            <w:proofErr w:type="gram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3740" w14:textId="4C0B89FB" w:rsidR="00B5122C" w:rsidRPr="00B5122C" w:rsidRDefault="007A64AE" w:rsidP="003568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B5122C" w:rsidRPr="00B5122C">
              <w:rPr>
                <w:rFonts w:ascii="Arial" w:eastAsia="Times New Roman" w:hAnsi="Arial" w:cs="Arial"/>
                <w:lang w:eastAsia="en-GB"/>
              </w:rPr>
              <w:t>OR</w:t>
            </w:r>
            <w:proofErr w:type="spellEnd"/>
            <w:r w:rsidR="00B5122C" w:rsidRPr="00B5122C">
              <w:rPr>
                <w:rFonts w:ascii="Arial" w:eastAsia="Times New Roman" w:hAnsi="Arial" w:cs="Arial"/>
                <w:lang w:eastAsia="en-GB"/>
              </w:rPr>
              <w:t xml:space="preserve"> (95% 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D8B56" w14:textId="77777777" w:rsidR="00B5122C" w:rsidRPr="00B5122C" w:rsidRDefault="00B5122C" w:rsidP="003568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lang w:eastAsia="en-GB"/>
              </w:rPr>
              <w:t>P-value</w:t>
            </w:r>
          </w:p>
        </w:tc>
      </w:tr>
      <w:tr w:rsidR="00B5122C" w:rsidRPr="00B5122C" w14:paraId="2A38DCD0" w14:textId="04A25F1B" w:rsidTr="00C47475">
        <w:trPr>
          <w:trHeight w:val="396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0C0A" w14:textId="63992161" w:rsidR="00B5122C" w:rsidRPr="00B5122C" w:rsidRDefault="0012291B" w:rsidP="00B5122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Asthma </w:t>
            </w:r>
            <w:r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persistence</w:t>
            </w:r>
          </w:p>
        </w:tc>
      </w:tr>
      <w:tr w:rsidR="003568D7" w:rsidRPr="00B5122C" w14:paraId="241607E8" w14:textId="1AA431BD" w:rsidTr="00C47475">
        <w:trPr>
          <w:trHeight w:val="288"/>
        </w:trPr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DD235" w14:textId="53E1DB3A" w:rsidR="003568D7" w:rsidRPr="00B5122C" w:rsidRDefault="003568D7" w:rsidP="003568D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b/>
                <w:bCs/>
                <w:lang w:eastAsia="en-GB"/>
              </w:rPr>
              <w:t>A</w:t>
            </w:r>
            <w:r w:rsidR="007A64AE">
              <w:rPr>
                <w:rFonts w:ascii="Arial" w:eastAsia="Times New Roman" w:hAnsi="Arial" w:cs="Arial"/>
                <w:b/>
                <w:bCs/>
                <w:lang w:eastAsia="en-GB"/>
              </w:rPr>
              <w:t>ge 10-18</w:t>
            </w:r>
          </w:p>
        </w:tc>
      </w:tr>
      <w:tr w:rsidR="007A64AE" w:rsidRPr="00B5122C" w14:paraId="13938695" w14:textId="7A10E942" w:rsidTr="00C47475">
        <w:trPr>
          <w:trHeight w:val="28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A2226" w14:textId="6F7665A1" w:rsidR="007A64AE" w:rsidRPr="00B5122C" w:rsidRDefault="007A64AE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IFN-g</w:t>
            </w:r>
            <w:r>
              <w:t xml:space="preserve"> at 10 years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D07F6" w14:textId="3EB42A09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45800">
              <w:t>7/216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74176" w14:textId="1EA46BF6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45800">
              <w:t>0.27 (0.04, 1.82)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946FE38" w14:textId="1E0D29FF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45800">
              <w:t>0.201</w:t>
            </w:r>
          </w:p>
        </w:tc>
      </w:tr>
      <w:tr w:rsidR="007A64AE" w:rsidRPr="00B5122C" w14:paraId="25BA3586" w14:textId="5C0A8FBE" w:rsidTr="00C47475">
        <w:trPr>
          <w:trHeight w:val="28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ECC9C" w14:textId="7EB6EF4A" w:rsidR="007A64AE" w:rsidRPr="00B5122C" w:rsidRDefault="007A64AE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IL</w:t>
            </w:r>
            <w:r>
              <w:t>-</w:t>
            </w:r>
            <w:r w:rsidRPr="00B45800">
              <w:t>5</w:t>
            </w:r>
            <w:r>
              <w:t xml:space="preserve"> at 10 years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C4546" w14:textId="6420F639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45800">
              <w:t>8/218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A8F03" w14:textId="1D15DCD6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45800">
              <w:t>2.01 (0.85, 4.80)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F6D0DE0" w14:textId="3CC7E78B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45800">
              <w:t>0.114</w:t>
            </w:r>
          </w:p>
        </w:tc>
      </w:tr>
      <w:tr w:rsidR="007A64AE" w:rsidRPr="00B5122C" w14:paraId="65F31F2E" w14:textId="2F333154" w:rsidTr="00C47475">
        <w:trPr>
          <w:trHeight w:val="30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425C6" w14:textId="2DE75054" w:rsidR="007A64AE" w:rsidRPr="00B5122C" w:rsidRDefault="002728EF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2728EF">
              <w:t xml:space="preserve">IL-5/IFN-g ratio </w:t>
            </w:r>
            <w:r w:rsidR="007A64AE">
              <w:t>at 10 years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A23CC" w14:textId="37199D99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45800">
              <w:t>7/216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C4783" w14:textId="39FA1140" w:rsidR="007A64AE" w:rsidRPr="00B5122C" w:rsidRDefault="002728EF" w:rsidP="00A132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728EF">
              <w:t>4.0</w:t>
            </w:r>
            <w:r w:rsidR="00A13222">
              <w:t>6</w:t>
            </w:r>
            <w:r w:rsidRPr="002728EF">
              <w:t xml:space="preserve"> (1.2</w:t>
            </w:r>
            <w:r w:rsidR="00A13222">
              <w:t>4</w:t>
            </w:r>
            <w:r w:rsidRPr="002728EF">
              <w:t>, 1</w:t>
            </w:r>
            <w:r w:rsidR="00A13222">
              <w:t>3</w:t>
            </w:r>
            <w:r w:rsidRPr="002728EF">
              <w:t>.</w:t>
            </w:r>
            <w:r w:rsidR="00A13222">
              <w:t>25</w:t>
            </w:r>
            <w:r w:rsidRPr="002728EF"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76056EA" w14:textId="160A9642" w:rsidR="007A64AE" w:rsidRPr="007A64AE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A64AE">
              <w:rPr>
                <w:b/>
                <w:bCs/>
              </w:rPr>
              <w:t>0.020</w:t>
            </w:r>
          </w:p>
        </w:tc>
      </w:tr>
      <w:tr w:rsidR="003568D7" w:rsidRPr="00B5122C" w14:paraId="326E6B1F" w14:textId="20E373AB" w:rsidTr="00C47475">
        <w:trPr>
          <w:trHeight w:val="288"/>
        </w:trPr>
        <w:tc>
          <w:tcPr>
            <w:tcW w:w="7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B7042" w14:textId="146FD24C" w:rsidR="003568D7" w:rsidRPr="00B5122C" w:rsidRDefault="007A64AE" w:rsidP="003568D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b/>
                <w:bCs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ge 18-26</w:t>
            </w:r>
          </w:p>
        </w:tc>
      </w:tr>
      <w:tr w:rsidR="007A64AE" w:rsidRPr="00B5122C" w14:paraId="2CE9B2F0" w14:textId="6FF181BA" w:rsidTr="00C47475">
        <w:trPr>
          <w:trHeight w:val="28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04141" w14:textId="5D870350" w:rsidR="007A64AE" w:rsidRPr="00B5122C" w:rsidRDefault="007A64AE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IFN-g</w:t>
            </w:r>
            <w:r>
              <w:t xml:space="preserve"> at 18 years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42EE8" w14:textId="012DCF2C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5585F">
              <w:t>16/232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86161" w14:textId="7FBC7323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5585F">
              <w:t>1.41 (0.50, 4.00)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ACC40C" w14:textId="5FE1AE88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5585F">
              <w:t>0.518</w:t>
            </w:r>
          </w:p>
        </w:tc>
      </w:tr>
      <w:tr w:rsidR="007A64AE" w:rsidRPr="00B5122C" w14:paraId="3E71773F" w14:textId="51F4654D" w:rsidTr="00C47475">
        <w:trPr>
          <w:trHeight w:val="28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26BF8" w14:textId="055DEFE6" w:rsidR="007A64AE" w:rsidRPr="00B5122C" w:rsidRDefault="007A64AE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IL</w:t>
            </w:r>
            <w:r>
              <w:t>-</w:t>
            </w:r>
            <w:r w:rsidRPr="00B45800">
              <w:t>5</w:t>
            </w:r>
            <w:r>
              <w:t xml:space="preserve"> at 18 years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4C735" w14:textId="5A0EA9E0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5585F">
              <w:t>16/237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B2C58" w14:textId="7E04A0AF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5585F">
              <w:t>2.29 (1.11, 4.72)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8B121FA" w14:textId="05C782DF" w:rsidR="007A64AE" w:rsidRPr="00B03C05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03C05">
              <w:rPr>
                <w:b/>
                <w:bCs/>
              </w:rPr>
              <w:t>0.024</w:t>
            </w:r>
          </w:p>
        </w:tc>
      </w:tr>
      <w:tr w:rsidR="007A64AE" w:rsidRPr="00B5122C" w14:paraId="161BB247" w14:textId="7C55EFC7" w:rsidTr="00C47475">
        <w:trPr>
          <w:trHeight w:val="30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87671" w14:textId="541530B7" w:rsidR="007A64AE" w:rsidRPr="00B5122C" w:rsidRDefault="002728EF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2728EF">
              <w:t xml:space="preserve">IL-5/IFN-g ratio </w:t>
            </w:r>
            <w:r w:rsidR="007A64AE">
              <w:t>at 18 years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49CA0" w14:textId="6BD25DBA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5585F">
              <w:t>16/228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97C39" w14:textId="21036985" w:rsidR="007A64AE" w:rsidRPr="00B5122C" w:rsidRDefault="002728EF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t>1.9</w:t>
            </w:r>
            <w:r w:rsidR="007F35F1">
              <w:t>0</w:t>
            </w:r>
            <w:r w:rsidR="007A64AE" w:rsidRPr="0085585F">
              <w:t xml:space="preserve"> (</w:t>
            </w:r>
            <w:r>
              <w:t>0.8</w:t>
            </w:r>
            <w:r w:rsidR="007F35F1">
              <w:t>5</w:t>
            </w:r>
            <w:r>
              <w:t>, 4.</w:t>
            </w:r>
            <w:r w:rsidR="007F35F1">
              <w:t>26</w:t>
            </w:r>
            <w:r w:rsidR="007A64AE" w:rsidRPr="0085585F"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FF3EDE" w14:textId="164BFDD7" w:rsidR="007A64AE" w:rsidRPr="00B5122C" w:rsidRDefault="007A64AE" w:rsidP="007A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585F">
              <w:t>0.115</w:t>
            </w:r>
          </w:p>
        </w:tc>
      </w:tr>
      <w:tr w:rsidR="00B341C8" w:rsidRPr="00B5122C" w14:paraId="5C124E6E" w14:textId="31F663FD" w:rsidTr="00C47475">
        <w:trPr>
          <w:trHeight w:val="30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5438C3" w14:textId="352D9D40" w:rsidR="00B341C8" w:rsidRPr="00830440" w:rsidRDefault="00B341C8" w:rsidP="00B341C8">
            <w:pPr>
              <w:spacing w:after="0" w:line="240" w:lineRule="auto"/>
            </w:pPr>
            <w:r w:rsidRPr="00830440">
              <w:rPr>
                <w:rFonts w:ascii="Arial" w:eastAsia="Times New Roman" w:hAnsi="Arial" w:cs="Arial"/>
                <w:b/>
                <w:bCs/>
                <w:lang w:eastAsia="en-GB"/>
              </w:rPr>
              <w:t>Age 10-26</w:t>
            </w:r>
          </w:p>
        </w:tc>
      </w:tr>
      <w:tr w:rsidR="00B341C8" w:rsidRPr="00B5122C" w14:paraId="1D09EC9D" w14:textId="0E30629E" w:rsidTr="00C47475">
        <w:trPr>
          <w:trHeight w:val="3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6BF85D" w14:textId="47642A3C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IFN-g at 18 years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3D914" w14:textId="0501A6C6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color w:val="000000"/>
                <w:lang w:eastAsia="en-GB"/>
              </w:rPr>
              <w:t>6/232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D78A" w14:textId="4191562E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lang w:eastAsia="en-GB"/>
              </w:rPr>
              <w:t>0.70 (0.13, 3.81)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8ABF7" w14:textId="51503C91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lang w:eastAsia="en-GB"/>
              </w:rPr>
              <w:t>0.680</w:t>
            </w:r>
          </w:p>
        </w:tc>
      </w:tr>
      <w:tr w:rsidR="00B341C8" w:rsidRPr="00B5122C" w14:paraId="4B1BE571" w14:textId="0BA18ABD" w:rsidTr="00C47475">
        <w:trPr>
          <w:trHeight w:val="3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C5540" w14:textId="57415D74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IL-5 at 18 years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F3158" w14:textId="18C2A4AB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color w:val="000000"/>
                <w:lang w:eastAsia="en-GB"/>
              </w:rPr>
              <w:t>6/235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4E68A" w14:textId="2B1D20AB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lang w:eastAsia="en-GB"/>
              </w:rPr>
              <w:t>2.41 (0.99, 5.89)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D39B6" w14:textId="66CE18FD" w:rsidR="00B341C8" w:rsidRPr="00830440" w:rsidRDefault="00B341C8" w:rsidP="00B341C8">
            <w:pPr>
              <w:spacing w:after="0" w:line="240" w:lineRule="auto"/>
              <w:jc w:val="center"/>
            </w:pPr>
            <w:r w:rsidRPr="00444CFD">
              <w:rPr>
                <w:lang w:eastAsia="en-GB"/>
              </w:rPr>
              <w:t>0.052</w:t>
            </w:r>
          </w:p>
        </w:tc>
      </w:tr>
      <w:tr w:rsidR="00B341C8" w:rsidRPr="00B5122C" w14:paraId="20C3F932" w14:textId="439D4ECF" w:rsidTr="00C47475">
        <w:trPr>
          <w:trHeight w:val="3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EB873E" w14:textId="6B3E30C1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IL-5/IFN-g ratio at 18 years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00627" w14:textId="1D9CD840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color w:val="000000"/>
                <w:lang w:eastAsia="en-GB"/>
              </w:rPr>
              <w:t>6/232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8DB96" w14:textId="34838721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color w:val="000000"/>
                <w:lang w:eastAsia="en-GB"/>
              </w:rPr>
              <w:t>3.</w:t>
            </w:r>
            <w:r w:rsidR="00A7791D" w:rsidRPr="00830440">
              <w:rPr>
                <w:color w:val="000000"/>
                <w:lang w:eastAsia="en-GB"/>
              </w:rPr>
              <w:t>62</w:t>
            </w:r>
            <w:r w:rsidRPr="00830440">
              <w:rPr>
                <w:color w:val="000000"/>
                <w:lang w:eastAsia="en-GB"/>
              </w:rPr>
              <w:t xml:space="preserve"> (1.10, 1</w:t>
            </w:r>
            <w:r w:rsidR="00A7791D" w:rsidRPr="00830440">
              <w:rPr>
                <w:color w:val="000000"/>
                <w:lang w:eastAsia="en-GB"/>
              </w:rPr>
              <w:t>1</w:t>
            </w:r>
            <w:r w:rsidRPr="00830440">
              <w:rPr>
                <w:color w:val="000000"/>
                <w:lang w:eastAsia="en-GB"/>
              </w:rPr>
              <w:t>.</w:t>
            </w:r>
            <w:r w:rsidR="00A7791D" w:rsidRPr="00830440">
              <w:rPr>
                <w:color w:val="000000"/>
                <w:lang w:eastAsia="en-GB"/>
              </w:rPr>
              <w:t>94</w:t>
            </w:r>
            <w:r w:rsidRPr="00830440">
              <w:rPr>
                <w:color w:val="000000"/>
                <w:lang w:eastAsia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FD08" w14:textId="22878245" w:rsidR="00B341C8" w:rsidRPr="00830440" w:rsidRDefault="00B341C8" w:rsidP="00B341C8">
            <w:pPr>
              <w:spacing w:after="0" w:line="240" w:lineRule="auto"/>
              <w:jc w:val="center"/>
            </w:pPr>
            <w:r w:rsidRPr="00830440">
              <w:rPr>
                <w:b/>
                <w:bCs/>
                <w:color w:val="000000"/>
                <w:lang w:eastAsia="en-GB"/>
              </w:rPr>
              <w:t>0.034</w:t>
            </w:r>
          </w:p>
        </w:tc>
      </w:tr>
    </w:tbl>
    <w:p w14:paraId="22603DB0" w14:textId="53FF98E5" w:rsidR="00641EDF" w:rsidRDefault="00641EDF" w:rsidP="00FF2F5B"/>
    <w:p w14:paraId="0B3C72CA" w14:textId="6408EF22" w:rsidR="003568D7" w:rsidRPr="003568D7" w:rsidRDefault="003568D7" w:rsidP="003568D7">
      <w:pPr>
        <w:rPr>
          <w:rFonts w:ascii="Arial" w:hAnsi="Arial" w:cs="Arial"/>
          <w:lang w:val="en-US"/>
        </w:rPr>
      </w:pPr>
      <w:r w:rsidRPr="003568D7">
        <w:rPr>
          <w:rFonts w:ascii="Arial" w:hAnsi="Arial" w:cs="Arial"/>
        </w:rPr>
        <w:t xml:space="preserve">Table </w:t>
      </w:r>
      <w:r w:rsidR="006A63A5">
        <w:rPr>
          <w:rFonts w:ascii="Arial" w:hAnsi="Arial" w:cs="Arial"/>
        </w:rPr>
        <w:t>2</w:t>
      </w:r>
      <w:r w:rsidRPr="003568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Longitudinal</w:t>
      </w:r>
      <w:r w:rsidRPr="003568D7">
        <w:rPr>
          <w:rFonts w:ascii="Arial" w:hAnsi="Arial" w:cs="Arial"/>
        </w:rPr>
        <w:t xml:space="preserve"> evaluation of the associations between IL-5, IFN-g and </w:t>
      </w:r>
      <w:r w:rsidR="002728EF" w:rsidRPr="00E256DA">
        <w:rPr>
          <w:rFonts w:ascii="Arial" w:hAnsi="Arial" w:cs="Arial"/>
          <w:lang w:val="en-US"/>
        </w:rPr>
        <w:t>IL-5</w:t>
      </w:r>
      <w:r w:rsidR="002728EF">
        <w:rPr>
          <w:rFonts w:ascii="Arial" w:hAnsi="Arial" w:cs="Arial"/>
          <w:lang w:val="en-US"/>
        </w:rPr>
        <w:t>/ IFN-g</w:t>
      </w:r>
      <w:r w:rsidR="002728EF" w:rsidRPr="00E256DA">
        <w:rPr>
          <w:rFonts w:ascii="Arial" w:hAnsi="Arial" w:cs="Arial"/>
          <w:lang w:val="en-US"/>
        </w:rPr>
        <w:t xml:space="preserve"> ratio </w:t>
      </w:r>
      <w:r w:rsidRPr="003568D7">
        <w:rPr>
          <w:rFonts w:ascii="Arial" w:hAnsi="Arial" w:cs="Arial"/>
        </w:rPr>
        <w:t xml:space="preserve">ratio with asthma </w:t>
      </w:r>
      <w:r>
        <w:rPr>
          <w:rFonts w:ascii="Arial" w:hAnsi="Arial" w:cs="Arial"/>
        </w:rPr>
        <w:t>persistence</w:t>
      </w:r>
      <w:r w:rsidRPr="003568D7">
        <w:rPr>
          <w:rFonts w:ascii="Arial" w:hAnsi="Arial" w:cs="Arial"/>
        </w:rPr>
        <w:t>.</w:t>
      </w:r>
      <w:r w:rsidR="00224B12">
        <w:rPr>
          <w:rFonts w:ascii="Arial" w:hAnsi="Arial" w:cs="Arial"/>
        </w:rPr>
        <w:t xml:space="preserve"> </w:t>
      </w:r>
      <w:r w:rsidR="00046D5D">
        <w:rPr>
          <w:rFonts w:ascii="Arial" w:hAnsi="Arial" w:cs="Arial"/>
        </w:rPr>
        <w:t>Cytokines</w:t>
      </w:r>
      <w:r w:rsidR="00B03C05">
        <w:rPr>
          <w:rFonts w:ascii="Arial" w:hAnsi="Arial" w:cs="Arial"/>
        </w:rPr>
        <w:t xml:space="preserve"> measurements</w:t>
      </w:r>
      <w:r w:rsidR="00046D5D">
        <w:rPr>
          <w:rFonts w:ascii="Arial" w:hAnsi="Arial" w:cs="Arial"/>
        </w:rPr>
        <w:t xml:space="preserve"> were </w:t>
      </w:r>
      <w:r w:rsidR="00B03C05">
        <w:rPr>
          <w:rFonts w:ascii="Arial" w:hAnsi="Arial" w:cs="Arial"/>
        </w:rPr>
        <w:t>log transformed for analysis</w:t>
      </w:r>
      <w:proofErr w:type="gramStart"/>
      <w:r w:rsidR="00B03C05">
        <w:rPr>
          <w:rFonts w:ascii="Arial" w:hAnsi="Arial" w:cs="Arial"/>
        </w:rPr>
        <w:t xml:space="preserve">. </w:t>
      </w:r>
      <w:r w:rsidR="00357BBD">
        <w:rPr>
          <w:rFonts w:ascii="Arial" w:hAnsi="Arial" w:cs="Arial"/>
        </w:rPr>
        <w:t>.</w:t>
      </w:r>
      <w:proofErr w:type="gramEnd"/>
      <w:r w:rsidR="00357BBD">
        <w:rPr>
          <w:rFonts w:ascii="Arial" w:hAnsi="Arial" w:cs="Arial"/>
        </w:rPr>
        <w:t xml:space="preserve"> </w:t>
      </w:r>
      <w:r w:rsidR="00357BBD" w:rsidRPr="003568D7">
        <w:rPr>
          <w:rFonts w:ascii="Arial" w:hAnsi="Arial" w:cs="Arial"/>
        </w:rPr>
        <w:t xml:space="preserve"> </w:t>
      </w:r>
      <w:r w:rsidR="00357BBD">
        <w:rPr>
          <w:rFonts w:ascii="Arial" w:hAnsi="Arial" w:cs="Arial"/>
        </w:rPr>
        <w:t xml:space="preserve">Case </w:t>
      </w:r>
      <w:r w:rsidR="00357BBD">
        <w:rPr>
          <w:rFonts w:ascii="Arial" w:hAnsi="Arial" w:cs="Arial"/>
          <w:lang w:val="en-US"/>
        </w:rPr>
        <w:t xml:space="preserve">definition for </w:t>
      </w:r>
      <w:r w:rsidR="00357BBD">
        <w:rPr>
          <w:rFonts w:ascii="Arial" w:hAnsi="Arial" w:cs="Arial"/>
        </w:rPr>
        <w:t>p</w:t>
      </w:r>
      <w:proofErr w:type="spellStart"/>
      <w:r w:rsidR="00357BBD" w:rsidRPr="00914482">
        <w:rPr>
          <w:rFonts w:ascii="Arial" w:hAnsi="Arial" w:cs="Arial"/>
          <w:lang w:val="en-US"/>
        </w:rPr>
        <w:t>ersistent</w:t>
      </w:r>
      <w:proofErr w:type="spellEnd"/>
      <w:r w:rsidR="00875BE2">
        <w:rPr>
          <w:rFonts w:ascii="Arial" w:hAnsi="Arial" w:cs="Arial"/>
          <w:lang w:val="en-US"/>
        </w:rPr>
        <w:t xml:space="preserve"> </w:t>
      </w:r>
      <w:r w:rsidR="00357BBD" w:rsidRPr="00914482">
        <w:rPr>
          <w:rFonts w:ascii="Arial" w:hAnsi="Arial" w:cs="Arial"/>
          <w:lang w:val="en-US"/>
        </w:rPr>
        <w:t xml:space="preserve">asthma </w:t>
      </w:r>
      <w:proofErr w:type="gramStart"/>
      <w:r w:rsidR="00357BBD" w:rsidRPr="00914482">
        <w:rPr>
          <w:rFonts w:ascii="Arial" w:hAnsi="Arial" w:cs="Arial"/>
          <w:lang w:val="en-US"/>
        </w:rPr>
        <w:t>was</w:t>
      </w:r>
      <w:r w:rsidR="00357BBD">
        <w:rPr>
          <w:rFonts w:ascii="Arial" w:hAnsi="Arial" w:cs="Arial"/>
          <w:lang w:val="en-US"/>
        </w:rPr>
        <w:t>;</w:t>
      </w:r>
      <w:proofErr w:type="gramEnd"/>
      <w:r w:rsidR="00703155">
        <w:rPr>
          <w:rFonts w:ascii="Arial" w:hAnsi="Arial" w:cs="Arial"/>
          <w:lang w:val="en-US"/>
        </w:rPr>
        <w:t xml:space="preserve"> asthma present at </w:t>
      </w:r>
      <w:r w:rsidR="00357BBD" w:rsidRPr="00914482">
        <w:rPr>
          <w:rFonts w:ascii="Arial" w:hAnsi="Arial" w:cs="Arial"/>
          <w:lang w:val="en-US"/>
        </w:rPr>
        <w:t xml:space="preserve">10 </w:t>
      </w:r>
      <w:r w:rsidR="00357BBD">
        <w:rPr>
          <w:rFonts w:ascii="Arial" w:hAnsi="Arial" w:cs="Arial"/>
          <w:lang w:val="en-US"/>
        </w:rPr>
        <w:t>to</w:t>
      </w:r>
      <w:r w:rsidR="00357BBD" w:rsidRPr="00914482">
        <w:rPr>
          <w:rFonts w:ascii="Arial" w:hAnsi="Arial" w:cs="Arial"/>
          <w:lang w:val="en-US"/>
        </w:rPr>
        <w:t xml:space="preserve"> 18</w:t>
      </w:r>
      <w:r w:rsidR="00357BBD">
        <w:rPr>
          <w:rFonts w:ascii="Arial" w:hAnsi="Arial" w:cs="Arial"/>
          <w:lang w:val="en-US"/>
        </w:rPr>
        <w:t>, 18 to 26 years or 10-18-26 years of age</w:t>
      </w:r>
      <w:r w:rsidR="00224B12" w:rsidRPr="00914482">
        <w:rPr>
          <w:rFonts w:ascii="Arial" w:hAnsi="Arial" w:cs="Arial"/>
          <w:lang w:val="en-US"/>
        </w:rPr>
        <w:t xml:space="preserve">. </w:t>
      </w:r>
      <w:r w:rsidR="00224B12">
        <w:rPr>
          <w:rFonts w:ascii="Arial" w:hAnsi="Arial" w:cs="Arial"/>
          <w:lang w:val="en-US"/>
        </w:rPr>
        <w:t>Controls were defined as no asthma or n</w:t>
      </w:r>
      <w:r w:rsidR="00224B12" w:rsidRPr="00914482">
        <w:rPr>
          <w:rFonts w:ascii="Arial" w:hAnsi="Arial" w:cs="Arial"/>
          <w:lang w:val="en-US"/>
        </w:rPr>
        <w:t>on-persistent asthma</w:t>
      </w:r>
      <w:r w:rsidR="00224B12">
        <w:rPr>
          <w:rFonts w:ascii="Arial" w:hAnsi="Arial" w:cs="Arial"/>
          <w:lang w:val="en-US"/>
        </w:rPr>
        <w:t>;</w:t>
      </w:r>
      <w:r w:rsidR="00224B12" w:rsidRPr="00914482">
        <w:rPr>
          <w:rFonts w:ascii="Arial" w:hAnsi="Arial" w:cs="Arial"/>
          <w:lang w:val="en-US"/>
        </w:rPr>
        <w:t xml:space="preserve"> (asthma at one</w:t>
      </w:r>
      <w:r w:rsidR="00E256DA">
        <w:rPr>
          <w:rFonts w:ascii="Arial" w:hAnsi="Arial" w:cs="Arial"/>
          <w:lang w:val="en-US"/>
        </w:rPr>
        <w:t xml:space="preserve"> </w:t>
      </w:r>
      <w:r w:rsidR="00224B12" w:rsidRPr="00914482">
        <w:rPr>
          <w:rFonts w:ascii="Arial" w:hAnsi="Arial" w:cs="Arial"/>
          <w:lang w:val="en-US"/>
        </w:rPr>
        <w:t xml:space="preserve">time point but not at the following time point, </w:t>
      </w:r>
      <w:proofErr w:type="spellStart"/>
      <w:r w:rsidR="00224B12" w:rsidRPr="00914482">
        <w:rPr>
          <w:rFonts w:ascii="Arial" w:hAnsi="Arial" w:cs="Arial"/>
          <w:lang w:val="en-US"/>
        </w:rPr>
        <w:t>eg</w:t>
      </w:r>
      <w:proofErr w:type="spellEnd"/>
      <w:r w:rsidR="00224B12" w:rsidRPr="00914482">
        <w:rPr>
          <w:rFonts w:ascii="Arial" w:hAnsi="Arial" w:cs="Arial"/>
          <w:lang w:val="en-US"/>
        </w:rPr>
        <w:t>: 10 but not at 18</w:t>
      </w:r>
      <w:r w:rsidR="00224B12">
        <w:rPr>
          <w:rFonts w:ascii="Arial" w:hAnsi="Arial" w:cs="Arial"/>
          <w:lang w:val="en-US"/>
        </w:rPr>
        <w:t xml:space="preserve"> or 18 but not </w:t>
      </w:r>
      <w:r w:rsidR="008D4453">
        <w:rPr>
          <w:rFonts w:ascii="Arial" w:hAnsi="Arial" w:cs="Arial"/>
          <w:lang w:val="en-US"/>
        </w:rPr>
        <w:t xml:space="preserve">at </w:t>
      </w:r>
      <w:r w:rsidR="00224B12">
        <w:rPr>
          <w:rFonts w:ascii="Arial" w:hAnsi="Arial" w:cs="Arial"/>
          <w:lang w:val="en-US"/>
        </w:rPr>
        <w:t>26 years</w:t>
      </w:r>
      <w:r w:rsidR="00224B12" w:rsidRPr="00914482">
        <w:rPr>
          <w:rFonts w:ascii="Arial" w:hAnsi="Arial" w:cs="Arial"/>
          <w:lang w:val="en-US"/>
        </w:rPr>
        <w:t xml:space="preserve">).  </w:t>
      </w:r>
      <w:r w:rsidR="008D4453">
        <w:rPr>
          <w:rFonts w:ascii="Arial" w:hAnsi="Arial" w:cs="Arial"/>
          <w:lang w:val="en-US"/>
        </w:rPr>
        <w:t>Models for persistence from a</w:t>
      </w:r>
      <w:r w:rsidR="00B341C8">
        <w:rPr>
          <w:rFonts w:ascii="Arial" w:hAnsi="Arial" w:cs="Arial"/>
          <w:lang w:val="en-US"/>
        </w:rPr>
        <w:t xml:space="preserve">ge 10-18 and age 18-26 </w:t>
      </w:r>
      <w:r w:rsidR="007A64AE">
        <w:rPr>
          <w:rFonts w:ascii="Arial" w:hAnsi="Arial" w:cs="Arial"/>
        </w:rPr>
        <w:t xml:space="preserve">were </w:t>
      </w:r>
      <w:r w:rsidRPr="003568D7">
        <w:rPr>
          <w:rFonts w:ascii="Arial" w:hAnsi="Arial" w:cs="Arial"/>
        </w:rPr>
        <w:t xml:space="preserve">adjusted for </w:t>
      </w:r>
      <w:r w:rsidR="008D4453">
        <w:rPr>
          <w:rFonts w:ascii="Arial" w:hAnsi="Arial" w:cs="Arial"/>
          <w:lang w:val="en-US"/>
        </w:rPr>
        <w:t>s</w:t>
      </w:r>
      <w:r w:rsidRPr="003568D7">
        <w:rPr>
          <w:rFonts w:ascii="Arial" w:hAnsi="Arial" w:cs="Arial"/>
          <w:lang w:val="en-US"/>
        </w:rPr>
        <w:t>ex</w:t>
      </w:r>
      <w:r w:rsidR="00224B12">
        <w:rPr>
          <w:rFonts w:ascii="Arial" w:hAnsi="Arial" w:cs="Arial"/>
          <w:lang w:val="en-US"/>
        </w:rPr>
        <w:t xml:space="preserve"> (</w:t>
      </w:r>
      <w:r w:rsidR="0012291B">
        <w:rPr>
          <w:rFonts w:ascii="Arial" w:hAnsi="Arial" w:cs="Arial"/>
          <w:lang w:val="en-US"/>
        </w:rPr>
        <w:t>male/female</w:t>
      </w:r>
      <w:r w:rsidR="00224B12">
        <w:rPr>
          <w:rFonts w:ascii="Arial" w:hAnsi="Arial" w:cs="Arial"/>
          <w:lang w:val="en-US"/>
        </w:rPr>
        <w:t>)</w:t>
      </w:r>
      <w:r w:rsidRPr="003568D7">
        <w:rPr>
          <w:rFonts w:ascii="Arial" w:hAnsi="Arial" w:cs="Arial"/>
          <w:lang w:val="en-US"/>
        </w:rPr>
        <w:t xml:space="preserve">, </w:t>
      </w:r>
      <w:r w:rsidR="008D4453">
        <w:rPr>
          <w:rFonts w:ascii="Arial" w:hAnsi="Arial" w:cs="Arial"/>
          <w:lang w:val="en-US"/>
        </w:rPr>
        <w:t>m</w:t>
      </w:r>
      <w:r w:rsidRPr="003568D7">
        <w:rPr>
          <w:rFonts w:ascii="Arial" w:hAnsi="Arial" w:cs="Arial"/>
          <w:lang w:val="en-US"/>
        </w:rPr>
        <w:t>aternal smoking</w:t>
      </w:r>
      <w:r w:rsidR="00224B12">
        <w:rPr>
          <w:rFonts w:ascii="Arial" w:hAnsi="Arial" w:cs="Arial"/>
          <w:lang w:val="en-US"/>
        </w:rPr>
        <w:t xml:space="preserve"> (</w:t>
      </w:r>
      <w:r w:rsidR="0012291B">
        <w:rPr>
          <w:rFonts w:ascii="Arial" w:hAnsi="Arial" w:cs="Arial"/>
          <w:lang w:val="en-US"/>
        </w:rPr>
        <w:t>yes/no</w:t>
      </w:r>
      <w:r w:rsidR="00224B12">
        <w:rPr>
          <w:rFonts w:ascii="Arial" w:hAnsi="Arial" w:cs="Arial"/>
          <w:lang w:val="en-US"/>
        </w:rPr>
        <w:t>)</w:t>
      </w:r>
      <w:r w:rsidRPr="003568D7">
        <w:rPr>
          <w:rFonts w:ascii="Arial" w:hAnsi="Arial" w:cs="Arial"/>
          <w:lang w:val="en-US"/>
        </w:rPr>
        <w:t xml:space="preserve">, </w:t>
      </w:r>
      <w:r w:rsidR="008D4453">
        <w:rPr>
          <w:rFonts w:ascii="Arial" w:hAnsi="Arial" w:cs="Arial"/>
          <w:lang w:val="en-US"/>
        </w:rPr>
        <w:t>f</w:t>
      </w:r>
      <w:r w:rsidRPr="003568D7">
        <w:rPr>
          <w:rFonts w:ascii="Arial" w:hAnsi="Arial" w:cs="Arial"/>
          <w:lang w:val="en-US"/>
        </w:rPr>
        <w:t>amily history of atopic disease</w:t>
      </w:r>
      <w:r w:rsidR="00224B12">
        <w:rPr>
          <w:rFonts w:ascii="Arial" w:hAnsi="Arial" w:cs="Arial"/>
          <w:lang w:val="en-US"/>
        </w:rPr>
        <w:t xml:space="preserve"> (</w:t>
      </w:r>
      <w:r w:rsidR="0012291B">
        <w:rPr>
          <w:rFonts w:ascii="Arial" w:hAnsi="Arial" w:cs="Arial"/>
          <w:lang w:val="en-US"/>
        </w:rPr>
        <w:t>yes/no</w:t>
      </w:r>
      <w:r w:rsidR="00224B12">
        <w:rPr>
          <w:rFonts w:ascii="Arial" w:hAnsi="Arial" w:cs="Arial"/>
          <w:lang w:val="en-US"/>
        </w:rPr>
        <w:t>)</w:t>
      </w:r>
      <w:r w:rsidRPr="003568D7">
        <w:rPr>
          <w:rFonts w:ascii="Arial" w:hAnsi="Arial" w:cs="Arial"/>
          <w:lang w:val="en-US"/>
        </w:rPr>
        <w:t xml:space="preserve"> and </w:t>
      </w:r>
      <w:r w:rsidR="008D4453">
        <w:rPr>
          <w:rFonts w:ascii="Arial" w:hAnsi="Arial" w:cs="Arial"/>
          <w:lang w:val="en-US"/>
        </w:rPr>
        <w:t>c</w:t>
      </w:r>
      <w:r w:rsidRPr="003568D7">
        <w:rPr>
          <w:rFonts w:ascii="Arial" w:hAnsi="Arial" w:cs="Arial"/>
          <w:lang w:val="en-US"/>
        </w:rPr>
        <w:t>ord IgE levels</w:t>
      </w:r>
      <w:r w:rsidR="00224B12">
        <w:rPr>
          <w:rFonts w:ascii="Arial" w:hAnsi="Arial" w:cs="Arial"/>
          <w:lang w:val="en-US"/>
        </w:rPr>
        <w:t xml:space="preserve"> (binary, ≥0.5kU/L)</w:t>
      </w:r>
      <w:r w:rsidRPr="003568D7">
        <w:rPr>
          <w:rFonts w:ascii="Arial" w:hAnsi="Arial" w:cs="Arial"/>
          <w:lang w:val="en-US"/>
        </w:rPr>
        <w:t>.</w:t>
      </w:r>
      <w:r w:rsidR="00A76C66">
        <w:rPr>
          <w:rFonts w:ascii="Arial" w:hAnsi="Arial" w:cs="Arial"/>
          <w:lang w:val="en-US"/>
        </w:rPr>
        <w:t xml:space="preserve"> </w:t>
      </w:r>
      <w:r w:rsidR="008D4453" w:rsidRPr="008D4453">
        <w:rPr>
          <w:rFonts w:ascii="Arial" w:hAnsi="Arial" w:cs="Arial"/>
          <w:lang w:val="en-US"/>
        </w:rPr>
        <w:t xml:space="preserve"> </w:t>
      </w:r>
      <w:r w:rsidR="008D4453">
        <w:rPr>
          <w:rFonts w:ascii="Arial" w:hAnsi="Arial" w:cs="Arial"/>
          <w:lang w:val="en-US"/>
        </w:rPr>
        <w:t xml:space="preserve">Models for persistence from age 10-26 </w:t>
      </w:r>
      <w:r w:rsidR="00B341C8">
        <w:rPr>
          <w:rFonts w:ascii="Arial" w:hAnsi="Arial" w:cs="Arial"/>
          <w:lang w:val="en-US"/>
        </w:rPr>
        <w:t xml:space="preserve">were only adjusted for </w:t>
      </w:r>
      <w:r w:rsidR="008D4453">
        <w:rPr>
          <w:rFonts w:ascii="Arial" w:hAnsi="Arial" w:cs="Arial"/>
          <w:lang w:val="en-US"/>
        </w:rPr>
        <w:t>s</w:t>
      </w:r>
      <w:r w:rsidR="00B341C8" w:rsidRPr="003568D7">
        <w:rPr>
          <w:rFonts w:ascii="Arial" w:hAnsi="Arial" w:cs="Arial"/>
          <w:lang w:val="en-US"/>
        </w:rPr>
        <w:t>ex</w:t>
      </w:r>
      <w:r w:rsidR="00B341C8">
        <w:rPr>
          <w:rFonts w:ascii="Arial" w:hAnsi="Arial" w:cs="Arial"/>
          <w:lang w:val="en-US"/>
        </w:rPr>
        <w:t xml:space="preserve"> (male/female)</w:t>
      </w:r>
      <w:r w:rsidR="008D4453">
        <w:rPr>
          <w:rFonts w:ascii="Arial" w:hAnsi="Arial" w:cs="Arial"/>
          <w:lang w:val="en-US"/>
        </w:rPr>
        <w:t xml:space="preserve"> and f</w:t>
      </w:r>
      <w:r w:rsidR="00B341C8" w:rsidRPr="003568D7">
        <w:rPr>
          <w:rFonts w:ascii="Arial" w:hAnsi="Arial" w:cs="Arial"/>
          <w:lang w:val="en-US"/>
        </w:rPr>
        <w:t>amily history of atopic disease</w:t>
      </w:r>
      <w:r w:rsidR="00B341C8">
        <w:rPr>
          <w:rFonts w:ascii="Arial" w:hAnsi="Arial" w:cs="Arial"/>
          <w:lang w:val="en-US"/>
        </w:rPr>
        <w:t xml:space="preserve"> (yes/no).</w:t>
      </w:r>
      <w:r w:rsidR="00B341C8" w:rsidRPr="003568D7">
        <w:rPr>
          <w:rFonts w:ascii="Arial" w:hAnsi="Arial" w:cs="Arial"/>
          <w:lang w:val="en-US"/>
        </w:rPr>
        <w:t xml:space="preserve"> </w:t>
      </w:r>
      <w:proofErr w:type="spellStart"/>
      <w:r w:rsidR="00224B12">
        <w:rPr>
          <w:rFonts w:ascii="Arial" w:hAnsi="Arial" w:cs="Arial"/>
          <w:lang w:val="en-US"/>
        </w:rPr>
        <w:t>aOR</w:t>
      </w:r>
      <w:proofErr w:type="spellEnd"/>
      <w:r w:rsidR="00224B12">
        <w:rPr>
          <w:rFonts w:ascii="Arial" w:hAnsi="Arial" w:cs="Arial"/>
          <w:lang w:val="en-US"/>
        </w:rPr>
        <w:t>: Adjusted odds ratio. 95% CI: 95% confidence intervals. IFN-g: Interferon</w:t>
      </w:r>
      <w:r w:rsidR="001A032D">
        <w:rPr>
          <w:rFonts w:ascii="Arial" w:hAnsi="Arial" w:cs="Arial"/>
          <w:lang w:val="en-US"/>
        </w:rPr>
        <w:t>-</w:t>
      </w:r>
      <w:r w:rsidR="00224B12">
        <w:rPr>
          <w:rFonts w:ascii="Arial" w:hAnsi="Arial" w:cs="Arial"/>
          <w:lang w:val="en-US"/>
        </w:rPr>
        <w:t>gamma. IL-5: Interle</w:t>
      </w:r>
      <w:r w:rsidR="001A032D">
        <w:rPr>
          <w:rFonts w:ascii="Arial" w:hAnsi="Arial" w:cs="Arial"/>
          <w:lang w:val="en-US"/>
        </w:rPr>
        <w:t>u</w:t>
      </w:r>
      <w:r w:rsidR="00224B12">
        <w:rPr>
          <w:rFonts w:ascii="Arial" w:hAnsi="Arial" w:cs="Arial"/>
          <w:lang w:val="en-US"/>
        </w:rPr>
        <w:t>kin 5.</w:t>
      </w:r>
    </w:p>
    <w:p w14:paraId="3D2D12DA" w14:textId="77777777" w:rsidR="007A64AE" w:rsidRDefault="007A64AE"/>
    <w:p w14:paraId="76ACB8D7" w14:textId="3D64D4DB" w:rsidR="00820819" w:rsidRDefault="00820819">
      <w:r>
        <w:br w:type="page"/>
      </w:r>
    </w:p>
    <w:p w14:paraId="6046A7AE" w14:textId="3D165DF5" w:rsidR="007A64AE" w:rsidRDefault="007A64AE"/>
    <w:tbl>
      <w:tblPr>
        <w:tblW w:w="7592" w:type="dxa"/>
        <w:tblInd w:w="534" w:type="dxa"/>
        <w:tblLook w:val="04A0" w:firstRow="1" w:lastRow="0" w:firstColumn="1" w:lastColumn="0" w:noHBand="0" w:noVBand="1"/>
      </w:tblPr>
      <w:tblGrid>
        <w:gridCol w:w="3567"/>
        <w:gridCol w:w="1024"/>
        <w:gridCol w:w="2008"/>
        <w:gridCol w:w="993"/>
      </w:tblGrid>
      <w:tr w:rsidR="007A64AE" w:rsidRPr="00B5122C" w14:paraId="08BA0034" w14:textId="259E544F" w:rsidTr="00B341C8">
        <w:trPr>
          <w:trHeight w:val="576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F6AE" w14:textId="34D798DB" w:rsidR="007A64AE" w:rsidRPr="00B5122C" w:rsidRDefault="007A64AE" w:rsidP="00B03C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41EDF">
              <w:rPr>
                <w:rFonts w:ascii="Arial" w:eastAsia="Times New Roman" w:hAnsi="Arial" w:cs="Arial"/>
                <w:lang w:eastAsia="en-GB"/>
              </w:rPr>
              <w:t xml:space="preserve">Cytokines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64AD" w14:textId="51548015" w:rsidR="007A64AE" w:rsidRPr="00B5122C" w:rsidRDefault="007A64AE" w:rsidP="00857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lang w:eastAsia="en-GB"/>
              </w:rPr>
              <w:t>Cases</w:t>
            </w:r>
            <w:proofErr w:type="gramStart"/>
            <w:r w:rsidRPr="00B5122C">
              <w:rPr>
                <w:rFonts w:ascii="Arial" w:eastAsia="Times New Roman" w:hAnsi="Arial" w:cs="Arial"/>
                <w:lang w:eastAsia="en-GB"/>
              </w:rPr>
              <w:t>/  subjects</w:t>
            </w:r>
            <w:proofErr w:type="gram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A172B" w14:textId="0FCD9D04" w:rsidR="007A64AE" w:rsidRPr="00B5122C" w:rsidRDefault="007A64AE" w:rsidP="00857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Pr="00B5122C">
              <w:rPr>
                <w:rFonts w:ascii="Arial" w:eastAsia="Times New Roman" w:hAnsi="Arial" w:cs="Arial"/>
                <w:lang w:eastAsia="en-GB"/>
              </w:rPr>
              <w:t>OR</w:t>
            </w:r>
            <w:proofErr w:type="spellEnd"/>
            <w:r w:rsidRPr="00B5122C">
              <w:rPr>
                <w:rFonts w:ascii="Arial" w:eastAsia="Times New Roman" w:hAnsi="Arial" w:cs="Arial"/>
                <w:lang w:eastAsia="en-GB"/>
              </w:rPr>
              <w:t xml:space="preserve"> (95% 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789B0" w14:textId="4221CC10" w:rsidR="007A64AE" w:rsidRPr="00B5122C" w:rsidRDefault="007A64AE" w:rsidP="00857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lang w:eastAsia="en-GB"/>
              </w:rPr>
              <w:t>P-value</w:t>
            </w:r>
          </w:p>
        </w:tc>
      </w:tr>
      <w:tr w:rsidR="007A64AE" w:rsidRPr="00B5122C" w14:paraId="29A95E0B" w14:textId="76793822" w:rsidTr="00B341C8">
        <w:trPr>
          <w:trHeight w:val="396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68781" w14:textId="24B608B8" w:rsidR="007A64AE" w:rsidRPr="00B5122C" w:rsidRDefault="00593CE2" w:rsidP="00857A3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Asthma </w:t>
            </w:r>
            <w:r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persistence</w:t>
            </w:r>
            <w:r w:rsidR="007A64AE"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, </w:t>
            </w:r>
            <w:r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age </w:t>
            </w:r>
            <w:r w:rsidR="007A64AE"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10-18</w:t>
            </w:r>
            <w:r w:rsidR="007A64AE" w:rsidRPr="00B5122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7A64AE" w:rsidRPr="00B5122C" w14:paraId="77FF5C2C" w14:textId="66EC9BDD" w:rsidTr="00B341C8">
        <w:trPr>
          <w:trHeight w:val="288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189A156" w14:textId="10BABCE0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5122C">
              <w:rPr>
                <w:rFonts w:ascii="Arial" w:eastAsia="Times New Roman" w:hAnsi="Arial" w:cs="Arial"/>
                <w:b/>
                <w:bCs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topic individuals</w:t>
            </w:r>
          </w:p>
        </w:tc>
      </w:tr>
      <w:tr w:rsidR="00820819" w:rsidRPr="00B5122C" w14:paraId="639F6114" w14:textId="799CF69A" w:rsidTr="00B341C8">
        <w:trPr>
          <w:trHeight w:val="288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FEE76" w14:textId="2A766DAB" w:rsidR="00820819" w:rsidRPr="00B5122C" w:rsidRDefault="00820819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IFN-g</w:t>
            </w:r>
            <w:r>
              <w:t xml:space="preserve"> at 10 years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BDCB1" w14:textId="41A571F1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772C">
              <w:t>4/32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E3224" w14:textId="4057F130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772C">
              <w:t>1.49 (0.06, 34.30)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3565FA0" w14:textId="2C1D42EB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772C">
              <w:t>0.803</w:t>
            </w:r>
          </w:p>
        </w:tc>
      </w:tr>
      <w:tr w:rsidR="00820819" w:rsidRPr="00B5122C" w14:paraId="1C8C240B" w14:textId="5AD14F11" w:rsidTr="00B341C8">
        <w:trPr>
          <w:trHeight w:val="288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C21F1" w14:textId="5A216EED" w:rsidR="00820819" w:rsidRPr="00B5122C" w:rsidRDefault="00820819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IL</w:t>
            </w:r>
            <w:r>
              <w:t>-</w:t>
            </w:r>
            <w:r w:rsidRPr="00B45800">
              <w:t>5</w:t>
            </w:r>
            <w:r>
              <w:t xml:space="preserve"> at 10 years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F070D" w14:textId="31D743E4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772C">
              <w:t>4/32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E31CC" w14:textId="7E39E43A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772C">
              <w:t>2.45 (0.32, 19.11)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299422B" w14:textId="1BB3C676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772C">
              <w:t>0.391</w:t>
            </w:r>
          </w:p>
        </w:tc>
      </w:tr>
      <w:tr w:rsidR="00820819" w:rsidRPr="00B5122C" w14:paraId="58465AF9" w14:textId="3A7F1B92" w:rsidTr="00B341C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F8B38" w14:textId="437F39DF" w:rsidR="00820819" w:rsidRPr="00B5122C" w:rsidRDefault="002728EF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2728EF">
              <w:t xml:space="preserve">IL-5/IFN-g ratio </w:t>
            </w:r>
            <w:r w:rsidR="00820819">
              <w:t>at 10 years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CB949" w14:textId="4D298510" w:rsidR="00820819" w:rsidRPr="00B5122C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772C">
              <w:t>4/32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D0C7A" w14:textId="568ED0A8" w:rsidR="00820819" w:rsidRPr="00B5122C" w:rsidRDefault="002728EF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1.7</w:t>
            </w:r>
            <w:r w:rsidR="00AF1FC1">
              <w:t>1</w:t>
            </w:r>
            <w:r w:rsidR="00820819" w:rsidRPr="0069772C">
              <w:t xml:space="preserve"> (</w:t>
            </w:r>
            <w:r>
              <w:t>0.29, 10.0</w:t>
            </w:r>
            <w:r w:rsidR="00AF1FC1">
              <w:t>6</w:t>
            </w:r>
            <w:r w:rsidR="00820819" w:rsidRPr="0069772C"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C544776" w14:textId="366ACE74" w:rsidR="00820819" w:rsidRPr="007A64AE" w:rsidRDefault="00820819" w:rsidP="0082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772C">
              <w:t>0.552</w:t>
            </w:r>
          </w:p>
        </w:tc>
      </w:tr>
      <w:tr w:rsidR="007A64AE" w:rsidRPr="00B5122C" w14:paraId="56920661" w14:textId="1799A8DA" w:rsidTr="00B341C8">
        <w:trPr>
          <w:trHeight w:val="288"/>
        </w:trPr>
        <w:tc>
          <w:tcPr>
            <w:tcW w:w="759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1CEBE2" w14:textId="7CBDC774" w:rsidR="007A64AE" w:rsidRPr="00B5122C" w:rsidRDefault="00593CE2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</w:t>
            </w:r>
            <w:r w:rsidR="007A64AE">
              <w:rPr>
                <w:rFonts w:ascii="Arial" w:eastAsia="Times New Roman" w:hAnsi="Arial" w:cs="Arial"/>
                <w:b/>
                <w:bCs/>
                <w:lang w:eastAsia="en-GB"/>
              </w:rPr>
              <w:t>on-atopic individuals</w:t>
            </w:r>
          </w:p>
        </w:tc>
      </w:tr>
      <w:tr w:rsidR="007A64AE" w:rsidRPr="00B5122C" w14:paraId="13FA6BCC" w14:textId="36AE9FC7" w:rsidTr="00B341C8">
        <w:trPr>
          <w:trHeight w:val="288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BA9CE" w14:textId="0385FC33" w:rsidR="007A64AE" w:rsidRPr="00B5122C" w:rsidRDefault="007A64AE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IFN-g</w:t>
            </w:r>
            <w:r>
              <w:t xml:space="preserve"> at 10 years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E1342" w14:textId="26F40C3D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6/228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5B980" w14:textId="6AB37521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1.21 (0.21, 7.00)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A9A13E7" w14:textId="26E19219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0.832</w:t>
            </w:r>
          </w:p>
        </w:tc>
      </w:tr>
      <w:tr w:rsidR="007A64AE" w:rsidRPr="00B5122C" w14:paraId="1919A054" w14:textId="6C399738" w:rsidTr="00B341C8">
        <w:trPr>
          <w:trHeight w:val="288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633A6" w14:textId="3C1A1A75" w:rsidR="007A64AE" w:rsidRPr="00B5122C" w:rsidRDefault="007A64AE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B45800">
              <w:t>IL</w:t>
            </w:r>
            <w:r>
              <w:t>-</w:t>
            </w:r>
            <w:r w:rsidRPr="00B45800">
              <w:t>5</w:t>
            </w:r>
            <w:r>
              <w:t xml:space="preserve"> at 10 years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8262B" w14:textId="54B61640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7/231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D28AC" w14:textId="23606973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2.13 (0.83, 5.49)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66E1B4A" w14:textId="35BB4457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0.117</w:t>
            </w:r>
          </w:p>
        </w:tc>
      </w:tr>
      <w:tr w:rsidR="007A64AE" w:rsidRPr="00B5122C" w14:paraId="4C5CCD7A" w14:textId="034D8F1D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88412" w14:textId="12B2302B" w:rsidR="007A64AE" w:rsidRPr="00B5122C" w:rsidRDefault="002728EF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lang w:eastAsia="en-GB"/>
              </w:rPr>
            </w:pPr>
            <w:r w:rsidRPr="002728EF">
              <w:t xml:space="preserve">IL-5/IFN-g ratio </w:t>
            </w:r>
            <w:r w:rsidR="007A64AE">
              <w:t>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F59F1" w14:textId="53C0D2EB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30BC">
              <w:t>6/228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A3D41" w14:textId="2B508CF8" w:rsidR="007A64AE" w:rsidRPr="00B5122C" w:rsidRDefault="002728EF" w:rsidP="0082081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2.3</w:t>
            </w:r>
            <w:r w:rsidR="00780521">
              <w:t>0</w:t>
            </w:r>
            <w:r w:rsidR="007A64AE" w:rsidRPr="003530BC">
              <w:t xml:space="preserve"> (</w:t>
            </w:r>
            <w:r>
              <w:t xml:space="preserve">0.61, </w:t>
            </w:r>
            <w:r w:rsidR="00780521">
              <w:t>8.72</w:t>
            </w:r>
            <w:r w:rsidR="007A64AE" w:rsidRPr="003530B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CDCC420" w14:textId="530F0C09" w:rsidR="007A64AE" w:rsidRPr="00B5122C" w:rsidRDefault="007A64AE" w:rsidP="0082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530BC">
              <w:t>0.219</w:t>
            </w:r>
          </w:p>
        </w:tc>
      </w:tr>
      <w:tr w:rsidR="00820819" w:rsidRPr="00B5122C" w14:paraId="07EC24B0" w14:textId="1DA7C73C" w:rsidTr="00B341C8">
        <w:trPr>
          <w:trHeight w:val="300"/>
        </w:trPr>
        <w:tc>
          <w:tcPr>
            <w:tcW w:w="7592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6F8272" w14:textId="5E73DB0F" w:rsidR="00820819" w:rsidRPr="003530BC" w:rsidRDefault="00593CE2" w:rsidP="00820819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Asthma </w:t>
            </w:r>
            <w:r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persistence, age </w:t>
            </w:r>
            <w:r w:rsidR="00820819"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1</w:t>
            </w:r>
            <w:r w:rsidR="008208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8</w:t>
            </w:r>
            <w:r w:rsidR="00820819" w:rsidRPr="00B512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-</w:t>
            </w:r>
            <w:r w:rsidR="008208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26</w:t>
            </w:r>
            <w:r w:rsidR="00820819" w:rsidRPr="00B5122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20819" w:rsidRPr="00B5122C" w14:paraId="07394484" w14:textId="1AA5EC82" w:rsidTr="00B341C8">
        <w:trPr>
          <w:trHeight w:val="30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592AE66" w14:textId="6508B8C9" w:rsidR="00820819" w:rsidRPr="003530BC" w:rsidRDefault="00820819" w:rsidP="00820819">
            <w:pPr>
              <w:spacing w:after="0" w:line="240" w:lineRule="auto"/>
            </w:pPr>
            <w:r w:rsidRPr="00B5122C">
              <w:rPr>
                <w:rFonts w:ascii="Arial" w:eastAsia="Times New Roman" w:hAnsi="Arial" w:cs="Arial"/>
                <w:b/>
                <w:bCs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topic individuals</w:t>
            </w:r>
          </w:p>
        </w:tc>
      </w:tr>
      <w:tr w:rsidR="00820819" w:rsidRPr="00B5122C" w14:paraId="22F4732F" w14:textId="7E22B4D0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BA5675" w14:textId="1CE9CAB8" w:rsidR="00820819" w:rsidRPr="00B5122C" w:rsidRDefault="00820819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B45800">
              <w:t>IFN-g</w:t>
            </w:r>
            <w:r>
              <w:t xml:space="preserve"> at 18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939C98" w14:textId="7B2E5126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13/77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EB681C" w14:textId="1096743B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2.34 (0.63, 8.69)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C05BB70" w14:textId="4BEA7F4E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0.206</w:t>
            </w:r>
          </w:p>
        </w:tc>
      </w:tr>
      <w:tr w:rsidR="00820819" w:rsidRPr="00B5122C" w14:paraId="55F20D07" w14:textId="7780EA22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824028" w14:textId="14FDBBDE" w:rsidR="00820819" w:rsidRPr="00B5122C" w:rsidRDefault="00820819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B45800">
              <w:t>IL</w:t>
            </w:r>
            <w:r>
              <w:t>-</w:t>
            </w:r>
            <w:r w:rsidRPr="00B45800">
              <w:t>5</w:t>
            </w:r>
            <w:r>
              <w:t xml:space="preserve"> at 18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42C27" w14:textId="2090CBA9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13/80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7EA41D" w14:textId="0DEE99F5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4.72 (1.32, 16.95)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E6AE579" w14:textId="103C61CF" w:rsidR="00820819" w:rsidRPr="0042714F" w:rsidRDefault="00820819" w:rsidP="00820819">
            <w:pPr>
              <w:spacing w:after="0" w:line="240" w:lineRule="auto"/>
              <w:rPr>
                <w:b/>
                <w:bCs/>
              </w:rPr>
            </w:pPr>
            <w:r w:rsidRPr="0042714F">
              <w:rPr>
                <w:rFonts w:ascii="Calibri" w:hAnsi="Calibri" w:cs="Calibri"/>
                <w:b/>
                <w:bCs/>
              </w:rPr>
              <w:t>0.017</w:t>
            </w:r>
          </w:p>
        </w:tc>
      </w:tr>
      <w:tr w:rsidR="00820819" w:rsidRPr="00B5122C" w14:paraId="7DB0AAB5" w14:textId="7E58F435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BE6D89" w14:textId="094FF0C2" w:rsidR="00820819" w:rsidRPr="00B5122C" w:rsidRDefault="002728EF" w:rsidP="00B03C05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2728EF">
              <w:t xml:space="preserve">IL-5/IFN-g ratio </w:t>
            </w:r>
            <w:r w:rsidR="00820819">
              <w:t>at 18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CE6AD" w14:textId="0F3C3294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13/76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A66BE" w14:textId="36D20CB8" w:rsidR="00820819" w:rsidRPr="003530BC" w:rsidRDefault="002728EF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1.7</w:t>
            </w:r>
            <w:r w:rsidR="00597F0C">
              <w:rPr>
                <w:rFonts w:ascii="Calibri" w:hAnsi="Calibri" w:cs="Calibri"/>
                <w:color w:val="000000"/>
              </w:rPr>
              <w:t>3</w:t>
            </w:r>
            <w:r w:rsidR="00820819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0.59, 5.</w:t>
            </w:r>
            <w:r w:rsidR="00597F0C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82081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E347671" w14:textId="0986402F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0.322</w:t>
            </w:r>
          </w:p>
        </w:tc>
      </w:tr>
      <w:tr w:rsidR="00820819" w:rsidRPr="00B5122C" w14:paraId="76343B32" w14:textId="52D2C20A" w:rsidTr="00B341C8">
        <w:trPr>
          <w:trHeight w:val="30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634E4A4" w14:textId="77DC205F" w:rsidR="00820819" w:rsidRPr="003530BC" w:rsidRDefault="00D71AB6" w:rsidP="00820819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</w:t>
            </w:r>
            <w:r w:rsidR="00820819">
              <w:rPr>
                <w:rFonts w:ascii="Arial" w:eastAsia="Times New Roman" w:hAnsi="Arial" w:cs="Arial"/>
                <w:b/>
                <w:bCs/>
                <w:lang w:eastAsia="en-GB"/>
              </w:rPr>
              <w:t>on-atopic individuals</w:t>
            </w:r>
          </w:p>
        </w:tc>
      </w:tr>
      <w:tr w:rsidR="00820819" w:rsidRPr="00B5122C" w14:paraId="4A1F2F76" w14:textId="193355ED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5B808" w14:textId="07B66509" w:rsidR="00820819" w:rsidRPr="00B5122C" w:rsidRDefault="00820819" w:rsidP="00503C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B45800">
              <w:t>IFN-g</w:t>
            </w:r>
            <w:r>
              <w:t xml:space="preserve"> at 18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1E63F" w14:textId="15062EC1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6/221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AC278" w14:textId="0BB4C7A2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0.48 (0.09, 2.65)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4436FA7" w14:textId="161AB235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0.396</w:t>
            </w:r>
          </w:p>
        </w:tc>
      </w:tr>
      <w:tr w:rsidR="00820819" w:rsidRPr="00B5122C" w14:paraId="35A1DB66" w14:textId="514D40F4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EEE0B" w14:textId="04204326" w:rsidR="00820819" w:rsidRPr="00B5122C" w:rsidRDefault="00820819" w:rsidP="00503C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B45800">
              <w:t>IL</w:t>
            </w:r>
            <w:r>
              <w:t>-</w:t>
            </w:r>
            <w:r w:rsidRPr="00B45800">
              <w:t>5</w:t>
            </w:r>
            <w:r>
              <w:t xml:space="preserve"> at 18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2EEB0B" w14:textId="36D2305D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6/225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FBF709" w14:textId="76A07B9F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1.26 (0.39, 4.05)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140FFCC" w14:textId="50EDE3E9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</w:rPr>
              <w:t>0.697</w:t>
            </w:r>
          </w:p>
        </w:tc>
      </w:tr>
      <w:tr w:rsidR="00820819" w:rsidRPr="00B5122C" w14:paraId="0A79BB7C" w14:textId="5B64DDC6" w:rsidTr="00B341C8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</w:tcPr>
          <w:p w14:paraId="49505F5C" w14:textId="0B1F23D4" w:rsidR="00820819" w:rsidRPr="00B5122C" w:rsidRDefault="002728EF" w:rsidP="00503C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2728EF">
              <w:t xml:space="preserve">IL-5/IFN-g ratio </w:t>
            </w:r>
            <w:r w:rsidR="00820819">
              <w:t>at 18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</w:tcPr>
          <w:p w14:paraId="2B673B2B" w14:textId="68FF0AD7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6/228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</w:tcPr>
          <w:p w14:paraId="3255A5EE" w14:textId="20206D8B" w:rsidR="00820819" w:rsidRPr="003530BC" w:rsidRDefault="002728EF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1.7</w:t>
            </w:r>
            <w:r w:rsidR="00605B32">
              <w:rPr>
                <w:rFonts w:ascii="Calibri" w:hAnsi="Calibri" w:cs="Calibri"/>
                <w:color w:val="000000"/>
              </w:rPr>
              <w:t>5</w:t>
            </w:r>
            <w:r w:rsidR="00820819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0.56, 5.</w:t>
            </w:r>
            <w:r w:rsidR="00BB11AD">
              <w:rPr>
                <w:rFonts w:ascii="Calibri" w:hAnsi="Calibri" w:cs="Calibri"/>
                <w:color w:val="000000"/>
              </w:rPr>
              <w:t>49</w:t>
            </w:r>
            <w:r w:rsidR="0082081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</w:tcPr>
          <w:p w14:paraId="1ACB75FA" w14:textId="6F278D4E" w:rsidR="00820819" w:rsidRPr="003530BC" w:rsidRDefault="00820819" w:rsidP="0082081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0.338</w:t>
            </w:r>
          </w:p>
        </w:tc>
      </w:tr>
      <w:tr w:rsidR="00B341C8" w:rsidRPr="00B5122C" w14:paraId="5AFAC5DE" w14:textId="33E209D6" w:rsidTr="00B341C8">
        <w:trPr>
          <w:trHeight w:val="300"/>
        </w:trPr>
        <w:tc>
          <w:tcPr>
            <w:tcW w:w="7592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E66DB60" w14:textId="41173F3E" w:rsidR="00B341C8" w:rsidRPr="00830440" w:rsidRDefault="00B341C8" w:rsidP="0082081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Asthma persistence, age 10-26</w:t>
            </w:r>
            <w:r w:rsidRPr="0083044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341C8" w:rsidRPr="00B5122C" w14:paraId="2DB30589" w14:textId="49D55F1C" w:rsidTr="00B341C8">
        <w:trPr>
          <w:trHeight w:val="30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66722E9" w14:textId="7832A448" w:rsidR="00B341C8" w:rsidRPr="00830440" w:rsidRDefault="00B341C8" w:rsidP="0082081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rFonts w:ascii="Arial" w:eastAsia="Times New Roman" w:hAnsi="Arial" w:cs="Arial"/>
                <w:b/>
                <w:bCs/>
                <w:lang w:eastAsia="en-GB"/>
              </w:rPr>
              <w:t>Atopic individuals</w:t>
            </w:r>
          </w:p>
        </w:tc>
      </w:tr>
      <w:tr w:rsidR="00B341C8" w:rsidRPr="00B5122C" w14:paraId="7C18DCE8" w14:textId="611D2703" w:rsidTr="00C60EDC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D535F5" w14:textId="58273DF8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IFN-g 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3CEEC" w14:textId="1B7A54EE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3/30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6022F" w14:textId="38DA0346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0.70 (0.03, 17.55)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AEA5BC" w14:textId="3CF36958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0.827</w:t>
            </w:r>
          </w:p>
        </w:tc>
      </w:tr>
      <w:tr w:rsidR="00B341C8" w:rsidRPr="00B5122C" w14:paraId="25BA5470" w14:textId="17A3DDAE" w:rsidTr="00C60EDC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F11227" w14:textId="4C231BC6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IL-5 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25CE7" w14:textId="1F055052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3/30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2D1C7" w14:textId="22D49A45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10.84 (0.68, 73.73)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F67A2F" w14:textId="1569D1D7" w:rsidR="00B341C8" w:rsidRPr="007F6E7D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6E7D">
              <w:rPr>
                <w:lang w:eastAsia="en-GB"/>
              </w:rPr>
              <w:t>0.092</w:t>
            </w:r>
          </w:p>
        </w:tc>
      </w:tr>
      <w:tr w:rsidR="00B341C8" w:rsidRPr="00B5122C" w14:paraId="7B918866" w14:textId="07A12E51" w:rsidTr="00C60EDC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A06AB" w14:textId="273EBB6E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IL-5/IFN-g ratio 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9229" w14:textId="7115486E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3/30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9DFAC" w14:textId="5CE145D3" w:rsidR="00B341C8" w:rsidRPr="00830440" w:rsidRDefault="00B341C8" w:rsidP="00605B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830440">
              <w:rPr>
                <w:color w:val="000000"/>
                <w:lang w:eastAsia="en-GB"/>
              </w:rPr>
              <w:t>8.</w:t>
            </w:r>
            <w:r w:rsidR="00605B32" w:rsidRPr="00830440">
              <w:rPr>
                <w:color w:val="000000"/>
                <w:lang w:eastAsia="en-GB"/>
              </w:rPr>
              <w:t>41</w:t>
            </w:r>
            <w:r w:rsidRPr="00830440">
              <w:rPr>
                <w:color w:val="000000"/>
                <w:lang w:eastAsia="en-GB"/>
              </w:rPr>
              <w:t xml:space="preserve">  (</w:t>
            </w:r>
            <w:proofErr w:type="gramEnd"/>
            <w:r w:rsidRPr="00830440">
              <w:rPr>
                <w:color w:val="000000"/>
                <w:lang w:eastAsia="en-GB"/>
              </w:rPr>
              <w:t>0.54, 1</w:t>
            </w:r>
            <w:r w:rsidR="00605B32" w:rsidRPr="00830440">
              <w:rPr>
                <w:color w:val="000000"/>
                <w:lang w:eastAsia="en-GB"/>
              </w:rPr>
              <w:t>29</w:t>
            </w:r>
            <w:r w:rsidRPr="00830440">
              <w:rPr>
                <w:color w:val="000000"/>
                <w:lang w:eastAsia="en-GB"/>
              </w:rPr>
              <w:t>.</w:t>
            </w:r>
            <w:r w:rsidR="00605B32" w:rsidRPr="00830440">
              <w:rPr>
                <w:color w:val="000000"/>
                <w:lang w:eastAsia="en-GB"/>
              </w:rPr>
              <w:t>68</w:t>
            </w:r>
            <w:r w:rsidRPr="00830440">
              <w:rPr>
                <w:color w:val="000000"/>
                <w:lang w:eastAsia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36ACD6" w14:textId="4E6B5B7A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0.127</w:t>
            </w:r>
          </w:p>
        </w:tc>
      </w:tr>
      <w:tr w:rsidR="00B341C8" w:rsidRPr="00B5122C" w14:paraId="0678D9AA" w14:textId="5E3251B2" w:rsidTr="00D02679">
        <w:trPr>
          <w:trHeight w:val="30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87E75C5" w14:textId="70D2B338" w:rsidR="00B341C8" w:rsidRPr="00830440" w:rsidRDefault="00B341C8" w:rsidP="0082081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rFonts w:ascii="Arial" w:eastAsia="Times New Roman" w:hAnsi="Arial" w:cs="Arial"/>
                <w:b/>
                <w:bCs/>
                <w:lang w:eastAsia="en-GB"/>
              </w:rPr>
              <w:t>Non-atopic individuals</w:t>
            </w:r>
          </w:p>
        </w:tc>
      </w:tr>
      <w:tr w:rsidR="00B341C8" w:rsidRPr="00B5122C" w14:paraId="1B93C4AC" w14:textId="2C525AFC" w:rsidTr="007A691C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C8FB5" w14:textId="3047732A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IFN-g 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E480" w14:textId="399DD9A1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3/200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7E2DC" w14:textId="234CA9BB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1.43 (0.15, 13.97)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E6DC08" w14:textId="6E22137B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0.756</w:t>
            </w:r>
          </w:p>
        </w:tc>
      </w:tr>
      <w:tr w:rsidR="00B341C8" w:rsidRPr="00B5122C" w14:paraId="6DCD1386" w14:textId="703AC2F3" w:rsidTr="007A691C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37DDDB" w14:textId="39F6938A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IL-5 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6D78C" w14:textId="2C06070F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3/202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81084" w14:textId="6916C93A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2.24 (0.72, 7.02)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2E7F0F" w14:textId="73BE8D2C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lang w:eastAsia="en-GB"/>
              </w:rPr>
              <w:t>0.165</w:t>
            </w:r>
          </w:p>
        </w:tc>
      </w:tr>
      <w:tr w:rsidR="00B341C8" w:rsidRPr="00B5122C" w14:paraId="5B34DACB" w14:textId="514DBBC2" w:rsidTr="007A691C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7FFADB" w14:textId="0B038449" w:rsidR="00B341C8" w:rsidRPr="00830440" w:rsidRDefault="00B341C8" w:rsidP="00B341C8">
            <w:pPr>
              <w:spacing w:after="0" w:line="240" w:lineRule="auto"/>
              <w:ind w:left="283"/>
            </w:pPr>
            <w:r w:rsidRPr="00830440">
              <w:t>IL-5/IFN-g ratio at 10 years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77620" w14:textId="2EB648DF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3/200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BB046" w14:textId="790F9BBE" w:rsidR="00B341C8" w:rsidRPr="00830440" w:rsidRDefault="00B341C8" w:rsidP="00C045B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830440">
              <w:rPr>
                <w:color w:val="000000"/>
                <w:lang w:eastAsia="en-GB"/>
              </w:rPr>
              <w:t>2.5</w:t>
            </w:r>
            <w:r w:rsidR="00C045BA" w:rsidRPr="00830440">
              <w:rPr>
                <w:color w:val="000000"/>
                <w:lang w:eastAsia="en-GB"/>
              </w:rPr>
              <w:t>7</w:t>
            </w:r>
            <w:r w:rsidRPr="00830440">
              <w:rPr>
                <w:color w:val="000000"/>
                <w:lang w:eastAsia="en-GB"/>
              </w:rPr>
              <w:t xml:space="preserve">  (</w:t>
            </w:r>
            <w:proofErr w:type="gramEnd"/>
            <w:r w:rsidRPr="00830440">
              <w:rPr>
                <w:color w:val="000000"/>
                <w:lang w:eastAsia="en-GB"/>
              </w:rPr>
              <w:t>0.49, 1</w:t>
            </w:r>
            <w:r w:rsidR="00C045BA" w:rsidRPr="00830440">
              <w:rPr>
                <w:color w:val="000000"/>
                <w:lang w:eastAsia="en-GB"/>
              </w:rPr>
              <w:t>3</w:t>
            </w:r>
            <w:r w:rsidRPr="00830440">
              <w:rPr>
                <w:color w:val="000000"/>
                <w:lang w:eastAsia="en-GB"/>
              </w:rPr>
              <w:t>.</w:t>
            </w:r>
            <w:r w:rsidR="00C045BA" w:rsidRPr="00830440">
              <w:rPr>
                <w:color w:val="000000"/>
                <w:lang w:eastAsia="en-GB"/>
              </w:rPr>
              <w:t>45</w:t>
            </w:r>
            <w:r w:rsidRPr="00830440">
              <w:rPr>
                <w:color w:val="000000"/>
                <w:lang w:eastAsia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7630A5" w14:textId="56FD5FB6" w:rsidR="00B341C8" w:rsidRPr="00830440" w:rsidRDefault="00B341C8" w:rsidP="00B341C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0440">
              <w:rPr>
                <w:color w:val="000000"/>
                <w:lang w:eastAsia="en-GB"/>
              </w:rPr>
              <w:t>0.262</w:t>
            </w:r>
          </w:p>
        </w:tc>
      </w:tr>
    </w:tbl>
    <w:p w14:paraId="5C0BC3CF" w14:textId="2E28D7DF" w:rsidR="00820819" w:rsidRDefault="00820819" w:rsidP="00820819">
      <w:pPr>
        <w:rPr>
          <w:rFonts w:ascii="Arial" w:hAnsi="Arial" w:cs="Arial"/>
        </w:rPr>
      </w:pPr>
    </w:p>
    <w:p w14:paraId="3AA2A790" w14:textId="668200A5" w:rsidR="00224B12" w:rsidRPr="003568D7" w:rsidRDefault="00820819" w:rsidP="00224B12">
      <w:pPr>
        <w:rPr>
          <w:rFonts w:ascii="Arial" w:hAnsi="Arial" w:cs="Arial"/>
          <w:lang w:val="en-US"/>
        </w:rPr>
      </w:pPr>
      <w:r w:rsidRPr="003568D7">
        <w:rPr>
          <w:rFonts w:ascii="Arial" w:hAnsi="Arial" w:cs="Arial"/>
        </w:rPr>
        <w:t xml:space="preserve">Table </w:t>
      </w:r>
      <w:r w:rsidR="006A63A5">
        <w:rPr>
          <w:rFonts w:ascii="Arial" w:hAnsi="Arial" w:cs="Arial"/>
        </w:rPr>
        <w:t>3</w:t>
      </w:r>
      <w:r w:rsidRPr="003568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Subgroup analyses of the longitudinal</w:t>
      </w:r>
      <w:r w:rsidRPr="003568D7">
        <w:rPr>
          <w:rFonts w:ascii="Arial" w:hAnsi="Arial" w:cs="Arial"/>
        </w:rPr>
        <w:t xml:space="preserve"> associations between IL-5, IFN-g and </w:t>
      </w:r>
      <w:r w:rsidR="002728EF" w:rsidRPr="00E256DA">
        <w:rPr>
          <w:rFonts w:ascii="Arial" w:hAnsi="Arial" w:cs="Arial"/>
          <w:lang w:val="en-US"/>
        </w:rPr>
        <w:t>IL-5</w:t>
      </w:r>
      <w:r w:rsidR="002728EF">
        <w:rPr>
          <w:rFonts w:ascii="Arial" w:hAnsi="Arial" w:cs="Arial"/>
          <w:lang w:val="en-US"/>
        </w:rPr>
        <w:t>/ IFN-g</w:t>
      </w:r>
      <w:r w:rsidR="002728EF" w:rsidRPr="00E256DA">
        <w:rPr>
          <w:rFonts w:ascii="Arial" w:hAnsi="Arial" w:cs="Arial"/>
          <w:lang w:val="en-US"/>
        </w:rPr>
        <w:t xml:space="preserve"> ratio </w:t>
      </w:r>
      <w:r w:rsidRPr="003568D7">
        <w:rPr>
          <w:rFonts w:ascii="Arial" w:hAnsi="Arial" w:cs="Arial"/>
        </w:rPr>
        <w:t xml:space="preserve">with asthma </w:t>
      </w:r>
      <w:r>
        <w:rPr>
          <w:rFonts w:ascii="Arial" w:hAnsi="Arial" w:cs="Arial"/>
        </w:rPr>
        <w:t>persistence, stratified by atopic status</w:t>
      </w:r>
      <w:r w:rsidRPr="003568D7">
        <w:rPr>
          <w:rFonts w:ascii="Arial" w:hAnsi="Arial" w:cs="Arial"/>
        </w:rPr>
        <w:t xml:space="preserve">. </w:t>
      </w:r>
      <w:proofErr w:type="gramStart"/>
      <w:r w:rsidR="00B03C05">
        <w:rPr>
          <w:rFonts w:ascii="Arial" w:hAnsi="Arial" w:cs="Arial"/>
        </w:rPr>
        <w:t>Cytokines</w:t>
      </w:r>
      <w:proofErr w:type="gramEnd"/>
      <w:r w:rsidR="00B03C05">
        <w:rPr>
          <w:rFonts w:ascii="Arial" w:hAnsi="Arial" w:cs="Arial"/>
        </w:rPr>
        <w:t xml:space="preserve"> measurements were log</w:t>
      </w:r>
      <w:r w:rsidR="002728EF">
        <w:rPr>
          <w:rFonts w:ascii="Arial" w:hAnsi="Arial" w:cs="Arial"/>
        </w:rPr>
        <w:t>-</w:t>
      </w:r>
      <w:r w:rsidR="00B03C05">
        <w:rPr>
          <w:rFonts w:ascii="Arial" w:hAnsi="Arial" w:cs="Arial"/>
        </w:rPr>
        <w:t xml:space="preserve">transformed for analysis. </w:t>
      </w:r>
      <w:r w:rsidRPr="003568D7">
        <w:rPr>
          <w:rFonts w:ascii="Arial" w:hAnsi="Arial" w:cs="Arial"/>
        </w:rPr>
        <w:t xml:space="preserve"> </w:t>
      </w:r>
      <w:r w:rsidR="00224B12">
        <w:rPr>
          <w:rFonts w:ascii="Arial" w:hAnsi="Arial" w:cs="Arial"/>
        </w:rPr>
        <w:t xml:space="preserve">Case </w:t>
      </w:r>
      <w:r w:rsidR="00224B12">
        <w:rPr>
          <w:rFonts w:ascii="Arial" w:hAnsi="Arial" w:cs="Arial"/>
          <w:lang w:val="en-US"/>
        </w:rPr>
        <w:t xml:space="preserve">definition for </w:t>
      </w:r>
      <w:r w:rsidR="00AC6DEE">
        <w:rPr>
          <w:rFonts w:ascii="Arial" w:hAnsi="Arial" w:cs="Arial"/>
        </w:rPr>
        <w:t>persistent</w:t>
      </w:r>
      <w:r w:rsidR="00AC6DEE" w:rsidRPr="00914482">
        <w:rPr>
          <w:rFonts w:ascii="Arial" w:hAnsi="Arial" w:cs="Arial"/>
          <w:lang w:val="en-US"/>
        </w:rPr>
        <w:t xml:space="preserve"> </w:t>
      </w:r>
      <w:r w:rsidR="00224B12" w:rsidRPr="00914482">
        <w:rPr>
          <w:rFonts w:ascii="Arial" w:hAnsi="Arial" w:cs="Arial"/>
          <w:lang w:val="en-US"/>
        </w:rPr>
        <w:t xml:space="preserve">asthma </w:t>
      </w:r>
      <w:proofErr w:type="gramStart"/>
      <w:r w:rsidR="00224B12" w:rsidRPr="00914482">
        <w:rPr>
          <w:rFonts w:ascii="Arial" w:hAnsi="Arial" w:cs="Arial"/>
          <w:lang w:val="en-US"/>
        </w:rPr>
        <w:t>was</w:t>
      </w:r>
      <w:r w:rsidR="00224B12">
        <w:rPr>
          <w:rFonts w:ascii="Arial" w:hAnsi="Arial" w:cs="Arial"/>
          <w:lang w:val="en-US"/>
        </w:rPr>
        <w:t>;</w:t>
      </w:r>
      <w:proofErr w:type="gramEnd"/>
      <w:r w:rsidR="00224B12" w:rsidRPr="00914482">
        <w:rPr>
          <w:rFonts w:ascii="Arial" w:hAnsi="Arial" w:cs="Arial"/>
          <w:lang w:val="en-US"/>
        </w:rPr>
        <w:t xml:space="preserve"> asthma present at 10 </w:t>
      </w:r>
      <w:r w:rsidR="00224B12">
        <w:rPr>
          <w:rFonts w:ascii="Arial" w:hAnsi="Arial" w:cs="Arial"/>
          <w:lang w:val="en-US"/>
        </w:rPr>
        <w:t>to</w:t>
      </w:r>
      <w:r w:rsidR="00224B12" w:rsidRPr="00914482">
        <w:rPr>
          <w:rFonts w:ascii="Arial" w:hAnsi="Arial" w:cs="Arial"/>
          <w:lang w:val="en-US"/>
        </w:rPr>
        <w:t xml:space="preserve"> 18</w:t>
      </w:r>
      <w:r w:rsidR="00357BBD">
        <w:rPr>
          <w:rFonts w:ascii="Arial" w:hAnsi="Arial" w:cs="Arial"/>
          <w:lang w:val="en-US"/>
        </w:rPr>
        <w:t>,</w:t>
      </w:r>
      <w:r w:rsidR="00224B12">
        <w:rPr>
          <w:rFonts w:ascii="Arial" w:hAnsi="Arial" w:cs="Arial"/>
          <w:lang w:val="en-US"/>
        </w:rPr>
        <w:t xml:space="preserve"> 18 to 26 years </w:t>
      </w:r>
      <w:r w:rsidR="00357BBD">
        <w:rPr>
          <w:rFonts w:ascii="Arial" w:hAnsi="Arial" w:cs="Arial"/>
          <w:lang w:val="en-US"/>
        </w:rPr>
        <w:t>or 10-18-26 years of age</w:t>
      </w:r>
      <w:r w:rsidR="00224B12" w:rsidRPr="00914482">
        <w:rPr>
          <w:rFonts w:ascii="Arial" w:hAnsi="Arial" w:cs="Arial"/>
          <w:lang w:val="en-US"/>
        </w:rPr>
        <w:t xml:space="preserve">. </w:t>
      </w:r>
      <w:r w:rsidR="00224B12">
        <w:rPr>
          <w:rFonts w:ascii="Arial" w:hAnsi="Arial" w:cs="Arial"/>
          <w:lang w:val="en-US"/>
        </w:rPr>
        <w:t>Controls were defined as no asthma or n</w:t>
      </w:r>
      <w:r w:rsidR="00224B12" w:rsidRPr="00914482">
        <w:rPr>
          <w:rFonts w:ascii="Arial" w:hAnsi="Arial" w:cs="Arial"/>
          <w:lang w:val="en-US"/>
        </w:rPr>
        <w:t>on-persistent asthma</w:t>
      </w:r>
      <w:r w:rsidR="00224B12">
        <w:rPr>
          <w:rFonts w:ascii="Arial" w:hAnsi="Arial" w:cs="Arial"/>
          <w:lang w:val="en-US"/>
        </w:rPr>
        <w:t>;</w:t>
      </w:r>
      <w:r w:rsidR="00224B12" w:rsidRPr="00914482">
        <w:rPr>
          <w:rFonts w:ascii="Arial" w:hAnsi="Arial" w:cs="Arial"/>
          <w:lang w:val="en-US"/>
        </w:rPr>
        <w:t xml:space="preserve"> (asthma at one</w:t>
      </w:r>
      <w:r w:rsidR="00E256DA">
        <w:rPr>
          <w:rFonts w:ascii="Arial" w:hAnsi="Arial" w:cs="Arial"/>
          <w:lang w:val="en-US"/>
        </w:rPr>
        <w:t xml:space="preserve"> </w:t>
      </w:r>
      <w:r w:rsidR="00224B12" w:rsidRPr="00914482">
        <w:rPr>
          <w:rFonts w:ascii="Arial" w:hAnsi="Arial" w:cs="Arial"/>
          <w:lang w:val="en-US"/>
        </w:rPr>
        <w:t xml:space="preserve">time point but not at the following time point, </w:t>
      </w:r>
      <w:proofErr w:type="spellStart"/>
      <w:r w:rsidR="00224B12" w:rsidRPr="00914482">
        <w:rPr>
          <w:rFonts w:ascii="Arial" w:hAnsi="Arial" w:cs="Arial"/>
          <w:lang w:val="en-US"/>
        </w:rPr>
        <w:t>eg</w:t>
      </w:r>
      <w:proofErr w:type="spellEnd"/>
      <w:r w:rsidR="00224B12" w:rsidRPr="00914482">
        <w:rPr>
          <w:rFonts w:ascii="Arial" w:hAnsi="Arial" w:cs="Arial"/>
          <w:lang w:val="en-US"/>
        </w:rPr>
        <w:t>: 10 but not at 18</w:t>
      </w:r>
      <w:r w:rsidR="00224B12">
        <w:rPr>
          <w:rFonts w:ascii="Arial" w:hAnsi="Arial" w:cs="Arial"/>
          <w:lang w:val="en-US"/>
        </w:rPr>
        <w:t xml:space="preserve"> or 18 but not 26 years</w:t>
      </w:r>
      <w:r w:rsidR="00224B12" w:rsidRPr="00914482">
        <w:rPr>
          <w:rFonts w:ascii="Arial" w:hAnsi="Arial" w:cs="Arial"/>
          <w:lang w:val="en-US"/>
        </w:rPr>
        <w:t xml:space="preserve">).  </w:t>
      </w:r>
      <w:r w:rsidR="00224B12" w:rsidRPr="00914482">
        <w:rPr>
          <w:rFonts w:ascii="Arial" w:hAnsi="Arial" w:cs="Arial"/>
        </w:rPr>
        <w:t>Atopy was defined as having a positive skin prick test</w:t>
      </w:r>
      <w:r w:rsidR="00830440">
        <w:rPr>
          <w:rFonts w:ascii="Arial" w:hAnsi="Arial" w:cs="Arial"/>
        </w:rPr>
        <w:t xml:space="preserve">. </w:t>
      </w:r>
      <w:r w:rsidR="00224B12">
        <w:rPr>
          <w:rFonts w:ascii="Arial" w:hAnsi="Arial" w:cs="Arial"/>
        </w:rPr>
        <w:t xml:space="preserve">All models were </w:t>
      </w:r>
      <w:r w:rsidR="00224B12" w:rsidRPr="003568D7">
        <w:rPr>
          <w:rFonts w:ascii="Arial" w:hAnsi="Arial" w:cs="Arial"/>
        </w:rPr>
        <w:t xml:space="preserve">adjusted for </w:t>
      </w:r>
      <w:r w:rsidR="00AC6DEE">
        <w:rPr>
          <w:rFonts w:ascii="Arial" w:hAnsi="Arial" w:cs="Arial"/>
          <w:lang w:val="en-US"/>
        </w:rPr>
        <w:t>s</w:t>
      </w:r>
      <w:r w:rsidR="00224B12" w:rsidRPr="003568D7">
        <w:rPr>
          <w:rFonts w:ascii="Arial" w:hAnsi="Arial" w:cs="Arial"/>
          <w:lang w:val="en-US"/>
        </w:rPr>
        <w:t>ex</w:t>
      </w:r>
      <w:r w:rsidR="00A25696">
        <w:rPr>
          <w:rFonts w:ascii="Arial" w:hAnsi="Arial" w:cs="Arial"/>
          <w:lang w:val="en-US"/>
        </w:rPr>
        <w:t xml:space="preserve"> </w:t>
      </w:r>
      <w:r w:rsidR="00224B12">
        <w:rPr>
          <w:rFonts w:ascii="Arial" w:hAnsi="Arial" w:cs="Arial"/>
          <w:lang w:val="en-US"/>
        </w:rPr>
        <w:t>(</w:t>
      </w:r>
      <w:r w:rsidR="00D71AB6">
        <w:rPr>
          <w:rFonts w:ascii="Arial" w:hAnsi="Arial" w:cs="Arial"/>
          <w:lang w:val="en-US"/>
        </w:rPr>
        <w:t>male/female</w:t>
      </w:r>
      <w:r w:rsidR="00224B12">
        <w:rPr>
          <w:rFonts w:ascii="Arial" w:hAnsi="Arial" w:cs="Arial"/>
          <w:lang w:val="en-US"/>
        </w:rPr>
        <w:t>)</w:t>
      </w:r>
      <w:r w:rsidR="00224B12" w:rsidRPr="003568D7">
        <w:rPr>
          <w:rFonts w:ascii="Arial" w:hAnsi="Arial" w:cs="Arial"/>
          <w:lang w:val="en-US"/>
        </w:rPr>
        <w:t xml:space="preserve"> </w:t>
      </w:r>
      <w:r w:rsidR="00AC6DEE">
        <w:rPr>
          <w:rFonts w:ascii="Arial" w:hAnsi="Arial" w:cs="Arial"/>
          <w:lang w:val="en-US"/>
        </w:rPr>
        <w:t>and f</w:t>
      </w:r>
      <w:r w:rsidR="00D71AB6">
        <w:rPr>
          <w:rFonts w:ascii="Arial" w:hAnsi="Arial" w:cs="Arial"/>
          <w:lang w:val="en-US"/>
        </w:rPr>
        <w:t>amily history of atopy</w:t>
      </w:r>
      <w:r w:rsidR="00224B12">
        <w:rPr>
          <w:rFonts w:ascii="Arial" w:hAnsi="Arial" w:cs="Arial"/>
          <w:lang w:val="en-US"/>
        </w:rPr>
        <w:t xml:space="preserve"> (</w:t>
      </w:r>
      <w:r w:rsidR="00D71AB6">
        <w:rPr>
          <w:rFonts w:ascii="Arial" w:hAnsi="Arial" w:cs="Arial"/>
          <w:lang w:val="en-US"/>
        </w:rPr>
        <w:t>yes/no</w:t>
      </w:r>
      <w:r w:rsidR="00224B12">
        <w:rPr>
          <w:rFonts w:ascii="Arial" w:hAnsi="Arial" w:cs="Arial"/>
          <w:lang w:val="en-US"/>
        </w:rPr>
        <w:t xml:space="preserve">). </w:t>
      </w:r>
      <w:proofErr w:type="spellStart"/>
      <w:r w:rsidR="00224B12">
        <w:rPr>
          <w:rFonts w:ascii="Arial" w:hAnsi="Arial" w:cs="Arial"/>
          <w:lang w:val="en-US"/>
        </w:rPr>
        <w:t>aOR</w:t>
      </w:r>
      <w:proofErr w:type="spellEnd"/>
      <w:r w:rsidR="00224B12">
        <w:rPr>
          <w:rFonts w:ascii="Arial" w:hAnsi="Arial" w:cs="Arial"/>
          <w:lang w:val="en-US"/>
        </w:rPr>
        <w:t>: Adjusted odds ratio. 95% CI: 95% confidence intervals. IFN-g: Interferon</w:t>
      </w:r>
      <w:r w:rsidR="001A032D">
        <w:rPr>
          <w:rFonts w:ascii="Arial" w:hAnsi="Arial" w:cs="Arial"/>
          <w:lang w:val="en-US"/>
        </w:rPr>
        <w:t>-</w:t>
      </w:r>
      <w:r w:rsidR="00224B12">
        <w:rPr>
          <w:rFonts w:ascii="Arial" w:hAnsi="Arial" w:cs="Arial"/>
          <w:lang w:val="en-US"/>
        </w:rPr>
        <w:t>gamma. IL-5: Interle</w:t>
      </w:r>
      <w:r w:rsidR="001A032D">
        <w:rPr>
          <w:rFonts w:ascii="Arial" w:hAnsi="Arial" w:cs="Arial"/>
          <w:lang w:val="en-US"/>
        </w:rPr>
        <w:t>u</w:t>
      </w:r>
      <w:r w:rsidR="00224B12">
        <w:rPr>
          <w:rFonts w:ascii="Arial" w:hAnsi="Arial" w:cs="Arial"/>
          <w:lang w:val="en-US"/>
        </w:rPr>
        <w:t>kin 5.</w:t>
      </w:r>
    </w:p>
    <w:p w14:paraId="3BDBB253" w14:textId="0D0324C5" w:rsidR="00820819" w:rsidRPr="003568D7" w:rsidRDefault="00820819" w:rsidP="00820819">
      <w:pPr>
        <w:rPr>
          <w:rFonts w:ascii="Arial" w:hAnsi="Arial" w:cs="Arial"/>
          <w:lang w:val="en-US"/>
        </w:rPr>
      </w:pPr>
    </w:p>
    <w:p w14:paraId="6C1B9697" w14:textId="1F004B33" w:rsidR="00290B66" w:rsidRPr="00FF2F5B" w:rsidRDefault="00290B66" w:rsidP="00FF2F5B"/>
    <w:sectPr w:rsidR="00290B66" w:rsidRPr="00FF2F5B" w:rsidSect="00E24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E12F9" w14:textId="77777777" w:rsidR="00E326B0" w:rsidRDefault="00E326B0" w:rsidP="00E24EBB">
      <w:pPr>
        <w:spacing w:after="0" w:line="240" w:lineRule="auto"/>
      </w:pPr>
      <w:r>
        <w:separator/>
      </w:r>
    </w:p>
  </w:endnote>
  <w:endnote w:type="continuationSeparator" w:id="0">
    <w:p w14:paraId="4F43C90B" w14:textId="77777777" w:rsidR="00E326B0" w:rsidRDefault="00E326B0" w:rsidP="00E2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ADBEE" w14:textId="77777777" w:rsidR="00E24EBB" w:rsidRDefault="00E24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18939" w14:textId="77777777" w:rsidR="00E24EBB" w:rsidRDefault="00E24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92129" w14:textId="77777777" w:rsidR="00E24EBB" w:rsidRDefault="00E24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554E1" w14:textId="77777777" w:rsidR="00E326B0" w:rsidRDefault="00E326B0" w:rsidP="00E24EBB">
      <w:pPr>
        <w:spacing w:after="0" w:line="240" w:lineRule="auto"/>
      </w:pPr>
      <w:r>
        <w:separator/>
      </w:r>
    </w:p>
  </w:footnote>
  <w:footnote w:type="continuationSeparator" w:id="0">
    <w:p w14:paraId="10DD31AE" w14:textId="77777777" w:rsidR="00E326B0" w:rsidRDefault="00E326B0" w:rsidP="00E2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0468A" w14:textId="77777777" w:rsidR="00E24EBB" w:rsidRDefault="00E24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52752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E9E661" w14:textId="48DF11FE" w:rsidR="00E24EBB" w:rsidRDefault="00E24E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BE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584545" w14:textId="77777777" w:rsidR="00E24EBB" w:rsidRDefault="00E24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D9DE0" w14:textId="77777777" w:rsidR="00E24EBB" w:rsidRDefault="00E24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A59"/>
    <w:multiLevelType w:val="hybridMultilevel"/>
    <w:tmpl w:val="6E30A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7A0tDQyM7Y0MLRU0lEKTi0uzszPAykwtqgFABz+FAgtAAAA"/>
  </w:docVars>
  <w:rsids>
    <w:rsidRoot w:val="005B4026"/>
    <w:rsid w:val="0000328A"/>
    <w:rsid w:val="000045FC"/>
    <w:rsid w:val="00014AC2"/>
    <w:rsid w:val="0002091F"/>
    <w:rsid w:val="00023F3E"/>
    <w:rsid w:val="00032726"/>
    <w:rsid w:val="0003735B"/>
    <w:rsid w:val="00041510"/>
    <w:rsid w:val="00046D5D"/>
    <w:rsid w:val="00047691"/>
    <w:rsid w:val="00047B08"/>
    <w:rsid w:val="00051D2F"/>
    <w:rsid w:val="000523E2"/>
    <w:rsid w:val="000547FD"/>
    <w:rsid w:val="00056F90"/>
    <w:rsid w:val="00070063"/>
    <w:rsid w:val="000700C8"/>
    <w:rsid w:val="000708B2"/>
    <w:rsid w:val="00076F0A"/>
    <w:rsid w:val="00077C06"/>
    <w:rsid w:val="000824F4"/>
    <w:rsid w:val="00082ACD"/>
    <w:rsid w:val="00085361"/>
    <w:rsid w:val="00085F50"/>
    <w:rsid w:val="00090472"/>
    <w:rsid w:val="0009067E"/>
    <w:rsid w:val="00095ED4"/>
    <w:rsid w:val="000A2555"/>
    <w:rsid w:val="000A64F5"/>
    <w:rsid w:val="000B18B9"/>
    <w:rsid w:val="000B223C"/>
    <w:rsid w:val="000B2C9A"/>
    <w:rsid w:val="000B60F0"/>
    <w:rsid w:val="000C52CD"/>
    <w:rsid w:val="000C5945"/>
    <w:rsid w:val="000C6993"/>
    <w:rsid w:val="000D1662"/>
    <w:rsid w:val="000D497F"/>
    <w:rsid w:val="000E08E7"/>
    <w:rsid w:val="000E2218"/>
    <w:rsid w:val="000E38BE"/>
    <w:rsid w:val="000E586B"/>
    <w:rsid w:val="000F4C6B"/>
    <w:rsid w:val="001015BD"/>
    <w:rsid w:val="00114A3B"/>
    <w:rsid w:val="00116463"/>
    <w:rsid w:val="00121494"/>
    <w:rsid w:val="00121EFE"/>
    <w:rsid w:val="0012291B"/>
    <w:rsid w:val="00124C0B"/>
    <w:rsid w:val="001261B8"/>
    <w:rsid w:val="00141AE5"/>
    <w:rsid w:val="001509D1"/>
    <w:rsid w:val="001522C3"/>
    <w:rsid w:val="00153B5A"/>
    <w:rsid w:val="00155DA4"/>
    <w:rsid w:val="00156149"/>
    <w:rsid w:val="001642BE"/>
    <w:rsid w:val="00164E15"/>
    <w:rsid w:val="001668F2"/>
    <w:rsid w:val="00166FD0"/>
    <w:rsid w:val="00174D89"/>
    <w:rsid w:val="00176752"/>
    <w:rsid w:val="001834C0"/>
    <w:rsid w:val="0018354C"/>
    <w:rsid w:val="001875F8"/>
    <w:rsid w:val="0019210E"/>
    <w:rsid w:val="00193C52"/>
    <w:rsid w:val="00196C6B"/>
    <w:rsid w:val="0019753D"/>
    <w:rsid w:val="001A032D"/>
    <w:rsid w:val="001A1B3B"/>
    <w:rsid w:val="001B3806"/>
    <w:rsid w:val="001B7F5B"/>
    <w:rsid w:val="001D3D64"/>
    <w:rsid w:val="001F101D"/>
    <w:rsid w:val="001F141E"/>
    <w:rsid w:val="001F1B09"/>
    <w:rsid w:val="001F5E4D"/>
    <w:rsid w:val="002133A3"/>
    <w:rsid w:val="00224B12"/>
    <w:rsid w:val="00227A44"/>
    <w:rsid w:val="002305C1"/>
    <w:rsid w:val="00233A9E"/>
    <w:rsid w:val="002349ED"/>
    <w:rsid w:val="00235604"/>
    <w:rsid w:val="00235E76"/>
    <w:rsid w:val="00246289"/>
    <w:rsid w:val="00265A1A"/>
    <w:rsid w:val="002728EF"/>
    <w:rsid w:val="00273330"/>
    <w:rsid w:val="00273F8C"/>
    <w:rsid w:val="00286E5F"/>
    <w:rsid w:val="00290B66"/>
    <w:rsid w:val="00296634"/>
    <w:rsid w:val="00297121"/>
    <w:rsid w:val="002A255A"/>
    <w:rsid w:val="002A4B76"/>
    <w:rsid w:val="002A63A1"/>
    <w:rsid w:val="002C1ABA"/>
    <w:rsid w:val="002C3540"/>
    <w:rsid w:val="002C4C72"/>
    <w:rsid w:val="002C6EC1"/>
    <w:rsid w:val="002D1E1B"/>
    <w:rsid w:val="002E5E74"/>
    <w:rsid w:val="00300299"/>
    <w:rsid w:val="00316185"/>
    <w:rsid w:val="0032046B"/>
    <w:rsid w:val="00327A53"/>
    <w:rsid w:val="00331FC3"/>
    <w:rsid w:val="0033790C"/>
    <w:rsid w:val="00341B4B"/>
    <w:rsid w:val="00342FE1"/>
    <w:rsid w:val="0034597A"/>
    <w:rsid w:val="00346568"/>
    <w:rsid w:val="00350A47"/>
    <w:rsid w:val="00350AB5"/>
    <w:rsid w:val="00350F54"/>
    <w:rsid w:val="003522DB"/>
    <w:rsid w:val="003568D7"/>
    <w:rsid w:val="00357BBD"/>
    <w:rsid w:val="0036285E"/>
    <w:rsid w:val="003664F0"/>
    <w:rsid w:val="00367AC2"/>
    <w:rsid w:val="00374A2B"/>
    <w:rsid w:val="003751DC"/>
    <w:rsid w:val="003769D5"/>
    <w:rsid w:val="00383F88"/>
    <w:rsid w:val="00392F85"/>
    <w:rsid w:val="003A2F58"/>
    <w:rsid w:val="003A346A"/>
    <w:rsid w:val="003B3F8A"/>
    <w:rsid w:val="003B7C45"/>
    <w:rsid w:val="003C0F7D"/>
    <w:rsid w:val="003C3CA7"/>
    <w:rsid w:val="003C5EC8"/>
    <w:rsid w:val="003D0722"/>
    <w:rsid w:val="003D3B36"/>
    <w:rsid w:val="003E1EB1"/>
    <w:rsid w:val="003F3414"/>
    <w:rsid w:val="003F3FDF"/>
    <w:rsid w:val="003F624D"/>
    <w:rsid w:val="00411A43"/>
    <w:rsid w:val="00414AA2"/>
    <w:rsid w:val="00425352"/>
    <w:rsid w:val="0042714F"/>
    <w:rsid w:val="0042747B"/>
    <w:rsid w:val="00433C2D"/>
    <w:rsid w:val="004355F6"/>
    <w:rsid w:val="00440690"/>
    <w:rsid w:val="00440695"/>
    <w:rsid w:val="00440CC4"/>
    <w:rsid w:val="00442612"/>
    <w:rsid w:val="00444A2F"/>
    <w:rsid w:val="00444BA7"/>
    <w:rsid w:val="00444CFD"/>
    <w:rsid w:val="00457BA9"/>
    <w:rsid w:val="00463FF4"/>
    <w:rsid w:val="0046563B"/>
    <w:rsid w:val="004662A7"/>
    <w:rsid w:val="00466365"/>
    <w:rsid w:val="0046702F"/>
    <w:rsid w:val="00467DC7"/>
    <w:rsid w:val="0047043F"/>
    <w:rsid w:val="004758C0"/>
    <w:rsid w:val="004766F0"/>
    <w:rsid w:val="00480BEC"/>
    <w:rsid w:val="00481236"/>
    <w:rsid w:val="004844FB"/>
    <w:rsid w:val="00485552"/>
    <w:rsid w:val="00497E8D"/>
    <w:rsid w:val="004A1D38"/>
    <w:rsid w:val="004A6C7D"/>
    <w:rsid w:val="004A6E7B"/>
    <w:rsid w:val="004B0299"/>
    <w:rsid w:val="004C106F"/>
    <w:rsid w:val="004C4CA5"/>
    <w:rsid w:val="004D69D8"/>
    <w:rsid w:val="004E378E"/>
    <w:rsid w:val="004F3C91"/>
    <w:rsid w:val="00503CD6"/>
    <w:rsid w:val="0050741E"/>
    <w:rsid w:val="00511A84"/>
    <w:rsid w:val="0051353C"/>
    <w:rsid w:val="00515AC8"/>
    <w:rsid w:val="005160DD"/>
    <w:rsid w:val="00522D7D"/>
    <w:rsid w:val="005331AD"/>
    <w:rsid w:val="00543DF4"/>
    <w:rsid w:val="0054487C"/>
    <w:rsid w:val="00546035"/>
    <w:rsid w:val="00550E0D"/>
    <w:rsid w:val="00556690"/>
    <w:rsid w:val="00571F7A"/>
    <w:rsid w:val="005761EC"/>
    <w:rsid w:val="00577C93"/>
    <w:rsid w:val="00577E6E"/>
    <w:rsid w:val="00583F4B"/>
    <w:rsid w:val="0058439D"/>
    <w:rsid w:val="00586665"/>
    <w:rsid w:val="00586857"/>
    <w:rsid w:val="00593CE2"/>
    <w:rsid w:val="00597F0C"/>
    <w:rsid w:val="005A06A8"/>
    <w:rsid w:val="005A66F7"/>
    <w:rsid w:val="005B17BE"/>
    <w:rsid w:val="005B1DE7"/>
    <w:rsid w:val="005B4026"/>
    <w:rsid w:val="005B629A"/>
    <w:rsid w:val="005B75BA"/>
    <w:rsid w:val="005C3188"/>
    <w:rsid w:val="005C3AC6"/>
    <w:rsid w:val="005C48F2"/>
    <w:rsid w:val="005D1E64"/>
    <w:rsid w:val="005E4A33"/>
    <w:rsid w:val="005E63D3"/>
    <w:rsid w:val="005E72CD"/>
    <w:rsid w:val="005F55A7"/>
    <w:rsid w:val="0060495C"/>
    <w:rsid w:val="00605B32"/>
    <w:rsid w:val="00610518"/>
    <w:rsid w:val="0061708E"/>
    <w:rsid w:val="00620356"/>
    <w:rsid w:val="00620791"/>
    <w:rsid w:val="00622246"/>
    <w:rsid w:val="00626522"/>
    <w:rsid w:val="006277FF"/>
    <w:rsid w:val="00635C12"/>
    <w:rsid w:val="00637CCA"/>
    <w:rsid w:val="00637D2D"/>
    <w:rsid w:val="006404D0"/>
    <w:rsid w:val="00641EDF"/>
    <w:rsid w:val="006459FB"/>
    <w:rsid w:val="00647535"/>
    <w:rsid w:val="006527CA"/>
    <w:rsid w:val="006548B4"/>
    <w:rsid w:val="00656702"/>
    <w:rsid w:val="00656DCF"/>
    <w:rsid w:val="00662AC0"/>
    <w:rsid w:val="0067060C"/>
    <w:rsid w:val="0067384C"/>
    <w:rsid w:val="00682566"/>
    <w:rsid w:val="00682BAA"/>
    <w:rsid w:val="00685C2C"/>
    <w:rsid w:val="00693031"/>
    <w:rsid w:val="006A18FD"/>
    <w:rsid w:val="006A63A5"/>
    <w:rsid w:val="006A6853"/>
    <w:rsid w:val="006B007E"/>
    <w:rsid w:val="006B0ADF"/>
    <w:rsid w:val="006C655E"/>
    <w:rsid w:val="006D05EA"/>
    <w:rsid w:val="006D294B"/>
    <w:rsid w:val="006F364C"/>
    <w:rsid w:val="006F5A4C"/>
    <w:rsid w:val="006F745C"/>
    <w:rsid w:val="00703155"/>
    <w:rsid w:val="00713AAB"/>
    <w:rsid w:val="0071649D"/>
    <w:rsid w:val="007170EA"/>
    <w:rsid w:val="00717C2A"/>
    <w:rsid w:val="0072050C"/>
    <w:rsid w:val="007218D0"/>
    <w:rsid w:val="00722540"/>
    <w:rsid w:val="00722A20"/>
    <w:rsid w:val="00726930"/>
    <w:rsid w:val="007274E9"/>
    <w:rsid w:val="00733DBF"/>
    <w:rsid w:val="0075293F"/>
    <w:rsid w:val="00763953"/>
    <w:rsid w:val="00780521"/>
    <w:rsid w:val="00784980"/>
    <w:rsid w:val="0078726E"/>
    <w:rsid w:val="007876FF"/>
    <w:rsid w:val="00787A6C"/>
    <w:rsid w:val="00793A5F"/>
    <w:rsid w:val="00795B6F"/>
    <w:rsid w:val="007A275E"/>
    <w:rsid w:val="007A4043"/>
    <w:rsid w:val="007A64AE"/>
    <w:rsid w:val="007B222A"/>
    <w:rsid w:val="007B3722"/>
    <w:rsid w:val="007C45EE"/>
    <w:rsid w:val="007D1A97"/>
    <w:rsid w:val="007D52D1"/>
    <w:rsid w:val="007E0139"/>
    <w:rsid w:val="007E0546"/>
    <w:rsid w:val="007E510D"/>
    <w:rsid w:val="007F35F1"/>
    <w:rsid w:val="007F6C03"/>
    <w:rsid w:val="007F6E7D"/>
    <w:rsid w:val="0080215E"/>
    <w:rsid w:val="00806BB9"/>
    <w:rsid w:val="008124FA"/>
    <w:rsid w:val="00817DBF"/>
    <w:rsid w:val="00820819"/>
    <w:rsid w:val="00827D2D"/>
    <w:rsid w:val="00830020"/>
    <w:rsid w:val="00830440"/>
    <w:rsid w:val="0083072B"/>
    <w:rsid w:val="00831AFF"/>
    <w:rsid w:val="00834ED0"/>
    <w:rsid w:val="00841F9F"/>
    <w:rsid w:val="008435EB"/>
    <w:rsid w:val="0084763B"/>
    <w:rsid w:val="008548E7"/>
    <w:rsid w:val="00854E22"/>
    <w:rsid w:val="00855CFE"/>
    <w:rsid w:val="008565B5"/>
    <w:rsid w:val="00864602"/>
    <w:rsid w:val="0087190D"/>
    <w:rsid w:val="00875BE2"/>
    <w:rsid w:val="008B0A55"/>
    <w:rsid w:val="008B2373"/>
    <w:rsid w:val="008B612B"/>
    <w:rsid w:val="008D4453"/>
    <w:rsid w:val="008D7683"/>
    <w:rsid w:val="009008ED"/>
    <w:rsid w:val="00905EFC"/>
    <w:rsid w:val="0091075C"/>
    <w:rsid w:val="00912CCC"/>
    <w:rsid w:val="00914482"/>
    <w:rsid w:val="00921BB5"/>
    <w:rsid w:val="00926603"/>
    <w:rsid w:val="00935C2F"/>
    <w:rsid w:val="00936D99"/>
    <w:rsid w:val="00936DE7"/>
    <w:rsid w:val="00944E83"/>
    <w:rsid w:val="009455F1"/>
    <w:rsid w:val="00947615"/>
    <w:rsid w:val="00950557"/>
    <w:rsid w:val="009525C1"/>
    <w:rsid w:val="00953C7D"/>
    <w:rsid w:val="00961E95"/>
    <w:rsid w:val="00980E54"/>
    <w:rsid w:val="00981A2C"/>
    <w:rsid w:val="00984135"/>
    <w:rsid w:val="00986B6E"/>
    <w:rsid w:val="00997D4B"/>
    <w:rsid w:val="009A5389"/>
    <w:rsid w:val="009A7D3E"/>
    <w:rsid w:val="009C297F"/>
    <w:rsid w:val="009D0CBA"/>
    <w:rsid w:val="009E2157"/>
    <w:rsid w:val="009E28B6"/>
    <w:rsid w:val="009E2D92"/>
    <w:rsid w:val="009E4E85"/>
    <w:rsid w:val="009F09B9"/>
    <w:rsid w:val="009F3966"/>
    <w:rsid w:val="00A0253D"/>
    <w:rsid w:val="00A10649"/>
    <w:rsid w:val="00A13222"/>
    <w:rsid w:val="00A1626B"/>
    <w:rsid w:val="00A20DBD"/>
    <w:rsid w:val="00A23636"/>
    <w:rsid w:val="00A24FC3"/>
    <w:rsid w:val="00A25696"/>
    <w:rsid w:val="00A265DA"/>
    <w:rsid w:val="00A31DF4"/>
    <w:rsid w:val="00A36321"/>
    <w:rsid w:val="00A55DF0"/>
    <w:rsid w:val="00A562AA"/>
    <w:rsid w:val="00A67DA4"/>
    <w:rsid w:val="00A7087C"/>
    <w:rsid w:val="00A72573"/>
    <w:rsid w:val="00A72F3F"/>
    <w:rsid w:val="00A76A7B"/>
    <w:rsid w:val="00A76C66"/>
    <w:rsid w:val="00A7791D"/>
    <w:rsid w:val="00A8234C"/>
    <w:rsid w:val="00A85C7A"/>
    <w:rsid w:val="00A90BEB"/>
    <w:rsid w:val="00A9217B"/>
    <w:rsid w:val="00A95F21"/>
    <w:rsid w:val="00AA26CB"/>
    <w:rsid w:val="00AA2D40"/>
    <w:rsid w:val="00AA41BC"/>
    <w:rsid w:val="00AA5792"/>
    <w:rsid w:val="00AA65A6"/>
    <w:rsid w:val="00AA7B35"/>
    <w:rsid w:val="00AB005B"/>
    <w:rsid w:val="00AB5CDD"/>
    <w:rsid w:val="00AC65DE"/>
    <w:rsid w:val="00AC6D6A"/>
    <w:rsid w:val="00AC6DEE"/>
    <w:rsid w:val="00AE29B2"/>
    <w:rsid w:val="00AE45C0"/>
    <w:rsid w:val="00AE6EB3"/>
    <w:rsid w:val="00AF1FC1"/>
    <w:rsid w:val="00AF3B55"/>
    <w:rsid w:val="00B02413"/>
    <w:rsid w:val="00B02E60"/>
    <w:rsid w:val="00B03C05"/>
    <w:rsid w:val="00B11444"/>
    <w:rsid w:val="00B132F3"/>
    <w:rsid w:val="00B150A7"/>
    <w:rsid w:val="00B15700"/>
    <w:rsid w:val="00B217E6"/>
    <w:rsid w:val="00B21A7F"/>
    <w:rsid w:val="00B23A91"/>
    <w:rsid w:val="00B249B2"/>
    <w:rsid w:val="00B30273"/>
    <w:rsid w:val="00B341C8"/>
    <w:rsid w:val="00B36361"/>
    <w:rsid w:val="00B3773E"/>
    <w:rsid w:val="00B43664"/>
    <w:rsid w:val="00B442FE"/>
    <w:rsid w:val="00B45D80"/>
    <w:rsid w:val="00B5122C"/>
    <w:rsid w:val="00B558F0"/>
    <w:rsid w:val="00B6159B"/>
    <w:rsid w:val="00B62D93"/>
    <w:rsid w:val="00B67640"/>
    <w:rsid w:val="00B8480A"/>
    <w:rsid w:val="00B86557"/>
    <w:rsid w:val="00B9316D"/>
    <w:rsid w:val="00BB11AD"/>
    <w:rsid w:val="00BB7300"/>
    <w:rsid w:val="00BD117F"/>
    <w:rsid w:val="00BD2BF4"/>
    <w:rsid w:val="00BD516F"/>
    <w:rsid w:val="00BE052D"/>
    <w:rsid w:val="00BE0EAF"/>
    <w:rsid w:val="00BE4098"/>
    <w:rsid w:val="00BF01D6"/>
    <w:rsid w:val="00BF2A5A"/>
    <w:rsid w:val="00BF7E77"/>
    <w:rsid w:val="00C00CAB"/>
    <w:rsid w:val="00C014EF"/>
    <w:rsid w:val="00C03B5E"/>
    <w:rsid w:val="00C045BA"/>
    <w:rsid w:val="00C135B6"/>
    <w:rsid w:val="00C138E1"/>
    <w:rsid w:val="00C239FB"/>
    <w:rsid w:val="00C26E93"/>
    <w:rsid w:val="00C273C3"/>
    <w:rsid w:val="00C27F54"/>
    <w:rsid w:val="00C36EBC"/>
    <w:rsid w:val="00C408FA"/>
    <w:rsid w:val="00C47475"/>
    <w:rsid w:val="00C51244"/>
    <w:rsid w:val="00C618F3"/>
    <w:rsid w:val="00C64323"/>
    <w:rsid w:val="00C66FF3"/>
    <w:rsid w:val="00C67FD2"/>
    <w:rsid w:val="00C82379"/>
    <w:rsid w:val="00C91C8C"/>
    <w:rsid w:val="00C92CE4"/>
    <w:rsid w:val="00C96E3B"/>
    <w:rsid w:val="00CA5AFE"/>
    <w:rsid w:val="00CB2045"/>
    <w:rsid w:val="00CC04BF"/>
    <w:rsid w:val="00CC57DB"/>
    <w:rsid w:val="00CC63D1"/>
    <w:rsid w:val="00CD164C"/>
    <w:rsid w:val="00CD7711"/>
    <w:rsid w:val="00CD792F"/>
    <w:rsid w:val="00CD7FD8"/>
    <w:rsid w:val="00CE24B6"/>
    <w:rsid w:val="00CE5DC4"/>
    <w:rsid w:val="00CE5FFD"/>
    <w:rsid w:val="00CE7EE2"/>
    <w:rsid w:val="00CF0213"/>
    <w:rsid w:val="00CF4D43"/>
    <w:rsid w:val="00CF6D23"/>
    <w:rsid w:val="00D02FED"/>
    <w:rsid w:val="00D05965"/>
    <w:rsid w:val="00D07A73"/>
    <w:rsid w:val="00D12939"/>
    <w:rsid w:val="00D14447"/>
    <w:rsid w:val="00D16BDC"/>
    <w:rsid w:val="00D250FC"/>
    <w:rsid w:val="00D25496"/>
    <w:rsid w:val="00D30A65"/>
    <w:rsid w:val="00D31F7C"/>
    <w:rsid w:val="00D32093"/>
    <w:rsid w:val="00D32A78"/>
    <w:rsid w:val="00D405B3"/>
    <w:rsid w:val="00D45631"/>
    <w:rsid w:val="00D459EF"/>
    <w:rsid w:val="00D50BCD"/>
    <w:rsid w:val="00D56ABD"/>
    <w:rsid w:val="00D64F5A"/>
    <w:rsid w:val="00D67663"/>
    <w:rsid w:val="00D71AB6"/>
    <w:rsid w:val="00D7515A"/>
    <w:rsid w:val="00D810AA"/>
    <w:rsid w:val="00D81CD8"/>
    <w:rsid w:val="00D87DC3"/>
    <w:rsid w:val="00D9181D"/>
    <w:rsid w:val="00DA0685"/>
    <w:rsid w:val="00DA0AF1"/>
    <w:rsid w:val="00DA4836"/>
    <w:rsid w:val="00DA645B"/>
    <w:rsid w:val="00DB28F6"/>
    <w:rsid w:val="00DB5878"/>
    <w:rsid w:val="00DC0F03"/>
    <w:rsid w:val="00DD5EF1"/>
    <w:rsid w:val="00DE3225"/>
    <w:rsid w:val="00DE516E"/>
    <w:rsid w:val="00DE72CC"/>
    <w:rsid w:val="00DF38C6"/>
    <w:rsid w:val="00E0115D"/>
    <w:rsid w:val="00E04F61"/>
    <w:rsid w:val="00E12D55"/>
    <w:rsid w:val="00E24EBB"/>
    <w:rsid w:val="00E256DA"/>
    <w:rsid w:val="00E326B0"/>
    <w:rsid w:val="00E36B45"/>
    <w:rsid w:val="00E41C81"/>
    <w:rsid w:val="00E438E9"/>
    <w:rsid w:val="00E47CBE"/>
    <w:rsid w:val="00E559ED"/>
    <w:rsid w:val="00E562B9"/>
    <w:rsid w:val="00E6253F"/>
    <w:rsid w:val="00E62D2B"/>
    <w:rsid w:val="00E66391"/>
    <w:rsid w:val="00E70302"/>
    <w:rsid w:val="00E7147A"/>
    <w:rsid w:val="00E7570B"/>
    <w:rsid w:val="00E7640A"/>
    <w:rsid w:val="00E81704"/>
    <w:rsid w:val="00E878D6"/>
    <w:rsid w:val="00E94217"/>
    <w:rsid w:val="00E9464A"/>
    <w:rsid w:val="00E94B3B"/>
    <w:rsid w:val="00E959F5"/>
    <w:rsid w:val="00E96545"/>
    <w:rsid w:val="00EA68B2"/>
    <w:rsid w:val="00EB1499"/>
    <w:rsid w:val="00EC2C52"/>
    <w:rsid w:val="00EC45D4"/>
    <w:rsid w:val="00EC48EA"/>
    <w:rsid w:val="00EC6214"/>
    <w:rsid w:val="00EE162C"/>
    <w:rsid w:val="00EF0F97"/>
    <w:rsid w:val="00EF20AA"/>
    <w:rsid w:val="00EF7540"/>
    <w:rsid w:val="00F03679"/>
    <w:rsid w:val="00F164B6"/>
    <w:rsid w:val="00F172F1"/>
    <w:rsid w:val="00F2303C"/>
    <w:rsid w:val="00F35ABE"/>
    <w:rsid w:val="00F537DF"/>
    <w:rsid w:val="00F55295"/>
    <w:rsid w:val="00F60F70"/>
    <w:rsid w:val="00F6347D"/>
    <w:rsid w:val="00F64338"/>
    <w:rsid w:val="00F672C8"/>
    <w:rsid w:val="00F70DD9"/>
    <w:rsid w:val="00F730EA"/>
    <w:rsid w:val="00F76C88"/>
    <w:rsid w:val="00F90452"/>
    <w:rsid w:val="00F9462A"/>
    <w:rsid w:val="00F97A30"/>
    <w:rsid w:val="00FA7516"/>
    <w:rsid w:val="00FB37AF"/>
    <w:rsid w:val="00FB5E7D"/>
    <w:rsid w:val="00FB696A"/>
    <w:rsid w:val="00FB7A68"/>
    <w:rsid w:val="00FC1491"/>
    <w:rsid w:val="00FC5CCC"/>
    <w:rsid w:val="00FD4691"/>
    <w:rsid w:val="00FD51D6"/>
    <w:rsid w:val="00FE19B1"/>
    <w:rsid w:val="00FE51FD"/>
    <w:rsid w:val="00FE72B8"/>
    <w:rsid w:val="00FE7C84"/>
    <w:rsid w:val="00FF27B3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EF57"/>
  <w15:docId w15:val="{0DBD1D0D-36EA-4CAA-A6AF-A345FDF0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3A5"/>
  </w:style>
  <w:style w:type="paragraph" w:styleId="Heading1">
    <w:name w:val="heading 1"/>
    <w:basedOn w:val="Normal"/>
    <w:next w:val="Normal"/>
    <w:link w:val="Heading1Char"/>
    <w:uiPriority w:val="9"/>
    <w:qFormat/>
    <w:rsid w:val="00337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9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9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7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7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9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8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F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2E60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72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55F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7D1A97"/>
    <w:pPr>
      <w:tabs>
        <w:tab w:val="left" w:pos="384"/>
      </w:tabs>
      <w:spacing w:after="240" w:line="240" w:lineRule="auto"/>
      <w:ind w:left="384" w:hanging="384"/>
    </w:pPr>
  </w:style>
  <w:style w:type="character" w:styleId="LineNumber">
    <w:name w:val="line number"/>
    <w:basedOn w:val="DefaultParagraphFont"/>
    <w:uiPriority w:val="99"/>
    <w:semiHidden/>
    <w:unhideWhenUsed/>
    <w:rsid w:val="00E24EBB"/>
  </w:style>
  <w:style w:type="paragraph" w:styleId="Header">
    <w:name w:val="header"/>
    <w:basedOn w:val="Normal"/>
    <w:link w:val="HeaderChar"/>
    <w:uiPriority w:val="99"/>
    <w:unhideWhenUsed/>
    <w:rsid w:val="00E2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EBB"/>
  </w:style>
  <w:style w:type="paragraph" w:styleId="Footer">
    <w:name w:val="footer"/>
    <w:basedOn w:val="Normal"/>
    <w:link w:val="FooterChar"/>
    <w:uiPriority w:val="99"/>
    <w:unhideWhenUsed/>
    <w:rsid w:val="00E2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EB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.Arshad@soton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H.Arshad@soton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BBBE-249B-4A1A-BE44-12A15AB6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Wight NHS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Gavin</dc:creator>
  <cp:lastModifiedBy>Corrine Hughes</cp:lastModifiedBy>
  <cp:revision>3</cp:revision>
  <cp:lastPrinted>2021-06-28T12:09:00Z</cp:lastPrinted>
  <dcterms:created xsi:type="dcterms:W3CDTF">2021-12-13T12:17:00Z</dcterms:created>
  <dcterms:modified xsi:type="dcterms:W3CDTF">2021-12-13T12:17:00Z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zotero-version="5.0.97-beta.32+3fc7ce8e7"&gt;&lt;session id="1i6JhueA"/&gt;&lt;style id="http://www.zotero.org/styles/vancouver" locale="en-US" hasBibliography="1" bibliographyStyleHasBeenSet="1"/&gt;&lt;prefs&gt;&lt;pref name="fieldType" value="Field"/&gt;&lt;/</vt:lpwstr>
  </property>
  <property fmtid="{D5CDD505-2E9C-101B-9397-08002B2CF9AE}" pid="3" name="ZOTERO_PREF_2">
    <vt:lpwstr>prefs&gt;&lt;/data&gt;</vt:lpwstr>
  </property>
</Properties>
</file>