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01045" w14:textId="585C0D94" w:rsidR="00955D8C" w:rsidRPr="002A551E" w:rsidRDefault="002A551E" w:rsidP="00540F03">
      <w:pPr>
        <w:spacing w:before="100" w:beforeAutospacing="1" w:after="100" w:afterAutospacing="1" w:line="360" w:lineRule="auto"/>
        <w:rPr>
          <w:sz w:val="24"/>
          <w:szCs w:val="24"/>
        </w:rPr>
      </w:pPr>
      <w:r w:rsidRPr="002A551E">
        <w:rPr>
          <w:sz w:val="24"/>
          <w:szCs w:val="24"/>
        </w:rPr>
        <w:t xml:space="preserve">Manuscript </w:t>
      </w:r>
    </w:p>
    <w:p w14:paraId="6B20993D" w14:textId="199A0CE2" w:rsidR="00955D8C" w:rsidRPr="00287020" w:rsidRDefault="00955D8C" w:rsidP="00540F03">
      <w:pPr>
        <w:spacing w:before="100" w:beforeAutospacing="1" w:after="100" w:afterAutospacing="1" w:line="360" w:lineRule="auto"/>
        <w:rPr>
          <w:b/>
          <w:bCs/>
          <w:sz w:val="24"/>
          <w:szCs w:val="24"/>
        </w:rPr>
      </w:pPr>
      <w:bookmarkStart w:id="0" w:name="_Hlk60744448"/>
      <w:bookmarkStart w:id="1" w:name="_Hlk72483802"/>
      <w:r>
        <w:rPr>
          <w:b/>
          <w:bCs/>
          <w:sz w:val="24"/>
          <w:szCs w:val="24"/>
        </w:rPr>
        <w:t>I</w:t>
      </w:r>
      <w:r w:rsidRPr="00955D8C">
        <w:rPr>
          <w:b/>
          <w:bCs/>
          <w:sz w:val="24"/>
          <w:szCs w:val="24"/>
        </w:rPr>
        <w:t xml:space="preserve">mmune-endocrine biomarkers </w:t>
      </w:r>
      <w:r>
        <w:rPr>
          <w:b/>
          <w:bCs/>
          <w:sz w:val="24"/>
          <w:szCs w:val="24"/>
        </w:rPr>
        <w:t xml:space="preserve">associated </w:t>
      </w:r>
      <w:r w:rsidRPr="00955D8C">
        <w:rPr>
          <w:b/>
          <w:bCs/>
          <w:sz w:val="24"/>
          <w:szCs w:val="24"/>
        </w:rPr>
        <w:t xml:space="preserve">with </w:t>
      </w:r>
      <w:bookmarkEnd w:id="0"/>
      <w:r w:rsidR="00DF58D0">
        <w:rPr>
          <w:b/>
          <w:bCs/>
          <w:sz w:val="24"/>
          <w:szCs w:val="24"/>
        </w:rPr>
        <w:t>mental health</w:t>
      </w:r>
      <w:bookmarkEnd w:id="1"/>
      <w:r w:rsidRPr="00955D8C">
        <w:rPr>
          <w:b/>
          <w:bCs/>
          <w:sz w:val="24"/>
          <w:szCs w:val="24"/>
        </w:rPr>
        <w:t xml:space="preserve">: a </w:t>
      </w:r>
      <w:r w:rsidR="003F4EC2">
        <w:rPr>
          <w:b/>
          <w:bCs/>
          <w:sz w:val="24"/>
          <w:szCs w:val="24"/>
        </w:rPr>
        <w:t>9</w:t>
      </w:r>
      <w:r w:rsidRPr="00955D8C">
        <w:rPr>
          <w:b/>
          <w:bCs/>
          <w:sz w:val="24"/>
          <w:szCs w:val="24"/>
        </w:rPr>
        <w:t xml:space="preserve">-year longitudinal </w:t>
      </w:r>
      <w:r w:rsidR="002A551E" w:rsidRPr="00287020">
        <w:rPr>
          <w:b/>
          <w:bCs/>
          <w:sz w:val="24"/>
          <w:szCs w:val="24"/>
        </w:rPr>
        <w:t>investigation</w:t>
      </w:r>
      <w:r w:rsidRPr="00287020">
        <w:rPr>
          <w:b/>
          <w:bCs/>
          <w:sz w:val="24"/>
          <w:szCs w:val="24"/>
        </w:rPr>
        <w:t xml:space="preserve"> from the Hertfordshire Ageing Study </w:t>
      </w:r>
    </w:p>
    <w:p w14:paraId="001996A8" w14:textId="5F680C91" w:rsidR="003F4EC2" w:rsidRPr="00287020" w:rsidRDefault="003F4EC2" w:rsidP="003F4EC2">
      <w:pPr>
        <w:rPr>
          <w:rFonts w:cs="Arial"/>
          <w:sz w:val="24"/>
          <w:szCs w:val="24"/>
        </w:rPr>
      </w:pPr>
      <w:bookmarkStart w:id="2" w:name="_GoBack"/>
      <w:r w:rsidRPr="00287020">
        <w:rPr>
          <w:rFonts w:cs="Arial"/>
          <w:sz w:val="24"/>
          <w:szCs w:val="24"/>
        </w:rPr>
        <w:t>Ruihua Hou</w:t>
      </w:r>
      <w:bookmarkEnd w:id="2"/>
      <w:r w:rsidRPr="00287020">
        <w:rPr>
          <w:rFonts w:cs="Arial"/>
          <w:sz w:val="24"/>
          <w:szCs w:val="24"/>
          <w:vertAlign w:val="superscript"/>
        </w:rPr>
        <w:t>1</w:t>
      </w:r>
      <w:r w:rsidR="005179AB">
        <w:rPr>
          <w:rFonts w:cs="Arial"/>
          <w:sz w:val="24"/>
          <w:szCs w:val="24"/>
          <w:vertAlign w:val="superscript"/>
        </w:rPr>
        <w:t>*</w:t>
      </w:r>
      <w:r>
        <w:rPr>
          <w:rFonts w:cs="Arial"/>
          <w:sz w:val="24"/>
          <w:szCs w:val="24"/>
        </w:rPr>
        <w:t xml:space="preserve">, </w:t>
      </w:r>
      <w:r w:rsidRPr="00287020">
        <w:rPr>
          <w:rFonts w:cs="Arial"/>
          <w:sz w:val="24"/>
          <w:szCs w:val="24"/>
        </w:rPr>
        <w:t>Leo Westbury</w:t>
      </w:r>
      <w:r>
        <w:rPr>
          <w:rFonts w:cs="Arial"/>
          <w:sz w:val="24"/>
          <w:szCs w:val="24"/>
          <w:vertAlign w:val="superscript"/>
        </w:rPr>
        <w:t>2</w:t>
      </w:r>
      <w:r w:rsidRPr="00287020">
        <w:rPr>
          <w:rFonts w:cs="Arial"/>
          <w:sz w:val="24"/>
          <w:szCs w:val="24"/>
        </w:rPr>
        <w:t xml:space="preserve">, </w:t>
      </w:r>
      <w:r>
        <w:rPr>
          <w:rFonts w:cs="Arial"/>
          <w:sz w:val="24"/>
          <w:szCs w:val="24"/>
        </w:rPr>
        <w:t>Nicholas Fuggle</w:t>
      </w:r>
      <w:r>
        <w:rPr>
          <w:rFonts w:cs="Arial"/>
          <w:sz w:val="24"/>
          <w:szCs w:val="24"/>
          <w:vertAlign w:val="superscript"/>
        </w:rPr>
        <w:t>2,3</w:t>
      </w:r>
      <w:r w:rsidR="002537E1">
        <w:rPr>
          <w:rFonts w:cs="Arial"/>
          <w:sz w:val="24"/>
          <w:szCs w:val="24"/>
        </w:rPr>
        <w:t xml:space="preserve">, </w:t>
      </w:r>
      <w:r w:rsidRPr="00287020">
        <w:rPr>
          <w:rFonts w:cs="Arial"/>
          <w:sz w:val="24"/>
          <w:szCs w:val="24"/>
        </w:rPr>
        <w:t>Cyrus Cooper</w:t>
      </w:r>
      <w:r w:rsidR="002537E1">
        <w:rPr>
          <w:rFonts w:cs="Arial"/>
          <w:sz w:val="24"/>
          <w:szCs w:val="24"/>
          <w:vertAlign w:val="superscript"/>
        </w:rPr>
        <w:t>2,4,5</w:t>
      </w:r>
      <w:r w:rsidR="002537E1">
        <w:rPr>
          <w:rFonts w:cs="Arial"/>
          <w:sz w:val="24"/>
          <w:szCs w:val="24"/>
        </w:rPr>
        <w:t xml:space="preserve">, </w:t>
      </w:r>
      <w:r w:rsidR="002537E1" w:rsidRPr="00287020">
        <w:rPr>
          <w:rFonts w:cs="Arial"/>
          <w:sz w:val="24"/>
          <w:szCs w:val="24"/>
        </w:rPr>
        <w:t>Elaine Dennison</w:t>
      </w:r>
      <w:r w:rsidR="002537E1">
        <w:rPr>
          <w:rFonts w:cs="Arial"/>
          <w:sz w:val="24"/>
          <w:szCs w:val="24"/>
          <w:vertAlign w:val="superscript"/>
        </w:rPr>
        <w:t>2,4,6</w:t>
      </w:r>
    </w:p>
    <w:p w14:paraId="70B56998" w14:textId="77777777" w:rsidR="003F4EC2" w:rsidRDefault="003F4EC2" w:rsidP="003F4EC2">
      <w:pPr>
        <w:rPr>
          <w:rFonts w:cs="Arial"/>
          <w:sz w:val="24"/>
          <w:szCs w:val="24"/>
        </w:rPr>
      </w:pPr>
    </w:p>
    <w:p w14:paraId="7AA0DFC2" w14:textId="77777777" w:rsidR="003F4EC2" w:rsidRDefault="003F4EC2" w:rsidP="003F4EC2">
      <w:pPr>
        <w:rPr>
          <w:rFonts w:cs="Arial"/>
          <w:sz w:val="24"/>
          <w:szCs w:val="24"/>
        </w:rPr>
      </w:pPr>
      <w:r w:rsidRPr="00287020">
        <w:rPr>
          <w:rFonts w:cs="Arial"/>
          <w:sz w:val="24"/>
          <w:szCs w:val="24"/>
          <w:vertAlign w:val="superscript"/>
        </w:rPr>
        <w:t>1</w:t>
      </w:r>
      <w:r w:rsidRPr="00287020">
        <w:rPr>
          <w:rFonts w:cs="Arial"/>
          <w:sz w:val="24"/>
          <w:szCs w:val="24"/>
        </w:rPr>
        <w:t>Department of Psychiatry, Clinical and Experimental Sciences, Faculty of Medicine, University of Southampton, Southampton, UK</w:t>
      </w:r>
    </w:p>
    <w:p w14:paraId="08B5008E" w14:textId="21EA7C3F" w:rsidR="003F4EC2" w:rsidRPr="00287020" w:rsidRDefault="003F4EC2" w:rsidP="003F4EC2">
      <w:pPr>
        <w:rPr>
          <w:rFonts w:cs="Arial"/>
          <w:sz w:val="24"/>
          <w:szCs w:val="24"/>
        </w:rPr>
      </w:pPr>
      <w:r>
        <w:rPr>
          <w:rFonts w:cs="Arial"/>
          <w:sz w:val="24"/>
          <w:szCs w:val="24"/>
          <w:vertAlign w:val="superscript"/>
        </w:rPr>
        <w:t>2</w:t>
      </w:r>
      <w:r w:rsidRPr="00287020">
        <w:rPr>
          <w:rFonts w:cs="Arial"/>
          <w:sz w:val="24"/>
          <w:szCs w:val="24"/>
        </w:rPr>
        <w:t xml:space="preserve">MRC Lifecourse Epidemiology </w:t>
      </w:r>
      <w:r w:rsidR="00DE4546">
        <w:rPr>
          <w:rFonts w:cs="Arial"/>
          <w:sz w:val="24"/>
          <w:szCs w:val="24"/>
        </w:rPr>
        <w:t>Centre</w:t>
      </w:r>
      <w:r w:rsidRPr="00287020">
        <w:rPr>
          <w:rFonts w:cs="Arial"/>
          <w:sz w:val="24"/>
          <w:szCs w:val="24"/>
        </w:rPr>
        <w:t>, University of Southampton, Southampton, UK</w:t>
      </w:r>
    </w:p>
    <w:p w14:paraId="22E2EA6E" w14:textId="77777777" w:rsidR="003F4EC2" w:rsidRDefault="003F4EC2" w:rsidP="003F4EC2">
      <w:pPr>
        <w:rPr>
          <w:rFonts w:cs="Arial"/>
          <w:sz w:val="24"/>
          <w:szCs w:val="24"/>
        </w:rPr>
      </w:pPr>
      <w:r>
        <w:rPr>
          <w:rFonts w:cs="Arial"/>
          <w:sz w:val="24"/>
          <w:szCs w:val="24"/>
          <w:vertAlign w:val="superscript"/>
        </w:rPr>
        <w:t>3</w:t>
      </w:r>
      <w:r w:rsidRPr="00287020">
        <w:rPr>
          <w:rFonts w:cs="Arial"/>
          <w:sz w:val="24"/>
          <w:szCs w:val="24"/>
        </w:rPr>
        <w:t>Alan Turing Institute, London, UK</w:t>
      </w:r>
    </w:p>
    <w:p w14:paraId="1600F6B6" w14:textId="2EA5EBF8" w:rsidR="002537E1" w:rsidRPr="00287020" w:rsidRDefault="002537E1" w:rsidP="002537E1">
      <w:pPr>
        <w:rPr>
          <w:rFonts w:cs="Arial"/>
          <w:sz w:val="24"/>
          <w:szCs w:val="24"/>
        </w:rPr>
      </w:pPr>
      <w:r>
        <w:rPr>
          <w:rFonts w:cs="Arial"/>
          <w:sz w:val="24"/>
          <w:szCs w:val="24"/>
          <w:vertAlign w:val="superscript"/>
        </w:rPr>
        <w:t>4</w:t>
      </w:r>
      <w:r w:rsidRPr="00287020">
        <w:rPr>
          <w:rFonts w:cs="Arial"/>
          <w:sz w:val="24"/>
          <w:szCs w:val="24"/>
        </w:rPr>
        <w:t>NIHR Southampton Biomedical Research Centre, University of Southampton and University Hospital Southampton NHS Foundation Trust, Southampton, UK</w:t>
      </w:r>
    </w:p>
    <w:p w14:paraId="61EE8213" w14:textId="5908C53C" w:rsidR="002537E1" w:rsidRDefault="002537E1" w:rsidP="003F4EC2">
      <w:pPr>
        <w:rPr>
          <w:rFonts w:cs="Arial"/>
          <w:sz w:val="24"/>
          <w:szCs w:val="24"/>
        </w:rPr>
      </w:pPr>
      <w:r>
        <w:rPr>
          <w:rFonts w:cs="Arial"/>
          <w:sz w:val="24"/>
          <w:szCs w:val="24"/>
          <w:vertAlign w:val="superscript"/>
        </w:rPr>
        <w:t>5</w:t>
      </w:r>
      <w:r w:rsidRPr="00287020">
        <w:rPr>
          <w:rFonts w:cs="Arial"/>
          <w:sz w:val="24"/>
          <w:szCs w:val="24"/>
        </w:rPr>
        <w:t>NIHR Oxford Biomedical Research Centre, University of Oxford, Oxford, UK</w:t>
      </w:r>
      <w:r>
        <w:rPr>
          <w:rFonts w:cs="Arial"/>
          <w:sz w:val="24"/>
          <w:szCs w:val="24"/>
        </w:rPr>
        <w:t xml:space="preserve"> </w:t>
      </w:r>
    </w:p>
    <w:p w14:paraId="76484331" w14:textId="0B523266" w:rsidR="003F4EC2" w:rsidRPr="00287020" w:rsidRDefault="002537E1" w:rsidP="003F4EC2">
      <w:pPr>
        <w:rPr>
          <w:rFonts w:cs="Arial"/>
          <w:sz w:val="24"/>
          <w:szCs w:val="24"/>
        </w:rPr>
      </w:pPr>
      <w:r>
        <w:rPr>
          <w:rFonts w:cs="Arial"/>
          <w:sz w:val="24"/>
          <w:szCs w:val="24"/>
          <w:vertAlign w:val="superscript"/>
        </w:rPr>
        <w:t>6</w:t>
      </w:r>
      <w:r w:rsidR="003F4EC2" w:rsidRPr="00287020">
        <w:rPr>
          <w:rFonts w:cs="Arial"/>
          <w:sz w:val="24"/>
          <w:szCs w:val="24"/>
        </w:rPr>
        <w:t>Victoria University of Wellington, Wellington, New Zealand</w:t>
      </w:r>
    </w:p>
    <w:p w14:paraId="207C22EA" w14:textId="77777777" w:rsidR="005179AB" w:rsidRDefault="005179AB" w:rsidP="005179AB">
      <w:pPr>
        <w:tabs>
          <w:tab w:val="left" w:pos="1605"/>
        </w:tabs>
        <w:spacing w:after="0" w:line="480" w:lineRule="auto"/>
        <w:rPr>
          <w:rFonts w:ascii="Arial" w:hAnsi="Arial" w:cs="Arial"/>
          <w:b/>
          <w:iCs/>
          <w:color w:val="000000" w:themeColor="text1"/>
        </w:rPr>
      </w:pPr>
    </w:p>
    <w:p w14:paraId="0257021D" w14:textId="17A3DED4" w:rsidR="005179AB" w:rsidRPr="003718DE" w:rsidRDefault="005179AB" w:rsidP="005179AB">
      <w:pPr>
        <w:tabs>
          <w:tab w:val="left" w:pos="1605"/>
        </w:tabs>
        <w:spacing w:after="0" w:line="480" w:lineRule="auto"/>
        <w:rPr>
          <w:rFonts w:cstheme="minorHAnsi"/>
          <w:b/>
          <w:iCs/>
          <w:color w:val="000000" w:themeColor="text1"/>
          <w:sz w:val="24"/>
          <w:szCs w:val="24"/>
        </w:rPr>
      </w:pPr>
      <w:r w:rsidRPr="003718DE">
        <w:rPr>
          <w:rFonts w:cstheme="minorHAnsi"/>
          <w:b/>
          <w:iCs/>
          <w:color w:val="000000" w:themeColor="text1"/>
          <w:sz w:val="24"/>
          <w:szCs w:val="24"/>
        </w:rPr>
        <w:t xml:space="preserve">*Corresponding author: </w:t>
      </w:r>
    </w:p>
    <w:p w14:paraId="5EF8CE7A"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 xml:space="preserve">Dr Ruihua Hou, </w:t>
      </w:r>
      <w:r w:rsidRPr="003718DE">
        <w:rPr>
          <w:rFonts w:cstheme="minorHAnsi"/>
          <w:bCs/>
          <w:i/>
          <w:color w:val="000000" w:themeColor="text1"/>
          <w:sz w:val="24"/>
          <w:szCs w:val="24"/>
        </w:rPr>
        <w:t>MD, PhD</w:t>
      </w:r>
    </w:p>
    <w:p w14:paraId="0A160427"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Associate Professor in Psychiatry</w:t>
      </w:r>
    </w:p>
    <w:p w14:paraId="09AA10E1"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Clinical Neurosciences Department of Psychiatry</w:t>
      </w:r>
    </w:p>
    <w:p w14:paraId="5C5650DE"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Clinical and Experimental Sciences</w:t>
      </w:r>
    </w:p>
    <w:p w14:paraId="76693946"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 xml:space="preserve">University of Southampton Faculty of Medicine </w:t>
      </w:r>
    </w:p>
    <w:p w14:paraId="3DC73076"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Academic Centre, College Keep</w:t>
      </w:r>
    </w:p>
    <w:p w14:paraId="1D9AE66D"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 xml:space="preserve">4-12 Terminus Terrace </w:t>
      </w:r>
    </w:p>
    <w:p w14:paraId="5A86A8FB"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Southampton SO14 3DT</w:t>
      </w:r>
    </w:p>
    <w:p w14:paraId="7B0D86A9"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p>
    <w:p w14:paraId="50F40DA9"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Email: r.hou@soton.ac.uk</w:t>
      </w:r>
    </w:p>
    <w:p w14:paraId="3DBCE76F"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 xml:space="preserve">Tel:  +44 (0)23 8071 8537 </w:t>
      </w:r>
    </w:p>
    <w:p w14:paraId="13075B67" w14:textId="77777777" w:rsidR="005179AB" w:rsidRPr="003718DE" w:rsidRDefault="005179AB" w:rsidP="005179AB">
      <w:pPr>
        <w:tabs>
          <w:tab w:val="left" w:pos="1605"/>
        </w:tabs>
        <w:spacing w:after="0" w:line="360" w:lineRule="auto"/>
        <w:rPr>
          <w:rFonts w:cstheme="minorHAnsi"/>
          <w:bCs/>
          <w:iCs/>
          <w:color w:val="000000" w:themeColor="text1"/>
          <w:sz w:val="24"/>
          <w:szCs w:val="24"/>
        </w:rPr>
      </w:pPr>
      <w:r w:rsidRPr="003718DE">
        <w:rPr>
          <w:rFonts w:cstheme="minorHAnsi"/>
          <w:bCs/>
          <w:iCs/>
          <w:color w:val="000000" w:themeColor="text1"/>
          <w:sz w:val="24"/>
          <w:szCs w:val="24"/>
        </w:rPr>
        <w:t>Fax:  +44 (0)23 8071 8532</w:t>
      </w:r>
    </w:p>
    <w:p w14:paraId="4373EA9A" w14:textId="3BAD4E7C" w:rsidR="003718DE" w:rsidRDefault="003718DE" w:rsidP="003718DE">
      <w:pPr>
        <w:spacing w:before="100" w:beforeAutospacing="1" w:after="100" w:afterAutospacing="1" w:line="360" w:lineRule="auto"/>
        <w:rPr>
          <w:b/>
          <w:bCs/>
          <w:sz w:val="24"/>
          <w:szCs w:val="24"/>
        </w:rPr>
      </w:pPr>
      <w:r>
        <w:rPr>
          <w:b/>
          <w:bCs/>
          <w:sz w:val="24"/>
          <w:szCs w:val="24"/>
        </w:rPr>
        <w:t xml:space="preserve">Word count: </w:t>
      </w:r>
      <w:r w:rsidR="008F5BC4">
        <w:rPr>
          <w:b/>
          <w:bCs/>
          <w:sz w:val="24"/>
          <w:szCs w:val="24"/>
        </w:rPr>
        <w:t>3260</w:t>
      </w:r>
    </w:p>
    <w:p w14:paraId="4307255A" w14:textId="7BE2FE6B" w:rsidR="003F4EC2" w:rsidRDefault="00FA65E3" w:rsidP="00540F03">
      <w:pPr>
        <w:spacing w:before="100" w:beforeAutospacing="1" w:after="100" w:afterAutospacing="1" w:line="360" w:lineRule="auto"/>
        <w:rPr>
          <w:b/>
          <w:bCs/>
          <w:sz w:val="24"/>
          <w:szCs w:val="24"/>
        </w:rPr>
      </w:pPr>
      <w:r w:rsidRPr="00FA65E3">
        <w:rPr>
          <w:b/>
          <w:bCs/>
          <w:sz w:val="24"/>
          <w:szCs w:val="24"/>
        </w:rPr>
        <w:lastRenderedPageBreak/>
        <w:t>Abstract</w:t>
      </w:r>
    </w:p>
    <w:p w14:paraId="7F17EC59" w14:textId="5D785FFD" w:rsidR="00DF58D0" w:rsidRPr="003F4EC2" w:rsidRDefault="00AD0E9E" w:rsidP="00540F03">
      <w:pPr>
        <w:spacing w:before="100" w:beforeAutospacing="1" w:after="100" w:afterAutospacing="1" w:line="360" w:lineRule="auto"/>
        <w:rPr>
          <w:b/>
          <w:bCs/>
          <w:sz w:val="24"/>
          <w:szCs w:val="24"/>
        </w:rPr>
      </w:pPr>
      <w:r w:rsidRPr="00AD0E9E">
        <w:rPr>
          <w:i/>
          <w:iCs/>
          <w:sz w:val="24"/>
          <w:szCs w:val="24"/>
        </w:rPr>
        <w:t>Background:</w:t>
      </w:r>
      <w:r>
        <w:rPr>
          <w:sz w:val="24"/>
          <w:szCs w:val="24"/>
        </w:rPr>
        <w:t xml:space="preserve"> </w:t>
      </w:r>
      <w:r w:rsidR="0026522B">
        <w:rPr>
          <w:sz w:val="24"/>
          <w:szCs w:val="24"/>
        </w:rPr>
        <w:t>T</w:t>
      </w:r>
      <w:r w:rsidR="0026522B" w:rsidRPr="0026522B">
        <w:rPr>
          <w:sz w:val="24"/>
          <w:szCs w:val="24"/>
        </w:rPr>
        <w:t>he study of neural-endocrine-immune system interactions has led to substantial advances in our understanding of neuropsychiatric disorders</w:t>
      </w:r>
      <w:r w:rsidR="0026522B">
        <w:rPr>
          <w:sz w:val="24"/>
          <w:szCs w:val="24"/>
        </w:rPr>
        <w:t xml:space="preserve">. </w:t>
      </w:r>
      <w:r w:rsidR="0026522B" w:rsidRPr="0026522B">
        <w:rPr>
          <w:sz w:val="24"/>
          <w:szCs w:val="24"/>
        </w:rPr>
        <w:t xml:space="preserve">Growing evidence reveals the pivotal roles of inflammatory cytokines signalling the brain to produce neurochemical, neuroendocrine, </w:t>
      </w:r>
      <w:r w:rsidR="00FB1463">
        <w:rPr>
          <w:sz w:val="24"/>
          <w:szCs w:val="24"/>
        </w:rPr>
        <w:t xml:space="preserve">and </w:t>
      </w:r>
      <w:r w:rsidR="0026522B" w:rsidRPr="0026522B">
        <w:rPr>
          <w:sz w:val="24"/>
          <w:szCs w:val="24"/>
        </w:rPr>
        <w:t>neuroimmune changes</w:t>
      </w:r>
      <w:r w:rsidR="00FB1463">
        <w:rPr>
          <w:sz w:val="24"/>
          <w:szCs w:val="24"/>
        </w:rPr>
        <w:t xml:space="preserve"> which affect mood and behaviour</w:t>
      </w:r>
      <w:r w:rsidR="0026522B" w:rsidRPr="0026522B">
        <w:rPr>
          <w:sz w:val="24"/>
          <w:szCs w:val="24"/>
        </w:rPr>
        <w:t>.</w:t>
      </w:r>
      <w:r w:rsidR="0026522B">
        <w:rPr>
          <w:sz w:val="24"/>
          <w:szCs w:val="24"/>
        </w:rPr>
        <w:t xml:space="preserve"> </w:t>
      </w:r>
      <w:r w:rsidR="0026522B" w:rsidRPr="0026522B">
        <w:rPr>
          <w:sz w:val="24"/>
          <w:szCs w:val="24"/>
        </w:rPr>
        <w:t>Ag</w:t>
      </w:r>
      <w:r w:rsidR="003F4EC2">
        <w:rPr>
          <w:sz w:val="24"/>
          <w:szCs w:val="24"/>
        </w:rPr>
        <w:t>e</w:t>
      </w:r>
      <w:r w:rsidR="0026522B" w:rsidRPr="0026522B">
        <w:rPr>
          <w:sz w:val="24"/>
          <w:szCs w:val="24"/>
        </w:rPr>
        <w:t>ing is accompanied by the development of low-grade systemic inflammation</w:t>
      </w:r>
      <w:r w:rsidR="00F50BA7">
        <w:rPr>
          <w:sz w:val="24"/>
          <w:szCs w:val="24"/>
        </w:rPr>
        <w:t xml:space="preserve"> which </w:t>
      </w:r>
      <w:r w:rsidR="0026522B" w:rsidRPr="0026522B">
        <w:rPr>
          <w:sz w:val="24"/>
          <w:szCs w:val="24"/>
        </w:rPr>
        <w:t xml:space="preserve">may promote changes in the neural systems predisposing to geriatric depression via </w:t>
      </w:r>
      <w:r w:rsidR="003F4EC2">
        <w:rPr>
          <w:sz w:val="24"/>
          <w:szCs w:val="24"/>
        </w:rPr>
        <w:t xml:space="preserve">the </w:t>
      </w:r>
      <w:r w:rsidR="003F4EC2" w:rsidRPr="003F4EC2">
        <w:rPr>
          <w:sz w:val="24"/>
          <w:szCs w:val="24"/>
        </w:rPr>
        <w:t xml:space="preserve">hypothalamic-pituitary-adrenal </w:t>
      </w:r>
      <w:r w:rsidR="003F4EC2">
        <w:rPr>
          <w:sz w:val="24"/>
          <w:szCs w:val="24"/>
        </w:rPr>
        <w:t>(</w:t>
      </w:r>
      <w:r w:rsidR="0026522B" w:rsidRPr="0026522B">
        <w:rPr>
          <w:sz w:val="24"/>
          <w:szCs w:val="24"/>
        </w:rPr>
        <w:t>HPA</w:t>
      </w:r>
      <w:r w:rsidR="003F4EC2">
        <w:rPr>
          <w:sz w:val="24"/>
          <w:szCs w:val="24"/>
        </w:rPr>
        <w:t>) axis</w:t>
      </w:r>
      <w:r w:rsidR="0026522B" w:rsidRPr="0026522B">
        <w:rPr>
          <w:sz w:val="24"/>
          <w:szCs w:val="24"/>
        </w:rPr>
        <w:t xml:space="preserve">. </w:t>
      </w:r>
      <w:r w:rsidR="00F50BA7">
        <w:rPr>
          <w:sz w:val="24"/>
          <w:szCs w:val="24"/>
        </w:rPr>
        <w:t>T</w:t>
      </w:r>
      <w:r w:rsidR="0026522B" w:rsidRPr="0026522B">
        <w:rPr>
          <w:sz w:val="24"/>
          <w:szCs w:val="24"/>
        </w:rPr>
        <w:t>he aim of th</w:t>
      </w:r>
      <w:r w:rsidR="00531D3C">
        <w:rPr>
          <w:sz w:val="24"/>
          <w:szCs w:val="24"/>
        </w:rPr>
        <w:t>is</w:t>
      </w:r>
      <w:r w:rsidR="0026522B" w:rsidRPr="0026522B">
        <w:rPr>
          <w:sz w:val="24"/>
          <w:szCs w:val="24"/>
        </w:rPr>
        <w:t xml:space="preserve"> study was to investigate the longitudinal associations between </w:t>
      </w:r>
      <w:r w:rsidR="003F4EC2">
        <w:rPr>
          <w:sz w:val="24"/>
          <w:szCs w:val="24"/>
        </w:rPr>
        <w:t xml:space="preserve">baseline values and </w:t>
      </w:r>
      <w:r w:rsidR="00CD01FB" w:rsidRPr="00CD01FB">
        <w:rPr>
          <w:sz w:val="24"/>
          <w:szCs w:val="24"/>
        </w:rPr>
        <w:t>conditional changes (independent of baseline)</w:t>
      </w:r>
      <w:r w:rsidR="003F4EC2">
        <w:rPr>
          <w:sz w:val="24"/>
          <w:szCs w:val="24"/>
        </w:rPr>
        <w:t xml:space="preserve"> in </w:t>
      </w:r>
      <w:r w:rsidR="00F50BA7">
        <w:rPr>
          <w:sz w:val="24"/>
          <w:szCs w:val="24"/>
        </w:rPr>
        <w:t>i</w:t>
      </w:r>
      <w:r w:rsidR="00F50BA7" w:rsidRPr="00F50BA7">
        <w:rPr>
          <w:sz w:val="24"/>
          <w:szCs w:val="24"/>
        </w:rPr>
        <w:t>mmune-endocrine biomarkers</w:t>
      </w:r>
      <w:r w:rsidR="0026522B" w:rsidRPr="0026522B">
        <w:rPr>
          <w:sz w:val="24"/>
          <w:szCs w:val="24"/>
        </w:rPr>
        <w:t xml:space="preserve"> and </w:t>
      </w:r>
      <w:r w:rsidR="00DF58D0">
        <w:rPr>
          <w:sz w:val="24"/>
          <w:szCs w:val="24"/>
        </w:rPr>
        <w:t>mental health</w:t>
      </w:r>
      <w:r w:rsidR="0026522B" w:rsidRPr="0026522B">
        <w:rPr>
          <w:sz w:val="24"/>
          <w:szCs w:val="24"/>
        </w:rPr>
        <w:t xml:space="preserve"> </w:t>
      </w:r>
      <w:r w:rsidR="00DA0CA6">
        <w:rPr>
          <w:sz w:val="24"/>
          <w:szCs w:val="24"/>
        </w:rPr>
        <w:t xml:space="preserve">status </w:t>
      </w:r>
      <w:r w:rsidR="0026522B" w:rsidRPr="0026522B">
        <w:rPr>
          <w:sz w:val="24"/>
          <w:szCs w:val="24"/>
        </w:rPr>
        <w:t>in a population</w:t>
      </w:r>
      <w:r w:rsidR="00CD01FB">
        <w:rPr>
          <w:sz w:val="24"/>
          <w:szCs w:val="24"/>
        </w:rPr>
        <w:t>-based</w:t>
      </w:r>
      <w:r w:rsidR="0026522B" w:rsidRPr="0026522B">
        <w:rPr>
          <w:sz w:val="24"/>
          <w:szCs w:val="24"/>
        </w:rPr>
        <w:t xml:space="preserve"> cohort of older adults.</w:t>
      </w:r>
      <w:r>
        <w:rPr>
          <w:sz w:val="24"/>
          <w:szCs w:val="24"/>
        </w:rPr>
        <w:t xml:space="preserve"> </w:t>
      </w:r>
    </w:p>
    <w:p w14:paraId="646C58A7" w14:textId="3B915003" w:rsidR="00DF58D0" w:rsidRDefault="00AD0E9E" w:rsidP="0039555B">
      <w:pPr>
        <w:spacing w:before="100" w:beforeAutospacing="1" w:after="100" w:afterAutospacing="1" w:line="360" w:lineRule="auto"/>
        <w:rPr>
          <w:sz w:val="24"/>
          <w:szCs w:val="24"/>
        </w:rPr>
      </w:pPr>
      <w:r w:rsidRPr="00AD0E9E">
        <w:rPr>
          <w:i/>
          <w:iCs/>
          <w:sz w:val="24"/>
          <w:szCs w:val="24"/>
        </w:rPr>
        <w:t>Methods:</w:t>
      </w:r>
      <w:r>
        <w:rPr>
          <w:sz w:val="24"/>
          <w:szCs w:val="24"/>
        </w:rPr>
        <w:t xml:space="preserve"> </w:t>
      </w:r>
      <w:r w:rsidR="00E96201">
        <w:rPr>
          <w:sz w:val="24"/>
          <w:szCs w:val="24"/>
        </w:rPr>
        <w:t>Data from</w:t>
      </w:r>
      <w:r w:rsidR="00FA65E3" w:rsidRPr="00FA65E3">
        <w:rPr>
          <w:sz w:val="24"/>
          <w:szCs w:val="24"/>
        </w:rPr>
        <w:t xml:space="preserve"> </w:t>
      </w:r>
      <w:r>
        <w:rPr>
          <w:sz w:val="24"/>
          <w:szCs w:val="24"/>
        </w:rPr>
        <w:t>3</w:t>
      </w:r>
      <w:r w:rsidR="00FA65E3" w:rsidRPr="00FA65E3">
        <w:rPr>
          <w:sz w:val="24"/>
          <w:szCs w:val="24"/>
        </w:rPr>
        <w:t>4</w:t>
      </w:r>
      <w:r w:rsidR="003F4EC2">
        <w:rPr>
          <w:sz w:val="24"/>
          <w:szCs w:val="24"/>
        </w:rPr>
        <w:t>7</w:t>
      </w:r>
      <w:r w:rsidR="00FA65E3" w:rsidRPr="00FA65E3">
        <w:rPr>
          <w:sz w:val="24"/>
          <w:szCs w:val="24"/>
        </w:rPr>
        <w:t xml:space="preserve"> subjects (</w:t>
      </w:r>
      <w:r>
        <w:rPr>
          <w:sz w:val="24"/>
          <w:szCs w:val="24"/>
        </w:rPr>
        <w:t xml:space="preserve">200 </w:t>
      </w:r>
      <w:r w:rsidR="00FA65E3" w:rsidRPr="00FA65E3">
        <w:rPr>
          <w:sz w:val="24"/>
          <w:szCs w:val="24"/>
        </w:rPr>
        <w:t xml:space="preserve">men, </w:t>
      </w:r>
      <w:r>
        <w:rPr>
          <w:sz w:val="24"/>
          <w:szCs w:val="24"/>
        </w:rPr>
        <w:t>14</w:t>
      </w:r>
      <w:r w:rsidR="003F4EC2">
        <w:rPr>
          <w:sz w:val="24"/>
          <w:szCs w:val="24"/>
        </w:rPr>
        <w:t>7</w:t>
      </w:r>
      <w:r w:rsidR="00FA65E3" w:rsidRPr="00FA65E3">
        <w:rPr>
          <w:sz w:val="24"/>
          <w:szCs w:val="24"/>
        </w:rPr>
        <w:t xml:space="preserve"> women) who participated in the Hertfordshire Ageing Study at baseline (199</w:t>
      </w:r>
      <w:r>
        <w:rPr>
          <w:sz w:val="24"/>
          <w:szCs w:val="24"/>
        </w:rPr>
        <w:t>4</w:t>
      </w:r>
      <w:r w:rsidR="00FA65E3" w:rsidRPr="00FA65E3">
        <w:rPr>
          <w:sz w:val="24"/>
          <w:szCs w:val="24"/>
        </w:rPr>
        <w:t>/5, mean age 67</w:t>
      </w:r>
      <w:r w:rsidR="003F4EC2">
        <w:rPr>
          <w:sz w:val="24"/>
          <w:szCs w:val="24"/>
        </w:rPr>
        <w:t>.3</w:t>
      </w:r>
      <w:r w:rsidR="00FA65E3" w:rsidRPr="00FA65E3">
        <w:rPr>
          <w:sz w:val="24"/>
          <w:szCs w:val="24"/>
        </w:rPr>
        <w:t xml:space="preserve"> years) and at </w:t>
      </w:r>
      <w:r w:rsidR="00CD01FB">
        <w:rPr>
          <w:sz w:val="24"/>
          <w:szCs w:val="24"/>
        </w:rPr>
        <w:t>9</w:t>
      </w:r>
      <w:r w:rsidRPr="00FA65E3">
        <w:rPr>
          <w:sz w:val="24"/>
          <w:szCs w:val="24"/>
        </w:rPr>
        <w:t>-year</w:t>
      </w:r>
      <w:r w:rsidR="00FA65E3" w:rsidRPr="00FA65E3">
        <w:rPr>
          <w:sz w:val="24"/>
          <w:szCs w:val="24"/>
        </w:rPr>
        <w:t xml:space="preserve"> follow-up</w:t>
      </w:r>
      <w:r w:rsidR="00E96201">
        <w:rPr>
          <w:sz w:val="24"/>
          <w:szCs w:val="24"/>
        </w:rPr>
        <w:t xml:space="preserve"> were analysed</w:t>
      </w:r>
      <w:r w:rsidR="00FA65E3" w:rsidRPr="00FA65E3">
        <w:rPr>
          <w:sz w:val="24"/>
          <w:szCs w:val="24"/>
        </w:rPr>
        <w:t xml:space="preserve">. </w:t>
      </w:r>
      <w:r w:rsidR="00DA0CA6">
        <w:rPr>
          <w:sz w:val="24"/>
          <w:szCs w:val="24"/>
        </w:rPr>
        <w:t>Serum</w:t>
      </w:r>
      <w:r w:rsidR="00FA65E3" w:rsidRPr="00FA65E3">
        <w:rPr>
          <w:sz w:val="24"/>
          <w:szCs w:val="24"/>
        </w:rPr>
        <w:t xml:space="preserve"> samples for analysis of inflammatory and </w:t>
      </w:r>
      <w:r w:rsidR="00FA65E3" w:rsidRPr="00DF58D0">
        <w:rPr>
          <w:sz w:val="24"/>
          <w:szCs w:val="24"/>
        </w:rPr>
        <w:t>endocrinological measures</w:t>
      </w:r>
      <w:r w:rsidR="00E96201" w:rsidRPr="00DF58D0">
        <w:rPr>
          <w:sz w:val="24"/>
          <w:szCs w:val="24"/>
        </w:rPr>
        <w:t xml:space="preserve"> were collected</w:t>
      </w:r>
      <w:r w:rsidR="0039555B">
        <w:rPr>
          <w:sz w:val="24"/>
          <w:szCs w:val="24"/>
        </w:rPr>
        <w:t xml:space="preserve"> at baseline and follow-up</w:t>
      </w:r>
      <w:r w:rsidR="00FA65E3" w:rsidRPr="00DF58D0">
        <w:rPr>
          <w:sz w:val="24"/>
          <w:szCs w:val="24"/>
        </w:rPr>
        <w:t xml:space="preserve">. </w:t>
      </w:r>
      <w:r w:rsidR="0039555B">
        <w:rPr>
          <w:sz w:val="24"/>
          <w:szCs w:val="24"/>
        </w:rPr>
        <w:t xml:space="preserve">At follow-up, </w:t>
      </w:r>
      <w:r w:rsidRPr="00DF58D0">
        <w:rPr>
          <w:sz w:val="24"/>
          <w:szCs w:val="24"/>
        </w:rPr>
        <w:t>depression</w:t>
      </w:r>
      <w:r w:rsidR="0039555B">
        <w:rPr>
          <w:sz w:val="24"/>
          <w:szCs w:val="24"/>
        </w:rPr>
        <w:t xml:space="preserve"> (Hospital Anxiety and Depression Scale)</w:t>
      </w:r>
      <w:r w:rsidRPr="00DF58D0">
        <w:rPr>
          <w:sz w:val="24"/>
          <w:szCs w:val="24"/>
        </w:rPr>
        <w:t xml:space="preserve"> </w:t>
      </w:r>
      <w:r w:rsidR="0039555B">
        <w:rPr>
          <w:sz w:val="24"/>
          <w:szCs w:val="24"/>
        </w:rPr>
        <w:t>and mental health (</w:t>
      </w:r>
      <w:r w:rsidR="0039555B" w:rsidRPr="0039555B">
        <w:rPr>
          <w:sz w:val="24"/>
          <w:szCs w:val="24"/>
        </w:rPr>
        <w:t>Short Form-36</w:t>
      </w:r>
      <w:r w:rsidR="0039555B">
        <w:rPr>
          <w:sz w:val="24"/>
          <w:szCs w:val="24"/>
        </w:rPr>
        <w:t xml:space="preserve"> questionnaire)</w:t>
      </w:r>
      <w:r w:rsidR="0039555B" w:rsidRPr="0039555B">
        <w:rPr>
          <w:sz w:val="24"/>
          <w:szCs w:val="24"/>
        </w:rPr>
        <w:t xml:space="preserve"> </w:t>
      </w:r>
      <w:r w:rsidR="00531D3C">
        <w:rPr>
          <w:sz w:val="24"/>
          <w:szCs w:val="24"/>
        </w:rPr>
        <w:t>were</w:t>
      </w:r>
      <w:r w:rsidR="00531D3C" w:rsidRPr="00DF58D0">
        <w:rPr>
          <w:sz w:val="24"/>
          <w:szCs w:val="24"/>
        </w:rPr>
        <w:t xml:space="preserve"> </w:t>
      </w:r>
      <w:r w:rsidRPr="00DF58D0">
        <w:rPr>
          <w:sz w:val="24"/>
          <w:szCs w:val="24"/>
        </w:rPr>
        <w:t>assessed</w:t>
      </w:r>
      <w:r w:rsidR="00AD18AB">
        <w:rPr>
          <w:sz w:val="24"/>
          <w:szCs w:val="24"/>
        </w:rPr>
        <w:t>.</w:t>
      </w:r>
      <w:r w:rsidR="00CD01FB">
        <w:rPr>
          <w:sz w:val="24"/>
          <w:szCs w:val="24"/>
        </w:rPr>
        <w:t xml:space="preserve"> Baseline values and changes in biomarkers in relation to risk of high depression scores (to</w:t>
      </w:r>
      <w:r w:rsidR="00531D3C">
        <w:rPr>
          <w:sz w:val="24"/>
          <w:szCs w:val="24"/>
        </w:rPr>
        <w:t>p</w:t>
      </w:r>
      <w:r w:rsidR="00CD01FB">
        <w:rPr>
          <w:sz w:val="24"/>
          <w:szCs w:val="24"/>
        </w:rPr>
        <w:t xml:space="preserve"> sex-specific third) and low mental health scores (bottom sex-specific third) were examined using logistic regression.</w:t>
      </w:r>
    </w:p>
    <w:p w14:paraId="16035B34" w14:textId="62D84EA9" w:rsidR="00DF58D0" w:rsidRDefault="002F02D5" w:rsidP="00540F03">
      <w:pPr>
        <w:spacing w:before="100" w:beforeAutospacing="1" w:after="100" w:afterAutospacing="1" w:line="360" w:lineRule="auto"/>
        <w:rPr>
          <w:sz w:val="24"/>
          <w:szCs w:val="24"/>
        </w:rPr>
      </w:pPr>
      <w:r w:rsidRPr="00DF58D0">
        <w:rPr>
          <w:i/>
          <w:iCs/>
          <w:sz w:val="24"/>
          <w:szCs w:val="24"/>
        </w:rPr>
        <w:t xml:space="preserve">Results: </w:t>
      </w:r>
      <w:bookmarkStart w:id="3" w:name="_Hlk75855077"/>
      <w:r w:rsidR="00AD18AB">
        <w:rPr>
          <w:sz w:val="24"/>
          <w:szCs w:val="24"/>
        </w:rPr>
        <w:t>L</w:t>
      </w:r>
      <w:r w:rsidR="00E96201" w:rsidRPr="00DF58D0">
        <w:rPr>
          <w:sz w:val="24"/>
          <w:szCs w:val="24"/>
        </w:rPr>
        <w:t>ow</w:t>
      </w:r>
      <w:r w:rsidR="0039555B">
        <w:rPr>
          <w:sz w:val="24"/>
          <w:szCs w:val="24"/>
        </w:rPr>
        <w:t>er</w:t>
      </w:r>
      <w:r w:rsidR="00E96201" w:rsidRPr="00DF58D0">
        <w:rPr>
          <w:sz w:val="24"/>
          <w:szCs w:val="24"/>
        </w:rPr>
        <w:t xml:space="preserve"> baseline cortisol </w:t>
      </w:r>
      <w:r w:rsidR="0039555B">
        <w:rPr>
          <w:sz w:val="24"/>
          <w:szCs w:val="24"/>
        </w:rPr>
        <w:t>was related to greater risk of high depression scores</w:t>
      </w:r>
      <w:bookmarkEnd w:id="3"/>
      <w:r w:rsidR="00AD18AB">
        <w:rPr>
          <w:sz w:val="24"/>
          <w:szCs w:val="24"/>
        </w:rPr>
        <w:t xml:space="preserve">; </w:t>
      </w:r>
      <w:r w:rsidR="00AD18AB" w:rsidRPr="00AD18AB">
        <w:rPr>
          <w:sz w:val="24"/>
          <w:szCs w:val="24"/>
        </w:rPr>
        <w:t>high</w:t>
      </w:r>
      <w:r w:rsidR="00AD18AB">
        <w:rPr>
          <w:sz w:val="24"/>
          <w:szCs w:val="24"/>
        </w:rPr>
        <w:t>er</w:t>
      </w:r>
      <w:r w:rsidR="00AD18AB" w:rsidRPr="00AD18AB">
        <w:rPr>
          <w:sz w:val="24"/>
          <w:szCs w:val="24"/>
        </w:rPr>
        <w:t xml:space="preserve"> </w:t>
      </w:r>
      <w:r w:rsidR="00AD18AB">
        <w:rPr>
          <w:sz w:val="24"/>
          <w:szCs w:val="24"/>
        </w:rPr>
        <w:t xml:space="preserve">baseline </w:t>
      </w:r>
      <w:r w:rsidR="00D51C4D">
        <w:rPr>
          <w:sz w:val="24"/>
          <w:szCs w:val="24"/>
        </w:rPr>
        <w:t>c</w:t>
      </w:r>
      <w:r w:rsidR="00AD18AB" w:rsidRPr="00AD18AB">
        <w:rPr>
          <w:sz w:val="24"/>
          <w:szCs w:val="24"/>
        </w:rPr>
        <w:t>ortisol:</w:t>
      </w:r>
      <w:r w:rsidR="00BD71A1" w:rsidRPr="00BD71A1">
        <w:rPr>
          <w:iCs/>
          <w:sz w:val="24"/>
          <w:szCs w:val="24"/>
        </w:rPr>
        <w:t xml:space="preserve"> </w:t>
      </w:r>
      <w:r w:rsidR="00BD71A1" w:rsidRPr="007B76C3">
        <w:rPr>
          <w:iCs/>
          <w:sz w:val="24"/>
          <w:szCs w:val="24"/>
        </w:rPr>
        <w:t>Dehydroepiandrosterone Sulphate</w:t>
      </w:r>
      <w:r w:rsidR="00AD18AB" w:rsidRPr="00AD18AB">
        <w:rPr>
          <w:sz w:val="24"/>
          <w:szCs w:val="24"/>
        </w:rPr>
        <w:t xml:space="preserve"> ratio</w:t>
      </w:r>
      <w:r w:rsidR="00AD18AB" w:rsidRPr="00AD18AB" w:rsidDel="0039555B">
        <w:rPr>
          <w:sz w:val="24"/>
          <w:szCs w:val="24"/>
        </w:rPr>
        <w:t xml:space="preserve"> </w:t>
      </w:r>
      <w:r w:rsidR="00AD18AB">
        <w:rPr>
          <w:sz w:val="24"/>
          <w:szCs w:val="24"/>
        </w:rPr>
        <w:t xml:space="preserve">(men only) and </w:t>
      </w:r>
      <w:bookmarkStart w:id="4" w:name="_Hlk75855140"/>
      <w:r w:rsidR="00AD18AB">
        <w:rPr>
          <w:sz w:val="24"/>
          <w:szCs w:val="24"/>
        </w:rPr>
        <w:t xml:space="preserve">higher baseline </w:t>
      </w:r>
      <w:r w:rsidR="00BD71A1" w:rsidRPr="00BD71A1">
        <w:rPr>
          <w:sz w:val="24"/>
          <w:szCs w:val="24"/>
        </w:rPr>
        <w:t xml:space="preserve">C-reactive protein </w:t>
      </w:r>
      <w:r w:rsidR="00BD71A1">
        <w:rPr>
          <w:sz w:val="24"/>
          <w:szCs w:val="24"/>
        </w:rPr>
        <w:t>(</w:t>
      </w:r>
      <w:r w:rsidR="00AD18AB">
        <w:rPr>
          <w:sz w:val="24"/>
          <w:szCs w:val="24"/>
        </w:rPr>
        <w:t>CRP</w:t>
      </w:r>
      <w:r w:rsidR="00BD71A1">
        <w:rPr>
          <w:sz w:val="24"/>
          <w:szCs w:val="24"/>
        </w:rPr>
        <w:t>)</w:t>
      </w:r>
      <w:r w:rsidR="00AD18AB">
        <w:rPr>
          <w:sz w:val="24"/>
          <w:szCs w:val="24"/>
        </w:rPr>
        <w:t xml:space="preserve"> (women only) were related to greater risk of </w:t>
      </w:r>
      <w:r w:rsidR="00E96201" w:rsidRPr="00DF58D0">
        <w:rPr>
          <w:sz w:val="24"/>
          <w:szCs w:val="24"/>
        </w:rPr>
        <w:t>poor mental health</w:t>
      </w:r>
      <w:r w:rsidR="00AD18AB">
        <w:rPr>
          <w:sz w:val="24"/>
          <w:szCs w:val="24"/>
        </w:rPr>
        <w:t xml:space="preserve"> scor</w:t>
      </w:r>
      <w:r w:rsidR="00CD01FB">
        <w:rPr>
          <w:sz w:val="24"/>
          <w:szCs w:val="24"/>
        </w:rPr>
        <w:t>es</w:t>
      </w:r>
      <w:bookmarkEnd w:id="4"/>
      <w:r w:rsidR="00E96201" w:rsidRPr="00DF58D0">
        <w:rPr>
          <w:sz w:val="24"/>
          <w:szCs w:val="24"/>
        </w:rPr>
        <w:t xml:space="preserve">. </w:t>
      </w:r>
      <w:r w:rsidR="00DA0CA6">
        <w:rPr>
          <w:sz w:val="24"/>
          <w:szCs w:val="24"/>
        </w:rPr>
        <w:t xml:space="preserve">In addition, </w:t>
      </w:r>
      <w:bookmarkStart w:id="5" w:name="_Hlk75855188"/>
      <w:r w:rsidR="00AD18AB">
        <w:rPr>
          <w:sz w:val="24"/>
          <w:szCs w:val="24"/>
        </w:rPr>
        <w:t xml:space="preserve">greater decline in cortisol was related to increased risk of high </w:t>
      </w:r>
      <w:r w:rsidR="00DA0CA6">
        <w:rPr>
          <w:sz w:val="24"/>
          <w:szCs w:val="24"/>
        </w:rPr>
        <w:t>d</w:t>
      </w:r>
      <w:r w:rsidR="00DF58D0" w:rsidRPr="00DF58D0">
        <w:rPr>
          <w:sz w:val="24"/>
          <w:szCs w:val="24"/>
        </w:rPr>
        <w:t xml:space="preserve">epression </w:t>
      </w:r>
      <w:r w:rsidR="00AD18AB">
        <w:rPr>
          <w:sz w:val="24"/>
          <w:szCs w:val="24"/>
        </w:rPr>
        <w:t>scores among men</w:t>
      </w:r>
      <w:bookmarkEnd w:id="5"/>
      <w:r w:rsidR="00AD18AB">
        <w:rPr>
          <w:sz w:val="24"/>
          <w:szCs w:val="24"/>
        </w:rPr>
        <w:t>.</w:t>
      </w:r>
      <w:r w:rsidR="00DF58D0" w:rsidRPr="00DF58D0">
        <w:rPr>
          <w:sz w:val="24"/>
          <w:szCs w:val="24"/>
        </w:rPr>
        <w:t xml:space="preserve"> </w:t>
      </w:r>
      <w:r w:rsidR="00AD18AB">
        <w:rPr>
          <w:sz w:val="24"/>
          <w:szCs w:val="24"/>
        </w:rPr>
        <w:t>These relationships were robust (p&lt;0.05) a</w:t>
      </w:r>
      <w:r w:rsidR="00AD18AB" w:rsidRPr="00AD18AB">
        <w:rPr>
          <w:sz w:val="24"/>
          <w:szCs w:val="24"/>
        </w:rPr>
        <w:t>fter controlling for sex, age, BMI, smoking, alcohol consumption a</w:t>
      </w:r>
      <w:r w:rsidR="00AD18AB">
        <w:rPr>
          <w:sz w:val="24"/>
          <w:szCs w:val="24"/>
        </w:rPr>
        <w:t>nd number of systems medicated.</w:t>
      </w:r>
    </w:p>
    <w:p w14:paraId="5BBF6159" w14:textId="028C4388" w:rsidR="002A551E" w:rsidRDefault="002F02D5" w:rsidP="00540F03">
      <w:pPr>
        <w:spacing w:before="100" w:beforeAutospacing="1" w:after="100" w:afterAutospacing="1" w:line="360" w:lineRule="auto"/>
        <w:rPr>
          <w:b/>
          <w:bCs/>
          <w:sz w:val="24"/>
          <w:szCs w:val="24"/>
        </w:rPr>
      </w:pPr>
      <w:r w:rsidRPr="00DF58D0">
        <w:rPr>
          <w:i/>
          <w:iCs/>
          <w:sz w:val="24"/>
          <w:szCs w:val="24"/>
        </w:rPr>
        <w:t>Conclusion:</w:t>
      </w:r>
      <w:r>
        <w:rPr>
          <w:i/>
          <w:iCs/>
          <w:sz w:val="24"/>
          <w:szCs w:val="24"/>
        </w:rPr>
        <w:t xml:space="preserve"> </w:t>
      </w:r>
      <w:bookmarkStart w:id="6" w:name="_Hlk66611829"/>
      <w:r w:rsidR="00A17A0F" w:rsidRPr="00A17A0F">
        <w:rPr>
          <w:sz w:val="24"/>
          <w:szCs w:val="24"/>
        </w:rPr>
        <w:t>Th</w:t>
      </w:r>
      <w:r w:rsidR="00D51C4D">
        <w:rPr>
          <w:sz w:val="24"/>
          <w:szCs w:val="24"/>
        </w:rPr>
        <w:t>is</w:t>
      </w:r>
      <w:r w:rsidR="00A17A0F">
        <w:rPr>
          <w:sz w:val="24"/>
          <w:szCs w:val="24"/>
        </w:rPr>
        <w:t xml:space="preserve"> study </w:t>
      </w:r>
      <w:r w:rsidR="006728B3">
        <w:rPr>
          <w:sz w:val="24"/>
          <w:szCs w:val="24"/>
        </w:rPr>
        <w:t xml:space="preserve">provides further evidence of </w:t>
      </w:r>
      <w:bookmarkStart w:id="7" w:name="_Hlk75855233"/>
      <w:r w:rsidR="00A17A0F">
        <w:rPr>
          <w:sz w:val="24"/>
          <w:szCs w:val="24"/>
        </w:rPr>
        <w:t>the role of the HPA and inflammation in older</w:t>
      </w:r>
      <w:r w:rsidR="00A17A0F" w:rsidRPr="00A17A0F">
        <w:rPr>
          <w:sz w:val="24"/>
          <w:szCs w:val="24"/>
        </w:rPr>
        <w:t xml:space="preserve"> </w:t>
      </w:r>
      <w:r w:rsidR="00276D34">
        <w:rPr>
          <w:sz w:val="24"/>
          <w:szCs w:val="24"/>
        </w:rPr>
        <w:t xml:space="preserve">adults </w:t>
      </w:r>
      <w:r w:rsidR="00A17A0F">
        <w:rPr>
          <w:sz w:val="24"/>
          <w:szCs w:val="24"/>
        </w:rPr>
        <w:t>with poor mental health</w:t>
      </w:r>
      <w:bookmarkEnd w:id="7"/>
      <w:r w:rsidR="006728B3">
        <w:rPr>
          <w:sz w:val="24"/>
          <w:szCs w:val="24"/>
        </w:rPr>
        <w:t>.</w:t>
      </w:r>
      <w:r w:rsidR="00AD37F1">
        <w:rPr>
          <w:sz w:val="24"/>
          <w:szCs w:val="24"/>
        </w:rPr>
        <w:t xml:space="preserve"> </w:t>
      </w:r>
      <w:r w:rsidR="006728B3">
        <w:rPr>
          <w:sz w:val="24"/>
          <w:szCs w:val="24"/>
        </w:rPr>
        <w:t>I</w:t>
      </w:r>
      <w:r w:rsidR="00AD37F1">
        <w:rPr>
          <w:sz w:val="24"/>
          <w:szCs w:val="24"/>
        </w:rPr>
        <w:t xml:space="preserve">n </w:t>
      </w:r>
      <w:r w:rsidR="006728B3">
        <w:rPr>
          <w:sz w:val="24"/>
          <w:szCs w:val="24"/>
        </w:rPr>
        <w:t>addition,</w:t>
      </w:r>
      <w:r w:rsidR="00AD37F1">
        <w:rPr>
          <w:sz w:val="24"/>
          <w:szCs w:val="24"/>
        </w:rPr>
        <w:t xml:space="preserve"> </w:t>
      </w:r>
      <w:r w:rsidR="006728B3">
        <w:rPr>
          <w:sz w:val="24"/>
          <w:szCs w:val="24"/>
        </w:rPr>
        <w:t xml:space="preserve">the findings </w:t>
      </w:r>
      <w:r w:rsidR="006728B3" w:rsidRPr="006728B3">
        <w:rPr>
          <w:sz w:val="24"/>
          <w:szCs w:val="24"/>
        </w:rPr>
        <w:t>highlight</w:t>
      </w:r>
      <w:r w:rsidR="006728B3">
        <w:rPr>
          <w:sz w:val="24"/>
          <w:szCs w:val="24"/>
        </w:rPr>
        <w:t xml:space="preserve"> </w:t>
      </w:r>
      <w:r w:rsidR="00276D34">
        <w:rPr>
          <w:sz w:val="24"/>
          <w:szCs w:val="24"/>
        </w:rPr>
        <w:t xml:space="preserve">sex </w:t>
      </w:r>
      <w:r w:rsidR="00AD37F1">
        <w:rPr>
          <w:sz w:val="24"/>
          <w:szCs w:val="24"/>
        </w:rPr>
        <w:t>difference</w:t>
      </w:r>
      <w:bookmarkEnd w:id="6"/>
      <w:r w:rsidR="00276D34">
        <w:rPr>
          <w:sz w:val="24"/>
          <w:szCs w:val="24"/>
        </w:rPr>
        <w:t>s</w:t>
      </w:r>
      <w:r w:rsidR="006728B3">
        <w:rPr>
          <w:sz w:val="24"/>
          <w:szCs w:val="24"/>
        </w:rPr>
        <w:t xml:space="preserve"> where </w:t>
      </w:r>
      <w:bookmarkStart w:id="8" w:name="_Hlk75854881"/>
      <w:r w:rsidR="00D7334B">
        <w:rPr>
          <w:sz w:val="24"/>
          <w:szCs w:val="24"/>
        </w:rPr>
        <w:t>increased</w:t>
      </w:r>
      <w:r w:rsidR="006728B3">
        <w:rPr>
          <w:sz w:val="24"/>
          <w:szCs w:val="24"/>
        </w:rPr>
        <w:t xml:space="preserve"> inflammation in women </w:t>
      </w:r>
      <w:r w:rsidR="00AD18AB">
        <w:rPr>
          <w:sz w:val="24"/>
          <w:szCs w:val="24"/>
        </w:rPr>
        <w:t xml:space="preserve">and </w:t>
      </w:r>
      <w:r w:rsidR="00092594">
        <w:rPr>
          <w:sz w:val="24"/>
          <w:szCs w:val="24"/>
        </w:rPr>
        <w:t xml:space="preserve">declines in </w:t>
      </w:r>
      <w:r w:rsidR="006728B3">
        <w:rPr>
          <w:sz w:val="24"/>
          <w:szCs w:val="24"/>
        </w:rPr>
        <w:t>cortisol in men</w:t>
      </w:r>
      <w:r w:rsidR="006728B3" w:rsidRPr="006728B3">
        <w:t xml:space="preserve"> </w:t>
      </w:r>
      <w:r w:rsidR="00AD18AB" w:rsidRPr="00D51C4D">
        <w:rPr>
          <w:sz w:val="24"/>
          <w:szCs w:val="24"/>
        </w:rPr>
        <w:t>was</w:t>
      </w:r>
      <w:r w:rsidR="00AD18AB">
        <w:t xml:space="preserve"> </w:t>
      </w:r>
      <w:r w:rsidR="006728B3" w:rsidRPr="006728B3">
        <w:rPr>
          <w:sz w:val="24"/>
          <w:szCs w:val="24"/>
        </w:rPr>
        <w:t>linked to poor</w:t>
      </w:r>
      <w:r w:rsidR="00092594">
        <w:rPr>
          <w:sz w:val="24"/>
          <w:szCs w:val="24"/>
        </w:rPr>
        <w:t>er</w:t>
      </w:r>
      <w:r w:rsidR="006728B3" w:rsidRPr="006728B3">
        <w:rPr>
          <w:sz w:val="24"/>
          <w:szCs w:val="24"/>
        </w:rPr>
        <w:t xml:space="preserve"> mental health</w:t>
      </w:r>
      <w:bookmarkEnd w:id="8"/>
      <w:r w:rsidR="006728B3">
        <w:rPr>
          <w:sz w:val="24"/>
          <w:szCs w:val="24"/>
        </w:rPr>
        <w:t>.</w:t>
      </w:r>
      <w:r w:rsidR="00AD37F1">
        <w:rPr>
          <w:sz w:val="24"/>
          <w:szCs w:val="24"/>
        </w:rPr>
        <w:t xml:space="preserve"> </w:t>
      </w:r>
      <w:r w:rsidR="00E0033C">
        <w:rPr>
          <w:sz w:val="24"/>
          <w:szCs w:val="24"/>
        </w:rPr>
        <w:t xml:space="preserve">Further research is warranted to confirm these findings. </w:t>
      </w:r>
      <w:r w:rsidR="00AD37F1">
        <w:rPr>
          <w:sz w:val="24"/>
          <w:szCs w:val="24"/>
        </w:rPr>
        <w:t xml:space="preserve">This </w:t>
      </w:r>
      <w:r w:rsidR="00A17A0F">
        <w:rPr>
          <w:sz w:val="24"/>
          <w:szCs w:val="24"/>
        </w:rPr>
        <w:t xml:space="preserve">could lead to </w:t>
      </w:r>
      <w:r w:rsidR="00A17A0F" w:rsidRPr="00A17A0F">
        <w:rPr>
          <w:sz w:val="24"/>
          <w:szCs w:val="24"/>
        </w:rPr>
        <w:t xml:space="preserve">the search for </w:t>
      </w:r>
      <w:r w:rsidR="00A17A0F">
        <w:rPr>
          <w:sz w:val="24"/>
          <w:szCs w:val="24"/>
        </w:rPr>
        <w:t xml:space="preserve">potential </w:t>
      </w:r>
      <w:r w:rsidR="00A17A0F" w:rsidRPr="00A17A0F">
        <w:rPr>
          <w:sz w:val="24"/>
          <w:szCs w:val="24"/>
        </w:rPr>
        <w:t xml:space="preserve">biomarkers </w:t>
      </w:r>
      <w:r w:rsidR="00AD37F1">
        <w:rPr>
          <w:sz w:val="24"/>
          <w:szCs w:val="24"/>
        </w:rPr>
        <w:t xml:space="preserve">to stratify medications as well as </w:t>
      </w:r>
      <w:r w:rsidR="00A85E15" w:rsidRPr="00A85E15">
        <w:rPr>
          <w:sz w:val="24"/>
          <w:szCs w:val="24"/>
        </w:rPr>
        <w:t>developing novel intervention target</w:t>
      </w:r>
      <w:r w:rsidR="00A85E15">
        <w:rPr>
          <w:sz w:val="24"/>
          <w:szCs w:val="24"/>
        </w:rPr>
        <w:t>s</w:t>
      </w:r>
      <w:r w:rsidR="00A85E15" w:rsidRPr="00A85E15">
        <w:rPr>
          <w:sz w:val="24"/>
          <w:szCs w:val="24"/>
        </w:rPr>
        <w:t xml:space="preserve"> to improve mental health at older age.</w:t>
      </w:r>
    </w:p>
    <w:p w14:paraId="0ED74FD8" w14:textId="521765FB" w:rsidR="00531511" w:rsidRDefault="003718DE" w:rsidP="00540F03">
      <w:pPr>
        <w:spacing w:before="100" w:beforeAutospacing="1" w:after="100" w:afterAutospacing="1" w:line="360" w:lineRule="auto"/>
        <w:rPr>
          <w:b/>
          <w:bCs/>
          <w:sz w:val="24"/>
          <w:szCs w:val="24"/>
        </w:rPr>
      </w:pPr>
      <w:r>
        <w:rPr>
          <w:b/>
          <w:bCs/>
          <w:sz w:val="24"/>
          <w:szCs w:val="24"/>
        </w:rPr>
        <w:t xml:space="preserve">Keywords: </w:t>
      </w:r>
      <w:r w:rsidR="00BD71A1">
        <w:rPr>
          <w:sz w:val="24"/>
          <w:szCs w:val="24"/>
        </w:rPr>
        <w:t>P</w:t>
      </w:r>
      <w:r w:rsidR="00BD71A1" w:rsidRPr="00BD71A1">
        <w:rPr>
          <w:sz w:val="24"/>
          <w:szCs w:val="24"/>
        </w:rPr>
        <w:t>sychoneuroimmunology</w:t>
      </w:r>
      <w:r w:rsidR="00BD71A1">
        <w:rPr>
          <w:sz w:val="24"/>
          <w:szCs w:val="24"/>
        </w:rPr>
        <w:t>,</w:t>
      </w:r>
      <w:r w:rsidR="00BD71A1" w:rsidRPr="00BD71A1">
        <w:rPr>
          <w:b/>
          <w:bCs/>
          <w:sz w:val="24"/>
          <w:szCs w:val="24"/>
        </w:rPr>
        <w:t xml:space="preserve"> </w:t>
      </w:r>
      <w:r w:rsidR="00BD71A1" w:rsidRPr="00BD71A1">
        <w:rPr>
          <w:sz w:val="24"/>
          <w:szCs w:val="24"/>
        </w:rPr>
        <w:t xml:space="preserve">Inflammation, </w:t>
      </w:r>
      <w:r w:rsidR="00BD71A1">
        <w:rPr>
          <w:sz w:val="24"/>
          <w:szCs w:val="24"/>
        </w:rPr>
        <w:t>T</w:t>
      </w:r>
      <w:r w:rsidR="00BD71A1" w:rsidRPr="00BD71A1">
        <w:rPr>
          <w:sz w:val="24"/>
          <w:szCs w:val="24"/>
        </w:rPr>
        <w:t>he hypothalamic-pituitary-adrenal axis</w:t>
      </w:r>
      <w:r w:rsidR="00BD71A1">
        <w:rPr>
          <w:sz w:val="24"/>
          <w:szCs w:val="24"/>
        </w:rPr>
        <w:t xml:space="preserve">, </w:t>
      </w:r>
      <w:r w:rsidR="00BD71A1" w:rsidRPr="00BD71A1">
        <w:rPr>
          <w:sz w:val="24"/>
          <w:szCs w:val="24"/>
        </w:rPr>
        <w:t>C-reactive protein</w:t>
      </w:r>
      <w:r w:rsidR="00BD71A1">
        <w:rPr>
          <w:sz w:val="24"/>
          <w:szCs w:val="24"/>
        </w:rPr>
        <w:t>, Cortisol, Mental health, Depression</w:t>
      </w:r>
    </w:p>
    <w:p w14:paraId="4166637E" w14:textId="77777777" w:rsidR="00235DE0" w:rsidRDefault="00235DE0" w:rsidP="00540F03">
      <w:pPr>
        <w:spacing w:before="100" w:beforeAutospacing="1" w:after="100" w:afterAutospacing="1" w:line="360" w:lineRule="auto"/>
        <w:rPr>
          <w:b/>
          <w:bCs/>
          <w:sz w:val="24"/>
          <w:szCs w:val="24"/>
        </w:rPr>
      </w:pPr>
    </w:p>
    <w:p w14:paraId="7A57F226" w14:textId="77777777" w:rsidR="00235DE0" w:rsidRDefault="00235DE0" w:rsidP="00540F03">
      <w:pPr>
        <w:spacing w:before="100" w:beforeAutospacing="1" w:after="100" w:afterAutospacing="1" w:line="360" w:lineRule="auto"/>
        <w:rPr>
          <w:b/>
          <w:bCs/>
          <w:sz w:val="24"/>
          <w:szCs w:val="24"/>
        </w:rPr>
      </w:pPr>
    </w:p>
    <w:p w14:paraId="689C1575" w14:textId="1003BC35" w:rsidR="004E1420" w:rsidRDefault="005179AB" w:rsidP="00540F03">
      <w:pPr>
        <w:spacing w:before="100" w:beforeAutospacing="1" w:after="100" w:afterAutospacing="1" w:line="360" w:lineRule="auto"/>
        <w:rPr>
          <w:b/>
          <w:bCs/>
          <w:sz w:val="24"/>
          <w:szCs w:val="24"/>
        </w:rPr>
      </w:pPr>
      <w:r>
        <w:rPr>
          <w:b/>
          <w:bCs/>
          <w:sz w:val="24"/>
          <w:szCs w:val="24"/>
        </w:rPr>
        <w:t xml:space="preserve">1 </w:t>
      </w:r>
      <w:r w:rsidR="004E1420">
        <w:rPr>
          <w:b/>
          <w:bCs/>
          <w:sz w:val="24"/>
          <w:szCs w:val="24"/>
        </w:rPr>
        <w:t>Introduction</w:t>
      </w:r>
    </w:p>
    <w:p w14:paraId="4496E01C" w14:textId="64459E42" w:rsidR="00C7631B" w:rsidRDefault="00DF58D0" w:rsidP="00540F03">
      <w:pPr>
        <w:spacing w:before="100" w:beforeAutospacing="1" w:after="100" w:afterAutospacing="1" w:line="360" w:lineRule="auto"/>
        <w:rPr>
          <w:sz w:val="24"/>
          <w:szCs w:val="24"/>
        </w:rPr>
      </w:pPr>
      <w:r>
        <w:rPr>
          <w:sz w:val="24"/>
          <w:szCs w:val="24"/>
        </w:rPr>
        <w:t>R</w:t>
      </w:r>
      <w:r w:rsidR="002A551E" w:rsidRPr="002A551E">
        <w:rPr>
          <w:sz w:val="24"/>
          <w:szCs w:val="24"/>
        </w:rPr>
        <w:t xml:space="preserve">esearch into psychoneuroimmunology, the study of neural-endocrine-immune system interactions, has led to substantial advances in our understanding of neuropsychiatric disorders (Ader et al., 1995; Raison et al., 2006; Leonard and Myint, 2009; Miller et al., 2009). Experimental and clinical research reveals the pivotal roles of </w:t>
      </w:r>
      <w:r w:rsidR="003D6DC0">
        <w:rPr>
          <w:sz w:val="24"/>
          <w:szCs w:val="24"/>
        </w:rPr>
        <w:t>inflammatory cytokines</w:t>
      </w:r>
      <w:r w:rsidR="002A551E" w:rsidRPr="002A551E">
        <w:rPr>
          <w:sz w:val="24"/>
          <w:szCs w:val="24"/>
        </w:rPr>
        <w:t xml:space="preserve"> signalling the brain to produce neurochemical, neuroendocrine, </w:t>
      </w:r>
      <w:r w:rsidR="00FB1463">
        <w:rPr>
          <w:sz w:val="24"/>
          <w:szCs w:val="24"/>
        </w:rPr>
        <w:t xml:space="preserve">and </w:t>
      </w:r>
      <w:r w:rsidR="002A551E" w:rsidRPr="002A551E">
        <w:rPr>
          <w:sz w:val="24"/>
          <w:szCs w:val="24"/>
        </w:rPr>
        <w:t xml:space="preserve">neuroimmune </w:t>
      </w:r>
      <w:r w:rsidR="00FB1463">
        <w:rPr>
          <w:sz w:val="24"/>
          <w:szCs w:val="24"/>
        </w:rPr>
        <w:t xml:space="preserve">changes which lead to mood and </w:t>
      </w:r>
      <w:r w:rsidR="002A551E" w:rsidRPr="002A551E">
        <w:rPr>
          <w:sz w:val="24"/>
          <w:szCs w:val="24"/>
        </w:rPr>
        <w:t>behavioural changes</w:t>
      </w:r>
      <w:r w:rsidR="003D6DC0">
        <w:rPr>
          <w:sz w:val="24"/>
          <w:szCs w:val="24"/>
        </w:rPr>
        <w:t xml:space="preserve">. </w:t>
      </w:r>
      <w:r w:rsidR="003D6DC0" w:rsidRPr="003D6DC0">
        <w:rPr>
          <w:sz w:val="24"/>
          <w:szCs w:val="24"/>
        </w:rPr>
        <w:t>Ag</w:t>
      </w:r>
      <w:r w:rsidR="001F1FDC">
        <w:rPr>
          <w:sz w:val="24"/>
          <w:szCs w:val="24"/>
        </w:rPr>
        <w:t>e</w:t>
      </w:r>
      <w:r w:rsidR="003D6DC0" w:rsidRPr="003D6DC0">
        <w:rPr>
          <w:sz w:val="24"/>
          <w:szCs w:val="24"/>
        </w:rPr>
        <w:t>ing is accompanied by the development of low-grade systemic inflammation</w:t>
      </w:r>
      <w:r w:rsidR="00C7631B" w:rsidRPr="00C7631B">
        <w:rPr>
          <w:sz w:val="24"/>
          <w:szCs w:val="24"/>
        </w:rPr>
        <w:t xml:space="preserve"> due to increasing stressors resulting from declining physical health and diminishing social connections</w:t>
      </w:r>
      <w:r w:rsidR="00C7631B">
        <w:rPr>
          <w:sz w:val="24"/>
          <w:szCs w:val="24"/>
        </w:rPr>
        <w:t xml:space="preserve"> (</w:t>
      </w:r>
      <w:r w:rsidR="00C7631B" w:rsidRPr="00C7631B">
        <w:rPr>
          <w:sz w:val="24"/>
          <w:szCs w:val="24"/>
        </w:rPr>
        <w:t xml:space="preserve">Prasad </w:t>
      </w:r>
      <w:r w:rsidR="00C7631B">
        <w:rPr>
          <w:sz w:val="24"/>
          <w:szCs w:val="24"/>
        </w:rPr>
        <w:t xml:space="preserve">et al. 2012; </w:t>
      </w:r>
      <w:r w:rsidR="00C7631B" w:rsidRPr="00C7631B">
        <w:rPr>
          <w:sz w:val="24"/>
          <w:szCs w:val="24"/>
        </w:rPr>
        <w:t xml:space="preserve">Jeon </w:t>
      </w:r>
      <w:r w:rsidR="00C7631B">
        <w:rPr>
          <w:sz w:val="24"/>
          <w:szCs w:val="24"/>
        </w:rPr>
        <w:t>and</w:t>
      </w:r>
      <w:r w:rsidR="00C7631B" w:rsidRPr="00C7631B">
        <w:rPr>
          <w:sz w:val="24"/>
          <w:szCs w:val="24"/>
        </w:rPr>
        <w:t xml:space="preserve"> Dunkle </w:t>
      </w:r>
      <w:r w:rsidR="00C7631B">
        <w:rPr>
          <w:sz w:val="24"/>
          <w:szCs w:val="24"/>
        </w:rPr>
        <w:t>2009)</w:t>
      </w:r>
      <w:r w:rsidR="00C7631B" w:rsidRPr="00C7631B">
        <w:rPr>
          <w:sz w:val="24"/>
          <w:szCs w:val="24"/>
        </w:rPr>
        <w:t xml:space="preserve">. </w:t>
      </w:r>
      <w:r w:rsidR="00DE4222" w:rsidRPr="00DE4222">
        <w:rPr>
          <w:sz w:val="24"/>
          <w:szCs w:val="24"/>
        </w:rPr>
        <w:t>With a rapidly ag</w:t>
      </w:r>
      <w:r w:rsidR="001F1FDC">
        <w:rPr>
          <w:sz w:val="24"/>
          <w:szCs w:val="24"/>
        </w:rPr>
        <w:t>e</w:t>
      </w:r>
      <w:r w:rsidR="00DE4222" w:rsidRPr="00DE4222">
        <w:rPr>
          <w:sz w:val="24"/>
          <w:szCs w:val="24"/>
        </w:rPr>
        <w:t>ing global population</w:t>
      </w:r>
      <w:r w:rsidR="00C7631B" w:rsidRPr="00C7631B">
        <w:rPr>
          <w:sz w:val="24"/>
          <w:szCs w:val="24"/>
        </w:rPr>
        <w:t xml:space="preserve">, </w:t>
      </w:r>
      <w:r w:rsidR="0022376C">
        <w:rPr>
          <w:sz w:val="24"/>
          <w:szCs w:val="24"/>
        </w:rPr>
        <w:t xml:space="preserve">there is an urgent need to advance our </w:t>
      </w:r>
      <w:r w:rsidR="00C7631B" w:rsidRPr="00C7631B">
        <w:rPr>
          <w:sz w:val="24"/>
          <w:szCs w:val="24"/>
        </w:rPr>
        <w:t xml:space="preserve">understanding </w:t>
      </w:r>
      <w:r w:rsidR="00DE4222">
        <w:rPr>
          <w:sz w:val="24"/>
          <w:szCs w:val="24"/>
        </w:rPr>
        <w:t xml:space="preserve">of </w:t>
      </w:r>
      <w:r w:rsidR="00C7631B" w:rsidRPr="00C7631B">
        <w:rPr>
          <w:sz w:val="24"/>
          <w:szCs w:val="24"/>
        </w:rPr>
        <w:t>the</w:t>
      </w:r>
      <w:r w:rsidR="00C7631B">
        <w:rPr>
          <w:sz w:val="24"/>
          <w:szCs w:val="24"/>
        </w:rPr>
        <w:t xml:space="preserve"> patho</w:t>
      </w:r>
      <w:r w:rsidR="0022376C">
        <w:rPr>
          <w:sz w:val="24"/>
          <w:szCs w:val="24"/>
        </w:rPr>
        <w:t>bi</w:t>
      </w:r>
      <w:r w:rsidR="00C7631B">
        <w:rPr>
          <w:sz w:val="24"/>
          <w:szCs w:val="24"/>
        </w:rPr>
        <w:t>ological</w:t>
      </w:r>
      <w:r w:rsidR="00C7631B" w:rsidRPr="00C7631B">
        <w:rPr>
          <w:sz w:val="24"/>
          <w:szCs w:val="24"/>
        </w:rPr>
        <w:t xml:space="preserve"> mechanisms underlying</w:t>
      </w:r>
      <w:r w:rsidR="00C7631B">
        <w:rPr>
          <w:sz w:val="24"/>
          <w:szCs w:val="24"/>
        </w:rPr>
        <w:t xml:space="preserve"> </w:t>
      </w:r>
      <w:r w:rsidR="0022376C">
        <w:rPr>
          <w:sz w:val="24"/>
          <w:szCs w:val="24"/>
        </w:rPr>
        <w:t>poor mental health</w:t>
      </w:r>
      <w:r w:rsidR="00C7631B">
        <w:rPr>
          <w:sz w:val="24"/>
          <w:szCs w:val="24"/>
        </w:rPr>
        <w:t xml:space="preserve"> </w:t>
      </w:r>
      <w:r w:rsidR="00C7631B" w:rsidRPr="00C7631B">
        <w:rPr>
          <w:sz w:val="24"/>
          <w:szCs w:val="24"/>
        </w:rPr>
        <w:t>at older ages.</w:t>
      </w:r>
    </w:p>
    <w:p w14:paraId="573AF867" w14:textId="2BDBD6FD" w:rsidR="003A4B0F" w:rsidRDefault="00AC3FE8" w:rsidP="00540F03">
      <w:pPr>
        <w:spacing w:before="100" w:beforeAutospacing="1" w:after="100" w:afterAutospacing="1" w:line="360" w:lineRule="auto"/>
        <w:rPr>
          <w:sz w:val="24"/>
          <w:szCs w:val="24"/>
        </w:rPr>
      </w:pPr>
      <w:r>
        <w:rPr>
          <w:sz w:val="24"/>
          <w:szCs w:val="24"/>
        </w:rPr>
        <w:t>The h</w:t>
      </w:r>
      <w:r w:rsidR="00E54691" w:rsidRPr="00E54691">
        <w:rPr>
          <w:sz w:val="24"/>
          <w:szCs w:val="24"/>
        </w:rPr>
        <w:t>ypothalamus–pituitary–adrenal (HPA) axis plays a fundamental role as a regulatory system in stress responses and inflammation. Alteration of the HPA axis is observed in a significant proportion of patients with major depression and seems to reflect an impaired ability of cortisol to exert its physiological effects including the negative feedback on the HPA axis itself as well as the anti-inflammatory effects at the peripheral level (Pariante, 2006</w:t>
      </w:r>
      <w:r w:rsidR="00E416FE">
        <w:rPr>
          <w:sz w:val="24"/>
          <w:szCs w:val="24"/>
        </w:rPr>
        <w:t>;</w:t>
      </w:r>
      <w:r w:rsidR="00E54691" w:rsidRPr="00E54691">
        <w:rPr>
          <w:sz w:val="24"/>
          <w:szCs w:val="24"/>
        </w:rPr>
        <w:t xml:space="preserve"> Pariante and Miller, 2001). </w:t>
      </w:r>
      <w:r w:rsidR="00A17A0F" w:rsidRPr="00AA2A85">
        <w:rPr>
          <w:sz w:val="24"/>
          <w:szCs w:val="24"/>
        </w:rPr>
        <w:t>Growing</w:t>
      </w:r>
      <w:r w:rsidR="0022376C" w:rsidRPr="00AA2A85">
        <w:rPr>
          <w:sz w:val="24"/>
          <w:szCs w:val="24"/>
        </w:rPr>
        <w:t xml:space="preserve"> evidence </w:t>
      </w:r>
      <w:r w:rsidR="00D6123C">
        <w:rPr>
          <w:sz w:val="24"/>
          <w:szCs w:val="24"/>
        </w:rPr>
        <w:t>supports</w:t>
      </w:r>
      <w:r w:rsidR="00D6123C" w:rsidRPr="00AA2A85">
        <w:rPr>
          <w:sz w:val="24"/>
          <w:szCs w:val="24"/>
        </w:rPr>
        <w:t xml:space="preserve"> </w:t>
      </w:r>
      <w:r w:rsidR="0022376C" w:rsidRPr="00AA2A85">
        <w:rPr>
          <w:sz w:val="24"/>
          <w:szCs w:val="24"/>
        </w:rPr>
        <w:t xml:space="preserve">the role of the </w:t>
      </w:r>
      <w:r w:rsidR="00A17A0F" w:rsidRPr="00AA2A85">
        <w:rPr>
          <w:sz w:val="24"/>
          <w:szCs w:val="24"/>
        </w:rPr>
        <w:t>HPA</w:t>
      </w:r>
      <w:r w:rsidR="00E54691">
        <w:rPr>
          <w:sz w:val="24"/>
          <w:szCs w:val="24"/>
        </w:rPr>
        <w:t xml:space="preserve"> </w:t>
      </w:r>
      <w:r w:rsidR="00A17A0F" w:rsidRPr="00AA2A85">
        <w:rPr>
          <w:sz w:val="24"/>
          <w:szCs w:val="24"/>
        </w:rPr>
        <w:t xml:space="preserve">hyperactivity and inflammation in the aetiology </w:t>
      </w:r>
      <w:r w:rsidR="00341779" w:rsidRPr="00341779">
        <w:rPr>
          <w:sz w:val="24"/>
          <w:szCs w:val="24"/>
        </w:rPr>
        <w:t xml:space="preserve">and pathogenesis </w:t>
      </w:r>
      <w:r w:rsidR="00A17A0F" w:rsidRPr="00AA2A85">
        <w:rPr>
          <w:sz w:val="24"/>
          <w:szCs w:val="24"/>
        </w:rPr>
        <w:t xml:space="preserve">of depression </w:t>
      </w:r>
      <w:r w:rsidR="003A4B0F" w:rsidRPr="003A4B0F">
        <w:rPr>
          <w:sz w:val="24"/>
          <w:szCs w:val="24"/>
        </w:rPr>
        <w:t xml:space="preserve">in younger adults </w:t>
      </w:r>
      <w:r w:rsidR="00A17A0F" w:rsidRPr="00AA2A85">
        <w:rPr>
          <w:sz w:val="24"/>
          <w:szCs w:val="24"/>
        </w:rPr>
        <w:t>(</w:t>
      </w:r>
      <w:r w:rsidR="00AA2A85" w:rsidRPr="00AA2A85">
        <w:rPr>
          <w:sz w:val="24"/>
          <w:szCs w:val="24"/>
        </w:rPr>
        <w:t xml:space="preserve">Malhi </w:t>
      </w:r>
      <w:r w:rsidR="00AA2A85">
        <w:rPr>
          <w:sz w:val="24"/>
          <w:szCs w:val="24"/>
        </w:rPr>
        <w:t>and</w:t>
      </w:r>
      <w:r w:rsidR="00AA2A85" w:rsidRPr="00AA2A85">
        <w:rPr>
          <w:sz w:val="24"/>
          <w:szCs w:val="24"/>
        </w:rPr>
        <w:t xml:space="preserve"> Mann 2018; Iob et al. 2020)</w:t>
      </w:r>
      <w:r w:rsidR="00AA2A85">
        <w:rPr>
          <w:sz w:val="24"/>
          <w:szCs w:val="24"/>
        </w:rPr>
        <w:t xml:space="preserve"> </w:t>
      </w:r>
      <w:r w:rsidR="00AA2A85" w:rsidRPr="00AA2A85">
        <w:rPr>
          <w:sz w:val="24"/>
          <w:szCs w:val="24"/>
        </w:rPr>
        <w:t>indicated</w:t>
      </w:r>
      <w:r w:rsidR="00AA2A85">
        <w:rPr>
          <w:sz w:val="24"/>
          <w:szCs w:val="24"/>
        </w:rPr>
        <w:t xml:space="preserve"> by </w:t>
      </w:r>
      <w:r w:rsidR="00AA2A85" w:rsidRPr="00AA2A85">
        <w:rPr>
          <w:sz w:val="24"/>
          <w:szCs w:val="24"/>
        </w:rPr>
        <w:t xml:space="preserve">elevated cortisol levels </w:t>
      </w:r>
      <w:r w:rsidR="00AD66D7">
        <w:rPr>
          <w:sz w:val="24"/>
          <w:szCs w:val="24"/>
        </w:rPr>
        <w:t>(</w:t>
      </w:r>
      <w:r w:rsidR="00AD66D7" w:rsidRPr="00AD66D7">
        <w:rPr>
          <w:sz w:val="24"/>
          <w:szCs w:val="24"/>
        </w:rPr>
        <w:t xml:space="preserve">Stetler </w:t>
      </w:r>
      <w:r w:rsidR="00AD66D7">
        <w:rPr>
          <w:sz w:val="24"/>
          <w:szCs w:val="24"/>
        </w:rPr>
        <w:t xml:space="preserve"> and</w:t>
      </w:r>
      <w:r w:rsidR="00AD66D7" w:rsidRPr="00AD66D7">
        <w:rPr>
          <w:sz w:val="24"/>
          <w:szCs w:val="24"/>
        </w:rPr>
        <w:t xml:space="preserve"> Miller </w:t>
      </w:r>
      <w:r w:rsidR="00AD66D7">
        <w:rPr>
          <w:sz w:val="24"/>
          <w:szCs w:val="24"/>
        </w:rPr>
        <w:t xml:space="preserve">2011) </w:t>
      </w:r>
      <w:r w:rsidR="00AA2A85" w:rsidRPr="00AA2A85">
        <w:rPr>
          <w:sz w:val="24"/>
          <w:szCs w:val="24"/>
        </w:rPr>
        <w:t xml:space="preserve">and </w:t>
      </w:r>
      <w:r w:rsidR="00AA2A85">
        <w:rPr>
          <w:sz w:val="24"/>
          <w:szCs w:val="24"/>
        </w:rPr>
        <w:t>higher</w:t>
      </w:r>
      <w:r w:rsidR="00AA2A85" w:rsidRPr="00AA2A85">
        <w:rPr>
          <w:sz w:val="24"/>
          <w:szCs w:val="24"/>
        </w:rPr>
        <w:t xml:space="preserve"> concentrations of pro-inflammatory cytokines </w:t>
      </w:r>
      <w:r w:rsidR="00AD66D7">
        <w:rPr>
          <w:sz w:val="24"/>
          <w:szCs w:val="24"/>
        </w:rPr>
        <w:t xml:space="preserve">such as IL-6 and </w:t>
      </w:r>
      <w:r w:rsidR="00AD66D7" w:rsidRPr="00AD66D7">
        <w:rPr>
          <w:sz w:val="24"/>
          <w:szCs w:val="24"/>
        </w:rPr>
        <w:t xml:space="preserve">C-reactive protein (CRP) </w:t>
      </w:r>
      <w:r w:rsidR="00AD66D7">
        <w:rPr>
          <w:sz w:val="24"/>
          <w:szCs w:val="24"/>
        </w:rPr>
        <w:t>(</w:t>
      </w:r>
      <w:r w:rsidR="00AD66D7" w:rsidRPr="00AD66D7">
        <w:rPr>
          <w:sz w:val="24"/>
          <w:szCs w:val="24"/>
        </w:rPr>
        <w:t>Haapakoski</w:t>
      </w:r>
      <w:r w:rsidR="00AD66D7">
        <w:rPr>
          <w:sz w:val="24"/>
          <w:szCs w:val="24"/>
        </w:rPr>
        <w:t xml:space="preserve"> et al. 2015). </w:t>
      </w:r>
      <w:r w:rsidR="003B589B">
        <w:rPr>
          <w:sz w:val="24"/>
          <w:szCs w:val="24"/>
        </w:rPr>
        <w:t>However,</w:t>
      </w:r>
      <w:r w:rsidR="00C7631B" w:rsidRPr="00C7631B">
        <w:rPr>
          <w:sz w:val="24"/>
          <w:szCs w:val="24"/>
        </w:rPr>
        <w:t xml:space="preserve"> </w:t>
      </w:r>
      <w:r w:rsidR="003A4B0F" w:rsidRPr="003A4B0F">
        <w:rPr>
          <w:sz w:val="24"/>
          <w:szCs w:val="24"/>
        </w:rPr>
        <w:t xml:space="preserve">ﬁndings of </w:t>
      </w:r>
      <w:r w:rsidR="00DE4222">
        <w:rPr>
          <w:sz w:val="24"/>
          <w:szCs w:val="24"/>
        </w:rPr>
        <w:t xml:space="preserve">these </w:t>
      </w:r>
      <w:r w:rsidR="003A4B0F" w:rsidRPr="003A4B0F">
        <w:rPr>
          <w:sz w:val="24"/>
          <w:szCs w:val="24"/>
        </w:rPr>
        <w:t>biological disturbances in late</w:t>
      </w:r>
      <w:r w:rsidR="00A85E15">
        <w:rPr>
          <w:sz w:val="24"/>
          <w:szCs w:val="24"/>
        </w:rPr>
        <w:t xml:space="preserve"> </w:t>
      </w:r>
      <w:r w:rsidR="003A4B0F" w:rsidRPr="003A4B0F">
        <w:rPr>
          <w:sz w:val="24"/>
          <w:szCs w:val="24"/>
        </w:rPr>
        <w:t xml:space="preserve">life depression have been divergent due to greater heterogeneity of depression in older adults </w:t>
      </w:r>
      <w:r w:rsidR="003A4B0F">
        <w:rPr>
          <w:sz w:val="24"/>
          <w:szCs w:val="24"/>
        </w:rPr>
        <w:t xml:space="preserve">and </w:t>
      </w:r>
      <w:r w:rsidR="001F1FDC">
        <w:rPr>
          <w:sz w:val="24"/>
          <w:szCs w:val="24"/>
        </w:rPr>
        <w:t xml:space="preserve">the </w:t>
      </w:r>
      <w:r w:rsidR="00D6123C">
        <w:rPr>
          <w:sz w:val="24"/>
          <w:szCs w:val="24"/>
        </w:rPr>
        <w:t xml:space="preserve">complexity of the </w:t>
      </w:r>
      <w:r w:rsidR="003A4B0F">
        <w:rPr>
          <w:sz w:val="24"/>
          <w:szCs w:val="24"/>
        </w:rPr>
        <w:t>ageing process</w:t>
      </w:r>
      <w:r w:rsidR="003A4B0F" w:rsidRPr="003A4B0F">
        <w:rPr>
          <w:sz w:val="24"/>
          <w:szCs w:val="24"/>
        </w:rPr>
        <w:t xml:space="preserve">. </w:t>
      </w:r>
    </w:p>
    <w:p w14:paraId="654EC1DE" w14:textId="06B8963F" w:rsidR="003D6DC0" w:rsidRDefault="00126E92" w:rsidP="00540F03">
      <w:pPr>
        <w:spacing w:before="100" w:beforeAutospacing="1" w:after="100" w:afterAutospacing="1" w:line="360" w:lineRule="auto"/>
        <w:rPr>
          <w:sz w:val="24"/>
          <w:szCs w:val="24"/>
        </w:rPr>
      </w:pPr>
      <w:r w:rsidRPr="00126E92">
        <w:rPr>
          <w:sz w:val="24"/>
          <w:szCs w:val="24"/>
        </w:rPr>
        <w:t xml:space="preserve">Longitudinal studies are crucial in understanding whether </w:t>
      </w:r>
      <w:r>
        <w:rPr>
          <w:sz w:val="24"/>
          <w:szCs w:val="24"/>
        </w:rPr>
        <w:t>i</w:t>
      </w:r>
      <w:r w:rsidRPr="00126E92">
        <w:rPr>
          <w:sz w:val="24"/>
          <w:szCs w:val="24"/>
        </w:rPr>
        <w:t xml:space="preserve">mmune-endocrine biomarkers </w:t>
      </w:r>
      <w:r w:rsidR="00A85E15">
        <w:rPr>
          <w:sz w:val="24"/>
          <w:szCs w:val="24"/>
        </w:rPr>
        <w:t>are predictors</w:t>
      </w:r>
      <w:r w:rsidRPr="00126E92">
        <w:rPr>
          <w:sz w:val="24"/>
          <w:szCs w:val="24"/>
        </w:rPr>
        <w:t>, correlate</w:t>
      </w:r>
      <w:r>
        <w:rPr>
          <w:sz w:val="24"/>
          <w:szCs w:val="24"/>
        </w:rPr>
        <w:t xml:space="preserve">s </w:t>
      </w:r>
      <w:r w:rsidRPr="00126E92">
        <w:rPr>
          <w:sz w:val="24"/>
          <w:szCs w:val="24"/>
        </w:rPr>
        <w:t>or consequence</w:t>
      </w:r>
      <w:r>
        <w:rPr>
          <w:sz w:val="24"/>
          <w:szCs w:val="24"/>
        </w:rPr>
        <w:t>s</w:t>
      </w:r>
      <w:r w:rsidRPr="00126E92">
        <w:rPr>
          <w:sz w:val="24"/>
          <w:szCs w:val="24"/>
        </w:rPr>
        <w:t xml:space="preserve"> of </w:t>
      </w:r>
      <w:r>
        <w:rPr>
          <w:sz w:val="24"/>
          <w:szCs w:val="24"/>
        </w:rPr>
        <w:t>poor mental health</w:t>
      </w:r>
      <w:r w:rsidRPr="00126E92">
        <w:rPr>
          <w:sz w:val="24"/>
          <w:szCs w:val="24"/>
        </w:rPr>
        <w:t>. One recent meta-analysis suggests that both CRP and IL-6 were associated with future depressive symptoms (</w:t>
      </w:r>
      <w:r w:rsidR="001C3553">
        <w:rPr>
          <w:sz w:val="24"/>
          <w:szCs w:val="24"/>
        </w:rPr>
        <w:t xml:space="preserve">Mac </w:t>
      </w:r>
      <w:r w:rsidRPr="00126E92">
        <w:rPr>
          <w:sz w:val="24"/>
          <w:szCs w:val="24"/>
        </w:rPr>
        <w:t xml:space="preserve">Giollabhui et al. 2020). The English Longitudinal Study of Ageing (ELSA) found high CRP levels at baseline (mean age 64.7) associated with depressive symptoms at the 4-year follow-up (Au et al. 2015). Evidence also indicates dysregulated inflammatory processes in older depression patients, which </w:t>
      </w:r>
      <w:r>
        <w:rPr>
          <w:sz w:val="24"/>
          <w:szCs w:val="24"/>
        </w:rPr>
        <w:t xml:space="preserve">further </w:t>
      </w:r>
      <w:r w:rsidRPr="00126E92">
        <w:rPr>
          <w:sz w:val="24"/>
          <w:szCs w:val="24"/>
        </w:rPr>
        <w:t>supports the inflammatory hypothesis of geriatric depression (Alexopoulos  and Morimoto 2011).</w:t>
      </w:r>
      <w:r>
        <w:rPr>
          <w:sz w:val="24"/>
          <w:szCs w:val="24"/>
        </w:rPr>
        <w:t xml:space="preserve"> </w:t>
      </w:r>
      <w:r w:rsidR="008E2466">
        <w:rPr>
          <w:sz w:val="24"/>
          <w:szCs w:val="24"/>
        </w:rPr>
        <w:t xml:space="preserve">Building on </w:t>
      </w:r>
      <w:r w:rsidR="00DE4222">
        <w:rPr>
          <w:sz w:val="24"/>
          <w:szCs w:val="24"/>
        </w:rPr>
        <w:t xml:space="preserve">our </w:t>
      </w:r>
      <w:r w:rsidR="008E2466">
        <w:rPr>
          <w:sz w:val="24"/>
          <w:szCs w:val="24"/>
        </w:rPr>
        <w:t xml:space="preserve">previous work of </w:t>
      </w:r>
      <w:r w:rsidR="008E2466" w:rsidRPr="008E2466">
        <w:rPr>
          <w:sz w:val="24"/>
          <w:szCs w:val="24"/>
        </w:rPr>
        <w:t xml:space="preserve">age-related increase in low-grade systemic inﬂammation </w:t>
      </w:r>
      <w:r w:rsidR="008E2466">
        <w:rPr>
          <w:sz w:val="24"/>
          <w:szCs w:val="24"/>
        </w:rPr>
        <w:t>identified in t</w:t>
      </w:r>
      <w:r w:rsidR="008E2466" w:rsidRPr="008E2466">
        <w:rPr>
          <w:sz w:val="24"/>
          <w:szCs w:val="24"/>
        </w:rPr>
        <w:t>he Hertfordshire Ageing Study (HAS)</w:t>
      </w:r>
      <w:r w:rsidR="008E2466">
        <w:rPr>
          <w:sz w:val="24"/>
          <w:szCs w:val="24"/>
        </w:rPr>
        <w:t xml:space="preserve"> cohort (Bartlett et al. 2012), </w:t>
      </w:r>
      <w:r w:rsidR="00BE26CD" w:rsidRPr="00BE26CD">
        <w:rPr>
          <w:sz w:val="24"/>
          <w:szCs w:val="24"/>
        </w:rPr>
        <w:t xml:space="preserve">the present study </w:t>
      </w:r>
      <w:r w:rsidR="008E2466">
        <w:rPr>
          <w:sz w:val="24"/>
          <w:szCs w:val="24"/>
        </w:rPr>
        <w:t>aimed</w:t>
      </w:r>
      <w:r w:rsidR="00BE26CD" w:rsidRPr="00BE26CD">
        <w:rPr>
          <w:sz w:val="24"/>
          <w:szCs w:val="24"/>
        </w:rPr>
        <w:t xml:space="preserve"> to</w:t>
      </w:r>
      <w:r w:rsidR="008E2466">
        <w:rPr>
          <w:sz w:val="24"/>
          <w:szCs w:val="24"/>
        </w:rPr>
        <w:t xml:space="preserve"> further</w:t>
      </w:r>
      <w:r w:rsidR="00BE26CD" w:rsidRPr="00BE26CD">
        <w:rPr>
          <w:sz w:val="24"/>
          <w:szCs w:val="24"/>
        </w:rPr>
        <w:t xml:space="preserve"> investigate </w:t>
      </w:r>
      <w:r w:rsidR="006728B3">
        <w:rPr>
          <w:sz w:val="24"/>
          <w:szCs w:val="24"/>
        </w:rPr>
        <w:t xml:space="preserve">how inflammation and the HPA dysregulation </w:t>
      </w:r>
      <w:r w:rsidR="00D7334B">
        <w:rPr>
          <w:sz w:val="24"/>
          <w:szCs w:val="24"/>
        </w:rPr>
        <w:t xml:space="preserve">contribute to </w:t>
      </w:r>
      <w:r w:rsidR="008E2466">
        <w:rPr>
          <w:sz w:val="24"/>
          <w:szCs w:val="24"/>
        </w:rPr>
        <w:t xml:space="preserve">mental health </w:t>
      </w:r>
      <w:r>
        <w:rPr>
          <w:sz w:val="24"/>
          <w:szCs w:val="24"/>
        </w:rPr>
        <w:t xml:space="preserve">state </w:t>
      </w:r>
      <w:r w:rsidR="001F1FDC">
        <w:rPr>
          <w:sz w:val="24"/>
          <w:szCs w:val="24"/>
        </w:rPr>
        <w:t>9</w:t>
      </w:r>
      <w:r w:rsidR="00BE26CD" w:rsidRPr="00BE26CD">
        <w:rPr>
          <w:sz w:val="24"/>
          <w:szCs w:val="24"/>
        </w:rPr>
        <w:t>-year</w:t>
      </w:r>
      <w:r w:rsidR="00AC3FE8">
        <w:rPr>
          <w:sz w:val="24"/>
          <w:szCs w:val="24"/>
        </w:rPr>
        <w:t>s</w:t>
      </w:r>
      <w:r w:rsidR="00BE26CD" w:rsidRPr="00BE26CD">
        <w:rPr>
          <w:sz w:val="24"/>
          <w:szCs w:val="24"/>
        </w:rPr>
        <w:t xml:space="preserve"> </w:t>
      </w:r>
      <w:r w:rsidR="001F1FDC">
        <w:rPr>
          <w:sz w:val="24"/>
          <w:szCs w:val="24"/>
        </w:rPr>
        <w:t>later</w:t>
      </w:r>
      <w:r w:rsidR="001F1FDC" w:rsidRPr="00765208">
        <w:rPr>
          <w:rFonts w:hint="eastAsia"/>
          <w:sz w:val="24"/>
          <w:szCs w:val="24"/>
        </w:rPr>
        <w:t xml:space="preserve"> </w:t>
      </w:r>
      <w:r w:rsidR="00765208" w:rsidRPr="00765208">
        <w:rPr>
          <w:rFonts w:hint="eastAsia"/>
          <w:sz w:val="24"/>
          <w:szCs w:val="24"/>
        </w:rPr>
        <w:t xml:space="preserve">in </w:t>
      </w:r>
      <w:r w:rsidR="00A85E15">
        <w:rPr>
          <w:sz w:val="24"/>
          <w:szCs w:val="24"/>
        </w:rPr>
        <w:t xml:space="preserve">the same </w:t>
      </w:r>
      <w:r w:rsidR="00765208" w:rsidRPr="00765208">
        <w:rPr>
          <w:rFonts w:hint="eastAsia"/>
          <w:sz w:val="24"/>
          <w:szCs w:val="24"/>
        </w:rPr>
        <w:t xml:space="preserve">cohort of older adults. </w:t>
      </w:r>
      <w:r w:rsidR="00765208" w:rsidRPr="00765208">
        <w:rPr>
          <w:sz w:val="24"/>
          <w:szCs w:val="24"/>
        </w:rPr>
        <w:t xml:space="preserve">We hypothesised </w:t>
      </w:r>
      <w:r w:rsidR="008E2466">
        <w:rPr>
          <w:sz w:val="24"/>
          <w:szCs w:val="24"/>
        </w:rPr>
        <w:t xml:space="preserve">that </w:t>
      </w:r>
      <w:r w:rsidR="00DE4222">
        <w:rPr>
          <w:sz w:val="24"/>
          <w:szCs w:val="24"/>
        </w:rPr>
        <w:t xml:space="preserve">the </w:t>
      </w:r>
      <w:r w:rsidR="00DE4222" w:rsidRPr="00DE4222">
        <w:rPr>
          <w:sz w:val="24"/>
          <w:szCs w:val="24"/>
        </w:rPr>
        <w:t xml:space="preserve">HPA dysregulation </w:t>
      </w:r>
      <w:r w:rsidR="00765208" w:rsidRPr="00765208">
        <w:rPr>
          <w:sz w:val="24"/>
          <w:szCs w:val="24"/>
        </w:rPr>
        <w:t xml:space="preserve">and </w:t>
      </w:r>
      <w:r w:rsidR="00DE4222">
        <w:rPr>
          <w:sz w:val="24"/>
          <w:szCs w:val="24"/>
        </w:rPr>
        <w:t xml:space="preserve">low-grade </w:t>
      </w:r>
      <w:r w:rsidR="00BE26CD">
        <w:rPr>
          <w:sz w:val="24"/>
          <w:szCs w:val="24"/>
        </w:rPr>
        <w:t>inflammat</w:t>
      </w:r>
      <w:r w:rsidR="008E2466">
        <w:rPr>
          <w:sz w:val="24"/>
          <w:szCs w:val="24"/>
        </w:rPr>
        <w:t>ion</w:t>
      </w:r>
      <w:r w:rsidR="00DE4222">
        <w:rPr>
          <w:sz w:val="24"/>
          <w:szCs w:val="24"/>
        </w:rPr>
        <w:t xml:space="preserve"> may contribute to </w:t>
      </w:r>
      <w:r w:rsidR="00DE4222" w:rsidRPr="00DE4222">
        <w:rPr>
          <w:sz w:val="24"/>
          <w:szCs w:val="24"/>
        </w:rPr>
        <w:t xml:space="preserve">poor mental health </w:t>
      </w:r>
      <w:r w:rsidR="00DE4222">
        <w:rPr>
          <w:sz w:val="24"/>
          <w:szCs w:val="24"/>
        </w:rPr>
        <w:t xml:space="preserve">in </w:t>
      </w:r>
      <w:r w:rsidR="00A85E15">
        <w:rPr>
          <w:sz w:val="24"/>
          <w:szCs w:val="24"/>
        </w:rPr>
        <w:t xml:space="preserve">late </w:t>
      </w:r>
      <w:r w:rsidR="00DE4222">
        <w:rPr>
          <w:sz w:val="24"/>
          <w:szCs w:val="24"/>
        </w:rPr>
        <w:t>life</w:t>
      </w:r>
      <w:r w:rsidR="00765208" w:rsidRPr="00765208">
        <w:rPr>
          <w:sz w:val="24"/>
          <w:szCs w:val="24"/>
        </w:rPr>
        <w:t xml:space="preserve">. </w:t>
      </w:r>
      <w:r w:rsidR="008E2466">
        <w:rPr>
          <w:sz w:val="24"/>
          <w:szCs w:val="24"/>
        </w:rPr>
        <w:t>In addition</w:t>
      </w:r>
      <w:r w:rsidR="00765208" w:rsidRPr="00765208">
        <w:rPr>
          <w:sz w:val="24"/>
          <w:szCs w:val="24"/>
        </w:rPr>
        <w:t xml:space="preserve">, </w:t>
      </w:r>
      <w:r w:rsidR="00A85E15">
        <w:rPr>
          <w:sz w:val="24"/>
          <w:szCs w:val="24"/>
        </w:rPr>
        <w:t xml:space="preserve">based on </w:t>
      </w:r>
      <w:r w:rsidR="00314052">
        <w:rPr>
          <w:sz w:val="24"/>
          <w:szCs w:val="24"/>
        </w:rPr>
        <w:t>c</w:t>
      </w:r>
      <w:r w:rsidR="000A18E9" w:rsidRPr="000A18E9">
        <w:rPr>
          <w:sz w:val="24"/>
          <w:szCs w:val="24"/>
        </w:rPr>
        <w:t>onverging evidence from animal and human studies demonstrat</w:t>
      </w:r>
      <w:r w:rsidR="00314052">
        <w:rPr>
          <w:sz w:val="24"/>
          <w:szCs w:val="24"/>
        </w:rPr>
        <w:t>ing sex</w:t>
      </w:r>
      <w:r w:rsidR="000A18E9" w:rsidRPr="000A18E9">
        <w:rPr>
          <w:sz w:val="24"/>
          <w:szCs w:val="24"/>
        </w:rPr>
        <w:t xml:space="preserve"> differences in the immune response to </w:t>
      </w:r>
      <w:r w:rsidR="00314052">
        <w:rPr>
          <w:sz w:val="24"/>
          <w:szCs w:val="24"/>
        </w:rPr>
        <w:t>stress</w:t>
      </w:r>
      <w:r w:rsidR="000A18E9" w:rsidRPr="000A18E9">
        <w:rPr>
          <w:sz w:val="24"/>
          <w:szCs w:val="24"/>
        </w:rPr>
        <w:t xml:space="preserve"> </w:t>
      </w:r>
      <w:r w:rsidR="00314052">
        <w:rPr>
          <w:sz w:val="24"/>
          <w:szCs w:val="24"/>
        </w:rPr>
        <w:t>and the</w:t>
      </w:r>
      <w:r w:rsidR="000A18E9" w:rsidRPr="000A18E9">
        <w:rPr>
          <w:sz w:val="24"/>
          <w:szCs w:val="24"/>
        </w:rPr>
        <w:t xml:space="preserve"> HPA </w:t>
      </w:r>
      <w:r w:rsidR="00314052">
        <w:rPr>
          <w:sz w:val="24"/>
          <w:szCs w:val="24"/>
        </w:rPr>
        <w:t>disturbance,</w:t>
      </w:r>
      <w:r w:rsidR="000A18E9" w:rsidRPr="000A18E9">
        <w:rPr>
          <w:sz w:val="24"/>
          <w:szCs w:val="24"/>
        </w:rPr>
        <w:t xml:space="preserve"> </w:t>
      </w:r>
      <w:r w:rsidR="00765208" w:rsidRPr="00765208">
        <w:rPr>
          <w:sz w:val="24"/>
          <w:szCs w:val="24"/>
        </w:rPr>
        <w:t xml:space="preserve">we expected that </w:t>
      </w:r>
      <w:r w:rsidR="00BE26CD">
        <w:rPr>
          <w:sz w:val="24"/>
          <w:szCs w:val="24"/>
        </w:rPr>
        <w:t>there</w:t>
      </w:r>
      <w:r w:rsidR="00765208" w:rsidRPr="00765208">
        <w:rPr>
          <w:sz w:val="24"/>
          <w:szCs w:val="24"/>
        </w:rPr>
        <w:t xml:space="preserve"> would </w:t>
      </w:r>
      <w:r w:rsidR="00BE26CD">
        <w:rPr>
          <w:sz w:val="24"/>
          <w:szCs w:val="24"/>
        </w:rPr>
        <w:t xml:space="preserve">be strong </w:t>
      </w:r>
      <w:r w:rsidR="00314052">
        <w:rPr>
          <w:sz w:val="24"/>
          <w:szCs w:val="24"/>
        </w:rPr>
        <w:t xml:space="preserve">sex </w:t>
      </w:r>
      <w:r w:rsidR="00BE26CD">
        <w:rPr>
          <w:sz w:val="24"/>
          <w:szCs w:val="24"/>
        </w:rPr>
        <w:t>differences</w:t>
      </w:r>
      <w:r w:rsidR="00765208" w:rsidRPr="00765208">
        <w:rPr>
          <w:sz w:val="24"/>
          <w:szCs w:val="24"/>
        </w:rPr>
        <w:t>.</w:t>
      </w:r>
      <w:r w:rsidR="00F32918">
        <w:rPr>
          <w:sz w:val="24"/>
          <w:szCs w:val="24"/>
        </w:rPr>
        <w:t xml:space="preserve"> </w:t>
      </w:r>
      <w:r w:rsidR="006318B3">
        <w:rPr>
          <w:sz w:val="24"/>
          <w:szCs w:val="24"/>
        </w:rPr>
        <w:t>F</w:t>
      </w:r>
      <w:r w:rsidR="00F32918">
        <w:rPr>
          <w:sz w:val="24"/>
          <w:szCs w:val="24"/>
        </w:rPr>
        <w:t xml:space="preserve">indings </w:t>
      </w:r>
      <w:r w:rsidR="006318B3">
        <w:rPr>
          <w:sz w:val="24"/>
          <w:szCs w:val="24"/>
        </w:rPr>
        <w:t xml:space="preserve">from </w:t>
      </w:r>
      <w:r w:rsidR="00F32918">
        <w:rPr>
          <w:sz w:val="24"/>
          <w:szCs w:val="24"/>
        </w:rPr>
        <w:t xml:space="preserve">the study </w:t>
      </w:r>
      <w:r w:rsidR="00F32918" w:rsidRPr="00F32918">
        <w:rPr>
          <w:sz w:val="24"/>
          <w:szCs w:val="24"/>
        </w:rPr>
        <w:t>ha</w:t>
      </w:r>
      <w:r w:rsidR="00F32918">
        <w:rPr>
          <w:sz w:val="24"/>
          <w:szCs w:val="24"/>
        </w:rPr>
        <w:t>ve</w:t>
      </w:r>
      <w:r w:rsidR="00F32918" w:rsidRPr="00F32918">
        <w:rPr>
          <w:sz w:val="24"/>
          <w:szCs w:val="24"/>
        </w:rPr>
        <w:t xml:space="preserve"> important neuropsychopharmacological implications by revealing targets for potential therapeutic development as well as informing strategies for the prevention of </w:t>
      </w:r>
      <w:r w:rsidR="006318B3">
        <w:rPr>
          <w:sz w:val="24"/>
          <w:szCs w:val="24"/>
        </w:rPr>
        <w:t>poor mental health</w:t>
      </w:r>
      <w:r w:rsidR="00F32918" w:rsidRPr="00F32918">
        <w:rPr>
          <w:sz w:val="24"/>
          <w:szCs w:val="24"/>
        </w:rPr>
        <w:t xml:space="preserve"> in at</w:t>
      </w:r>
      <w:r w:rsidR="00626FAF">
        <w:rPr>
          <w:sz w:val="24"/>
          <w:szCs w:val="24"/>
        </w:rPr>
        <w:t>-</w:t>
      </w:r>
      <w:r w:rsidR="00F32918" w:rsidRPr="00F32918">
        <w:rPr>
          <w:sz w:val="24"/>
          <w:szCs w:val="24"/>
        </w:rPr>
        <w:t>risk populations.</w:t>
      </w:r>
    </w:p>
    <w:p w14:paraId="5A42D346" w14:textId="77777777" w:rsidR="0029280D" w:rsidRDefault="0029280D" w:rsidP="00540F03">
      <w:pPr>
        <w:spacing w:before="100" w:beforeAutospacing="1" w:after="100" w:afterAutospacing="1" w:line="360" w:lineRule="auto"/>
        <w:rPr>
          <w:sz w:val="24"/>
          <w:szCs w:val="24"/>
        </w:rPr>
      </w:pPr>
    </w:p>
    <w:p w14:paraId="03C75F1D" w14:textId="26194643" w:rsidR="004E1420" w:rsidRPr="00DE4222" w:rsidRDefault="005179AB" w:rsidP="00540F03">
      <w:pPr>
        <w:spacing w:before="100" w:beforeAutospacing="1" w:after="100" w:afterAutospacing="1" w:line="360" w:lineRule="auto"/>
        <w:rPr>
          <w:b/>
          <w:bCs/>
          <w:sz w:val="24"/>
          <w:szCs w:val="24"/>
        </w:rPr>
      </w:pPr>
      <w:r>
        <w:rPr>
          <w:b/>
          <w:bCs/>
          <w:sz w:val="24"/>
          <w:szCs w:val="24"/>
        </w:rPr>
        <w:t xml:space="preserve">2 </w:t>
      </w:r>
      <w:r w:rsidR="004E1420" w:rsidRPr="00DE4222">
        <w:rPr>
          <w:b/>
          <w:bCs/>
          <w:sz w:val="24"/>
          <w:szCs w:val="24"/>
        </w:rPr>
        <w:t>Methods</w:t>
      </w:r>
    </w:p>
    <w:p w14:paraId="5EEA229B" w14:textId="4788730D" w:rsidR="00781E9C" w:rsidRPr="002C4085" w:rsidRDefault="005179AB" w:rsidP="00540F03">
      <w:pPr>
        <w:spacing w:before="100" w:beforeAutospacing="1" w:after="100" w:afterAutospacing="1" w:line="360" w:lineRule="auto"/>
        <w:rPr>
          <w:i/>
          <w:iCs/>
          <w:sz w:val="24"/>
          <w:szCs w:val="24"/>
        </w:rPr>
      </w:pPr>
      <w:r>
        <w:rPr>
          <w:i/>
          <w:iCs/>
          <w:sz w:val="24"/>
          <w:szCs w:val="24"/>
        </w:rPr>
        <w:t xml:space="preserve">2.1 </w:t>
      </w:r>
      <w:r w:rsidR="002F6E47" w:rsidRPr="00DE4222">
        <w:rPr>
          <w:i/>
          <w:iCs/>
          <w:sz w:val="24"/>
          <w:szCs w:val="24"/>
        </w:rPr>
        <w:t>Study population</w:t>
      </w:r>
    </w:p>
    <w:p w14:paraId="28D10B79" w14:textId="348736F4" w:rsidR="00C625A7" w:rsidRPr="00DE4222" w:rsidRDefault="00781E9C" w:rsidP="00540F03">
      <w:pPr>
        <w:spacing w:before="100" w:beforeAutospacing="1" w:after="100" w:afterAutospacing="1" w:line="360" w:lineRule="auto"/>
        <w:rPr>
          <w:sz w:val="24"/>
          <w:szCs w:val="24"/>
        </w:rPr>
      </w:pPr>
      <w:r w:rsidRPr="00DE4222">
        <w:rPr>
          <w:sz w:val="24"/>
          <w:szCs w:val="24"/>
        </w:rPr>
        <w:t>The HAS is a birth cohort study established to investigate the lifecourse determinants of ageing which has been described in detail previously (Sayer et al. 1998). From 1911 to 1948, midwives collected detailed records on infants born in Hertfordshire, UK. There were 6,803 live singletons born in North Hertfordshire between 1920 and 1930. With the help of the National Health Service Central Register, 1,428 who still lived there in 199</w:t>
      </w:r>
      <w:r w:rsidR="00D51C4D">
        <w:rPr>
          <w:sz w:val="24"/>
          <w:szCs w:val="24"/>
        </w:rPr>
        <w:t>4</w:t>
      </w:r>
      <w:r w:rsidRPr="00DE4222">
        <w:rPr>
          <w:sz w:val="24"/>
          <w:szCs w:val="24"/>
        </w:rPr>
        <w:t xml:space="preserve"> were traced and 824 (58%) of the traced people agreed to a home interview. Information on medical history and lifestyle was obtained. After interview, 717 men and women attended a clinic for detailed characterisation of ageing in a range of systems</w:t>
      </w:r>
      <w:r w:rsidR="004B675E" w:rsidRPr="00DE4222">
        <w:rPr>
          <w:sz w:val="24"/>
          <w:szCs w:val="24"/>
        </w:rPr>
        <w:t>.</w:t>
      </w:r>
      <w:r w:rsidR="003D35A2">
        <w:rPr>
          <w:sz w:val="24"/>
          <w:szCs w:val="24"/>
        </w:rPr>
        <w:t xml:space="preserve"> In total, 359</w:t>
      </w:r>
      <w:r w:rsidR="0044089E" w:rsidRPr="00DE4222">
        <w:rPr>
          <w:sz w:val="24"/>
          <w:szCs w:val="24"/>
        </w:rPr>
        <w:t xml:space="preserve"> men and women completed a </w:t>
      </w:r>
      <w:r w:rsidR="003D35A2">
        <w:rPr>
          <w:sz w:val="24"/>
          <w:szCs w:val="24"/>
        </w:rPr>
        <w:t>9</w:t>
      </w:r>
      <w:r w:rsidR="0044089E" w:rsidRPr="00DE4222">
        <w:rPr>
          <w:sz w:val="24"/>
          <w:szCs w:val="24"/>
        </w:rPr>
        <w:t>-year follow-up</w:t>
      </w:r>
      <w:r w:rsidR="003D35A2">
        <w:rPr>
          <w:sz w:val="24"/>
          <w:szCs w:val="24"/>
        </w:rPr>
        <w:t xml:space="preserve"> home interview</w:t>
      </w:r>
      <w:r w:rsidR="0044089E" w:rsidRPr="00DE4222">
        <w:rPr>
          <w:sz w:val="24"/>
          <w:szCs w:val="24"/>
        </w:rPr>
        <w:t xml:space="preserve"> </w:t>
      </w:r>
      <w:r w:rsidR="003D35A2">
        <w:rPr>
          <w:sz w:val="24"/>
          <w:szCs w:val="24"/>
        </w:rPr>
        <w:t>and 294/359</w:t>
      </w:r>
      <w:r w:rsidR="00F33179">
        <w:rPr>
          <w:sz w:val="24"/>
          <w:szCs w:val="24"/>
        </w:rPr>
        <w:t xml:space="preserve"> (82%)</w:t>
      </w:r>
      <w:r w:rsidR="003D35A2">
        <w:rPr>
          <w:sz w:val="24"/>
          <w:szCs w:val="24"/>
        </w:rPr>
        <w:t xml:space="preserve"> participants attended a clinic for a further assessment of their health.</w:t>
      </w:r>
      <w:r w:rsidR="00A2486C">
        <w:rPr>
          <w:sz w:val="24"/>
          <w:szCs w:val="24"/>
        </w:rPr>
        <w:t xml:space="preserve"> </w:t>
      </w:r>
      <w:r w:rsidR="007A4164">
        <w:rPr>
          <w:sz w:val="24"/>
          <w:szCs w:val="24"/>
        </w:rPr>
        <w:t>See details about t</w:t>
      </w:r>
      <w:r w:rsidR="00A2486C">
        <w:rPr>
          <w:sz w:val="24"/>
          <w:szCs w:val="24"/>
        </w:rPr>
        <w:t xml:space="preserve">he </w:t>
      </w:r>
      <w:r w:rsidR="00A85E15">
        <w:rPr>
          <w:sz w:val="24"/>
          <w:szCs w:val="24"/>
        </w:rPr>
        <w:t xml:space="preserve">HAS </w:t>
      </w:r>
      <w:r w:rsidR="00A2486C">
        <w:rPr>
          <w:sz w:val="24"/>
          <w:szCs w:val="24"/>
        </w:rPr>
        <w:t xml:space="preserve">recruitment </w:t>
      </w:r>
      <w:r w:rsidR="007A4164">
        <w:rPr>
          <w:sz w:val="24"/>
          <w:szCs w:val="24"/>
        </w:rPr>
        <w:t xml:space="preserve">in </w:t>
      </w:r>
      <w:r w:rsidR="00905AEA">
        <w:rPr>
          <w:sz w:val="24"/>
          <w:szCs w:val="24"/>
        </w:rPr>
        <w:t xml:space="preserve">the cohort profile by </w:t>
      </w:r>
      <w:r w:rsidR="00905AEA" w:rsidRPr="00905AEA">
        <w:rPr>
          <w:sz w:val="24"/>
          <w:szCs w:val="24"/>
        </w:rPr>
        <w:t xml:space="preserve">Syddall et al. </w:t>
      </w:r>
      <w:r w:rsidR="00905AEA">
        <w:rPr>
          <w:sz w:val="24"/>
          <w:szCs w:val="24"/>
        </w:rPr>
        <w:t>(</w:t>
      </w:r>
      <w:r w:rsidR="00905AEA" w:rsidRPr="00905AEA">
        <w:rPr>
          <w:sz w:val="24"/>
          <w:szCs w:val="24"/>
        </w:rPr>
        <w:t>2010</w:t>
      </w:r>
      <w:r w:rsidR="00905AEA">
        <w:rPr>
          <w:sz w:val="24"/>
          <w:szCs w:val="24"/>
        </w:rPr>
        <w:t>)</w:t>
      </w:r>
      <w:r w:rsidR="00A2486C">
        <w:rPr>
          <w:sz w:val="24"/>
          <w:szCs w:val="24"/>
        </w:rPr>
        <w:t>.</w:t>
      </w:r>
      <w:r w:rsidR="0044089E" w:rsidRPr="00DE4222">
        <w:rPr>
          <w:sz w:val="24"/>
          <w:szCs w:val="24"/>
        </w:rPr>
        <w:t xml:space="preserve"> </w:t>
      </w:r>
    </w:p>
    <w:p w14:paraId="50EE9B0D" w14:textId="0144006D" w:rsidR="00781E9C" w:rsidRDefault="00781E9C" w:rsidP="00540F03">
      <w:pPr>
        <w:spacing w:before="100" w:beforeAutospacing="1" w:after="100" w:afterAutospacing="1" w:line="360" w:lineRule="auto"/>
        <w:rPr>
          <w:sz w:val="24"/>
          <w:szCs w:val="24"/>
        </w:rPr>
      </w:pPr>
      <w:r w:rsidRPr="00DE4222">
        <w:rPr>
          <w:sz w:val="24"/>
          <w:szCs w:val="24"/>
        </w:rPr>
        <w:t xml:space="preserve">The study had ethical approval from the Hertfordshire and Bedfordshire Local Research Ethics Committee and all participants provided </w:t>
      </w:r>
      <w:r w:rsidR="0044089E" w:rsidRPr="00DE4222">
        <w:rPr>
          <w:sz w:val="24"/>
          <w:szCs w:val="24"/>
        </w:rPr>
        <w:t xml:space="preserve">written </w:t>
      </w:r>
      <w:r w:rsidRPr="00DE4222">
        <w:rPr>
          <w:sz w:val="24"/>
          <w:szCs w:val="24"/>
        </w:rPr>
        <w:t>informed consent.</w:t>
      </w:r>
    </w:p>
    <w:p w14:paraId="50B00709" w14:textId="77777777" w:rsidR="0029280D" w:rsidRPr="00DE4222" w:rsidRDefault="0029280D" w:rsidP="00540F03">
      <w:pPr>
        <w:spacing w:before="100" w:beforeAutospacing="1" w:after="100" w:afterAutospacing="1" w:line="360" w:lineRule="auto"/>
        <w:rPr>
          <w:sz w:val="24"/>
          <w:szCs w:val="24"/>
        </w:rPr>
      </w:pPr>
    </w:p>
    <w:p w14:paraId="198ED817" w14:textId="79969DEB" w:rsidR="008E2466" w:rsidRPr="00162119" w:rsidRDefault="005179AB" w:rsidP="00540F03">
      <w:pPr>
        <w:spacing w:before="100" w:beforeAutospacing="1" w:after="100" w:afterAutospacing="1" w:line="360" w:lineRule="auto"/>
        <w:rPr>
          <w:i/>
          <w:iCs/>
          <w:sz w:val="24"/>
          <w:szCs w:val="24"/>
        </w:rPr>
      </w:pPr>
      <w:r>
        <w:rPr>
          <w:i/>
          <w:iCs/>
          <w:sz w:val="24"/>
          <w:szCs w:val="24"/>
        </w:rPr>
        <w:t xml:space="preserve">2.2 </w:t>
      </w:r>
      <w:r w:rsidR="00162119" w:rsidRPr="00162119">
        <w:rPr>
          <w:i/>
          <w:iCs/>
          <w:sz w:val="24"/>
          <w:szCs w:val="24"/>
        </w:rPr>
        <w:t>Ascertainment of participant characteristics at baseline (1994/5)</w:t>
      </w:r>
    </w:p>
    <w:p w14:paraId="2D245F74" w14:textId="7E9285E6" w:rsidR="001F1FDC" w:rsidRDefault="00162119" w:rsidP="00540F03">
      <w:pPr>
        <w:spacing w:before="100" w:beforeAutospacing="1" w:after="100" w:afterAutospacing="1" w:line="360" w:lineRule="auto"/>
        <w:rPr>
          <w:iCs/>
          <w:sz w:val="24"/>
          <w:szCs w:val="24"/>
        </w:rPr>
      </w:pPr>
      <w:r w:rsidRPr="00162119">
        <w:rPr>
          <w:iCs/>
          <w:sz w:val="24"/>
          <w:szCs w:val="24"/>
        </w:rPr>
        <w:t xml:space="preserve">At the home interview, a trained research nurse ascertained smoking </w:t>
      </w:r>
      <w:r>
        <w:rPr>
          <w:iCs/>
          <w:sz w:val="24"/>
          <w:szCs w:val="24"/>
        </w:rPr>
        <w:t>status</w:t>
      </w:r>
      <w:r w:rsidR="00F33179">
        <w:rPr>
          <w:iCs/>
          <w:sz w:val="24"/>
          <w:szCs w:val="24"/>
        </w:rPr>
        <w:t>, alcohol consumption</w:t>
      </w:r>
      <w:r>
        <w:rPr>
          <w:iCs/>
          <w:sz w:val="24"/>
          <w:szCs w:val="24"/>
        </w:rPr>
        <w:t xml:space="preserve"> and medication use. </w:t>
      </w:r>
      <w:r w:rsidRPr="00162119">
        <w:rPr>
          <w:iCs/>
          <w:sz w:val="24"/>
          <w:szCs w:val="24"/>
        </w:rPr>
        <w:t xml:space="preserve">At the baseline clinic, </w:t>
      </w:r>
      <w:r w:rsidR="00311030">
        <w:rPr>
          <w:iCs/>
          <w:sz w:val="24"/>
          <w:szCs w:val="24"/>
        </w:rPr>
        <w:t>height and weight were measured.</w:t>
      </w:r>
      <w:r w:rsidR="00D9797B">
        <w:t xml:space="preserve"> </w:t>
      </w:r>
      <w:r w:rsidR="00D9797B" w:rsidRPr="00D9797B">
        <w:rPr>
          <w:iCs/>
          <w:sz w:val="24"/>
          <w:szCs w:val="24"/>
        </w:rPr>
        <w:t>Details of all currently used over-the-counter or prescription medications were coded to the British National Formulary (BNF). These medications were then categorised into the following body systems corresponding to chapters of the BNF: cardiovascular; respiratory; gastro-intestinal; endocrine; central nervous; malignant disease and immunosuppression; nutrition and blood; musculoskeletal and joint disease; eye; ear; nose; skin; miscellaneous; and genito-urinary tract. The number of systems each participant was taking medications for was calculated and used as an ordinal variable in analyses.</w:t>
      </w:r>
    </w:p>
    <w:p w14:paraId="0C0ABF9C" w14:textId="77777777" w:rsidR="0029280D" w:rsidRDefault="0029280D" w:rsidP="00540F03">
      <w:pPr>
        <w:spacing w:before="100" w:beforeAutospacing="1" w:after="100" w:afterAutospacing="1" w:line="360" w:lineRule="auto"/>
        <w:rPr>
          <w:iCs/>
          <w:sz w:val="24"/>
          <w:szCs w:val="24"/>
        </w:rPr>
      </w:pPr>
    </w:p>
    <w:p w14:paraId="1C4F9BE0" w14:textId="235870EB" w:rsidR="00BE1DF7" w:rsidRPr="001F1FDC" w:rsidRDefault="005179AB" w:rsidP="00540F03">
      <w:pPr>
        <w:spacing w:before="100" w:beforeAutospacing="1" w:after="100" w:afterAutospacing="1" w:line="360" w:lineRule="auto"/>
        <w:rPr>
          <w:iCs/>
          <w:sz w:val="24"/>
          <w:szCs w:val="24"/>
        </w:rPr>
      </w:pPr>
      <w:r>
        <w:rPr>
          <w:i/>
          <w:iCs/>
          <w:sz w:val="24"/>
          <w:szCs w:val="24"/>
        </w:rPr>
        <w:t xml:space="preserve">2.3 </w:t>
      </w:r>
      <w:r w:rsidR="00BE1DF7" w:rsidRPr="005F3592">
        <w:rPr>
          <w:i/>
          <w:iCs/>
          <w:sz w:val="24"/>
          <w:szCs w:val="24"/>
        </w:rPr>
        <w:t>As</w:t>
      </w:r>
      <w:r w:rsidR="005F3592" w:rsidRPr="005F3592">
        <w:rPr>
          <w:i/>
          <w:iCs/>
          <w:sz w:val="24"/>
          <w:szCs w:val="24"/>
        </w:rPr>
        <w:t>certainment of biomarkers at baseline clinic (1994/5) and follow-up clinic (2003/5)</w:t>
      </w:r>
    </w:p>
    <w:p w14:paraId="237C3E5F" w14:textId="34D4C6EF" w:rsidR="001F1FDC" w:rsidRDefault="005F3592" w:rsidP="00540F03">
      <w:pPr>
        <w:spacing w:before="100" w:beforeAutospacing="1" w:after="100" w:afterAutospacing="1" w:line="360" w:lineRule="auto"/>
        <w:rPr>
          <w:iCs/>
          <w:sz w:val="24"/>
          <w:szCs w:val="24"/>
        </w:rPr>
      </w:pPr>
      <w:r>
        <w:rPr>
          <w:iCs/>
          <w:sz w:val="24"/>
          <w:szCs w:val="24"/>
        </w:rPr>
        <w:t>A</w:t>
      </w:r>
      <w:r w:rsidRPr="005F3592">
        <w:rPr>
          <w:iCs/>
          <w:sz w:val="24"/>
          <w:szCs w:val="24"/>
        </w:rPr>
        <w:t xml:space="preserve"> venous blood sample </w:t>
      </w:r>
      <w:r>
        <w:rPr>
          <w:iCs/>
          <w:sz w:val="24"/>
          <w:szCs w:val="24"/>
        </w:rPr>
        <w:t xml:space="preserve">was </w:t>
      </w:r>
      <w:r w:rsidRPr="005F3592">
        <w:rPr>
          <w:iCs/>
          <w:sz w:val="24"/>
          <w:szCs w:val="24"/>
        </w:rPr>
        <w:t xml:space="preserve">collected and serum </w:t>
      </w:r>
      <w:r>
        <w:rPr>
          <w:iCs/>
          <w:sz w:val="24"/>
          <w:szCs w:val="24"/>
        </w:rPr>
        <w:t xml:space="preserve">was </w:t>
      </w:r>
      <w:r w:rsidR="00593168" w:rsidRPr="00593168">
        <w:rPr>
          <w:iCs/>
          <w:sz w:val="24"/>
          <w:szCs w:val="24"/>
        </w:rPr>
        <w:t xml:space="preserve">aliquoted and </w:t>
      </w:r>
      <w:r w:rsidRPr="005F3592">
        <w:rPr>
          <w:iCs/>
          <w:sz w:val="24"/>
          <w:szCs w:val="24"/>
        </w:rPr>
        <w:t>stored at −80°C for future analysis.</w:t>
      </w:r>
      <w:r>
        <w:rPr>
          <w:iCs/>
          <w:sz w:val="24"/>
          <w:szCs w:val="24"/>
        </w:rPr>
        <w:t xml:space="preserve"> </w:t>
      </w:r>
      <w:r w:rsidR="00593168" w:rsidRPr="00593168">
        <w:rPr>
          <w:iCs/>
          <w:sz w:val="24"/>
          <w:szCs w:val="24"/>
        </w:rPr>
        <w:t xml:space="preserve">Serum was thawed and </w:t>
      </w:r>
      <w:r w:rsidR="00593168">
        <w:rPr>
          <w:iCs/>
          <w:sz w:val="24"/>
          <w:szCs w:val="24"/>
        </w:rPr>
        <w:t>t</w:t>
      </w:r>
      <w:r w:rsidRPr="005F3592">
        <w:rPr>
          <w:iCs/>
          <w:sz w:val="24"/>
          <w:szCs w:val="24"/>
        </w:rPr>
        <w:t>he serum-free cytokines IL-1β, IL-6, IL-10 and TNF-α were simultaneously measured using commercially available multiplex luminometry</w:t>
      </w:r>
      <w:r w:rsidR="00593168">
        <w:rPr>
          <w:iCs/>
          <w:sz w:val="24"/>
          <w:szCs w:val="24"/>
        </w:rPr>
        <w:t xml:space="preserve"> </w:t>
      </w:r>
      <w:r w:rsidR="00593168" w:rsidRPr="00593168">
        <w:rPr>
          <w:iCs/>
          <w:sz w:val="24"/>
          <w:szCs w:val="24"/>
        </w:rPr>
        <w:t>(BioRad Ltd, Hemel Hempstead, UK)</w:t>
      </w:r>
      <w:r w:rsidR="00467872">
        <w:rPr>
          <w:iCs/>
          <w:sz w:val="24"/>
          <w:szCs w:val="24"/>
        </w:rPr>
        <w:t>;</w:t>
      </w:r>
      <w:r w:rsidR="00E20747" w:rsidRPr="00E20747">
        <w:t xml:space="preserve"> </w:t>
      </w:r>
      <w:r w:rsidR="00467872">
        <w:rPr>
          <w:iCs/>
          <w:sz w:val="24"/>
          <w:szCs w:val="24"/>
        </w:rPr>
        <w:t>i</w:t>
      </w:r>
      <w:r w:rsidR="00E20747">
        <w:rPr>
          <w:iCs/>
          <w:sz w:val="24"/>
          <w:szCs w:val="24"/>
        </w:rPr>
        <w:t>ntra-</w:t>
      </w:r>
      <w:r w:rsidR="00E20747" w:rsidRPr="00E20747">
        <w:rPr>
          <w:iCs/>
          <w:sz w:val="24"/>
          <w:szCs w:val="24"/>
        </w:rPr>
        <w:t xml:space="preserve">assay coefficients of variation </w:t>
      </w:r>
      <w:r w:rsidR="00467872">
        <w:rPr>
          <w:iCs/>
          <w:sz w:val="24"/>
          <w:szCs w:val="24"/>
        </w:rPr>
        <w:t>of</w:t>
      </w:r>
      <w:r w:rsidR="00E20747" w:rsidRPr="00E20747">
        <w:rPr>
          <w:iCs/>
          <w:sz w:val="24"/>
          <w:szCs w:val="24"/>
        </w:rPr>
        <w:t xml:space="preserve"> 7.15 to 13.89</w:t>
      </w:r>
      <w:r w:rsidRPr="005F3592">
        <w:rPr>
          <w:iCs/>
          <w:sz w:val="24"/>
          <w:szCs w:val="24"/>
        </w:rPr>
        <w:t xml:space="preserve"> </w:t>
      </w:r>
      <w:r w:rsidR="00E20747">
        <w:rPr>
          <w:iCs/>
          <w:sz w:val="24"/>
          <w:szCs w:val="24"/>
        </w:rPr>
        <w:t>for these biomarkers using these assays have been reported previously</w:t>
      </w:r>
      <w:r w:rsidR="00FB2348">
        <w:rPr>
          <w:iCs/>
          <w:sz w:val="24"/>
          <w:szCs w:val="24"/>
        </w:rPr>
        <w:t xml:space="preserve"> (</w:t>
      </w:r>
      <w:r w:rsidR="00FB2348" w:rsidRPr="00FB2348">
        <w:rPr>
          <w:iCs/>
          <w:sz w:val="24"/>
          <w:szCs w:val="24"/>
        </w:rPr>
        <w:t>Duggal</w:t>
      </w:r>
      <w:r w:rsidR="00FB2348">
        <w:rPr>
          <w:iCs/>
          <w:sz w:val="24"/>
          <w:szCs w:val="24"/>
        </w:rPr>
        <w:t xml:space="preserve"> et al. 2013)</w:t>
      </w:r>
      <w:r w:rsidR="00E20747">
        <w:rPr>
          <w:iCs/>
          <w:sz w:val="24"/>
          <w:szCs w:val="24"/>
        </w:rPr>
        <w:t xml:space="preserve">. </w:t>
      </w:r>
      <w:r w:rsidRPr="005F3592">
        <w:rPr>
          <w:iCs/>
          <w:sz w:val="24"/>
          <w:szCs w:val="24"/>
        </w:rPr>
        <w:t xml:space="preserve">C-reactive protein </w:t>
      </w:r>
      <w:r w:rsidR="00F33179">
        <w:rPr>
          <w:iCs/>
          <w:sz w:val="24"/>
          <w:szCs w:val="24"/>
        </w:rPr>
        <w:t xml:space="preserve">(CRP) </w:t>
      </w:r>
      <w:r w:rsidRPr="005F3592">
        <w:rPr>
          <w:iCs/>
          <w:sz w:val="24"/>
          <w:szCs w:val="24"/>
        </w:rPr>
        <w:t xml:space="preserve">was measured using singleplex luminometry (Invitrogen, UK). </w:t>
      </w:r>
      <w:r w:rsidR="00593168" w:rsidRPr="00593168">
        <w:rPr>
          <w:iCs/>
          <w:sz w:val="24"/>
          <w:szCs w:val="24"/>
        </w:rPr>
        <w:t>Samples were analysed on a Luminex 100 instrument (Luminex Corp., Austin, TX, USA) with the acquisition software StarStation (Applied Cyt</w:t>
      </w:r>
      <w:r w:rsidR="00593168">
        <w:rPr>
          <w:iCs/>
          <w:sz w:val="24"/>
          <w:szCs w:val="24"/>
        </w:rPr>
        <w:t>ometry Systems, Sheffield, UK)</w:t>
      </w:r>
      <w:r w:rsidR="00FB2348">
        <w:rPr>
          <w:iCs/>
          <w:sz w:val="24"/>
          <w:szCs w:val="24"/>
        </w:rPr>
        <w:t xml:space="preserve"> (Bartlett et al. 2012)</w:t>
      </w:r>
      <w:r w:rsidR="00593168">
        <w:rPr>
          <w:iCs/>
          <w:sz w:val="24"/>
          <w:szCs w:val="24"/>
        </w:rPr>
        <w:t xml:space="preserve">. </w:t>
      </w:r>
      <w:r w:rsidRPr="005F3592">
        <w:rPr>
          <w:iCs/>
          <w:sz w:val="24"/>
          <w:szCs w:val="24"/>
        </w:rPr>
        <w:t xml:space="preserve">Detection of serum cortisol and </w:t>
      </w:r>
      <w:r w:rsidR="007B76C3" w:rsidRPr="007B76C3">
        <w:rPr>
          <w:iCs/>
          <w:sz w:val="24"/>
          <w:szCs w:val="24"/>
        </w:rPr>
        <w:t>Dehydroepiandrosterone Sulphate (DHEAS)</w:t>
      </w:r>
      <w:r w:rsidR="007B76C3" w:rsidRPr="007B76C3" w:rsidDel="007B76C3">
        <w:rPr>
          <w:iCs/>
          <w:sz w:val="24"/>
          <w:szCs w:val="24"/>
        </w:rPr>
        <w:t xml:space="preserve"> </w:t>
      </w:r>
      <w:r w:rsidRPr="005F3592">
        <w:rPr>
          <w:iCs/>
          <w:sz w:val="24"/>
          <w:szCs w:val="24"/>
        </w:rPr>
        <w:t>was completed using commercially available enzyme-linked immunosorbent assay kits (IBL International, Germany)</w:t>
      </w:r>
      <w:r w:rsidR="00227403">
        <w:rPr>
          <w:iCs/>
          <w:sz w:val="24"/>
          <w:szCs w:val="24"/>
        </w:rPr>
        <w:t>(see</w:t>
      </w:r>
      <w:r w:rsidR="009E7FD2">
        <w:rPr>
          <w:iCs/>
          <w:sz w:val="24"/>
          <w:szCs w:val="24"/>
        </w:rPr>
        <w:t xml:space="preserve"> details in Baylis et al. 2013)</w:t>
      </w:r>
      <w:r w:rsidRPr="005F3592">
        <w:rPr>
          <w:iCs/>
          <w:sz w:val="24"/>
          <w:szCs w:val="24"/>
        </w:rPr>
        <w:t>.</w:t>
      </w:r>
      <w:r w:rsidR="00576D5A" w:rsidRPr="00576D5A">
        <w:t xml:space="preserve"> </w:t>
      </w:r>
      <w:r w:rsidR="00E20747">
        <w:rPr>
          <w:iCs/>
          <w:sz w:val="24"/>
          <w:szCs w:val="24"/>
        </w:rPr>
        <w:t>Intra-</w:t>
      </w:r>
      <w:r w:rsidR="00576D5A" w:rsidRPr="00576D5A">
        <w:rPr>
          <w:iCs/>
          <w:sz w:val="24"/>
          <w:szCs w:val="24"/>
        </w:rPr>
        <w:t>assay coefficients of variation of 6.7 for cortisol and 4.6 for DHEAS regarding these assay kits have been reported previously</w:t>
      </w:r>
      <w:r w:rsidR="00FB2348">
        <w:rPr>
          <w:iCs/>
          <w:sz w:val="24"/>
          <w:szCs w:val="24"/>
        </w:rPr>
        <w:t xml:space="preserve"> (Duggal et al. 2013)</w:t>
      </w:r>
      <w:r w:rsidR="00576D5A" w:rsidRPr="00576D5A">
        <w:rPr>
          <w:iCs/>
          <w:sz w:val="24"/>
          <w:szCs w:val="24"/>
        </w:rPr>
        <w:t>.</w:t>
      </w:r>
    </w:p>
    <w:p w14:paraId="13658743" w14:textId="77777777" w:rsidR="0029280D" w:rsidRDefault="0029280D" w:rsidP="00540F03">
      <w:pPr>
        <w:spacing w:before="100" w:beforeAutospacing="1" w:after="100" w:afterAutospacing="1" w:line="360" w:lineRule="auto"/>
        <w:rPr>
          <w:iCs/>
          <w:sz w:val="24"/>
          <w:szCs w:val="24"/>
        </w:rPr>
      </w:pPr>
    </w:p>
    <w:p w14:paraId="62CF2D95" w14:textId="0A7A4CAF" w:rsidR="005F3592" w:rsidRDefault="005179AB" w:rsidP="00540F03">
      <w:pPr>
        <w:spacing w:before="100" w:beforeAutospacing="1" w:after="100" w:afterAutospacing="1" w:line="360" w:lineRule="auto"/>
        <w:rPr>
          <w:i/>
          <w:iCs/>
          <w:sz w:val="24"/>
          <w:szCs w:val="24"/>
        </w:rPr>
      </w:pPr>
      <w:r>
        <w:rPr>
          <w:i/>
          <w:iCs/>
          <w:sz w:val="24"/>
          <w:szCs w:val="24"/>
        </w:rPr>
        <w:t xml:space="preserve">2.4 </w:t>
      </w:r>
      <w:r w:rsidR="005F3592">
        <w:rPr>
          <w:i/>
          <w:iCs/>
          <w:sz w:val="24"/>
          <w:szCs w:val="24"/>
        </w:rPr>
        <w:t xml:space="preserve">Assessment of </w:t>
      </w:r>
      <w:r w:rsidR="009F3E93">
        <w:rPr>
          <w:i/>
          <w:iCs/>
          <w:sz w:val="24"/>
          <w:szCs w:val="24"/>
        </w:rPr>
        <w:t>me</w:t>
      </w:r>
      <w:r w:rsidR="00691419">
        <w:rPr>
          <w:i/>
          <w:iCs/>
          <w:sz w:val="24"/>
          <w:szCs w:val="24"/>
        </w:rPr>
        <w:t>n</w:t>
      </w:r>
      <w:r w:rsidR="009F3E93">
        <w:rPr>
          <w:i/>
          <w:iCs/>
          <w:sz w:val="24"/>
          <w:szCs w:val="24"/>
        </w:rPr>
        <w:t>tal health status at follow-up interview (2003/5)</w:t>
      </w:r>
    </w:p>
    <w:p w14:paraId="3125B1AD" w14:textId="43F339D5" w:rsidR="009F3E93" w:rsidRDefault="004C4699" w:rsidP="00540F03">
      <w:pPr>
        <w:spacing w:before="100" w:beforeAutospacing="1" w:after="100" w:afterAutospacing="1" w:line="360" w:lineRule="auto"/>
        <w:rPr>
          <w:iCs/>
          <w:sz w:val="24"/>
          <w:szCs w:val="24"/>
        </w:rPr>
      </w:pPr>
      <w:r>
        <w:rPr>
          <w:iCs/>
          <w:sz w:val="24"/>
          <w:szCs w:val="24"/>
        </w:rPr>
        <w:t>D</w:t>
      </w:r>
      <w:r w:rsidRPr="004C4699">
        <w:rPr>
          <w:iCs/>
          <w:sz w:val="24"/>
          <w:szCs w:val="24"/>
        </w:rPr>
        <w:t xml:space="preserve">epression and anxiety </w:t>
      </w:r>
      <w:r>
        <w:rPr>
          <w:iCs/>
          <w:sz w:val="24"/>
          <w:szCs w:val="24"/>
        </w:rPr>
        <w:t xml:space="preserve">symptoms </w:t>
      </w:r>
      <w:r w:rsidRPr="004C4699">
        <w:rPr>
          <w:iCs/>
          <w:sz w:val="24"/>
          <w:szCs w:val="24"/>
        </w:rPr>
        <w:t>were assessed using the Hospital Anxiety and Depression Scale (HADS)</w:t>
      </w:r>
      <w:r w:rsidR="00160CD1" w:rsidRPr="00160CD1">
        <w:rPr>
          <w:iCs/>
          <w:sz w:val="24"/>
          <w:szCs w:val="24"/>
        </w:rPr>
        <w:t xml:space="preserve"> </w:t>
      </w:r>
      <w:r w:rsidR="00160CD1">
        <w:rPr>
          <w:iCs/>
          <w:sz w:val="24"/>
          <w:szCs w:val="24"/>
        </w:rPr>
        <w:t>(</w:t>
      </w:r>
      <w:r w:rsidR="00160CD1" w:rsidRPr="00160CD1">
        <w:rPr>
          <w:iCs/>
          <w:sz w:val="24"/>
          <w:szCs w:val="24"/>
        </w:rPr>
        <w:t>Zigmond</w:t>
      </w:r>
      <w:r w:rsidR="00160CD1">
        <w:rPr>
          <w:iCs/>
          <w:sz w:val="24"/>
          <w:szCs w:val="24"/>
        </w:rPr>
        <w:t xml:space="preserve"> and</w:t>
      </w:r>
      <w:r w:rsidR="00160CD1" w:rsidRPr="00160CD1">
        <w:rPr>
          <w:iCs/>
          <w:sz w:val="24"/>
          <w:szCs w:val="24"/>
        </w:rPr>
        <w:t xml:space="preserve"> Snaith</w:t>
      </w:r>
      <w:r w:rsidR="00160CD1">
        <w:rPr>
          <w:iCs/>
          <w:sz w:val="24"/>
          <w:szCs w:val="24"/>
        </w:rPr>
        <w:t xml:space="preserve"> 1983)</w:t>
      </w:r>
      <w:r w:rsidRPr="004C4699">
        <w:rPr>
          <w:iCs/>
          <w:sz w:val="24"/>
          <w:szCs w:val="24"/>
        </w:rPr>
        <w:t xml:space="preserve">. This scale </w:t>
      </w:r>
      <w:r>
        <w:rPr>
          <w:iCs/>
          <w:sz w:val="24"/>
          <w:szCs w:val="24"/>
        </w:rPr>
        <w:t>uses two separate subscales to assess symptoms of depression and anxiety with scores ranging from 0</w:t>
      </w:r>
      <w:r w:rsidR="00F94832">
        <w:rPr>
          <w:iCs/>
          <w:sz w:val="24"/>
          <w:szCs w:val="24"/>
        </w:rPr>
        <w:t>-</w:t>
      </w:r>
      <w:r>
        <w:rPr>
          <w:iCs/>
          <w:sz w:val="24"/>
          <w:szCs w:val="24"/>
        </w:rPr>
        <w:t>21</w:t>
      </w:r>
      <w:r w:rsidR="00311030">
        <w:rPr>
          <w:iCs/>
          <w:sz w:val="24"/>
          <w:szCs w:val="24"/>
        </w:rPr>
        <w:t xml:space="preserve"> for each subscale</w:t>
      </w:r>
      <w:r>
        <w:rPr>
          <w:iCs/>
          <w:sz w:val="24"/>
          <w:szCs w:val="24"/>
        </w:rPr>
        <w:t xml:space="preserve">; </w:t>
      </w:r>
      <w:r w:rsidRPr="004C4699">
        <w:rPr>
          <w:iCs/>
          <w:sz w:val="24"/>
          <w:szCs w:val="24"/>
        </w:rPr>
        <w:t xml:space="preserve">higher </w:t>
      </w:r>
      <w:r w:rsidRPr="004C4699">
        <w:rPr>
          <w:rFonts w:hint="eastAsia"/>
          <w:iCs/>
          <w:sz w:val="24"/>
          <w:szCs w:val="24"/>
        </w:rPr>
        <w:t xml:space="preserve">scores </w:t>
      </w:r>
      <w:r>
        <w:rPr>
          <w:iCs/>
          <w:sz w:val="24"/>
          <w:szCs w:val="24"/>
        </w:rPr>
        <w:t>indicate</w:t>
      </w:r>
      <w:r w:rsidRPr="004C4699">
        <w:rPr>
          <w:rFonts w:hint="eastAsia"/>
          <w:iCs/>
          <w:sz w:val="24"/>
          <w:szCs w:val="24"/>
        </w:rPr>
        <w:t xml:space="preserve"> more severe symptoms. </w:t>
      </w:r>
      <w:r>
        <w:rPr>
          <w:iCs/>
          <w:sz w:val="24"/>
          <w:szCs w:val="24"/>
        </w:rPr>
        <w:t xml:space="preserve">Scores of </w:t>
      </w:r>
      <w:r w:rsidRPr="004C4699">
        <w:rPr>
          <w:rFonts w:hint="eastAsia"/>
          <w:iCs/>
          <w:sz w:val="24"/>
          <w:szCs w:val="24"/>
        </w:rPr>
        <w:t>8-10</w:t>
      </w:r>
      <w:r>
        <w:rPr>
          <w:iCs/>
          <w:sz w:val="24"/>
          <w:szCs w:val="24"/>
        </w:rPr>
        <w:t xml:space="preserve"> and </w:t>
      </w:r>
      <w:r>
        <w:rPr>
          <w:rFonts w:cstheme="minorHAnsi"/>
          <w:iCs/>
          <w:sz w:val="24"/>
          <w:szCs w:val="24"/>
        </w:rPr>
        <w:t>≥</w:t>
      </w:r>
      <w:r>
        <w:rPr>
          <w:rFonts w:hint="eastAsia"/>
          <w:iCs/>
          <w:sz w:val="24"/>
          <w:szCs w:val="24"/>
        </w:rPr>
        <w:t>11</w:t>
      </w:r>
      <w:r>
        <w:rPr>
          <w:iCs/>
          <w:sz w:val="24"/>
          <w:szCs w:val="24"/>
        </w:rPr>
        <w:t xml:space="preserve"> are used</w:t>
      </w:r>
      <w:r w:rsidR="00311030">
        <w:rPr>
          <w:iCs/>
          <w:sz w:val="24"/>
          <w:szCs w:val="24"/>
        </w:rPr>
        <w:t xml:space="preserve"> to diagnose possible and probable depression/anxiety respectively</w:t>
      </w:r>
      <w:r w:rsidRPr="004C4699">
        <w:rPr>
          <w:rFonts w:hint="eastAsia"/>
          <w:iCs/>
          <w:sz w:val="24"/>
          <w:szCs w:val="24"/>
        </w:rPr>
        <w:t>.</w:t>
      </w:r>
      <w:r>
        <w:rPr>
          <w:iCs/>
          <w:sz w:val="24"/>
          <w:szCs w:val="24"/>
        </w:rPr>
        <w:t xml:space="preserve"> </w:t>
      </w:r>
      <w:r w:rsidR="00B36693">
        <w:rPr>
          <w:iCs/>
          <w:sz w:val="24"/>
          <w:szCs w:val="24"/>
        </w:rPr>
        <w:t xml:space="preserve">Health-related quality of life was assessed using the </w:t>
      </w:r>
      <w:r w:rsidR="00B36693" w:rsidRPr="00B36693">
        <w:rPr>
          <w:iCs/>
          <w:sz w:val="24"/>
          <w:szCs w:val="24"/>
        </w:rPr>
        <w:t>Short Form-36 (SF-36)</w:t>
      </w:r>
      <w:r w:rsidR="00B36693">
        <w:rPr>
          <w:iCs/>
          <w:sz w:val="24"/>
          <w:szCs w:val="24"/>
        </w:rPr>
        <w:t xml:space="preserve"> questionnaire</w:t>
      </w:r>
      <w:r w:rsidR="00C31BAA">
        <w:rPr>
          <w:iCs/>
          <w:sz w:val="24"/>
          <w:szCs w:val="24"/>
        </w:rPr>
        <w:t xml:space="preserve"> </w:t>
      </w:r>
      <w:r w:rsidR="00C31BAA" w:rsidRPr="00C31BAA">
        <w:rPr>
          <w:iCs/>
          <w:sz w:val="24"/>
          <w:szCs w:val="24"/>
        </w:rPr>
        <w:t>(Ware and Gandek 1998)</w:t>
      </w:r>
      <w:r w:rsidR="00825876">
        <w:rPr>
          <w:iCs/>
          <w:sz w:val="24"/>
          <w:szCs w:val="24"/>
        </w:rPr>
        <w:t xml:space="preserve">; a participant’s responses to 36 questions </w:t>
      </w:r>
      <w:r w:rsidR="00D664C1">
        <w:rPr>
          <w:iCs/>
          <w:sz w:val="24"/>
          <w:szCs w:val="24"/>
        </w:rPr>
        <w:t xml:space="preserve">were </w:t>
      </w:r>
      <w:r w:rsidR="00825876">
        <w:rPr>
          <w:iCs/>
          <w:sz w:val="24"/>
          <w:szCs w:val="24"/>
        </w:rPr>
        <w:t>mapped onto 8 domains.</w:t>
      </w:r>
      <w:r w:rsidR="0056022F">
        <w:rPr>
          <w:iCs/>
          <w:sz w:val="24"/>
          <w:szCs w:val="24"/>
        </w:rPr>
        <w:t xml:space="preserve"> Data from the HADS depression scale and the SF-36 mental health domain were used in this study.</w:t>
      </w:r>
    </w:p>
    <w:p w14:paraId="3902C2AC" w14:textId="77777777" w:rsidR="0029280D" w:rsidRDefault="0029280D" w:rsidP="00540F03">
      <w:pPr>
        <w:spacing w:before="100" w:beforeAutospacing="1" w:after="100" w:afterAutospacing="1" w:line="360" w:lineRule="auto"/>
        <w:rPr>
          <w:iCs/>
          <w:sz w:val="24"/>
          <w:szCs w:val="24"/>
        </w:rPr>
      </w:pPr>
    </w:p>
    <w:p w14:paraId="03AB08E0" w14:textId="4DD1665D" w:rsidR="00311030" w:rsidRPr="0056022F" w:rsidRDefault="005179AB" w:rsidP="00540F03">
      <w:pPr>
        <w:spacing w:before="100" w:beforeAutospacing="1" w:after="100" w:afterAutospacing="1" w:line="360" w:lineRule="auto"/>
        <w:rPr>
          <w:i/>
          <w:iCs/>
          <w:sz w:val="24"/>
          <w:szCs w:val="24"/>
        </w:rPr>
      </w:pPr>
      <w:r>
        <w:rPr>
          <w:i/>
          <w:iCs/>
          <w:sz w:val="24"/>
          <w:szCs w:val="24"/>
        </w:rPr>
        <w:t xml:space="preserve">2.5 </w:t>
      </w:r>
      <w:r w:rsidR="00311030" w:rsidRPr="0056022F">
        <w:rPr>
          <w:i/>
          <w:iCs/>
          <w:sz w:val="24"/>
          <w:szCs w:val="24"/>
        </w:rPr>
        <w:t>Derived variables</w:t>
      </w:r>
    </w:p>
    <w:p w14:paraId="48DD62EF" w14:textId="64B9DF42" w:rsidR="00311030" w:rsidRDefault="00311030" w:rsidP="00540F03">
      <w:pPr>
        <w:spacing w:before="100" w:beforeAutospacing="1" w:after="100" w:afterAutospacing="1" w:line="360" w:lineRule="auto"/>
        <w:rPr>
          <w:iCs/>
          <w:sz w:val="24"/>
          <w:szCs w:val="24"/>
        </w:rPr>
      </w:pPr>
      <w:r>
        <w:rPr>
          <w:iCs/>
          <w:sz w:val="24"/>
          <w:szCs w:val="24"/>
        </w:rPr>
        <w:t>Height (m) and weight (kg) were used to derive BMI (kg/m</w:t>
      </w:r>
      <w:r w:rsidRPr="00311030">
        <w:rPr>
          <w:iCs/>
          <w:sz w:val="24"/>
          <w:szCs w:val="24"/>
          <w:vertAlign w:val="superscript"/>
        </w:rPr>
        <w:t>2</w:t>
      </w:r>
      <w:r>
        <w:rPr>
          <w:iCs/>
          <w:sz w:val="24"/>
          <w:szCs w:val="24"/>
        </w:rPr>
        <w:t>). Number of systems medicated</w:t>
      </w:r>
      <w:r w:rsidR="00F94832">
        <w:rPr>
          <w:iCs/>
          <w:sz w:val="24"/>
          <w:szCs w:val="24"/>
        </w:rPr>
        <w:t xml:space="preserve"> </w:t>
      </w:r>
      <w:r>
        <w:rPr>
          <w:iCs/>
          <w:sz w:val="24"/>
          <w:szCs w:val="24"/>
        </w:rPr>
        <w:t xml:space="preserve">was calculated from medication use. </w:t>
      </w:r>
      <w:r w:rsidR="00F33F3F">
        <w:rPr>
          <w:iCs/>
          <w:sz w:val="24"/>
          <w:szCs w:val="24"/>
        </w:rPr>
        <w:t xml:space="preserve">Biomarkers </w:t>
      </w:r>
      <w:r>
        <w:rPr>
          <w:iCs/>
          <w:sz w:val="24"/>
          <w:szCs w:val="24"/>
        </w:rPr>
        <w:t>were positively skewed and were</w:t>
      </w:r>
      <w:r w:rsidR="0056022F">
        <w:rPr>
          <w:iCs/>
          <w:sz w:val="24"/>
          <w:szCs w:val="24"/>
        </w:rPr>
        <w:t xml:space="preserve"> therefore</w:t>
      </w:r>
      <w:r w:rsidR="00F94832">
        <w:rPr>
          <w:iCs/>
          <w:sz w:val="24"/>
          <w:szCs w:val="24"/>
        </w:rPr>
        <w:t xml:space="preserve"> </w:t>
      </w:r>
      <w:r>
        <w:rPr>
          <w:iCs/>
          <w:sz w:val="24"/>
          <w:szCs w:val="24"/>
        </w:rPr>
        <w:t xml:space="preserve">log- or square-root transformed. </w:t>
      </w:r>
      <w:r w:rsidRPr="00311030">
        <w:rPr>
          <w:iCs/>
          <w:sz w:val="24"/>
          <w:szCs w:val="24"/>
        </w:rPr>
        <w:t xml:space="preserve">Conditional changes (independent of baseline) </w:t>
      </w:r>
      <w:r>
        <w:rPr>
          <w:iCs/>
          <w:sz w:val="24"/>
          <w:szCs w:val="24"/>
        </w:rPr>
        <w:t>in each biomarker were characteris</w:t>
      </w:r>
      <w:r w:rsidRPr="00311030">
        <w:rPr>
          <w:iCs/>
          <w:sz w:val="24"/>
          <w:szCs w:val="24"/>
        </w:rPr>
        <w:t xml:space="preserve">ed by residuals from sex-specific linear regression models for </w:t>
      </w:r>
      <w:r w:rsidR="0056022F">
        <w:rPr>
          <w:iCs/>
          <w:sz w:val="24"/>
          <w:szCs w:val="24"/>
        </w:rPr>
        <w:t>the biomarker at follow-up on the baseline biomarker</w:t>
      </w:r>
      <w:r w:rsidR="0056022F" w:rsidRPr="00311030">
        <w:rPr>
          <w:iCs/>
          <w:sz w:val="24"/>
          <w:szCs w:val="24"/>
        </w:rPr>
        <w:t xml:space="preserve"> </w:t>
      </w:r>
      <w:r w:rsidRPr="00311030">
        <w:rPr>
          <w:iCs/>
          <w:sz w:val="24"/>
          <w:szCs w:val="24"/>
        </w:rPr>
        <w:t>with adjustment for individual follow-up duration.</w:t>
      </w:r>
      <w:r w:rsidR="00C07182">
        <w:rPr>
          <w:iCs/>
          <w:sz w:val="24"/>
          <w:szCs w:val="24"/>
        </w:rPr>
        <w:t xml:space="preserve"> High depression scores (&gt;3 [men], &gt;4 [</w:t>
      </w:r>
      <w:r w:rsidR="0056022F">
        <w:rPr>
          <w:iCs/>
          <w:sz w:val="24"/>
          <w:szCs w:val="24"/>
        </w:rPr>
        <w:t>w</w:t>
      </w:r>
      <w:r w:rsidR="00C07182">
        <w:rPr>
          <w:iCs/>
          <w:sz w:val="24"/>
          <w:szCs w:val="24"/>
        </w:rPr>
        <w:t>omen]) were regarded as those in the highest sex-specific third of the distribution; low mental health scores (&lt;77 [men], &lt;68 [w</w:t>
      </w:r>
      <w:r w:rsidR="00C07182" w:rsidRPr="00C07182">
        <w:rPr>
          <w:iCs/>
          <w:sz w:val="24"/>
          <w:szCs w:val="24"/>
        </w:rPr>
        <w:t>omen</w:t>
      </w:r>
      <w:r w:rsidR="00C07182">
        <w:rPr>
          <w:iCs/>
          <w:sz w:val="24"/>
          <w:szCs w:val="24"/>
        </w:rPr>
        <w:t xml:space="preserve">]) were those in the lowest sex-specific third of the distribution. </w:t>
      </w:r>
    </w:p>
    <w:p w14:paraId="39F31634" w14:textId="77777777" w:rsidR="0029280D" w:rsidRDefault="0029280D" w:rsidP="00540F03">
      <w:pPr>
        <w:spacing w:before="100" w:beforeAutospacing="1" w:after="100" w:afterAutospacing="1" w:line="360" w:lineRule="auto"/>
        <w:rPr>
          <w:iCs/>
          <w:sz w:val="24"/>
          <w:szCs w:val="24"/>
        </w:rPr>
      </w:pPr>
    </w:p>
    <w:p w14:paraId="2BE0397C" w14:textId="097D6294" w:rsidR="00311030" w:rsidRPr="0056022F" w:rsidRDefault="005179AB" w:rsidP="00540F03">
      <w:pPr>
        <w:spacing w:before="100" w:beforeAutospacing="1" w:after="100" w:afterAutospacing="1" w:line="360" w:lineRule="auto"/>
        <w:rPr>
          <w:i/>
          <w:iCs/>
          <w:sz w:val="24"/>
          <w:szCs w:val="24"/>
        </w:rPr>
      </w:pPr>
      <w:r>
        <w:rPr>
          <w:i/>
          <w:iCs/>
          <w:sz w:val="24"/>
          <w:szCs w:val="24"/>
        </w:rPr>
        <w:t xml:space="preserve">2.6 </w:t>
      </w:r>
      <w:r w:rsidR="00311030" w:rsidRPr="0056022F">
        <w:rPr>
          <w:i/>
          <w:iCs/>
          <w:sz w:val="24"/>
          <w:szCs w:val="24"/>
        </w:rPr>
        <w:t xml:space="preserve">Statistical </w:t>
      </w:r>
      <w:r w:rsidR="00D664C1">
        <w:rPr>
          <w:i/>
          <w:iCs/>
          <w:sz w:val="24"/>
          <w:szCs w:val="24"/>
        </w:rPr>
        <w:t>analysis</w:t>
      </w:r>
    </w:p>
    <w:p w14:paraId="57ACD72D" w14:textId="1A82AF6D" w:rsidR="00311030" w:rsidRDefault="00311030" w:rsidP="00540F03">
      <w:pPr>
        <w:spacing w:before="100" w:beforeAutospacing="1" w:after="100" w:afterAutospacing="1" w:line="360" w:lineRule="auto"/>
        <w:rPr>
          <w:iCs/>
          <w:sz w:val="24"/>
          <w:szCs w:val="24"/>
        </w:rPr>
      </w:pPr>
      <w:r>
        <w:rPr>
          <w:iCs/>
          <w:sz w:val="24"/>
          <w:szCs w:val="24"/>
        </w:rPr>
        <w:t>Participant characteristics were desc</w:t>
      </w:r>
      <w:r w:rsidR="00C07182">
        <w:rPr>
          <w:iCs/>
          <w:sz w:val="24"/>
          <w:szCs w:val="24"/>
        </w:rPr>
        <w:t xml:space="preserve">ribed using summary statistics. Baseline values and conditional changes in each </w:t>
      </w:r>
      <w:r w:rsidR="008922F2">
        <w:rPr>
          <w:iCs/>
          <w:sz w:val="24"/>
          <w:szCs w:val="24"/>
        </w:rPr>
        <w:t>biomarker in relation to risk of high depression scores</w:t>
      </w:r>
      <w:r w:rsidR="0056022F">
        <w:rPr>
          <w:iCs/>
          <w:sz w:val="24"/>
          <w:szCs w:val="24"/>
        </w:rPr>
        <w:t xml:space="preserve"> and</w:t>
      </w:r>
      <w:r w:rsidR="008922F2">
        <w:rPr>
          <w:iCs/>
          <w:sz w:val="24"/>
          <w:szCs w:val="24"/>
        </w:rPr>
        <w:t xml:space="preserve"> low mental health scores </w:t>
      </w:r>
      <w:r w:rsidR="009E7FD2">
        <w:rPr>
          <w:iCs/>
          <w:sz w:val="24"/>
          <w:szCs w:val="24"/>
        </w:rPr>
        <w:t xml:space="preserve">at follow-up </w:t>
      </w:r>
      <w:r w:rsidR="008922F2">
        <w:rPr>
          <w:iCs/>
          <w:sz w:val="24"/>
          <w:szCs w:val="24"/>
        </w:rPr>
        <w:t xml:space="preserve">were examined using sex-adjusted and sex-stratified logistic regression models. All models </w:t>
      </w:r>
      <w:r w:rsidR="0056022F">
        <w:rPr>
          <w:iCs/>
          <w:sz w:val="24"/>
          <w:szCs w:val="24"/>
        </w:rPr>
        <w:t xml:space="preserve">were </w:t>
      </w:r>
      <w:r w:rsidR="008922F2">
        <w:rPr>
          <w:iCs/>
          <w:sz w:val="24"/>
          <w:szCs w:val="24"/>
        </w:rPr>
        <w:t xml:space="preserve">adjusted for baseline age and </w:t>
      </w:r>
      <w:r w:rsidR="009E7FD2">
        <w:rPr>
          <w:iCs/>
          <w:sz w:val="24"/>
          <w:szCs w:val="24"/>
        </w:rPr>
        <w:t>fully-</w:t>
      </w:r>
      <w:r w:rsidR="00D664C1">
        <w:rPr>
          <w:iCs/>
          <w:sz w:val="24"/>
          <w:szCs w:val="24"/>
        </w:rPr>
        <w:t>adjusted</w:t>
      </w:r>
      <w:r w:rsidR="008922F2">
        <w:rPr>
          <w:iCs/>
          <w:sz w:val="24"/>
          <w:szCs w:val="24"/>
        </w:rPr>
        <w:t xml:space="preserve"> models also accounted for baseline BMI, smoking status (ever vs never)</w:t>
      </w:r>
      <w:r w:rsidR="00F821F7">
        <w:rPr>
          <w:iCs/>
          <w:sz w:val="24"/>
          <w:szCs w:val="24"/>
        </w:rPr>
        <w:t>, alcohol consum</w:t>
      </w:r>
      <w:r w:rsidR="0056022F">
        <w:rPr>
          <w:iCs/>
          <w:sz w:val="24"/>
          <w:szCs w:val="24"/>
        </w:rPr>
        <w:t>ption and number of system</w:t>
      </w:r>
      <w:r w:rsidR="00837BEC">
        <w:rPr>
          <w:iCs/>
          <w:sz w:val="24"/>
          <w:szCs w:val="24"/>
        </w:rPr>
        <w:t>s</w:t>
      </w:r>
      <w:r w:rsidR="0056022F">
        <w:rPr>
          <w:iCs/>
          <w:sz w:val="24"/>
          <w:szCs w:val="24"/>
        </w:rPr>
        <w:t xml:space="preserve"> medicated.</w:t>
      </w:r>
      <w:r w:rsidR="00F33F3F">
        <w:rPr>
          <w:iCs/>
          <w:sz w:val="24"/>
          <w:szCs w:val="24"/>
        </w:rPr>
        <w:t xml:space="preserve"> </w:t>
      </w:r>
      <w:r w:rsidR="00837BEC">
        <w:rPr>
          <w:iCs/>
          <w:sz w:val="24"/>
          <w:szCs w:val="24"/>
        </w:rPr>
        <w:t>M</w:t>
      </w:r>
      <w:r w:rsidR="00F33F3F">
        <w:rPr>
          <w:iCs/>
          <w:sz w:val="24"/>
          <w:szCs w:val="24"/>
        </w:rPr>
        <w:t xml:space="preserve">odels for baseline biomarkers as exposures were </w:t>
      </w:r>
      <w:r w:rsidR="00837BEC">
        <w:rPr>
          <w:iCs/>
          <w:sz w:val="24"/>
          <w:szCs w:val="24"/>
        </w:rPr>
        <w:t>also</w:t>
      </w:r>
      <w:r w:rsidR="00F33F3F">
        <w:rPr>
          <w:iCs/>
          <w:sz w:val="24"/>
          <w:szCs w:val="24"/>
        </w:rPr>
        <w:t xml:space="preserve"> adjusted for follow-up time.</w:t>
      </w:r>
    </w:p>
    <w:p w14:paraId="463C0021" w14:textId="3DFF0B46" w:rsidR="0056022F" w:rsidRDefault="0056022F" w:rsidP="0056022F">
      <w:pPr>
        <w:spacing w:before="100" w:beforeAutospacing="1" w:after="100" w:afterAutospacing="1" w:line="360" w:lineRule="auto"/>
        <w:rPr>
          <w:iCs/>
          <w:sz w:val="24"/>
          <w:szCs w:val="24"/>
        </w:rPr>
      </w:pPr>
      <w:bookmarkStart w:id="9" w:name="_Hlk66555136"/>
      <w:r>
        <w:rPr>
          <w:iCs/>
          <w:sz w:val="24"/>
          <w:szCs w:val="24"/>
        </w:rPr>
        <w:t xml:space="preserve">The analysis sample comprised the 347 participants who had data on HADS </w:t>
      </w:r>
      <w:r w:rsidRPr="00F94832">
        <w:rPr>
          <w:iCs/>
          <w:sz w:val="24"/>
          <w:szCs w:val="24"/>
        </w:rPr>
        <w:t>depression</w:t>
      </w:r>
      <w:r>
        <w:rPr>
          <w:iCs/>
          <w:sz w:val="24"/>
          <w:szCs w:val="24"/>
        </w:rPr>
        <w:t xml:space="preserve"> or SF-36 mental health </w:t>
      </w:r>
      <w:r w:rsidR="00837BEC">
        <w:rPr>
          <w:iCs/>
          <w:sz w:val="24"/>
          <w:szCs w:val="24"/>
        </w:rPr>
        <w:t xml:space="preserve">scores </w:t>
      </w:r>
      <w:r>
        <w:rPr>
          <w:iCs/>
          <w:sz w:val="24"/>
          <w:szCs w:val="24"/>
        </w:rPr>
        <w:t xml:space="preserve">in 2003/5 and who also had </w:t>
      </w:r>
      <w:r w:rsidRPr="00F94832">
        <w:rPr>
          <w:iCs/>
          <w:sz w:val="24"/>
          <w:szCs w:val="24"/>
        </w:rPr>
        <w:t>data on at least one baseline inflammatory marker in 1994/5.</w:t>
      </w:r>
      <w:r>
        <w:rPr>
          <w:iCs/>
          <w:sz w:val="24"/>
          <w:szCs w:val="24"/>
        </w:rPr>
        <w:t xml:space="preserve"> A subset of these 347 participants al</w:t>
      </w:r>
      <w:r w:rsidR="00837BEC">
        <w:rPr>
          <w:iCs/>
          <w:sz w:val="24"/>
          <w:szCs w:val="24"/>
        </w:rPr>
        <w:t xml:space="preserve">so had data on changes in </w:t>
      </w:r>
      <w:r>
        <w:rPr>
          <w:iCs/>
          <w:sz w:val="24"/>
          <w:szCs w:val="24"/>
        </w:rPr>
        <w:t xml:space="preserve">biomarkers from 1994/5 to 2003/5; information on the number of participants with data on each characteristic is presented in Table 1. </w:t>
      </w:r>
      <w:r w:rsidR="00D664C1">
        <w:rPr>
          <w:iCs/>
          <w:sz w:val="24"/>
          <w:szCs w:val="24"/>
        </w:rPr>
        <w:t>Data a</w:t>
      </w:r>
      <w:r w:rsidRPr="005637C2">
        <w:rPr>
          <w:iCs/>
          <w:sz w:val="24"/>
          <w:szCs w:val="24"/>
        </w:rPr>
        <w:t xml:space="preserve">nalyses were conducted using Stata, release </w:t>
      </w:r>
      <w:r>
        <w:rPr>
          <w:iCs/>
          <w:sz w:val="24"/>
          <w:szCs w:val="24"/>
        </w:rPr>
        <w:t>15.1</w:t>
      </w:r>
      <w:r w:rsidRPr="005637C2">
        <w:rPr>
          <w:iCs/>
          <w:sz w:val="24"/>
          <w:szCs w:val="24"/>
        </w:rPr>
        <w:t xml:space="preserve"> (StataCorp, College Station, TX, USA)</w:t>
      </w:r>
      <w:r>
        <w:rPr>
          <w:iCs/>
          <w:sz w:val="24"/>
          <w:szCs w:val="24"/>
        </w:rPr>
        <w:t>.</w:t>
      </w:r>
    </w:p>
    <w:p w14:paraId="3DA79AF0" w14:textId="77777777" w:rsidR="0029280D" w:rsidRPr="004B446B" w:rsidRDefault="0029280D" w:rsidP="0056022F">
      <w:pPr>
        <w:spacing w:before="100" w:beforeAutospacing="1" w:after="100" w:afterAutospacing="1" w:line="360" w:lineRule="auto"/>
        <w:rPr>
          <w:iCs/>
          <w:sz w:val="24"/>
          <w:szCs w:val="24"/>
        </w:rPr>
      </w:pPr>
    </w:p>
    <w:p w14:paraId="0A6C16F8" w14:textId="447B67A6" w:rsidR="0056022F" w:rsidRPr="002971ED" w:rsidRDefault="005179AB" w:rsidP="0056022F">
      <w:pPr>
        <w:spacing w:before="100" w:beforeAutospacing="1" w:after="100" w:afterAutospacing="1" w:line="360" w:lineRule="auto"/>
        <w:rPr>
          <w:b/>
          <w:bCs/>
          <w:sz w:val="24"/>
          <w:szCs w:val="24"/>
        </w:rPr>
      </w:pPr>
      <w:r>
        <w:rPr>
          <w:b/>
          <w:bCs/>
          <w:sz w:val="24"/>
          <w:szCs w:val="24"/>
        </w:rPr>
        <w:t xml:space="preserve">3 </w:t>
      </w:r>
      <w:r w:rsidR="0056022F" w:rsidRPr="002971ED">
        <w:rPr>
          <w:b/>
          <w:bCs/>
          <w:sz w:val="24"/>
          <w:szCs w:val="24"/>
        </w:rPr>
        <w:t>Results</w:t>
      </w:r>
    </w:p>
    <w:p w14:paraId="119D766D" w14:textId="6F3115FC" w:rsidR="00B85124" w:rsidRPr="002971ED" w:rsidRDefault="005179AB" w:rsidP="00540F03">
      <w:pPr>
        <w:spacing w:before="100" w:beforeAutospacing="1" w:after="100" w:afterAutospacing="1" w:line="360" w:lineRule="auto"/>
        <w:rPr>
          <w:sz w:val="24"/>
          <w:szCs w:val="24"/>
        </w:rPr>
      </w:pPr>
      <w:r>
        <w:rPr>
          <w:i/>
          <w:iCs/>
          <w:sz w:val="24"/>
          <w:szCs w:val="24"/>
        </w:rPr>
        <w:t xml:space="preserve">3.1 </w:t>
      </w:r>
      <w:r w:rsidR="0056022F" w:rsidRPr="002971ED">
        <w:rPr>
          <w:i/>
          <w:iCs/>
          <w:sz w:val="24"/>
          <w:szCs w:val="24"/>
        </w:rPr>
        <w:t>Participant characteristics of the analysis sample</w:t>
      </w:r>
    </w:p>
    <w:p w14:paraId="074C5403" w14:textId="4C6BF303" w:rsidR="00B85124" w:rsidRDefault="0056022F" w:rsidP="00540F03">
      <w:pPr>
        <w:spacing w:before="100" w:beforeAutospacing="1" w:after="100" w:afterAutospacing="1" w:line="360" w:lineRule="auto"/>
        <w:rPr>
          <w:sz w:val="24"/>
          <w:szCs w:val="24"/>
        </w:rPr>
      </w:pPr>
      <w:r w:rsidRPr="002971ED">
        <w:rPr>
          <w:sz w:val="24"/>
          <w:szCs w:val="24"/>
        </w:rPr>
        <w:t xml:space="preserve">Characteristics of the 347 HAS participants who were included in the analysis sample are presented in Table 1. Mean (SD) age at baseline was 67.3 (2.2) years; Median (lower quartile, upper quartile) follow-up time was 9.3 (8.9, 9.6) years. Median (lower quartile, upper quartile) scores </w:t>
      </w:r>
      <w:r w:rsidR="000E6453">
        <w:rPr>
          <w:sz w:val="24"/>
          <w:szCs w:val="24"/>
        </w:rPr>
        <w:t xml:space="preserve">for mental health status </w:t>
      </w:r>
      <w:r w:rsidRPr="002971ED">
        <w:rPr>
          <w:sz w:val="24"/>
          <w:szCs w:val="24"/>
        </w:rPr>
        <w:t>at follow-up were as follows: HAD depression [m</w:t>
      </w:r>
      <w:r w:rsidR="000E6453">
        <w:rPr>
          <w:sz w:val="24"/>
          <w:szCs w:val="24"/>
        </w:rPr>
        <w:t xml:space="preserve">en: 3 (1, 5), women: 3 (1, 6)] </w:t>
      </w:r>
      <w:r w:rsidRPr="002971ED">
        <w:rPr>
          <w:sz w:val="24"/>
          <w:szCs w:val="24"/>
        </w:rPr>
        <w:t>and SF-36 mental health (men: 84 (72, 92), women: 76 (64, 88)].</w:t>
      </w:r>
      <w:r w:rsidR="000A57A1" w:rsidRPr="000A57A1">
        <w:t xml:space="preserve"> </w:t>
      </w:r>
      <w:r w:rsidR="000A57A1" w:rsidRPr="000A57A1">
        <w:rPr>
          <w:sz w:val="24"/>
          <w:szCs w:val="24"/>
        </w:rPr>
        <w:t>Median DHEAS values at baselin</w:t>
      </w:r>
      <w:r w:rsidR="00DE4546">
        <w:rPr>
          <w:sz w:val="24"/>
          <w:szCs w:val="24"/>
        </w:rPr>
        <w:t>e were higher among men (862.9 ng/ml) than women (577.5 ng/ml</w:t>
      </w:r>
      <w:r w:rsidR="000A57A1" w:rsidRPr="000A57A1">
        <w:rPr>
          <w:sz w:val="24"/>
          <w:szCs w:val="24"/>
        </w:rPr>
        <w:t>) and declined over the follow-up period among both sexes. In contrast, average cortisol levels increased over time.</w:t>
      </w:r>
      <w:r w:rsidR="00FD6956" w:rsidRPr="00FD6956">
        <w:t xml:space="preserve"> </w:t>
      </w:r>
      <w:r w:rsidR="00FD6956" w:rsidRPr="00FD6956">
        <w:rPr>
          <w:sz w:val="24"/>
          <w:szCs w:val="24"/>
        </w:rPr>
        <w:t xml:space="preserve">High values of IL-1β were reported at baseline: median (lower quartile, upper quartile) values of 11.3 (5.6, 17.7) pg/ml among men and 16.3 (11.7, 26.9) among women. Spearman correlations between Il-6 and CRP were 0.13 among men and 0.36 among women; </w:t>
      </w:r>
      <w:r w:rsidR="004560F1">
        <w:rPr>
          <w:sz w:val="24"/>
          <w:szCs w:val="24"/>
        </w:rPr>
        <w:t>s</w:t>
      </w:r>
      <w:r w:rsidR="0038209D" w:rsidRPr="0038209D">
        <w:rPr>
          <w:sz w:val="24"/>
          <w:szCs w:val="24"/>
        </w:rPr>
        <w:t>pearman correlations of 0.50 among men and 0.46 among women were observed between IL-1B and TNFa</w:t>
      </w:r>
      <w:r w:rsidR="0038209D">
        <w:rPr>
          <w:sz w:val="24"/>
          <w:szCs w:val="24"/>
        </w:rPr>
        <w:t>.</w:t>
      </w:r>
      <w:r w:rsidR="0038209D" w:rsidRPr="0038209D">
        <w:rPr>
          <w:sz w:val="24"/>
          <w:szCs w:val="24"/>
        </w:rPr>
        <w:t xml:space="preserve"> </w:t>
      </w:r>
      <w:r w:rsidR="0038209D">
        <w:rPr>
          <w:sz w:val="24"/>
          <w:szCs w:val="24"/>
        </w:rPr>
        <w:t>S</w:t>
      </w:r>
      <w:r w:rsidR="00FD6956" w:rsidRPr="00FD6956">
        <w:rPr>
          <w:sz w:val="24"/>
          <w:szCs w:val="24"/>
        </w:rPr>
        <w:t>ex-specific correlations between all biomarkers at baseline are presented in Supplementary Table 1.</w:t>
      </w:r>
    </w:p>
    <w:p w14:paraId="61EFBF0E" w14:textId="77777777" w:rsidR="0029280D" w:rsidRPr="002971ED" w:rsidRDefault="0029280D" w:rsidP="00540F03">
      <w:pPr>
        <w:spacing w:before="100" w:beforeAutospacing="1" w:after="100" w:afterAutospacing="1" w:line="360" w:lineRule="auto"/>
        <w:rPr>
          <w:sz w:val="24"/>
          <w:szCs w:val="24"/>
        </w:rPr>
      </w:pPr>
    </w:p>
    <w:p w14:paraId="67D18E64" w14:textId="43E30340" w:rsidR="002971ED" w:rsidRPr="002971ED" w:rsidRDefault="005179AB" w:rsidP="00540F03">
      <w:pPr>
        <w:spacing w:before="100" w:beforeAutospacing="1" w:after="100" w:afterAutospacing="1" w:line="360" w:lineRule="auto"/>
        <w:rPr>
          <w:i/>
          <w:sz w:val="24"/>
          <w:szCs w:val="24"/>
        </w:rPr>
      </w:pPr>
      <w:r>
        <w:rPr>
          <w:i/>
          <w:sz w:val="24"/>
          <w:szCs w:val="24"/>
        </w:rPr>
        <w:t xml:space="preserve">3.2 </w:t>
      </w:r>
      <w:r w:rsidR="002971ED" w:rsidRPr="002971ED">
        <w:rPr>
          <w:i/>
          <w:sz w:val="24"/>
          <w:szCs w:val="24"/>
        </w:rPr>
        <w:t>Baseline biomarkers in relation to HAD depression and SF-36 mental health scores at follow-up</w:t>
      </w:r>
    </w:p>
    <w:bookmarkEnd w:id="9"/>
    <w:p w14:paraId="3437FD12" w14:textId="5B9B3C87" w:rsidR="00183A08" w:rsidRDefault="00183A08" w:rsidP="00183A08">
      <w:pPr>
        <w:pStyle w:val="ListParagraph"/>
        <w:spacing w:before="100" w:beforeAutospacing="1" w:after="100" w:afterAutospacing="1" w:line="360" w:lineRule="auto"/>
        <w:ind w:left="0"/>
        <w:contextualSpacing w:val="0"/>
        <w:rPr>
          <w:sz w:val="24"/>
          <w:szCs w:val="24"/>
        </w:rPr>
      </w:pPr>
      <w:r w:rsidRPr="006318B3">
        <w:rPr>
          <w:sz w:val="24"/>
          <w:szCs w:val="24"/>
        </w:rPr>
        <w:t xml:space="preserve">Risk of high HAD depression and poor SF-36 mental health scores at follow-up according to baseline values of biomarkers are presented in Table 2 and Figure </w:t>
      </w:r>
      <w:r w:rsidR="00531511" w:rsidRPr="006318B3">
        <w:rPr>
          <w:sz w:val="24"/>
          <w:szCs w:val="24"/>
        </w:rPr>
        <w:t>1</w:t>
      </w:r>
      <w:r w:rsidRPr="006318B3">
        <w:rPr>
          <w:sz w:val="24"/>
          <w:szCs w:val="24"/>
        </w:rPr>
        <w:t xml:space="preserve">. In the pooled analysis and among women, </w:t>
      </w:r>
      <w:bookmarkStart w:id="10" w:name="_Hlk72419486"/>
      <w:r w:rsidRPr="006318B3">
        <w:rPr>
          <w:sz w:val="24"/>
          <w:szCs w:val="24"/>
        </w:rPr>
        <w:t xml:space="preserve">lower baseline cortisol was related to </w:t>
      </w:r>
      <w:bookmarkStart w:id="11" w:name="_Hlk72423150"/>
      <w:r w:rsidRPr="006318B3">
        <w:rPr>
          <w:sz w:val="24"/>
          <w:szCs w:val="24"/>
        </w:rPr>
        <w:t xml:space="preserve">greater risk of high depression </w:t>
      </w:r>
      <w:bookmarkEnd w:id="10"/>
      <w:bookmarkEnd w:id="11"/>
      <w:r w:rsidRPr="006318B3">
        <w:rPr>
          <w:sz w:val="24"/>
          <w:szCs w:val="24"/>
        </w:rPr>
        <w:t>scores. Among women, higher baseline CRP was related to greater risk of poor mental health</w:t>
      </w:r>
      <w:r w:rsidR="00953710">
        <w:rPr>
          <w:sz w:val="24"/>
          <w:szCs w:val="24"/>
        </w:rPr>
        <w:t xml:space="preserve"> scores</w:t>
      </w:r>
      <w:r w:rsidRPr="006318B3">
        <w:rPr>
          <w:sz w:val="24"/>
          <w:szCs w:val="24"/>
        </w:rPr>
        <w:t>. Among men, higher baseline cortisol: DHEAS ratio was associated with increased risk of poor mental health</w:t>
      </w:r>
      <w:r w:rsidR="00953710">
        <w:rPr>
          <w:sz w:val="24"/>
          <w:szCs w:val="24"/>
        </w:rPr>
        <w:t xml:space="preserve"> scores</w:t>
      </w:r>
      <w:r w:rsidRPr="006318B3">
        <w:rPr>
          <w:sz w:val="24"/>
          <w:szCs w:val="24"/>
        </w:rPr>
        <w:t>. These associations were robust after accounting for sex, age and follow-up time and in fully-adjusted analysis. Among men, lower baseline DHEA</w:t>
      </w:r>
      <w:r w:rsidR="00531511" w:rsidRPr="006318B3">
        <w:rPr>
          <w:sz w:val="24"/>
          <w:szCs w:val="24"/>
        </w:rPr>
        <w:t>S</w:t>
      </w:r>
      <w:r w:rsidRPr="006318B3">
        <w:rPr>
          <w:sz w:val="24"/>
          <w:szCs w:val="24"/>
        </w:rPr>
        <w:t xml:space="preserve"> was related to increased risk of poor mental health</w:t>
      </w:r>
      <w:r w:rsidR="00953710">
        <w:rPr>
          <w:sz w:val="24"/>
          <w:szCs w:val="24"/>
        </w:rPr>
        <w:t xml:space="preserve"> scores</w:t>
      </w:r>
      <w:r w:rsidRPr="006318B3">
        <w:rPr>
          <w:sz w:val="24"/>
          <w:szCs w:val="24"/>
        </w:rPr>
        <w:t xml:space="preserve"> </w:t>
      </w:r>
      <w:r w:rsidR="00E93868" w:rsidRPr="006318B3">
        <w:rPr>
          <w:sz w:val="24"/>
          <w:szCs w:val="24"/>
        </w:rPr>
        <w:t xml:space="preserve">after adjustment for age and follow-up time (p=0.03) </w:t>
      </w:r>
      <w:r w:rsidRPr="006318B3">
        <w:rPr>
          <w:sz w:val="24"/>
          <w:szCs w:val="24"/>
        </w:rPr>
        <w:t>but this association was borderline significant (p=0.06) in fully-adjusted analysis.</w:t>
      </w:r>
    </w:p>
    <w:p w14:paraId="45815C12" w14:textId="77777777" w:rsidR="0029280D" w:rsidRPr="006318B3" w:rsidRDefault="0029280D" w:rsidP="00183A08">
      <w:pPr>
        <w:pStyle w:val="ListParagraph"/>
        <w:spacing w:before="100" w:beforeAutospacing="1" w:after="100" w:afterAutospacing="1" w:line="360" w:lineRule="auto"/>
        <w:ind w:left="0"/>
        <w:contextualSpacing w:val="0"/>
        <w:rPr>
          <w:sz w:val="24"/>
          <w:szCs w:val="24"/>
        </w:rPr>
      </w:pPr>
    </w:p>
    <w:p w14:paraId="6E69CFE9" w14:textId="23AD212D" w:rsidR="002971ED" w:rsidRPr="006318B3" w:rsidRDefault="005179AB" w:rsidP="00540F03">
      <w:pPr>
        <w:pStyle w:val="ListParagraph"/>
        <w:spacing w:before="100" w:beforeAutospacing="1" w:after="100" w:afterAutospacing="1" w:line="360" w:lineRule="auto"/>
        <w:ind w:left="0"/>
        <w:contextualSpacing w:val="0"/>
        <w:rPr>
          <w:i/>
          <w:sz w:val="24"/>
          <w:szCs w:val="24"/>
        </w:rPr>
      </w:pPr>
      <w:r>
        <w:rPr>
          <w:i/>
          <w:sz w:val="24"/>
          <w:szCs w:val="24"/>
        </w:rPr>
        <w:t xml:space="preserve">3.3 </w:t>
      </w:r>
      <w:r w:rsidR="002971ED" w:rsidRPr="006318B3">
        <w:rPr>
          <w:i/>
          <w:sz w:val="24"/>
          <w:szCs w:val="24"/>
        </w:rPr>
        <w:t>Longitudinal changes in biomarkers in relation to HAD depression and SF-36 mental health scores at follow-up</w:t>
      </w:r>
    </w:p>
    <w:p w14:paraId="3E54042A" w14:textId="0C41068E" w:rsidR="00E81781" w:rsidRDefault="00183A08" w:rsidP="00540F03">
      <w:pPr>
        <w:pStyle w:val="ListParagraph"/>
        <w:spacing w:before="100" w:beforeAutospacing="1" w:after="100" w:afterAutospacing="1" w:line="360" w:lineRule="auto"/>
        <w:ind w:left="0"/>
        <w:contextualSpacing w:val="0"/>
        <w:rPr>
          <w:sz w:val="24"/>
          <w:szCs w:val="24"/>
        </w:rPr>
      </w:pPr>
      <w:r w:rsidRPr="006318B3">
        <w:rPr>
          <w:sz w:val="24"/>
          <w:szCs w:val="24"/>
        </w:rPr>
        <w:t xml:space="preserve">Risk of high HAD depression and poor SF-36 mental health scores at follow-up according to longitudinal changes in biomarkers from baseline to follow-up are presented in Table 3 and Figure </w:t>
      </w:r>
      <w:r w:rsidR="007B76C3" w:rsidRPr="006318B3">
        <w:rPr>
          <w:sz w:val="24"/>
          <w:szCs w:val="24"/>
        </w:rPr>
        <w:t>1</w:t>
      </w:r>
      <w:r w:rsidRPr="006318B3">
        <w:rPr>
          <w:sz w:val="24"/>
          <w:szCs w:val="24"/>
        </w:rPr>
        <w:t>. Among men, greater decline in cortisol was rel</w:t>
      </w:r>
      <w:r w:rsidR="00953710">
        <w:rPr>
          <w:sz w:val="24"/>
          <w:szCs w:val="24"/>
        </w:rPr>
        <w:t>ated to increased risk of high</w:t>
      </w:r>
      <w:r w:rsidRPr="006318B3">
        <w:rPr>
          <w:sz w:val="24"/>
          <w:szCs w:val="24"/>
        </w:rPr>
        <w:t xml:space="preserve"> depression scores after adjustment for age and in fully-adjusted analysis. Among women, </w:t>
      </w:r>
      <w:r w:rsidR="00E93868" w:rsidRPr="006318B3">
        <w:rPr>
          <w:sz w:val="24"/>
          <w:szCs w:val="24"/>
        </w:rPr>
        <w:t xml:space="preserve">longitudinal </w:t>
      </w:r>
      <w:r w:rsidRPr="006318B3">
        <w:rPr>
          <w:sz w:val="24"/>
          <w:szCs w:val="24"/>
        </w:rPr>
        <w:t>increases in IL-6 were related to greater risk of poor mental health</w:t>
      </w:r>
      <w:r w:rsidR="00953710">
        <w:rPr>
          <w:sz w:val="24"/>
          <w:szCs w:val="24"/>
        </w:rPr>
        <w:t xml:space="preserve"> scores</w:t>
      </w:r>
      <w:r w:rsidRPr="006318B3">
        <w:rPr>
          <w:sz w:val="24"/>
          <w:szCs w:val="24"/>
        </w:rPr>
        <w:t xml:space="preserve"> in fully-adjusted analysis (p=0.04); this association was borderline significant (p=0.05) after adjustment for only age.</w:t>
      </w:r>
    </w:p>
    <w:p w14:paraId="35A51ECC" w14:textId="3ED49D22" w:rsidR="005179AB" w:rsidRDefault="005179AB" w:rsidP="00540F03">
      <w:pPr>
        <w:pStyle w:val="ListParagraph"/>
        <w:spacing w:before="100" w:beforeAutospacing="1" w:after="100" w:afterAutospacing="1" w:line="360" w:lineRule="auto"/>
        <w:ind w:left="0"/>
        <w:contextualSpacing w:val="0"/>
        <w:rPr>
          <w:sz w:val="24"/>
          <w:szCs w:val="24"/>
        </w:rPr>
      </w:pPr>
      <w:r w:rsidRPr="00531D3C">
        <w:rPr>
          <w:rFonts w:ascii="Calibri" w:eastAsia="Calibri" w:hAnsi="Calibri" w:cs="Times New Roman"/>
          <w:noProof/>
          <w:lang w:eastAsia="en-GB"/>
        </w:rPr>
        <w:drawing>
          <wp:inline distT="0" distB="0" distL="0" distR="0" wp14:anchorId="7D9D0334" wp14:editId="0B90EAA3">
            <wp:extent cx="4628720" cy="3368043"/>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8720" cy="3368043"/>
                    </a:xfrm>
                    <a:prstGeom prst="rect">
                      <a:avLst/>
                    </a:prstGeom>
                    <a:noFill/>
                    <a:ln>
                      <a:noFill/>
                    </a:ln>
                  </pic:spPr>
                </pic:pic>
              </a:graphicData>
            </a:graphic>
          </wp:inline>
        </w:drawing>
      </w:r>
    </w:p>
    <w:p w14:paraId="10EB7B4F" w14:textId="17B39186" w:rsidR="005179AB" w:rsidRPr="00110AC6" w:rsidRDefault="005179AB" w:rsidP="003718DE">
      <w:pPr>
        <w:spacing w:after="0" w:line="240" w:lineRule="auto"/>
        <w:rPr>
          <w:rFonts w:ascii="Calibri" w:eastAsia="Calibri" w:hAnsi="Calibri" w:cs="Times New Roman"/>
          <w:b/>
          <w:sz w:val="20"/>
          <w:szCs w:val="20"/>
          <w:lang w:eastAsia="en-US"/>
        </w:rPr>
      </w:pPr>
      <w:r w:rsidRPr="00110AC6">
        <w:rPr>
          <w:rFonts w:ascii="Calibri" w:eastAsia="Calibri" w:hAnsi="Calibri" w:cs="Times New Roman"/>
          <w:b/>
          <w:sz w:val="20"/>
          <w:szCs w:val="20"/>
          <w:lang w:eastAsia="en-US"/>
        </w:rPr>
        <w:t xml:space="preserve">Figure </w:t>
      </w:r>
      <w:r>
        <w:rPr>
          <w:rFonts w:ascii="Calibri" w:eastAsia="Calibri" w:hAnsi="Calibri" w:cs="Times New Roman"/>
          <w:b/>
          <w:sz w:val="20"/>
          <w:szCs w:val="20"/>
          <w:lang w:eastAsia="en-US"/>
        </w:rPr>
        <w:t>1</w:t>
      </w:r>
      <w:r w:rsidRPr="00110AC6">
        <w:rPr>
          <w:rFonts w:ascii="Calibri" w:eastAsia="Calibri" w:hAnsi="Calibri" w:cs="Times New Roman"/>
          <w:b/>
          <w:sz w:val="20"/>
          <w:szCs w:val="20"/>
          <w:lang w:eastAsia="en-US"/>
        </w:rPr>
        <w:t xml:space="preserve">: </w:t>
      </w:r>
      <w:r w:rsidR="009E62B8">
        <w:rPr>
          <w:rFonts w:ascii="Calibri" w:eastAsia="Calibri" w:hAnsi="Calibri" w:cs="Times New Roman"/>
          <w:b/>
          <w:sz w:val="20"/>
          <w:szCs w:val="20"/>
          <w:lang w:eastAsia="en-US"/>
        </w:rPr>
        <w:t>Odds ratios (95% CI) for</w:t>
      </w:r>
      <w:r w:rsidRPr="00110AC6">
        <w:rPr>
          <w:rFonts w:ascii="Calibri" w:eastAsia="Calibri" w:hAnsi="Calibri" w:cs="Times New Roman"/>
          <w:b/>
          <w:sz w:val="20"/>
          <w:szCs w:val="20"/>
          <w:lang w:eastAsia="en-US"/>
        </w:rPr>
        <w:t xml:space="preserve"> high depression and poor mental health scores at follow-up per standard deviation difference in baseline biomarker and per standard deviation increase in biomarker from baseline to follow-up</w:t>
      </w:r>
    </w:p>
    <w:p w14:paraId="0A5B3196" w14:textId="0122F01B" w:rsidR="005179AB" w:rsidRDefault="005179AB" w:rsidP="003718DE">
      <w:pPr>
        <w:spacing w:after="0" w:line="240" w:lineRule="auto"/>
        <w:rPr>
          <w:rFonts w:ascii="Calibri" w:eastAsia="Calibri" w:hAnsi="Calibri" w:cs="Times New Roman"/>
          <w:sz w:val="20"/>
          <w:szCs w:val="20"/>
          <w:lang w:eastAsia="en-US"/>
        </w:rPr>
      </w:pPr>
      <w:r>
        <w:rPr>
          <w:rFonts w:ascii="Calibri" w:eastAsia="Calibri" w:hAnsi="Calibri" w:cs="Times New Roman"/>
          <w:sz w:val="20"/>
          <w:szCs w:val="20"/>
          <w:lang w:eastAsia="en-US"/>
        </w:rPr>
        <w:t>Cor:DH: Cortisol:DHEAS ratio</w:t>
      </w:r>
      <w:r w:rsidR="00195FDE">
        <w:rPr>
          <w:rFonts w:ascii="Calibri" w:eastAsia="Calibri" w:hAnsi="Calibri" w:cs="Times New Roman"/>
          <w:sz w:val="20"/>
          <w:szCs w:val="20"/>
          <w:lang w:eastAsia="en-US"/>
        </w:rPr>
        <w:t>;</w:t>
      </w:r>
      <w:r w:rsidR="009E62B8">
        <w:rPr>
          <w:rFonts w:ascii="Calibri" w:eastAsia="Calibri" w:hAnsi="Calibri" w:cs="Times New Roman"/>
          <w:sz w:val="20"/>
          <w:szCs w:val="20"/>
          <w:lang w:eastAsia="en-US"/>
        </w:rPr>
        <w:t xml:space="preserve">   CI: Confidence interval</w:t>
      </w:r>
      <w:r w:rsidR="00195FDE">
        <w:rPr>
          <w:rFonts w:ascii="Calibri" w:eastAsia="Calibri" w:hAnsi="Calibri" w:cs="Times New Roman"/>
          <w:sz w:val="20"/>
          <w:szCs w:val="20"/>
          <w:lang w:eastAsia="en-US"/>
        </w:rPr>
        <w:t xml:space="preserve"> </w:t>
      </w:r>
    </w:p>
    <w:p w14:paraId="6789F14D" w14:textId="58E84097" w:rsidR="005179AB" w:rsidRPr="00A362F8" w:rsidRDefault="005179AB" w:rsidP="003718DE">
      <w:pPr>
        <w:spacing w:after="0" w:line="240" w:lineRule="auto"/>
        <w:rPr>
          <w:rFonts w:ascii="Calibri" w:eastAsia="Calibri" w:hAnsi="Calibri" w:cs="Times New Roman"/>
          <w:sz w:val="20"/>
          <w:szCs w:val="20"/>
          <w:lang w:eastAsia="en-US"/>
        </w:rPr>
      </w:pPr>
      <w:r w:rsidRPr="00A362F8">
        <w:rPr>
          <w:rFonts w:ascii="Calibri" w:eastAsia="Calibri" w:hAnsi="Calibri" w:cs="Times New Roman"/>
          <w:sz w:val="20"/>
          <w:szCs w:val="20"/>
          <w:lang w:eastAsia="en-US"/>
        </w:rPr>
        <w:t xml:space="preserve">Estimates in black are based on the pooled sample of men and women with </w:t>
      </w:r>
      <w:r>
        <w:rPr>
          <w:rFonts w:ascii="Calibri" w:eastAsia="Calibri" w:hAnsi="Calibri" w:cs="Times New Roman"/>
          <w:sz w:val="20"/>
          <w:szCs w:val="20"/>
          <w:lang w:eastAsia="en-US"/>
        </w:rPr>
        <w:t xml:space="preserve">adjustment for </w:t>
      </w:r>
      <w:r w:rsidR="00195FDE">
        <w:rPr>
          <w:rFonts w:ascii="Calibri" w:eastAsia="Calibri" w:hAnsi="Calibri" w:cs="Times New Roman"/>
          <w:sz w:val="20"/>
          <w:szCs w:val="20"/>
          <w:lang w:eastAsia="en-US"/>
        </w:rPr>
        <w:t>sex.</w:t>
      </w:r>
    </w:p>
    <w:p w14:paraId="31FAFE73" w14:textId="32972EBD" w:rsidR="005179AB" w:rsidRPr="00A362F8" w:rsidRDefault="005179AB" w:rsidP="003718DE">
      <w:pPr>
        <w:spacing w:after="0" w:line="240" w:lineRule="auto"/>
        <w:rPr>
          <w:rFonts w:ascii="Calibri" w:eastAsia="Calibri" w:hAnsi="Calibri" w:cs="Times New Roman"/>
          <w:sz w:val="20"/>
          <w:szCs w:val="20"/>
          <w:lang w:eastAsia="en-US"/>
        </w:rPr>
      </w:pPr>
      <w:r w:rsidRPr="00A362F8">
        <w:rPr>
          <w:rFonts w:ascii="Calibri" w:eastAsia="Calibri" w:hAnsi="Calibri" w:cs="Times New Roman"/>
          <w:sz w:val="20"/>
          <w:szCs w:val="20"/>
          <w:lang w:eastAsia="en-US"/>
        </w:rPr>
        <w:t xml:space="preserve">Estimates in dark grey are based on the sample of men </w:t>
      </w:r>
      <w:r w:rsidR="00195FDE" w:rsidRPr="00A362F8">
        <w:rPr>
          <w:rFonts w:ascii="Calibri" w:eastAsia="Calibri" w:hAnsi="Calibri" w:cs="Times New Roman"/>
          <w:sz w:val="20"/>
          <w:szCs w:val="20"/>
          <w:lang w:eastAsia="en-US"/>
        </w:rPr>
        <w:t>only</w:t>
      </w:r>
      <w:r w:rsidR="00195FDE">
        <w:rPr>
          <w:rFonts w:ascii="Calibri" w:eastAsia="Calibri" w:hAnsi="Calibri" w:cs="Times New Roman"/>
          <w:sz w:val="20"/>
          <w:szCs w:val="20"/>
          <w:lang w:eastAsia="en-US"/>
        </w:rPr>
        <w:t>.</w:t>
      </w:r>
    </w:p>
    <w:p w14:paraId="050055B3" w14:textId="78D6688D" w:rsidR="005179AB" w:rsidRPr="00A362F8" w:rsidRDefault="005179AB" w:rsidP="003718DE">
      <w:pPr>
        <w:spacing w:after="0" w:line="240" w:lineRule="auto"/>
        <w:rPr>
          <w:rFonts w:ascii="Calibri" w:eastAsia="Calibri" w:hAnsi="Calibri" w:cs="Times New Roman"/>
          <w:sz w:val="20"/>
          <w:szCs w:val="20"/>
          <w:lang w:eastAsia="en-US"/>
        </w:rPr>
      </w:pPr>
      <w:r w:rsidRPr="00A362F8">
        <w:rPr>
          <w:rFonts w:ascii="Calibri" w:eastAsia="Calibri" w:hAnsi="Calibri" w:cs="Times New Roman"/>
          <w:sz w:val="20"/>
          <w:szCs w:val="20"/>
          <w:lang w:eastAsia="en-US"/>
        </w:rPr>
        <w:t xml:space="preserve">Estimates in light grey are based on the sample of women </w:t>
      </w:r>
      <w:r w:rsidR="00195FDE" w:rsidRPr="00A362F8">
        <w:rPr>
          <w:rFonts w:ascii="Calibri" w:eastAsia="Calibri" w:hAnsi="Calibri" w:cs="Times New Roman"/>
          <w:sz w:val="20"/>
          <w:szCs w:val="20"/>
          <w:lang w:eastAsia="en-US"/>
        </w:rPr>
        <w:t>only</w:t>
      </w:r>
      <w:r w:rsidR="00195FDE">
        <w:rPr>
          <w:rFonts w:ascii="Calibri" w:eastAsia="Calibri" w:hAnsi="Calibri" w:cs="Times New Roman"/>
          <w:sz w:val="20"/>
          <w:szCs w:val="20"/>
          <w:lang w:eastAsia="en-US"/>
        </w:rPr>
        <w:t>.</w:t>
      </w:r>
    </w:p>
    <w:p w14:paraId="78E47849" w14:textId="779C8CCA" w:rsidR="005179AB" w:rsidRPr="00A362F8" w:rsidRDefault="005179AB" w:rsidP="003718DE">
      <w:pPr>
        <w:spacing w:after="0" w:line="240" w:lineRule="auto"/>
        <w:rPr>
          <w:rFonts w:ascii="Calibri" w:eastAsia="Calibri" w:hAnsi="Calibri" w:cs="Times New Roman"/>
          <w:sz w:val="20"/>
          <w:szCs w:val="20"/>
          <w:lang w:eastAsia="en-US"/>
        </w:rPr>
      </w:pPr>
      <w:r w:rsidRPr="00A362F8">
        <w:rPr>
          <w:rFonts w:ascii="Calibri" w:eastAsia="Calibri" w:hAnsi="Calibri" w:cs="Times New Roman"/>
          <w:sz w:val="20"/>
          <w:szCs w:val="20"/>
          <w:lang w:eastAsia="en-US"/>
        </w:rPr>
        <w:t xml:space="preserve">Odds ratios were adjusted for baseline age, BMI, smoking history, alcohol consumption and number of systems medicated; models with baseline biomarkers as exposures were also adjusted for follow-up </w:t>
      </w:r>
      <w:r w:rsidR="00195FDE" w:rsidRPr="00A362F8">
        <w:rPr>
          <w:rFonts w:ascii="Calibri" w:eastAsia="Calibri" w:hAnsi="Calibri" w:cs="Times New Roman"/>
          <w:sz w:val="20"/>
          <w:szCs w:val="20"/>
          <w:lang w:eastAsia="en-US"/>
        </w:rPr>
        <w:t>time</w:t>
      </w:r>
      <w:r w:rsidR="00195FDE">
        <w:rPr>
          <w:rFonts w:ascii="Calibri" w:eastAsia="Calibri" w:hAnsi="Calibri" w:cs="Times New Roman"/>
          <w:sz w:val="20"/>
          <w:szCs w:val="20"/>
          <w:lang w:eastAsia="en-US"/>
        </w:rPr>
        <w:t>.</w:t>
      </w:r>
    </w:p>
    <w:p w14:paraId="6FE77490" w14:textId="77777777" w:rsidR="005179AB" w:rsidRPr="00A362F8" w:rsidRDefault="005179AB" w:rsidP="003718DE">
      <w:pPr>
        <w:spacing w:after="0" w:line="240" w:lineRule="auto"/>
        <w:rPr>
          <w:rFonts w:ascii="Calibri" w:eastAsia="Calibri" w:hAnsi="Calibri" w:cs="Times New Roman"/>
          <w:sz w:val="20"/>
          <w:szCs w:val="20"/>
          <w:lang w:eastAsia="en-US"/>
        </w:rPr>
      </w:pPr>
      <w:r>
        <w:rPr>
          <w:rFonts w:ascii="Calibri" w:eastAsia="Calibri" w:hAnsi="Calibri" w:cs="Times New Roman"/>
          <w:sz w:val="20"/>
          <w:szCs w:val="20"/>
          <w:lang w:eastAsia="en-US"/>
        </w:rPr>
        <w:t xml:space="preserve">High depression </w:t>
      </w:r>
      <w:r w:rsidRPr="00A362F8">
        <w:rPr>
          <w:rFonts w:ascii="Calibri" w:eastAsia="Calibri" w:hAnsi="Calibri" w:cs="Times New Roman"/>
          <w:sz w:val="20"/>
          <w:szCs w:val="20"/>
          <w:lang w:eastAsia="en-US"/>
        </w:rPr>
        <w:t>scores were those in the highest sex-specific third of the distribution. Poor mental health scores were those in the lowest sex-specific third.</w:t>
      </w:r>
    </w:p>
    <w:p w14:paraId="1D6FB5D2" w14:textId="6DF6C376" w:rsidR="005179AB" w:rsidRPr="00A362F8" w:rsidRDefault="005179AB" w:rsidP="003718DE">
      <w:pPr>
        <w:spacing w:after="0" w:line="240" w:lineRule="auto"/>
        <w:rPr>
          <w:rFonts w:ascii="Calibri" w:eastAsia="Calibri" w:hAnsi="Calibri" w:cs="Times New Roman"/>
          <w:sz w:val="20"/>
          <w:szCs w:val="20"/>
          <w:lang w:eastAsia="en-US"/>
        </w:rPr>
      </w:pPr>
      <w:r w:rsidRPr="00A362F8">
        <w:rPr>
          <w:rFonts w:ascii="Calibri" w:eastAsia="Calibri" w:hAnsi="Calibri" w:cs="Times New Roman"/>
          <w:sz w:val="20"/>
          <w:szCs w:val="20"/>
          <w:lang w:eastAsia="en-US"/>
        </w:rPr>
        <w:t xml:space="preserve">Conditional changes in biomarkers from baseline to follow-up were derived using a residual change approach and were independent of baseline </w:t>
      </w:r>
      <w:r w:rsidR="00195FDE" w:rsidRPr="00A362F8">
        <w:rPr>
          <w:rFonts w:ascii="Calibri" w:eastAsia="Calibri" w:hAnsi="Calibri" w:cs="Times New Roman"/>
          <w:sz w:val="20"/>
          <w:szCs w:val="20"/>
          <w:lang w:eastAsia="en-US"/>
        </w:rPr>
        <w:t>values</w:t>
      </w:r>
      <w:r w:rsidR="00195FDE">
        <w:rPr>
          <w:rFonts w:ascii="Calibri" w:eastAsia="Calibri" w:hAnsi="Calibri" w:cs="Times New Roman"/>
          <w:sz w:val="20"/>
          <w:szCs w:val="20"/>
          <w:lang w:eastAsia="en-US"/>
        </w:rPr>
        <w:t>.</w:t>
      </w:r>
    </w:p>
    <w:p w14:paraId="49DC541B" w14:textId="0B2FA62B" w:rsidR="00195FDE" w:rsidRDefault="009E62B8" w:rsidP="00540F03">
      <w:pPr>
        <w:spacing w:before="100" w:beforeAutospacing="1" w:after="100" w:afterAutospacing="1" w:line="360" w:lineRule="auto"/>
        <w:rPr>
          <w:b/>
          <w:bCs/>
          <w:sz w:val="24"/>
          <w:szCs w:val="24"/>
        </w:rPr>
      </w:pPr>
      <w:r w:rsidRPr="009E62B8">
        <w:rPr>
          <w:rFonts w:ascii="Calibri" w:eastAsia="Calibri" w:hAnsi="Calibri" w:cs="Times New Roman"/>
          <w:sz w:val="20"/>
          <w:szCs w:val="20"/>
          <w:lang w:eastAsia="en-US"/>
        </w:rPr>
        <w:t xml:space="preserve">Odds ratios are shown by circles; triangles represent odds ratios that </w:t>
      </w:r>
      <w:r>
        <w:rPr>
          <w:rFonts w:ascii="Calibri" w:eastAsia="Calibri" w:hAnsi="Calibri" w:cs="Times New Roman"/>
          <w:sz w:val="20"/>
          <w:szCs w:val="20"/>
          <w:lang w:eastAsia="en-US"/>
        </w:rPr>
        <w:t>were</w:t>
      </w:r>
      <w:r w:rsidRPr="009E62B8">
        <w:rPr>
          <w:rFonts w:ascii="Calibri" w:eastAsia="Calibri" w:hAnsi="Calibri" w:cs="Times New Roman"/>
          <w:sz w:val="20"/>
          <w:szCs w:val="20"/>
          <w:lang w:eastAsia="en-US"/>
        </w:rPr>
        <w:t xml:space="preserve"> statistically significant (p&lt;0.05).</w:t>
      </w:r>
    </w:p>
    <w:p w14:paraId="4C9385DB" w14:textId="5475E4EE" w:rsidR="009E35F8" w:rsidRPr="006318B3" w:rsidRDefault="005179AB" w:rsidP="00540F03">
      <w:pPr>
        <w:spacing w:before="100" w:beforeAutospacing="1" w:after="100" w:afterAutospacing="1" w:line="360" w:lineRule="auto"/>
        <w:rPr>
          <w:b/>
          <w:bCs/>
          <w:sz w:val="24"/>
          <w:szCs w:val="24"/>
        </w:rPr>
      </w:pPr>
      <w:r>
        <w:rPr>
          <w:b/>
          <w:bCs/>
          <w:sz w:val="24"/>
          <w:szCs w:val="24"/>
        </w:rPr>
        <w:t xml:space="preserve">4 </w:t>
      </w:r>
      <w:r w:rsidR="00997A98" w:rsidRPr="006318B3">
        <w:rPr>
          <w:b/>
          <w:bCs/>
          <w:sz w:val="24"/>
          <w:szCs w:val="24"/>
        </w:rPr>
        <w:t>Discussion</w:t>
      </w:r>
    </w:p>
    <w:p w14:paraId="459D3374" w14:textId="7F19A302" w:rsidR="00341779" w:rsidRPr="006318B3" w:rsidRDefault="00D975D2" w:rsidP="00540F03">
      <w:pPr>
        <w:spacing w:before="100" w:beforeAutospacing="1" w:after="100" w:afterAutospacing="1" w:line="360" w:lineRule="auto"/>
        <w:rPr>
          <w:sz w:val="24"/>
          <w:szCs w:val="24"/>
        </w:rPr>
      </w:pPr>
      <w:r w:rsidRPr="006318B3">
        <w:rPr>
          <w:sz w:val="24"/>
          <w:szCs w:val="24"/>
        </w:rPr>
        <w:t>Longitudinal</w:t>
      </w:r>
      <w:r w:rsidR="00341779" w:rsidRPr="006318B3">
        <w:rPr>
          <w:sz w:val="24"/>
          <w:szCs w:val="24"/>
        </w:rPr>
        <w:t xml:space="preserve"> data from the HA</w:t>
      </w:r>
      <w:r w:rsidRPr="006318B3">
        <w:rPr>
          <w:sz w:val="24"/>
          <w:szCs w:val="24"/>
        </w:rPr>
        <w:t>S cohort</w:t>
      </w:r>
      <w:r w:rsidR="00341779" w:rsidRPr="006318B3">
        <w:rPr>
          <w:sz w:val="24"/>
          <w:szCs w:val="24"/>
        </w:rPr>
        <w:t xml:space="preserve"> </w:t>
      </w:r>
      <w:r w:rsidRPr="006318B3">
        <w:rPr>
          <w:sz w:val="24"/>
          <w:szCs w:val="24"/>
        </w:rPr>
        <w:t xml:space="preserve">revealed significant impact of HPA dysregulation on poor mental health </w:t>
      </w:r>
      <w:r w:rsidR="00160CD1" w:rsidRPr="006318B3">
        <w:rPr>
          <w:sz w:val="24"/>
          <w:szCs w:val="24"/>
        </w:rPr>
        <w:t xml:space="preserve">over a </w:t>
      </w:r>
      <w:r w:rsidR="00183A08" w:rsidRPr="006318B3">
        <w:rPr>
          <w:sz w:val="24"/>
          <w:szCs w:val="24"/>
        </w:rPr>
        <w:t>9</w:t>
      </w:r>
      <w:r w:rsidR="00F7397C">
        <w:rPr>
          <w:sz w:val="24"/>
          <w:szCs w:val="24"/>
        </w:rPr>
        <w:t>-</w:t>
      </w:r>
      <w:r w:rsidR="00160CD1" w:rsidRPr="006318B3">
        <w:rPr>
          <w:sz w:val="24"/>
          <w:szCs w:val="24"/>
        </w:rPr>
        <w:t>year follow-up period, in particular,</w:t>
      </w:r>
      <w:r w:rsidR="00160CD1" w:rsidRPr="006318B3">
        <w:t xml:space="preserve"> </w:t>
      </w:r>
      <w:r w:rsidR="00160CD1" w:rsidRPr="006318B3">
        <w:rPr>
          <w:sz w:val="24"/>
          <w:szCs w:val="24"/>
        </w:rPr>
        <w:t xml:space="preserve">lower baseline cortisol </w:t>
      </w:r>
      <w:r w:rsidR="008A707E">
        <w:rPr>
          <w:sz w:val="24"/>
          <w:szCs w:val="24"/>
        </w:rPr>
        <w:t>was related to</w:t>
      </w:r>
      <w:r w:rsidR="008A707E" w:rsidRPr="006318B3">
        <w:rPr>
          <w:sz w:val="24"/>
          <w:szCs w:val="24"/>
        </w:rPr>
        <w:t xml:space="preserve"> </w:t>
      </w:r>
      <w:r w:rsidR="00160CD1" w:rsidRPr="006318B3">
        <w:rPr>
          <w:sz w:val="24"/>
          <w:szCs w:val="24"/>
        </w:rPr>
        <w:t>high</w:t>
      </w:r>
      <w:r w:rsidR="00F7397C">
        <w:rPr>
          <w:sz w:val="24"/>
          <w:szCs w:val="24"/>
        </w:rPr>
        <w:t>er</w:t>
      </w:r>
      <w:r w:rsidR="00160CD1" w:rsidRPr="006318B3">
        <w:rPr>
          <w:sz w:val="24"/>
          <w:szCs w:val="24"/>
        </w:rPr>
        <w:t xml:space="preserve"> </w:t>
      </w:r>
      <w:r w:rsidR="00F7397C">
        <w:rPr>
          <w:sz w:val="24"/>
          <w:szCs w:val="24"/>
        </w:rPr>
        <w:t xml:space="preserve">HAD </w:t>
      </w:r>
      <w:r w:rsidR="00160CD1" w:rsidRPr="006318B3">
        <w:rPr>
          <w:sz w:val="24"/>
          <w:szCs w:val="24"/>
        </w:rPr>
        <w:t>depression</w:t>
      </w:r>
      <w:r w:rsidR="00F7397C">
        <w:rPr>
          <w:sz w:val="24"/>
          <w:szCs w:val="24"/>
        </w:rPr>
        <w:t xml:space="preserve"> scores</w:t>
      </w:r>
      <w:r w:rsidR="001D2B61" w:rsidRPr="006318B3">
        <w:rPr>
          <w:sz w:val="24"/>
          <w:szCs w:val="24"/>
        </w:rPr>
        <w:t xml:space="preserve"> 9 years later</w:t>
      </w:r>
      <w:r w:rsidR="00345A04">
        <w:rPr>
          <w:sz w:val="24"/>
          <w:szCs w:val="24"/>
        </w:rPr>
        <w:t xml:space="preserve"> among the pooled sample of men and women</w:t>
      </w:r>
      <w:r w:rsidRPr="006318B3">
        <w:rPr>
          <w:sz w:val="24"/>
          <w:szCs w:val="24"/>
        </w:rPr>
        <w:t xml:space="preserve">. </w:t>
      </w:r>
      <w:bookmarkStart w:id="12" w:name="_Hlk72258317"/>
      <w:r w:rsidR="00183A08" w:rsidRPr="006318B3">
        <w:rPr>
          <w:sz w:val="24"/>
          <w:szCs w:val="24"/>
        </w:rPr>
        <w:t>Sex-stratified</w:t>
      </w:r>
      <w:r w:rsidRPr="006318B3">
        <w:rPr>
          <w:sz w:val="24"/>
          <w:szCs w:val="24"/>
        </w:rPr>
        <w:t xml:space="preserve"> analysis indicate</w:t>
      </w:r>
      <w:r w:rsidR="00183A08" w:rsidRPr="006318B3">
        <w:rPr>
          <w:sz w:val="24"/>
          <w:szCs w:val="24"/>
        </w:rPr>
        <w:t>d</w:t>
      </w:r>
      <w:r w:rsidRPr="006318B3">
        <w:rPr>
          <w:sz w:val="24"/>
          <w:szCs w:val="24"/>
        </w:rPr>
        <w:t xml:space="preserve"> significant associations </w:t>
      </w:r>
      <w:r w:rsidR="00183A08" w:rsidRPr="006318B3">
        <w:rPr>
          <w:sz w:val="24"/>
          <w:szCs w:val="24"/>
        </w:rPr>
        <w:t xml:space="preserve">between </w:t>
      </w:r>
      <w:r w:rsidRPr="006318B3">
        <w:rPr>
          <w:sz w:val="24"/>
          <w:szCs w:val="24"/>
        </w:rPr>
        <w:t>increased inflammation and poor</w:t>
      </w:r>
      <w:r w:rsidR="00F7397C">
        <w:rPr>
          <w:sz w:val="24"/>
          <w:szCs w:val="24"/>
        </w:rPr>
        <w:t>er</w:t>
      </w:r>
      <w:r w:rsidRPr="006318B3">
        <w:rPr>
          <w:sz w:val="24"/>
          <w:szCs w:val="24"/>
        </w:rPr>
        <w:t xml:space="preserve"> </w:t>
      </w:r>
      <w:r w:rsidR="006532D5" w:rsidRPr="006318B3">
        <w:rPr>
          <w:sz w:val="24"/>
          <w:szCs w:val="24"/>
        </w:rPr>
        <w:t xml:space="preserve">SF-36 </w:t>
      </w:r>
      <w:r w:rsidRPr="006318B3">
        <w:rPr>
          <w:sz w:val="24"/>
          <w:szCs w:val="24"/>
        </w:rPr>
        <w:t xml:space="preserve">mental health </w:t>
      </w:r>
      <w:r w:rsidR="006532D5" w:rsidRPr="006318B3">
        <w:rPr>
          <w:sz w:val="24"/>
          <w:szCs w:val="24"/>
        </w:rPr>
        <w:t xml:space="preserve">scores </w:t>
      </w:r>
      <w:r w:rsidRPr="006318B3">
        <w:rPr>
          <w:sz w:val="24"/>
          <w:szCs w:val="24"/>
        </w:rPr>
        <w:t xml:space="preserve">in women whereas </w:t>
      </w:r>
      <w:r w:rsidR="00183A08" w:rsidRPr="006318B3">
        <w:rPr>
          <w:sz w:val="24"/>
          <w:szCs w:val="24"/>
        </w:rPr>
        <w:t xml:space="preserve">a </w:t>
      </w:r>
      <w:r w:rsidRPr="006318B3">
        <w:rPr>
          <w:sz w:val="24"/>
          <w:szCs w:val="24"/>
        </w:rPr>
        <w:t xml:space="preserve">significant association between </w:t>
      </w:r>
      <w:r w:rsidR="00341779" w:rsidRPr="006318B3">
        <w:rPr>
          <w:sz w:val="24"/>
          <w:szCs w:val="24"/>
        </w:rPr>
        <w:t xml:space="preserve">decline in cortisol level </w:t>
      </w:r>
      <w:r w:rsidRPr="006318B3">
        <w:rPr>
          <w:sz w:val="24"/>
          <w:szCs w:val="24"/>
        </w:rPr>
        <w:t xml:space="preserve">and </w:t>
      </w:r>
      <w:r w:rsidR="006532D5" w:rsidRPr="006318B3">
        <w:rPr>
          <w:sz w:val="24"/>
          <w:szCs w:val="24"/>
        </w:rPr>
        <w:t xml:space="preserve">higher HAD </w:t>
      </w:r>
      <w:r w:rsidRPr="006318B3">
        <w:rPr>
          <w:sz w:val="24"/>
          <w:szCs w:val="24"/>
        </w:rPr>
        <w:t xml:space="preserve">depression </w:t>
      </w:r>
      <w:r w:rsidR="006532D5" w:rsidRPr="006318B3">
        <w:rPr>
          <w:sz w:val="24"/>
          <w:szCs w:val="24"/>
        </w:rPr>
        <w:t xml:space="preserve">scores </w:t>
      </w:r>
      <w:r w:rsidR="00341779" w:rsidRPr="006318B3">
        <w:rPr>
          <w:sz w:val="24"/>
          <w:szCs w:val="24"/>
        </w:rPr>
        <w:t>in men</w:t>
      </w:r>
      <w:r w:rsidR="00183A08" w:rsidRPr="006318B3">
        <w:rPr>
          <w:sz w:val="24"/>
          <w:szCs w:val="24"/>
        </w:rPr>
        <w:t xml:space="preserve"> was observed</w:t>
      </w:r>
      <w:r w:rsidR="00341779" w:rsidRPr="006318B3">
        <w:rPr>
          <w:sz w:val="24"/>
          <w:szCs w:val="24"/>
        </w:rPr>
        <w:t>.</w:t>
      </w:r>
      <w:r w:rsidRPr="006318B3">
        <w:t xml:space="preserve"> </w:t>
      </w:r>
      <w:bookmarkEnd w:id="12"/>
      <w:r w:rsidRPr="006318B3">
        <w:rPr>
          <w:sz w:val="24"/>
          <w:szCs w:val="24"/>
        </w:rPr>
        <w:t>Th</w:t>
      </w:r>
      <w:r w:rsidR="00183A08" w:rsidRPr="006318B3">
        <w:rPr>
          <w:sz w:val="24"/>
          <w:szCs w:val="24"/>
        </w:rPr>
        <w:t>is</w:t>
      </w:r>
      <w:r w:rsidRPr="006318B3">
        <w:rPr>
          <w:sz w:val="24"/>
          <w:szCs w:val="24"/>
        </w:rPr>
        <w:t xml:space="preserve"> study provides further evidence of the role of the HPA and inflammation in older </w:t>
      </w:r>
      <w:r w:rsidR="006318B3" w:rsidRPr="006318B3">
        <w:rPr>
          <w:sz w:val="24"/>
          <w:szCs w:val="24"/>
        </w:rPr>
        <w:t xml:space="preserve">adults </w:t>
      </w:r>
      <w:r w:rsidRPr="006318B3">
        <w:rPr>
          <w:sz w:val="24"/>
          <w:szCs w:val="24"/>
        </w:rPr>
        <w:t xml:space="preserve">with poor mental health. In </w:t>
      </w:r>
      <w:r w:rsidR="007B76C3" w:rsidRPr="006318B3">
        <w:rPr>
          <w:sz w:val="24"/>
          <w:szCs w:val="24"/>
        </w:rPr>
        <w:t>addition</w:t>
      </w:r>
      <w:r w:rsidRPr="006318B3">
        <w:rPr>
          <w:sz w:val="24"/>
          <w:szCs w:val="24"/>
        </w:rPr>
        <w:t>, the findings highlight different role</w:t>
      </w:r>
      <w:r w:rsidR="006532D5" w:rsidRPr="006318B3">
        <w:rPr>
          <w:sz w:val="24"/>
          <w:szCs w:val="24"/>
        </w:rPr>
        <w:t>s</w:t>
      </w:r>
      <w:r w:rsidRPr="006318B3">
        <w:rPr>
          <w:sz w:val="24"/>
          <w:szCs w:val="24"/>
        </w:rPr>
        <w:t xml:space="preserve"> the HPA and inflammation may play in the aetiology and pathophysiology of mental health state in older men and women.</w:t>
      </w:r>
    </w:p>
    <w:p w14:paraId="271FA37F" w14:textId="7E804D9A" w:rsidR="00341779" w:rsidRPr="006318B3" w:rsidRDefault="00341779" w:rsidP="00540F03">
      <w:pPr>
        <w:spacing w:before="100" w:beforeAutospacing="1" w:after="100" w:afterAutospacing="1" w:line="360" w:lineRule="auto"/>
        <w:rPr>
          <w:sz w:val="24"/>
          <w:szCs w:val="24"/>
        </w:rPr>
      </w:pPr>
      <w:r w:rsidRPr="006318B3">
        <w:rPr>
          <w:sz w:val="24"/>
          <w:szCs w:val="24"/>
        </w:rPr>
        <w:t>Previous studies have examined inﬂammation and cortisol measures in the older depressed population (Bremmer et al. 2007; Belvederi Murri et al., 2014; Martinez et al., 2016). However, there have been inconsistent findings on cortisol measures</w:t>
      </w:r>
      <w:r w:rsidR="00732E8C">
        <w:rPr>
          <w:sz w:val="24"/>
          <w:szCs w:val="24"/>
        </w:rPr>
        <w:t>.</w:t>
      </w:r>
      <w:r w:rsidR="00732E8C" w:rsidRPr="006318B3">
        <w:rPr>
          <w:sz w:val="24"/>
          <w:szCs w:val="24"/>
        </w:rPr>
        <w:t xml:space="preserve"> </w:t>
      </w:r>
      <w:r w:rsidR="00732E8C">
        <w:rPr>
          <w:sz w:val="24"/>
          <w:szCs w:val="24"/>
        </w:rPr>
        <w:t>S</w:t>
      </w:r>
      <w:r w:rsidRPr="006318B3">
        <w:rPr>
          <w:sz w:val="24"/>
          <w:szCs w:val="24"/>
        </w:rPr>
        <w:t xml:space="preserve">ome studies </w:t>
      </w:r>
      <w:r w:rsidR="00732E8C">
        <w:rPr>
          <w:sz w:val="24"/>
          <w:szCs w:val="24"/>
        </w:rPr>
        <w:t>reported</w:t>
      </w:r>
      <w:r w:rsidR="00732E8C" w:rsidRPr="006318B3">
        <w:rPr>
          <w:sz w:val="24"/>
          <w:szCs w:val="24"/>
        </w:rPr>
        <w:t xml:space="preserve"> </w:t>
      </w:r>
      <w:r w:rsidRPr="006318B3">
        <w:rPr>
          <w:sz w:val="24"/>
          <w:szCs w:val="24"/>
        </w:rPr>
        <w:t xml:space="preserve">higher cortisol </w:t>
      </w:r>
      <w:r w:rsidR="00732E8C">
        <w:rPr>
          <w:sz w:val="24"/>
          <w:szCs w:val="24"/>
        </w:rPr>
        <w:t>level</w:t>
      </w:r>
      <w:r w:rsidR="00732E8C" w:rsidRPr="006318B3">
        <w:rPr>
          <w:sz w:val="24"/>
          <w:szCs w:val="24"/>
        </w:rPr>
        <w:t xml:space="preserve">s </w:t>
      </w:r>
      <w:r w:rsidRPr="006318B3">
        <w:rPr>
          <w:sz w:val="24"/>
          <w:szCs w:val="24"/>
        </w:rPr>
        <w:t xml:space="preserve">(Balardin et al., 2011; Kuo et al., 2011; Belvederi Murri et al., 2014; Rhebergen et al., 2015), </w:t>
      </w:r>
      <w:r w:rsidR="00441921" w:rsidRPr="006318B3">
        <w:rPr>
          <w:sz w:val="24"/>
          <w:szCs w:val="24"/>
        </w:rPr>
        <w:t xml:space="preserve">whereas other studies </w:t>
      </w:r>
      <w:r w:rsidR="00732E8C">
        <w:rPr>
          <w:sz w:val="24"/>
          <w:szCs w:val="24"/>
        </w:rPr>
        <w:t xml:space="preserve">found </w:t>
      </w:r>
      <w:r w:rsidR="00441921" w:rsidRPr="006318B3">
        <w:rPr>
          <w:sz w:val="24"/>
          <w:szCs w:val="24"/>
        </w:rPr>
        <w:t>hypoactivity of the HPA axis and hypocortisolism associated with late-life depression (Morrison et al., 2000</w:t>
      </w:r>
      <w:r w:rsidR="00230C52">
        <w:rPr>
          <w:sz w:val="24"/>
          <w:szCs w:val="24"/>
        </w:rPr>
        <w:t>;</w:t>
      </w:r>
      <w:r w:rsidR="00441921" w:rsidRPr="006318B3">
        <w:rPr>
          <w:sz w:val="24"/>
          <w:szCs w:val="24"/>
        </w:rPr>
        <w:t xml:space="preserve"> Oldehinkel et al., 2001</w:t>
      </w:r>
      <w:r w:rsidR="00732E8C" w:rsidRPr="006318B3">
        <w:rPr>
          <w:sz w:val="24"/>
          <w:szCs w:val="24"/>
        </w:rPr>
        <w:t>)</w:t>
      </w:r>
      <w:r w:rsidR="00732E8C">
        <w:rPr>
          <w:sz w:val="24"/>
          <w:szCs w:val="24"/>
        </w:rPr>
        <w:t>. Studies suggest</w:t>
      </w:r>
      <w:r w:rsidR="00405ECC">
        <w:rPr>
          <w:sz w:val="24"/>
          <w:szCs w:val="24"/>
        </w:rPr>
        <w:t>ed</w:t>
      </w:r>
      <w:r w:rsidR="00732E8C">
        <w:rPr>
          <w:sz w:val="24"/>
          <w:szCs w:val="24"/>
        </w:rPr>
        <w:t xml:space="preserve"> that p</w:t>
      </w:r>
      <w:r w:rsidR="00C44D74" w:rsidRPr="006318B3">
        <w:rPr>
          <w:sz w:val="24"/>
          <w:szCs w:val="24"/>
        </w:rPr>
        <w:t xml:space="preserve">hysical frailty and exhaustion </w:t>
      </w:r>
      <w:r w:rsidR="00732E8C">
        <w:rPr>
          <w:sz w:val="24"/>
          <w:szCs w:val="24"/>
        </w:rPr>
        <w:t>m</w:t>
      </w:r>
      <w:r w:rsidR="00405ECC">
        <w:rPr>
          <w:sz w:val="24"/>
          <w:szCs w:val="24"/>
        </w:rPr>
        <w:t xml:space="preserve">ight </w:t>
      </w:r>
      <w:r w:rsidR="00732E8C">
        <w:rPr>
          <w:sz w:val="24"/>
          <w:szCs w:val="24"/>
        </w:rPr>
        <w:t>underly</w:t>
      </w:r>
      <w:r w:rsidR="00C44D74" w:rsidRPr="006318B3">
        <w:rPr>
          <w:sz w:val="24"/>
          <w:szCs w:val="24"/>
        </w:rPr>
        <w:t xml:space="preserve"> HPA axis insufficiency (Fries et al., 2005, Morrison et al., 2001, Oldehinkel et al., 2001)</w:t>
      </w:r>
      <w:r w:rsidR="00441921" w:rsidRPr="006318B3">
        <w:rPr>
          <w:sz w:val="24"/>
          <w:szCs w:val="24"/>
        </w:rPr>
        <w:t xml:space="preserve">. </w:t>
      </w:r>
      <w:r w:rsidR="00C44D74" w:rsidRPr="006318B3">
        <w:rPr>
          <w:sz w:val="24"/>
          <w:szCs w:val="24"/>
        </w:rPr>
        <w:t>Some studies also reported a U-shaped association between cortisol and depression in older adults (Bremmer et al., 2007; Penninx et al., 2007). Some</w:t>
      </w:r>
      <w:r w:rsidRPr="006318B3">
        <w:rPr>
          <w:sz w:val="24"/>
          <w:szCs w:val="24"/>
        </w:rPr>
        <w:t xml:space="preserve"> data seem to suggest </w:t>
      </w:r>
      <w:r w:rsidR="00664638">
        <w:rPr>
          <w:sz w:val="24"/>
          <w:szCs w:val="24"/>
        </w:rPr>
        <w:t xml:space="preserve">that </w:t>
      </w:r>
      <w:r w:rsidR="006532D5" w:rsidRPr="006318B3">
        <w:rPr>
          <w:sz w:val="24"/>
          <w:szCs w:val="24"/>
        </w:rPr>
        <w:t xml:space="preserve">depression in </w:t>
      </w:r>
      <w:r w:rsidRPr="006318B3">
        <w:rPr>
          <w:sz w:val="24"/>
          <w:szCs w:val="24"/>
        </w:rPr>
        <w:t xml:space="preserve">older </w:t>
      </w:r>
      <w:r w:rsidR="007B76C3" w:rsidRPr="006318B3">
        <w:rPr>
          <w:sz w:val="24"/>
          <w:szCs w:val="24"/>
        </w:rPr>
        <w:t xml:space="preserve">adults </w:t>
      </w:r>
      <w:r w:rsidR="006532D5" w:rsidRPr="006318B3">
        <w:rPr>
          <w:sz w:val="24"/>
          <w:szCs w:val="24"/>
        </w:rPr>
        <w:t xml:space="preserve">is </w:t>
      </w:r>
      <w:r w:rsidRPr="006318B3">
        <w:rPr>
          <w:sz w:val="24"/>
          <w:szCs w:val="24"/>
        </w:rPr>
        <w:t>associated with an imbalance of the stress</w:t>
      </w:r>
      <w:r w:rsidR="007B76C3" w:rsidRPr="006318B3">
        <w:rPr>
          <w:sz w:val="24"/>
          <w:szCs w:val="24"/>
        </w:rPr>
        <w:t xml:space="preserve"> response</w:t>
      </w:r>
      <w:r w:rsidRPr="006318B3">
        <w:rPr>
          <w:sz w:val="24"/>
          <w:szCs w:val="24"/>
        </w:rPr>
        <w:t xml:space="preserve">, resulting in either hypocortisolemia or hypercortisolemia, depending on individual characteristics. Some argue these inconsistent findings may be due to greater heterogeneity of depression in older adults, </w:t>
      </w:r>
      <w:r w:rsidR="00910F28">
        <w:rPr>
          <w:sz w:val="24"/>
          <w:szCs w:val="24"/>
        </w:rPr>
        <w:t xml:space="preserve">however, this was not supported by </w:t>
      </w:r>
      <w:r w:rsidRPr="006318B3">
        <w:rPr>
          <w:sz w:val="24"/>
          <w:szCs w:val="24"/>
        </w:rPr>
        <w:t xml:space="preserve">the study by Veltman et al. (2018) </w:t>
      </w:r>
      <w:r w:rsidR="00910F28">
        <w:rPr>
          <w:sz w:val="24"/>
          <w:szCs w:val="24"/>
        </w:rPr>
        <w:t xml:space="preserve">who </w:t>
      </w:r>
      <w:r w:rsidR="00B42F56">
        <w:rPr>
          <w:sz w:val="24"/>
          <w:szCs w:val="24"/>
        </w:rPr>
        <w:t>di</w:t>
      </w:r>
      <w:r w:rsidR="00B42F56" w:rsidRPr="006318B3">
        <w:rPr>
          <w:sz w:val="24"/>
          <w:szCs w:val="24"/>
        </w:rPr>
        <w:t xml:space="preserve">d </w:t>
      </w:r>
      <w:r w:rsidR="00732E8C">
        <w:rPr>
          <w:sz w:val="24"/>
          <w:szCs w:val="24"/>
        </w:rPr>
        <w:t xml:space="preserve">not </w:t>
      </w:r>
      <w:r w:rsidRPr="006318B3">
        <w:rPr>
          <w:sz w:val="24"/>
          <w:szCs w:val="24"/>
        </w:rPr>
        <w:t xml:space="preserve"> detect any diﬀerences in inﬂammation and cortisol measures between depression subtypes in older adults.</w:t>
      </w:r>
    </w:p>
    <w:p w14:paraId="6E27D56A" w14:textId="330F2468" w:rsidR="00994602" w:rsidRPr="00E41393" w:rsidRDefault="00AB5C1E" w:rsidP="00540F03">
      <w:pPr>
        <w:spacing w:before="100" w:beforeAutospacing="1" w:after="100" w:afterAutospacing="1" w:line="360" w:lineRule="auto"/>
        <w:rPr>
          <w:sz w:val="24"/>
          <w:szCs w:val="24"/>
        </w:rPr>
      </w:pPr>
      <w:r w:rsidRPr="006318B3">
        <w:rPr>
          <w:sz w:val="24"/>
          <w:szCs w:val="24"/>
        </w:rPr>
        <w:t>I</w:t>
      </w:r>
      <w:r w:rsidR="004E0883" w:rsidRPr="006318B3">
        <w:rPr>
          <w:sz w:val="24"/>
          <w:szCs w:val="24"/>
        </w:rPr>
        <w:t xml:space="preserve">n </w:t>
      </w:r>
      <w:r w:rsidR="004F36E7" w:rsidRPr="006318B3">
        <w:rPr>
          <w:sz w:val="24"/>
          <w:szCs w:val="24"/>
        </w:rPr>
        <w:t xml:space="preserve">the current study, </w:t>
      </w:r>
      <w:r w:rsidR="001A216C">
        <w:rPr>
          <w:sz w:val="24"/>
          <w:szCs w:val="24"/>
        </w:rPr>
        <w:t xml:space="preserve">relatively </w:t>
      </w:r>
      <w:r w:rsidR="006532D5" w:rsidRPr="006318B3">
        <w:rPr>
          <w:sz w:val="24"/>
          <w:szCs w:val="24"/>
        </w:rPr>
        <w:t xml:space="preserve">lower baseline cortisol in the pooled sample of men and women was </w:t>
      </w:r>
      <w:r w:rsidR="00554557">
        <w:rPr>
          <w:sz w:val="24"/>
          <w:szCs w:val="24"/>
        </w:rPr>
        <w:t>associat</w:t>
      </w:r>
      <w:r w:rsidR="00554557" w:rsidRPr="006318B3">
        <w:rPr>
          <w:sz w:val="24"/>
          <w:szCs w:val="24"/>
        </w:rPr>
        <w:t xml:space="preserve">ed </w:t>
      </w:r>
      <w:r w:rsidR="006532D5" w:rsidRPr="006318B3">
        <w:rPr>
          <w:sz w:val="24"/>
          <w:szCs w:val="24"/>
        </w:rPr>
        <w:t xml:space="preserve">to higher depression scores at </w:t>
      </w:r>
      <w:r w:rsidR="007B76C3" w:rsidRPr="006318B3">
        <w:rPr>
          <w:sz w:val="24"/>
          <w:szCs w:val="24"/>
        </w:rPr>
        <w:t xml:space="preserve">the </w:t>
      </w:r>
      <w:r w:rsidR="006532D5" w:rsidRPr="006318B3">
        <w:rPr>
          <w:sz w:val="24"/>
          <w:szCs w:val="24"/>
        </w:rPr>
        <w:t>follow-up</w:t>
      </w:r>
      <w:r w:rsidR="00B12798">
        <w:rPr>
          <w:sz w:val="24"/>
          <w:szCs w:val="24"/>
        </w:rPr>
        <w:t xml:space="preserve">. </w:t>
      </w:r>
      <w:bookmarkStart w:id="13" w:name="_Hlk90386254"/>
      <w:r w:rsidR="001C46CE" w:rsidRPr="001C46CE">
        <w:rPr>
          <w:sz w:val="24"/>
          <w:szCs w:val="24"/>
        </w:rPr>
        <w:t>This counter-intuitively supports HPA axis hypoactivity instead of hyperactivity. The potential causes for changes in HPA axis activity to hypocortisolaemia can be attributed to a failure in self-adjusting abilities of the body to enduring increased glucocorticoids, a form of over-adjustment (Fries et al., 2005).</w:t>
      </w:r>
      <w:r w:rsidR="00A42AAE">
        <w:rPr>
          <w:sz w:val="24"/>
          <w:szCs w:val="24"/>
        </w:rPr>
        <w:t xml:space="preserve"> </w:t>
      </w:r>
      <w:r w:rsidR="00B12798">
        <w:rPr>
          <w:sz w:val="24"/>
          <w:szCs w:val="24"/>
        </w:rPr>
        <w:t>A likely cause may be due to the increased sensitivity</w:t>
      </w:r>
      <w:r w:rsidR="006D5D54">
        <w:rPr>
          <w:sz w:val="24"/>
          <w:szCs w:val="24"/>
        </w:rPr>
        <w:t xml:space="preserve"> and responsiveness</w:t>
      </w:r>
      <w:r w:rsidR="00B12798">
        <w:rPr>
          <w:sz w:val="24"/>
          <w:szCs w:val="24"/>
        </w:rPr>
        <w:t xml:space="preserve"> of the HPA axis to negative feedback</w:t>
      </w:r>
      <w:r w:rsidR="006D5D54">
        <w:rPr>
          <w:sz w:val="24"/>
          <w:szCs w:val="24"/>
        </w:rPr>
        <w:t>, as found in patients with PTSD and stress-related disorders</w:t>
      </w:r>
      <w:r w:rsidR="006D5D54" w:rsidRPr="006D5D54">
        <w:t xml:space="preserve"> </w:t>
      </w:r>
      <w:r w:rsidR="006D5D54" w:rsidRPr="006D5D54">
        <w:rPr>
          <w:sz w:val="24"/>
          <w:szCs w:val="24"/>
        </w:rPr>
        <w:t>(Yehuda, 1997, Heim et al., 1998)</w:t>
      </w:r>
      <w:r w:rsidR="00B12798">
        <w:rPr>
          <w:sz w:val="24"/>
          <w:szCs w:val="24"/>
        </w:rPr>
        <w:t xml:space="preserve">. </w:t>
      </w:r>
      <w:r w:rsidR="00844047">
        <w:rPr>
          <w:sz w:val="24"/>
          <w:szCs w:val="24"/>
        </w:rPr>
        <w:t>Deficiency</w:t>
      </w:r>
      <w:r w:rsidR="00B12798">
        <w:rPr>
          <w:sz w:val="24"/>
          <w:szCs w:val="24"/>
        </w:rPr>
        <w:t xml:space="preserve"> in enzymes controlling cortisol catabolism </w:t>
      </w:r>
      <w:r w:rsidR="00CB361A">
        <w:rPr>
          <w:sz w:val="24"/>
          <w:szCs w:val="24"/>
        </w:rPr>
        <w:t>can also</w:t>
      </w:r>
      <w:r w:rsidR="00B12798">
        <w:rPr>
          <w:sz w:val="24"/>
          <w:szCs w:val="24"/>
        </w:rPr>
        <w:t xml:space="preserve"> lead to reduced cortisol clearance, and hence less free cortisol is required as peripheral degradation is attenuated</w:t>
      </w:r>
      <w:r w:rsidR="006D5D54">
        <w:rPr>
          <w:sz w:val="24"/>
          <w:szCs w:val="24"/>
        </w:rPr>
        <w:t xml:space="preserve"> (Yehuda et al</w:t>
      </w:r>
      <w:r w:rsidR="00B12798">
        <w:rPr>
          <w:sz w:val="24"/>
          <w:szCs w:val="24"/>
        </w:rPr>
        <w:t>.</w:t>
      </w:r>
      <w:r w:rsidR="006D5D54">
        <w:rPr>
          <w:sz w:val="24"/>
          <w:szCs w:val="24"/>
        </w:rPr>
        <w:t>, 2011).</w:t>
      </w:r>
      <w:r w:rsidR="00B12798">
        <w:rPr>
          <w:sz w:val="24"/>
          <w:szCs w:val="24"/>
        </w:rPr>
        <w:t xml:space="preserve"> Other possib</w:t>
      </w:r>
      <w:r w:rsidR="00CB361A">
        <w:rPr>
          <w:sz w:val="24"/>
          <w:szCs w:val="24"/>
        </w:rPr>
        <w:t>le causes</w:t>
      </w:r>
      <w:r w:rsidR="00B12798">
        <w:rPr>
          <w:sz w:val="24"/>
          <w:szCs w:val="24"/>
        </w:rPr>
        <w:t xml:space="preserve"> include reduced biosynthesis or </w:t>
      </w:r>
      <w:r w:rsidR="000570FE">
        <w:rPr>
          <w:sz w:val="24"/>
          <w:szCs w:val="24"/>
        </w:rPr>
        <w:t>depletion</w:t>
      </w:r>
      <w:r w:rsidR="00B12798">
        <w:rPr>
          <w:sz w:val="24"/>
          <w:szCs w:val="24"/>
        </w:rPr>
        <w:t xml:space="preserve"> of CRH</w:t>
      </w:r>
      <w:r w:rsidR="000570FE">
        <w:rPr>
          <w:sz w:val="24"/>
          <w:szCs w:val="24"/>
        </w:rPr>
        <w:t xml:space="preserve"> and </w:t>
      </w:r>
      <w:r w:rsidR="00B12798">
        <w:rPr>
          <w:sz w:val="24"/>
          <w:szCs w:val="24"/>
        </w:rPr>
        <w:t>ACTH</w:t>
      </w:r>
      <w:r w:rsidR="006D5D54">
        <w:rPr>
          <w:sz w:val="24"/>
          <w:szCs w:val="24"/>
        </w:rPr>
        <w:t>;</w:t>
      </w:r>
      <w:r w:rsidR="00B12798">
        <w:rPr>
          <w:sz w:val="24"/>
          <w:szCs w:val="24"/>
        </w:rPr>
        <w:t xml:space="preserve"> or due to hypersecretion of one of these, followed by consequent downregulation of the target receptor</w:t>
      </w:r>
      <w:r w:rsidR="006D5D54">
        <w:rPr>
          <w:sz w:val="24"/>
          <w:szCs w:val="24"/>
        </w:rPr>
        <w:t xml:space="preserve"> (Heim et al., 2000)</w:t>
      </w:r>
      <w:r w:rsidR="00B12798">
        <w:rPr>
          <w:sz w:val="24"/>
          <w:szCs w:val="24"/>
        </w:rPr>
        <w:t>.</w:t>
      </w:r>
      <w:r w:rsidR="006D5D54">
        <w:rPr>
          <w:sz w:val="24"/>
          <w:szCs w:val="24"/>
        </w:rPr>
        <w:t xml:space="preserve"> Such reasons for a hyporeactive HPA axis under prolonged stress are likely to contribute to basal hypocortisolaemia.</w:t>
      </w:r>
      <w:r w:rsidR="009A315F">
        <w:rPr>
          <w:sz w:val="24"/>
          <w:szCs w:val="24"/>
        </w:rPr>
        <w:t xml:space="preserve"> </w:t>
      </w:r>
      <w:r w:rsidR="00AB3B40" w:rsidRPr="00AB3B40">
        <w:rPr>
          <w:sz w:val="24"/>
          <w:szCs w:val="24"/>
        </w:rPr>
        <w:t>However, it should be noted that the cortisol level detected in this study is only relatively low and more evidence is needed to confirm hypocortisolaemia in this population. Further research is also warranted to sufficiently elaborate these potential mechanisms underlying hypocortisolaemia in chronic stress and depression</w:t>
      </w:r>
      <w:r w:rsidR="006D5D54">
        <w:rPr>
          <w:sz w:val="24"/>
          <w:szCs w:val="24"/>
        </w:rPr>
        <w:t>.</w:t>
      </w:r>
      <w:bookmarkEnd w:id="13"/>
      <w:r w:rsidR="006D5D54">
        <w:rPr>
          <w:sz w:val="24"/>
          <w:szCs w:val="24"/>
        </w:rPr>
        <w:t xml:space="preserve"> </w:t>
      </w:r>
      <w:r w:rsidR="00AD0FA5" w:rsidRPr="00AD0FA5">
        <w:rPr>
          <w:sz w:val="24"/>
          <w:szCs w:val="24"/>
        </w:rPr>
        <w:t>DHEAS</w:t>
      </w:r>
      <w:r w:rsidR="00994602" w:rsidRPr="004216F6">
        <w:rPr>
          <w:sz w:val="24"/>
          <w:szCs w:val="24"/>
        </w:rPr>
        <w:t xml:space="preserve"> is an ACTH-regulated steroid that possesses anti-glucocorticoid properties </w:t>
      </w:r>
      <w:r w:rsidR="00A16F2F">
        <w:rPr>
          <w:sz w:val="24"/>
          <w:szCs w:val="24"/>
        </w:rPr>
        <w:t>and any</w:t>
      </w:r>
      <w:r w:rsidR="007A5B92">
        <w:rPr>
          <w:sz w:val="24"/>
          <w:szCs w:val="24"/>
        </w:rPr>
        <w:t xml:space="preserve"> </w:t>
      </w:r>
      <w:r w:rsidR="00A16F2F" w:rsidRPr="00A16F2F">
        <w:rPr>
          <w:sz w:val="24"/>
          <w:szCs w:val="24"/>
        </w:rPr>
        <w:t xml:space="preserve">disruption of the dynamic balance </w:t>
      </w:r>
      <w:r w:rsidR="00A16F2F">
        <w:rPr>
          <w:sz w:val="24"/>
          <w:szCs w:val="24"/>
        </w:rPr>
        <w:t>between DHEAS and cortisol</w:t>
      </w:r>
      <w:r w:rsidR="00A16F2F" w:rsidRPr="00A16F2F">
        <w:rPr>
          <w:sz w:val="24"/>
          <w:szCs w:val="24"/>
        </w:rPr>
        <w:t xml:space="preserve"> may increase </w:t>
      </w:r>
      <w:r w:rsidR="00A16F2F">
        <w:rPr>
          <w:sz w:val="24"/>
          <w:szCs w:val="24"/>
        </w:rPr>
        <w:t xml:space="preserve">the </w:t>
      </w:r>
      <w:r w:rsidR="00A16F2F" w:rsidRPr="00A16F2F">
        <w:rPr>
          <w:sz w:val="24"/>
          <w:szCs w:val="24"/>
        </w:rPr>
        <w:t xml:space="preserve">risk </w:t>
      </w:r>
      <w:r w:rsidR="00664638">
        <w:rPr>
          <w:sz w:val="24"/>
          <w:szCs w:val="24"/>
        </w:rPr>
        <w:t>of</w:t>
      </w:r>
      <w:r w:rsidR="00664638" w:rsidRPr="00A16F2F">
        <w:rPr>
          <w:sz w:val="24"/>
          <w:szCs w:val="24"/>
        </w:rPr>
        <w:t xml:space="preserve"> </w:t>
      </w:r>
      <w:r w:rsidR="00A16F2F">
        <w:rPr>
          <w:sz w:val="24"/>
          <w:szCs w:val="24"/>
        </w:rPr>
        <w:t xml:space="preserve">poor </w:t>
      </w:r>
      <w:r w:rsidR="00A16F2F" w:rsidRPr="00A16F2F">
        <w:rPr>
          <w:sz w:val="24"/>
          <w:szCs w:val="24"/>
        </w:rPr>
        <w:t>mental health (</w:t>
      </w:r>
      <w:r w:rsidR="00A16F2F" w:rsidRPr="004216F6">
        <w:rPr>
          <w:sz w:val="24"/>
          <w:szCs w:val="24"/>
        </w:rPr>
        <w:t>Kalimi et al. 1994</w:t>
      </w:r>
      <w:r w:rsidR="00A16F2F">
        <w:rPr>
          <w:sz w:val="24"/>
          <w:szCs w:val="24"/>
        </w:rPr>
        <w:t xml:space="preserve">; </w:t>
      </w:r>
      <w:r w:rsidR="00A16F2F" w:rsidRPr="00A16F2F">
        <w:rPr>
          <w:sz w:val="24"/>
          <w:szCs w:val="24"/>
        </w:rPr>
        <w:t xml:space="preserve">Kamin and Kertes, 2017). </w:t>
      </w:r>
      <w:r w:rsidR="001903F3">
        <w:rPr>
          <w:sz w:val="24"/>
          <w:szCs w:val="24"/>
        </w:rPr>
        <w:t>S</w:t>
      </w:r>
      <w:r w:rsidR="001903F3" w:rsidRPr="001903F3">
        <w:rPr>
          <w:sz w:val="24"/>
          <w:szCs w:val="24"/>
        </w:rPr>
        <w:t xml:space="preserve">ex-stratified analysis revealed that </w:t>
      </w:r>
      <w:r w:rsidR="00CE4BC2" w:rsidRPr="00CE4BC2">
        <w:rPr>
          <w:sz w:val="24"/>
          <w:szCs w:val="24"/>
        </w:rPr>
        <w:t>higher baseline cortisol</w:t>
      </w:r>
      <w:r w:rsidR="00531511">
        <w:rPr>
          <w:sz w:val="24"/>
          <w:szCs w:val="24"/>
        </w:rPr>
        <w:t>:</w:t>
      </w:r>
      <w:r w:rsidR="00CE4BC2" w:rsidRPr="00CE4BC2">
        <w:rPr>
          <w:sz w:val="24"/>
          <w:szCs w:val="24"/>
        </w:rPr>
        <w:t>DHEAS ratio</w:t>
      </w:r>
      <w:r w:rsidR="00664638">
        <w:rPr>
          <w:sz w:val="24"/>
          <w:szCs w:val="24"/>
        </w:rPr>
        <w:t>,</w:t>
      </w:r>
      <w:r w:rsidR="00CE4BC2" w:rsidRPr="00CE4BC2">
        <w:rPr>
          <w:sz w:val="24"/>
          <w:szCs w:val="24"/>
        </w:rPr>
        <w:t xml:space="preserve"> </w:t>
      </w:r>
      <w:r w:rsidR="001903F3">
        <w:rPr>
          <w:sz w:val="24"/>
          <w:szCs w:val="24"/>
        </w:rPr>
        <w:t>driven by</w:t>
      </w:r>
      <w:r w:rsidR="00B6195F">
        <w:rPr>
          <w:sz w:val="24"/>
          <w:szCs w:val="24"/>
        </w:rPr>
        <w:t xml:space="preserve"> low</w:t>
      </w:r>
      <w:r w:rsidR="001903F3">
        <w:rPr>
          <w:sz w:val="24"/>
          <w:szCs w:val="24"/>
        </w:rPr>
        <w:t>er</w:t>
      </w:r>
      <w:r w:rsidR="00B6195F">
        <w:rPr>
          <w:sz w:val="24"/>
          <w:szCs w:val="24"/>
        </w:rPr>
        <w:t xml:space="preserve"> baseline DHEA</w:t>
      </w:r>
      <w:r w:rsidR="00AD0FA5">
        <w:rPr>
          <w:sz w:val="24"/>
          <w:szCs w:val="24"/>
        </w:rPr>
        <w:t>S</w:t>
      </w:r>
      <w:r w:rsidR="00664638">
        <w:rPr>
          <w:sz w:val="24"/>
          <w:szCs w:val="24"/>
        </w:rPr>
        <w:t>,</w:t>
      </w:r>
      <w:r w:rsidR="00B6195F">
        <w:rPr>
          <w:sz w:val="24"/>
          <w:szCs w:val="24"/>
        </w:rPr>
        <w:t xml:space="preserve"> </w:t>
      </w:r>
      <w:r w:rsidR="001903F3" w:rsidRPr="001903F3">
        <w:rPr>
          <w:sz w:val="24"/>
          <w:szCs w:val="24"/>
        </w:rPr>
        <w:t>w</w:t>
      </w:r>
      <w:r w:rsidR="001903F3">
        <w:rPr>
          <w:sz w:val="24"/>
          <w:szCs w:val="24"/>
        </w:rPr>
        <w:t>as</w:t>
      </w:r>
      <w:r w:rsidR="001903F3" w:rsidRPr="001903F3">
        <w:rPr>
          <w:sz w:val="24"/>
          <w:szCs w:val="24"/>
        </w:rPr>
        <w:t xml:space="preserve"> associated with poorer mental health</w:t>
      </w:r>
      <w:r w:rsidR="00092594">
        <w:rPr>
          <w:sz w:val="24"/>
          <w:szCs w:val="24"/>
        </w:rPr>
        <w:t xml:space="preserve"> scores</w:t>
      </w:r>
      <w:r w:rsidR="001903F3" w:rsidRPr="001903F3">
        <w:rPr>
          <w:sz w:val="24"/>
          <w:szCs w:val="24"/>
        </w:rPr>
        <w:t xml:space="preserve"> among men at follow-up.</w:t>
      </w:r>
      <w:r w:rsidR="00A16F2F">
        <w:rPr>
          <w:sz w:val="24"/>
          <w:szCs w:val="24"/>
        </w:rPr>
        <w:t xml:space="preserve"> This is in line with f</w:t>
      </w:r>
      <w:r w:rsidR="00A16F2F" w:rsidRPr="00A16F2F">
        <w:rPr>
          <w:sz w:val="24"/>
          <w:szCs w:val="24"/>
        </w:rPr>
        <w:t>indings from the ELSA</w:t>
      </w:r>
      <w:r w:rsidR="00A16F2F">
        <w:rPr>
          <w:sz w:val="24"/>
          <w:szCs w:val="24"/>
        </w:rPr>
        <w:t xml:space="preserve"> study </w:t>
      </w:r>
      <w:r w:rsidR="00750B51">
        <w:rPr>
          <w:sz w:val="24"/>
          <w:szCs w:val="24"/>
        </w:rPr>
        <w:t>and further supports that</w:t>
      </w:r>
      <w:r w:rsidR="00A16F2F">
        <w:rPr>
          <w:sz w:val="24"/>
          <w:szCs w:val="24"/>
        </w:rPr>
        <w:t xml:space="preserve"> h</w:t>
      </w:r>
      <w:r w:rsidR="00376363" w:rsidRPr="00376363">
        <w:rPr>
          <w:sz w:val="24"/>
          <w:szCs w:val="24"/>
        </w:rPr>
        <w:t xml:space="preserve">igher serum </w:t>
      </w:r>
      <w:r w:rsidR="00A16F2F">
        <w:rPr>
          <w:sz w:val="24"/>
          <w:szCs w:val="24"/>
        </w:rPr>
        <w:t>DHEAS</w:t>
      </w:r>
      <w:r w:rsidR="00376363" w:rsidRPr="00376363">
        <w:rPr>
          <w:sz w:val="24"/>
          <w:szCs w:val="24"/>
        </w:rPr>
        <w:t xml:space="preserve"> protects against the onset of depression in the elderly</w:t>
      </w:r>
      <w:r w:rsidR="00A16F2F">
        <w:rPr>
          <w:sz w:val="24"/>
          <w:szCs w:val="24"/>
        </w:rPr>
        <w:t xml:space="preserve"> (</w:t>
      </w:r>
      <w:r w:rsidR="00A16F2F" w:rsidRPr="00A16F2F">
        <w:rPr>
          <w:sz w:val="24"/>
          <w:szCs w:val="24"/>
        </w:rPr>
        <w:t>Souza-Teodoro</w:t>
      </w:r>
      <w:r w:rsidR="00A16F2F">
        <w:rPr>
          <w:sz w:val="24"/>
          <w:szCs w:val="24"/>
        </w:rPr>
        <w:t xml:space="preserve"> et al. 2016).</w:t>
      </w:r>
      <w:r w:rsidR="00376363" w:rsidRPr="00376363">
        <w:rPr>
          <w:sz w:val="24"/>
          <w:szCs w:val="24"/>
        </w:rPr>
        <w:t xml:space="preserve"> </w:t>
      </w:r>
      <w:r w:rsidR="001903F3">
        <w:rPr>
          <w:sz w:val="24"/>
          <w:szCs w:val="24"/>
        </w:rPr>
        <w:t xml:space="preserve">In addition, </w:t>
      </w:r>
      <w:r w:rsidR="00A16F2F">
        <w:rPr>
          <w:sz w:val="24"/>
          <w:szCs w:val="24"/>
        </w:rPr>
        <w:t xml:space="preserve">the current study also found that </w:t>
      </w:r>
      <w:r w:rsidR="001903F3">
        <w:rPr>
          <w:sz w:val="24"/>
          <w:szCs w:val="24"/>
        </w:rPr>
        <w:t>g</w:t>
      </w:r>
      <w:r w:rsidR="001903F3" w:rsidRPr="001903F3">
        <w:rPr>
          <w:sz w:val="24"/>
          <w:szCs w:val="24"/>
        </w:rPr>
        <w:t>reater declines in cortisol predicted higher depression scores</w:t>
      </w:r>
      <w:r w:rsidR="001903F3">
        <w:rPr>
          <w:sz w:val="24"/>
          <w:szCs w:val="24"/>
        </w:rPr>
        <w:t xml:space="preserve"> in men</w:t>
      </w:r>
      <w:r w:rsidR="00664638">
        <w:rPr>
          <w:sz w:val="24"/>
          <w:szCs w:val="24"/>
        </w:rPr>
        <w:t>,</w:t>
      </w:r>
      <w:r w:rsidR="00073049">
        <w:rPr>
          <w:sz w:val="24"/>
          <w:szCs w:val="24"/>
        </w:rPr>
        <w:t xml:space="preserve"> </w:t>
      </w:r>
      <w:r w:rsidR="00B42F56">
        <w:rPr>
          <w:sz w:val="24"/>
          <w:szCs w:val="24"/>
        </w:rPr>
        <w:t>indicat</w:t>
      </w:r>
      <w:r w:rsidR="00073049">
        <w:rPr>
          <w:sz w:val="24"/>
          <w:szCs w:val="24"/>
        </w:rPr>
        <w:t>ing r</w:t>
      </w:r>
      <w:r w:rsidR="00073049" w:rsidRPr="00073049">
        <w:rPr>
          <w:sz w:val="24"/>
          <w:szCs w:val="24"/>
        </w:rPr>
        <w:t>educed cortisol bioavailability and attenuated glucocorticoid responsiveness</w:t>
      </w:r>
      <w:r w:rsidR="00073049">
        <w:rPr>
          <w:sz w:val="24"/>
          <w:szCs w:val="24"/>
        </w:rPr>
        <w:t>.</w:t>
      </w:r>
      <w:r w:rsidR="00073049" w:rsidRPr="00073049">
        <w:rPr>
          <w:sz w:val="24"/>
          <w:szCs w:val="24"/>
        </w:rPr>
        <w:t xml:space="preserve"> </w:t>
      </w:r>
      <w:r w:rsidR="00985CA8">
        <w:rPr>
          <w:sz w:val="24"/>
          <w:szCs w:val="24"/>
        </w:rPr>
        <w:t>However</w:t>
      </w:r>
      <w:r w:rsidR="00A16F2F">
        <w:rPr>
          <w:sz w:val="24"/>
          <w:szCs w:val="24"/>
        </w:rPr>
        <w:t>, t</w:t>
      </w:r>
      <w:r w:rsidR="00547D94">
        <w:rPr>
          <w:sz w:val="24"/>
          <w:szCs w:val="24"/>
        </w:rPr>
        <w:t xml:space="preserve">hese associations were absent in </w:t>
      </w:r>
      <w:r w:rsidR="00547D94" w:rsidRPr="007A5B92">
        <w:rPr>
          <w:rFonts w:cstheme="minorHAnsi"/>
          <w:sz w:val="24"/>
          <w:szCs w:val="24"/>
        </w:rPr>
        <w:t>women</w:t>
      </w:r>
      <w:r w:rsidR="007A5B92" w:rsidRPr="007A5B92">
        <w:rPr>
          <w:rFonts w:cstheme="minorHAnsi"/>
          <w:sz w:val="24"/>
          <w:szCs w:val="24"/>
        </w:rPr>
        <w:t xml:space="preserve"> which</w:t>
      </w:r>
      <w:r w:rsidR="007A5B92">
        <w:t xml:space="preserve"> </w:t>
      </w:r>
      <w:r w:rsidR="007A5B92" w:rsidRPr="007A5B92">
        <w:rPr>
          <w:sz w:val="24"/>
          <w:szCs w:val="24"/>
        </w:rPr>
        <w:t>highlights stronger contribution of the HPA disturbance to poor mental health in men than in women</w:t>
      </w:r>
      <w:r w:rsidR="007A5B92">
        <w:rPr>
          <w:sz w:val="24"/>
          <w:szCs w:val="24"/>
        </w:rPr>
        <w:t xml:space="preserve">. This indicates </w:t>
      </w:r>
      <w:r w:rsidR="007A5B92" w:rsidRPr="007A5B92">
        <w:rPr>
          <w:sz w:val="24"/>
          <w:szCs w:val="24"/>
        </w:rPr>
        <w:t>sex differences in terms of biological mechanisms underlying poor mental health.</w:t>
      </w:r>
      <w:r w:rsidR="004811FC">
        <w:rPr>
          <w:sz w:val="24"/>
          <w:szCs w:val="24"/>
        </w:rPr>
        <w:t xml:space="preserve"> </w:t>
      </w:r>
      <w:r w:rsidR="007B14ED">
        <w:rPr>
          <w:sz w:val="24"/>
          <w:szCs w:val="24"/>
        </w:rPr>
        <w:t>Furthermore, s</w:t>
      </w:r>
      <w:r w:rsidR="007B14ED" w:rsidRPr="007B14ED">
        <w:rPr>
          <w:sz w:val="24"/>
          <w:szCs w:val="24"/>
        </w:rPr>
        <w:t>ex-differences in mean DHEAS levels may limit the utility of this biomarker and the cortisol:DHEAS ratio as a predictor of ageing and psychological status; sex-specific thresholds for these biomarkers may need to be ascertained in light of this.</w:t>
      </w:r>
    </w:p>
    <w:p w14:paraId="1744962F" w14:textId="40AAD855" w:rsidR="00F66A81" w:rsidRPr="00126E92" w:rsidRDefault="00A23EA6" w:rsidP="00171FAA">
      <w:pPr>
        <w:spacing w:before="100" w:beforeAutospacing="1" w:after="100" w:afterAutospacing="1" w:line="360" w:lineRule="auto"/>
        <w:rPr>
          <w:sz w:val="24"/>
          <w:szCs w:val="24"/>
        </w:rPr>
      </w:pPr>
      <w:r w:rsidRPr="00A23EA6">
        <w:rPr>
          <w:sz w:val="24"/>
          <w:szCs w:val="24"/>
        </w:rPr>
        <w:t>Low-grade systemic inﬂammation</w:t>
      </w:r>
      <w:r w:rsidR="00CF0B0F">
        <w:rPr>
          <w:sz w:val="24"/>
          <w:szCs w:val="24"/>
        </w:rPr>
        <w:t>,</w:t>
      </w:r>
      <w:r w:rsidRPr="00A23EA6">
        <w:rPr>
          <w:sz w:val="24"/>
          <w:szCs w:val="24"/>
        </w:rPr>
        <w:t xml:space="preserve"> </w:t>
      </w:r>
      <w:r w:rsidR="00FB605A" w:rsidRPr="00FB605A">
        <w:rPr>
          <w:sz w:val="24"/>
          <w:szCs w:val="24"/>
        </w:rPr>
        <w:t xml:space="preserve">characterized by </w:t>
      </w:r>
      <w:r w:rsidR="00FB605A">
        <w:rPr>
          <w:sz w:val="24"/>
          <w:szCs w:val="24"/>
        </w:rPr>
        <w:t xml:space="preserve">increased levels of </w:t>
      </w:r>
      <w:r w:rsidR="00FB605A" w:rsidRPr="00FB605A">
        <w:rPr>
          <w:sz w:val="24"/>
          <w:szCs w:val="24"/>
        </w:rPr>
        <w:t>serum C-reactive protein (CRP) and pro-inflammatory cytokines</w:t>
      </w:r>
      <w:r w:rsidR="00CF0B0F">
        <w:rPr>
          <w:sz w:val="24"/>
          <w:szCs w:val="24"/>
        </w:rPr>
        <w:t>,</w:t>
      </w:r>
      <w:r w:rsidR="00FB605A">
        <w:rPr>
          <w:sz w:val="24"/>
          <w:szCs w:val="24"/>
        </w:rPr>
        <w:t xml:space="preserve"> </w:t>
      </w:r>
      <w:r w:rsidRPr="00A23EA6">
        <w:rPr>
          <w:sz w:val="24"/>
          <w:szCs w:val="24"/>
        </w:rPr>
        <w:t>has been identified in the HAS cohort (Bartlett et al. 2012)</w:t>
      </w:r>
      <w:r w:rsidR="00FB605A">
        <w:rPr>
          <w:sz w:val="24"/>
          <w:szCs w:val="24"/>
        </w:rPr>
        <w:t xml:space="preserve">. </w:t>
      </w:r>
      <w:r w:rsidR="002E4C24">
        <w:rPr>
          <w:sz w:val="24"/>
          <w:szCs w:val="24"/>
        </w:rPr>
        <w:t>However,</w:t>
      </w:r>
      <w:r>
        <w:rPr>
          <w:sz w:val="24"/>
          <w:szCs w:val="24"/>
        </w:rPr>
        <w:t xml:space="preserve"> </w:t>
      </w:r>
      <w:r w:rsidR="00FB605A">
        <w:rPr>
          <w:sz w:val="24"/>
          <w:szCs w:val="24"/>
        </w:rPr>
        <w:t xml:space="preserve">the longitudinal </w:t>
      </w:r>
      <w:r w:rsidR="00FB605A" w:rsidRPr="00FB605A">
        <w:rPr>
          <w:sz w:val="24"/>
          <w:szCs w:val="24"/>
        </w:rPr>
        <w:t xml:space="preserve">associations between </w:t>
      </w:r>
      <w:r w:rsidR="002E4C24">
        <w:rPr>
          <w:sz w:val="24"/>
          <w:szCs w:val="24"/>
        </w:rPr>
        <w:t xml:space="preserve">these </w:t>
      </w:r>
      <w:r w:rsidR="00FB605A" w:rsidRPr="00FB605A">
        <w:rPr>
          <w:sz w:val="24"/>
          <w:szCs w:val="24"/>
        </w:rPr>
        <w:t>inflammatory markers</w:t>
      </w:r>
      <w:r w:rsidR="00E31C8D">
        <w:rPr>
          <w:sz w:val="24"/>
          <w:szCs w:val="24"/>
        </w:rPr>
        <w:t xml:space="preserve"> </w:t>
      </w:r>
      <w:r w:rsidR="00FB605A" w:rsidRPr="00FB605A">
        <w:rPr>
          <w:sz w:val="24"/>
          <w:szCs w:val="24"/>
        </w:rPr>
        <w:t xml:space="preserve">and mental health state </w:t>
      </w:r>
      <w:r w:rsidR="002E4C24">
        <w:rPr>
          <w:sz w:val="24"/>
          <w:szCs w:val="24"/>
        </w:rPr>
        <w:t>have not been examined before</w:t>
      </w:r>
      <w:r w:rsidR="00FB605A">
        <w:rPr>
          <w:sz w:val="24"/>
          <w:szCs w:val="24"/>
        </w:rPr>
        <w:t xml:space="preserve">. </w:t>
      </w:r>
      <w:r w:rsidR="00FA5905">
        <w:rPr>
          <w:sz w:val="24"/>
          <w:szCs w:val="24"/>
        </w:rPr>
        <w:t xml:space="preserve">CRP is a commonly used marker of inflammation and elevated levels of CRP have been associated with increased risk </w:t>
      </w:r>
      <w:r w:rsidR="00847DF8">
        <w:rPr>
          <w:sz w:val="24"/>
          <w:szCs w:val="24"/>
        </w:rPr>
        <w:t>of</w:t>
      </w:r>
      <w:r w:rsidR="00FA5905">
        <w:rPr>
          <w:sz w:val="24"/>
          <w:szCs w:val="24"/>
        </w:rPr>
        <w:t xml:space="preserve"> psychological distress and depression in </w:t>
      </w:r>
      <w:r w:rsidR="00847DF8">
        <w:rPr>
          <w:sz w:val="24"/>
          <w:szCs w:val="24"/>
        </w:rPr>
        <w:t>a large</w:t>
      </w:r>
      <w:r w:rsidR="00FA5905">
        <w:rPr>
          <w:sz w:val="24"/>
          <w:szCs w:val="24"/>
        </w:rPr>
        <w:t xml:space="preserve"> population study (</w:t>
      </w:r>
      <w:r w:rsidR="00FA5905" w:rsidRPr="00FA5905">
        <w:rPr>
          <w:sz w:val="24"/>
          <w:szCs w:val="24"/>
        </w:rPr>
        <w:t>Wium-Andersen</w:t>
      </w:r>
      <w:r w:rsidR="00FA5905">
        <w:rPr>
          <w:sz w:val="24"/>
          <w:szCs w:val="24"/>
        </w:rPr>
        <w:t xml:space="preserve"> et al. 2013).</w:t>
      </w:r>
      <w:r w:rsidR="00FA5905" w:rsidRPr="00FA5905">
        <w:rPr>
          <w:sz w:val="24"/>
          <w:szCs w:val="24"/>
        </w:rPr>
        <w:t xml:space="preserve"> </w:t>
      </w:r>
      <w:r w:rsidR="00FD64C8">
        <w:rPr>
          <w:sz w:val="24"/>
          <w:szCs w:val="24"/>
        </w:rPr>
        <w:t xml:space="preserve">While </w:t>
      </w:r>
      <w:r w:rsidR="00F55FD4">
        <w:rPr>
          <w:sz w:val="24"/>
          <w:szCs w:val="24"/>
        </w:rPr>
        <w:t>these associations in the pooled sample of men and women were not statistically significant</w:t>
      </w:r>
      <w:r w:rsidR="00FD64C8">
        <w:rPr>
          <w:sz w:val="24"/>
          <w:szCs w:val="24"/>
        </w:rPr>
        <w:t xml:space="preserve">, </w:t>
      </w:r>
      <w:bookmarkStart w:id="14" w:name="_Hlk72273789"/>
      <w:r w:rsidR="00FD64C8">
        <w:rPr>
          <w:sz w:val="24"/>
          <w:szCs w:val="24"/>
        </w:rPr>
        <w:t>s</w:t>
      </w:r>
      <w:r w:rsidR="00FD64C8" w:rsidRPr="00FD64C8">
        <w:rPr>
          <w:sz w:val="24"/>
          <w:szCs w:val="24"/>
        </w:rPr>
        <w:t xml:space="preserve">ex-stratified analysis </w:t>
      </w:r>
      <w:r w:rsidR="00FD64C8">
        <w:rPr>
          <w:sz w:val="24"/>
          <w:szCs w:val="24"/>
        </w:rPr>
        <w:t xml:space="preserve">revealed that </w:t>
      </w:r>
      <w:bookmarkEnd w:id="14"/>
      <w:r w:rsidR="00FD64C8" w:rsidRPr="00FD64C8">
        <w:rPr>
          <w:sz w:val="24"/>
          <w:szCs w:val="24"/>
        </w:rPr>
        <w:t xml:space="preserve">higher baseline CRP </w:t>
      </w:r>
      <w:r w:rsidR="00FD64C8">
        <w:rPr>
          <w:sz w:val="24"/>
          <w:szCs w:val="24"/>
        </w:rPr>
        <w:t>w</w:t>
      </w:r>
      <w:r w:rsidR="00E31C8D">
        <w:rPr>
          <w:sz w:val="24"/>
          <w:szCs w:val="24"/>
        </w:rPr>
        <w:t>as</w:t>
      </w:r>
      <w:r w:rsidR="00FD64C8" w:rsidRPr="00FD64C8">
        <w:rPr>
          <w:sz w:val="24"/>
          <w:szCs w:val="24"/>
        </w:rPr>
        <w:t xml:space="preserve"> related to </w:t>
      </w:r>
      <w:bookmarkStart w:id="15" w:name="_Hlk86054101"/>
      <w:r w:rsidR="00FD64C8" w:rsidRPr="00FD64C8">
        <w:rPr>
          <w:sz w:val="24"/>
          <w:szCs w:val="24"/>
        </w:rPr>
        <w:t>poor</w:t>
      </w:r>
      <w:r w:rsidR="00A74C08">
        <w:rPr>
          <w:sz w:val="24"/>
          <w:szCs w:val="24"/>
        </w:rPr>
        <w:t>er</w:t>
      </w:r>
      <w:r w:rsidR="00FD64C8" w:rsidRPr="00FD64C8">
        <w:rPr>
          <w:sz w:val="24"/>
          <w:szCs w:val="24"/>
        </w:rPr>
        <w:t xml:space="preserve"> menta</w:t>
      </w:r>
      <w:r w:rsidR="00FD64C8" w:rsidRPr="00994743">
        <w:rPr>
          <w:sz w:val="24"/>
          <w:szCs w:val="24"/>
        </w:rPr>
        <w:t>l health</w:t>
      </w:r>
      <w:r w:rsidR="00A74C08" w:rsidRPr="00843038">
        <w:rPr>
          <w:sz w:val="24"/>
          <w:szCs w:val="24"/>
        </w:rPr>
        <w:t xml:space="preserve"> </w:t>
      </w:r>
      <w:bookmarkEnd w:id="15"/>
      <w:r w:rsidR="00A74C08" w:rsidRPr="00843038">
        <w:rPr>
          <w:sz w:val="24"/>
          <w:szCs w:val="24"/>
        </w:rPr>
        <w:t>scores</w:t>
      </w:r>
      <w:r w:rsidR="00FD64C8" w:rsidRPr="00843038">
        <w:rPr>
          <w:sz w:val="24"/>
          <w:szCs w:val="24"/>
        </w:rPr>
        <w:t xml:space="preserve"> in women</w:t>
      </w:r>
      <w:r w:rsidR="00657D11" w:rsidRPr="00843038">
        <w:rPr>
          <w:sz w:val="24"/>
          <w:szCs w:val="24"/>
        </w:rPr>
        <w:t xml:space="preserve"> 9 years later</w:t>
      </w:r>
      <w:r w:rsidR="00171FAA" w:rsidRPr="00843038">
        <w:rPr>
          <w:sz w:val="24"/>
          <w:szCs w:val="24"/>
        </w:rPr>
        <w:t xml:space="preserve"> sugg</w:t>
      </w:r>
      <w:r w:rsidR="00171FAA" w:rsidRPr="00691419">
        <w:rPr>
          <w:sz w:val="24"/>
          <w:szCs w:val="24"/>
        </w:rPr>
        <w:t xml:space="preserve">esting </w:t>
      </w:r>
      <w:r w:rsidR="00171FAA" w:rsidRPr="008F5BC4">
        <w:rPr>
          <w:sz w:val="24"/>
          <w:szCs w:val="24"/>
        </w:rPr>
        <w:t xml:space="preserve">higher inflammation may lead to </w:t>
      </w:r>
      <w:r w:rsidR="00171FAA" w:rsidRPr="00994743">
        <w:rPr>
          <w:sz w:val="24"/>
          <w:szCs w:val="24"/>
        </w:rPr>
        <w:t xml:space="preserve">poorer mental health in women. The underlying mechanism could be </w:t>
      </w:r>
      <w:r w:rsidR="00994743" w:rsidRPr="008F5BC4">
        <w:rPr>
          <w:sz w:val="24"/>
          <w:szCs w:val="24"/>
        </w:rPr>
        <w:t xml:space="preserve">that the immune disturbance can influence the activity of enzymes controlling tryptophan which </w:t>
      </w:r>
      <w:r w:rsidR="00171FAA" w:rsidRPr="00994743">
        <w:rPr>
          <w:sz w:val="24"/>
          <w:szCs w:val="24"/>
        </w:rPr>
        <w:t>lead</w:t>
      </w:r>
      <w:r w:rsidR="00171FAA" w:rsidRPr="00843038">
        <w:rPr>
          <w:sz w:val="24"/>
          <w:szCs w:val="24"/>
        </w:rPr>
        <w:t xml:space="preserve"> to disturbed neuro</w:t>
      </w:r>
      <w:r w:rsidR="00994743" w:rsidRPr="008F5BC4">
        <w:rPr>
          <w:sz w:val="24"/>
          <w:szCs w:val="24"/>
        </w:rPr>
        <w:t>regulation involved in emotion and behaviour</w:t>
      </w:r>
      <w:r w:rsidR="00171FAA" w:rsidRPr="00994743">
        <w:rPr>
          <w:sz w:val="24"/>
          <w:szCs w:val="24"/>
        </w:rPr>
        <w:t xml:space="preserve"> </w:t>
      </w:r>
      <w:r w:rsidR="00171FAA" w:rsidRPr="00843038">
        <w:rPr>
          <w:sz w:val="24"/>
          <w:szCs w:val="24"/>
        </w:rPr>
        <w:t>such as decreased production of serotonin and increased production of kynurenic and quinolinic acids</w:t>
      </w:r>
      <w:r w:rsidR="00843038">
        <w:rPr>
          <w:sz w:val="24"/>
          <w:szCs w:val="24"/>
        </w:rPr>
        <w:t xml:space="preserve"> (</w:t>
      </w:r>
      <w:r w:rsidR="00843038" w:rsidRPr="00843038">
        <w:rPr>
          <w:sz w:val="24"/>
          <w:szCs w:val="24"/>
        </w:rPr>
        <w:t xml:space="preserve">Capuron </w:t>
      </w:r>
      <w:r w:rsidR="00843038">
        <w:rPr>
          <w:sz w:val="24"/>
          <w:szCs w:val="24"/>
        </w:rPr>
        <w:t>and</w:t>
      </w:r>
      <w:r w:rsidR="00843038" w:rsidRPr="00843038">
        <w:rPr>
          <w:sz w:val="24"/>
          <w:szCs w:val="24"/>
        </w:rPr>
        <w:t xml:space="preserve"> Miller</w:t>
      </w:r>
      <w:r w:rsidR="00843038">
        <w:rPr>
          <w:sz w:val="24"/>
          <w:szCs w:val="24"/>
        </w:rPr>
        <w:t xml:space="preserve"> 2011; </w:t>
      </w:r>
      <w:r w:rsidR="00843038" w:rsidRPr="00843038">
        <w:rPr>
          <w:sz w:val="24"/>
          <w:szCs w:val="24"/>
        </w:rPr>
        <w:t>Haroon</w:t>
      </w:r>
      <w:r w:rsidR="00843038">
        <w:rPr>
          <w:sz w:val="24"/>
          <w:szCs w:val="24"/>
        </w:rPr>
        <w:t xml:space="preserve"> et al. 2012)</w:t>
      </w:r>
      <w:r w:rsidR="00171FAA" w:rsidRPr="00843038">
        <w:rPr>
          <w:sz w:val="24"/>
          <w:szCs w:val="24"/>
        </w:rPr>
        <w:t xml:space="preserve">. </w:t>
      </w:r>
      <w:r w:rsidR="00994743" w:rsidRPr="00843038">
        <w:rPr>
          <w:sz w:val="24"/>
          <w:szCs w:val="24"/>
        </w:rPr>
        <w:t>It should be noted that the relatively high levels of IL-1β in both men and women were observed at baseline in the current study. However, no associations were detected between IL-1β and depression/mental health scores.</w:t>
      </w:r>
      <w:r w:rsidR="00FB605A" w:rsidRPr="00994743">
        <w:rPr>
          <w:sz w:val="24"/>
          <w:szCs w:val="24"/>
        </w:rPr>
        <w:t xml:space="preserve"> </w:t>
      </w:r>
      <w:r w:rsidR="00C37EE5" w:rsidRPr="00994743">
        <w:rPr>
          <w:sz w:val="24"/>
          <w:szCs w:val="24"/>
        </w:rPr>
        <w:t>Despite relatively low levels of IL-6 observed at baseline, sex</w:t>
      </w:r>
      <w:r w:rsidR="00152FB3" w:rsidRPr="00994743">
        <w:rPr>
          <w:sz w:val="24"/>
          <w:szCs w:val="24"/>
        </w:rPr>
        <w:t>-stratified</w:t>
      </w:r>
      <w:r w:rsidR="00152FB3" w:rsidRPr="0075341D">
        <w:rPr>
          <w:sz w:val="24"/>
          <w:szCs w:val="24"/>
        </w:rPr>
        <w:t xml:space="preserve"> analysis</w:t>
      </w:r>
      <w:r w:rsidR="00152FB3">
        <w:rPr>
          <w:sz w:val="24"/>
          <w:szCs w:val="24"/>
        </w:rPr>
        <w:t xml:space="preserve"> </w:t>
      </w:r>
      <w:r w:rsidR="00152FB3" w:rsidRPr="0075341D">
        <w:rPr>
          <w:sz w:val="24"/>
          <w:szCs w:val="24"/>
        </w:rPr>
        <w:t xml:space="preserve">revealed </w:t>
      </w:r>
      <w:r w:rsidR="00152FB3">
        <w:rPr>
          <w:sz w:val="24"/>
          <w:szCs w:val="24"/>
        </w:rPr>
        <w:t xml:space="preserve">that </w:t>
      </w:r>
      <w:r w:rsidR="00152FB3" w:rsidRPr="0075341D">
        <w:rPr>
          <w:sz w:val="24"/>
          <w:szCs w:val="24"/>
        </w:rPr>
        <w:t>longitudinal increases in IL-6 were related to poor</w:t>
      </w:r>
      <w:r w:rsidR="00A74C08">
        <w:rPr>
          <w:sz w:val="24"/>
          <w:szCs w:val="24"/>
        </w:rPr>
        <w:t>er</w:t>
      </w:r>
      <w:r w:rsidR="00152FB3" w:rsidRPr="0075341D">
        <w:rPr>
          <w:sz w:val="24"/>
          <w:szCs w:val="24"/>
        </w:rPr>
        <w:t xml:space="preserve"> mental health</w:t>
      </w:r>
      <w:r w:rsidR="00152FB3">
        <w:rPr>
          <w:sz w:val="24"/>
          <w:szCs w:val="24"/>
        </w:rPr>
        <w:t xml:space="preserve"> </w:t>
      </w:r>
      <w:r w:rsidR="00A74C08">
        <w:rPr>
          <w:sz w:val="24"/>
          <w:szCs w:val="24"/>
        </w:rPr>
        <w:t xml:space="preserve">scores </w:t>
      </w:r>
      <w:r w:rsidR="00320253">
        <w:rPr>
          <w:sz w:val="24"/>
          <w:szCs w:val="24"/>
        </w:rPr>
        <w:t xml:space="preserve">among women </w:t>
      </w:r>
      <w:r w:rsidR="00152FB3">
        <w:rPr>
          <w:sz w:val="24"/>
          <w:szCs w:val="24"/>
        </w:rPr>
        <w:t>which supports the same association reported in t</w:t>
      </w:r>
      <w:r w:rsidR="00152FB3" w:rsidRPr="00E31C8D">
        <w:rPr>
          <w:sz w:val="24"/>
          <w:szCs w:val="24"/>
        </w:rPr>
        <w:t>he meta-analysis reviewing inflammatory markers associated with late-life depression (Martínez-Cengotitabengoa et al., 2016).</w:t>
      </w:r>
      <w:r w:rsidR="00152FB3">
        <w:rPr>
          <w:sz w:val="24"/>
          <w:szCs w:val="24"/>
        </w:rPr>
        <w:t xml:space="preserve"> However, this association </w:t>
      </w:r>
      <w:r w:rsidR="00092594">
        <w:rPr>
          <w:sz w:val="24"/>
          <w:szCs w:val="24"/>
        </w:rPr>
        <w:t xml:space="preserve">in HAS </w:t>
      </w:r>
      <w:r w:rsidR="00A74C08">
        <w:rPr>
          <w:sz w:val="24"/>
          <w:szCs w:val="24"/>
        </w:rPr>
        <w:t>was borderline significant (p=0.05) when only adjusted for age.</w:t>
      </w:r>
      <w:r w:rsidR="00152FB3">
        <w:rPr>
          <w:sz w:val="24"/>
          <w:szCs w:val="24"/>
        </w:rPr>
        <w:t xml:space="preserve"> In the current study</w:t>
      </w:r>
      <w:r w:rsidR="00405ECC">
        <w:rPr>
          <w:sz w:val="24"/>
          <w:szCs w:val="24"/>
        </w:rPr>
        <w:t>,</w:t>
      </w:r>
      <w:r w:rsidR="00152FB3">
        <w:rPr>
          <w:sz w:val="24"/>
          <w:szCs w:val="24"/>
        </w:rPr>
        <w:t xml:space="preserve"> these </w:t>
      </w:r>
      <w:r w:rsidR="00314052">
        <w:rPr>
          <w:sz w:val="24"/>
          <w:szCs w:val="24"/>
        </w:rPr>
        <w:t>association</w:t>
      </w:r>
      <w:r w:rsidR="00152FB3">
        <w:rPr>
          <w:sz w:val="24"/>
          <w:szCs w:val="24"/>
        </w:rPr>
        <w:t>s</w:t>
      </w:r>
      <w:r w:rsidR="00314052">
        <w:rPr>
          <w:sz w:val="24"/>
          <w:szCs w:val="24"/>
        </w:rPr>
        <w:t xml:space="preserve"> </w:t>
      </w:r>
      <w:r w:rsidR="00152FB3" w:rsidRPr="00314052">
        <w:rPr>
          <w:sz w:val="24"/>
          <w:szCs w:val="24"/>
        </w:rPr>
        <w:t>w</w:t>
      </w:r>
      <w:r w:rsidR="00152FB3">
        <w:rPr>
          <w:sz w:val="24"/>
          <w:szCs w:val="24"/>
        </w:rPr>
        <w:t xml:space="preserve">ere </w:t>
      </w:r>
      <w:r w:rsidR="00314052" w:rsidRPr="00314052">
        <w:rPr>
          <w:sz w:val="24"/>
          <w:szCs w:val="24"/>
        </w:rPr>
        <w:t>absent in men</w:t>
      </w:r>
      <w:r w:rsidR="00152FB3">
        <w:rPr>
          <w:sz w:val="24"/>
          <w:szCs w:val="24"/>
        </w:rPr>
        <w:t xml:space="preserve"> which</w:t>
      </w:r>
      <w:r w:rsidR="00FD64C8">
        <w:rPr>
          <w:sz w:val="24"/>
          <w:szCs w:val="24"/>
        </w:rPr>
        <w:t xml:space="preserve"> </w:t>
      </w:r>
      <w:r w:rsidR="00657D11">
        <w:rPr>
          <w:sz w:val="24"/>
          <w:szCs w:val="24"/>
        </w:rPr>
        <w:t>suggests</w:t>
      </w:r>
      <w:r w:rsidR="004F36E7" w:rsidRPr="00126E92">
        <w:rPr>
          <w:sz w:val="24"/>
          <w:szCs w:val="24"/>
        </w:rPr>
        <w:t xml:space="preserve"> </w:t>
      </w:r>
      <w:r w:rsidR="000A18E9">
        <w:rPr>
          <w:sz w:val="24"/>
          <w:szCs w:val="24"/>
        </w:rPr>
        <w:t>that w</w:t>
      </w:r>
      <w:r w:rsidR="000A18E9" w:rsidRPr="000A18E9">
        <w:rPr>
          <w:sz w:val="24"/>
          <w:szCs w:val="24"/>
        </w:rPr>
        <w:t xml:space="preserve">omen </w:t>
      </w:r>
      <w:r w:rsidR="000A18E9">
        <w:rPr>
          <w:sz w:val="24"/>
          <w:szCs w:val="24"/>
        </w:rPr>
        <w:t>may</w:t>
      </w:r>
      <w:r w:rsidR="000A18E9" w:rsidRPr="000A18E9">
        <w:rPr>
          <w:sz w:val="24"/>
          <w:szCs w:val="24"/>
        </w:rPr>
        <w:t xml:space="preserve"> be more vulnerable to </w:t>
      </w:r>
      <w:r w:rsidR="000A18E9">
        <w:rPr>
          <w:sz w:val="24"/>
          <w:szCs w:val="24"/>
        </w:rPr>
        <w:t xml:space="preserve">the effects of </w:t>
      </w:r>
      <w:r w:rsidR="000A18E9" w:rsidRPr="000A18E9">
        <w:rPr>
          <w:sz w:val="24"/>
          <w:szCs w:val="24"/>
        </w:rPr>
        <w:t>inflammation</w:t>
      </w:r>
      <w:r w:rsidR="000A18E9">
        <w:rPr>
          <w:sz w:val="24"/>
          <w:szCs w:val="24"/>
        </w:rPr>
        <w:t xml:space="preserve"> on their mental health</w:t>
      </w:r>
      <w:r w:rsidR="000A18E9" w:rsidRPr="000A18E9">
        <w:rPr>
          <w:sz w:val="24"/>
          <w:szCs w:val="24"/>
        </w:rPr>
        <w:t xml:space="preserve"> than men</w:t>
      </w:r>
      <w:r w:rsidR="004A4FF9">
        <w:rPr>
          <w:sz w:val="24"/>
          <w:szCs w:val="24"/>
        </w:rPr>
        <w:t xml:space="preserve">. </w:t>
      </w:r>
      <w:r w:rsidR="00AF66BC" w:rsidRPr="00AF66BC">
        <w:rPr>
          <w:sz w:val="24"/>
          <w:szCs w:val="24"/>
        </w:rPr>
        <w:t xml:space="preserve">Sex is a biological variable that affects the functions of the immune system </w:t>
      </w:r>
      <w:r w:rsidR="002E4C24">
        <w:rPr>
          <w:sz w:val="24"/>
          <w:szCs w:val="24"/>
        </w:rPr>
        <w:t>including</w:t>
      </w:r>
      <w:r w:rsidR="00AF66BC" w:rsidRPr="00AF66BC">
        <w:rPr>
          <w:sz w:val="24"/>
          <w:szCs w:val="24"/>
        </w:rPr>
        <w:t xml:space="preserve"> both innate and adaptive immune responses throughout life</w:t>
      </w:r>
      <w:r w:rsidR="0052145E">
        <w:rPr>
          <w:sz w:val="24"/>
          <w:szCs w:val="24"/>
        </w:rPr>
        <w:t xml:space="preserve"> (</w:t>
      </w:r>
      <w:r w:rsidR="0052145E" w:rsidRPr="0052145E">
        <w:rPr>
          <w:sz w:val="24"/>
          <w:szCs w:val="24"/>
        </w:rPr>
        <w:t xml:space="preserve">Klein </w:t>
      </w:r>
      <w:r w:rsidR="0052145E">
        <w:rPr>
          <w:sz w:val="24"/>
          <w:szCs w:val="24"/>
        </w:rPr>
        <w:t>and</w:t>
      </w:r>
      <w:r w:rsidR="0052145E" w:rsidRPr="0052145E">
        <w:rPr>
          <w:sz w:val="24"/>
          <w:szCs w:val="24"/>
        </w:rPr>
        <w:t xml:space="preserve"> Flanagan</w:t>
      </w:r>
      <w:r w:rsidR="0052145E">
        <w:rPr>
          <w:sz w:val="24"/>
          <w:szCs w:val="24"/>
        </w:rPr>
        <w:t xml:space="preserve"> 2016)</w:t>
      </w:r>
      <w:r w:rsidR="00AF66BC" w:rsidRPr="00AF66BC">
        <w:rPr>
          <w:sz w:val="24"/>
          <w:szCs w:val="24"/>
        </w:rPr>
        <w:t xml:space="preserve">. </w:t>
      </w:r>
      <w:r w:rsidR="00AF66BC">
        <w:rPr>
          <w:sz w:val="24"/>
          <w:szCs w:val="24"/>
        </w:rPr>
        <w:t xml:space="preserve">Research </w:t>
      </w:r>
      <w:r w:rsidR="00A74C08">
        <w:rPr>
          <w:sz w:val="24"/>
          <w:szCs w:val="24"/>
        </w:rPr>
        <w:t xml:space="preserve">has </w:t>
      </w:r>
      <w:r w:rsidR="004A4FF9">
        <w:rPr>
          <w:sz w:val="24"/>
          <w:szCs w:val="24"/>
        </w:rPr>
        <w:t>also shown that w</w:t>
      </w:r>
      <w:r w:rsidR="00657D11" w:rsidRPr="00657D11">
        <w:rPr>
          <w:sz w:val="24"/>
          <w:szCs w:val="24"/>
        </w:rPr>
        <w:t xml:space="preserve">omen appear to be </w:t>
      </w:r>
      <w:r w:rsidR="004A4FF9">
        <w:rPr>
          <w:sz w:val="24"/>
          <w:szCs w:val="24"/>
        </w:rPr>
        <w:t>more</w:t>
      </w:r>
      <w:r w:rsidR="004A4FF9" w:rsidRPr="00657D11">
        <w:rPr>
          <w:sz w:val="24"/>
          <w:szCs w:val="24"/>
        </w:rPr>
        <w:t xml:space="preserve"> </w:t>
      </w:r>
      <w:r w:rsidR="00657D11" w:rsidRPr="00657D11">
        <w:rPr>
          <w:sz w:val="24"/>
          <w:szCs w:val="24"/>
        </w:rPr>
        <w:t xml:space="preserve">affected by </w:t>
      </w:r>
      <w:r w:rsidR="004A4FF9">
        <w:rPr>
          <w:sz w:val="24"/>
          <w:szCs w:val="24"/>
        </w:rPr>
        <w:t xml:space="preserve">risk </w:t>
      </w:r>
      <w:r w:rsidR="00657D11" w:rsidRPr="00657D11">
        <w:rPr>
          <w:sz w:val="24"/>
          <w:szCs w:val="24"/>
        </w:rPr>
        <w:t xml:space="preserve">factors that elevate inflammation, including </w:t>
      </w:r>
      <w:r w:rsidR="004A4FF9" w:rsidRPr="004A4FF9">
        <w:rPr>
          <w:sz w:val="24"/>
          <w:szCs w:val="24"/>
        </w:rPr>
        <w:t xml:space="preserve">childhood adversity, </w:t>
      </w:r>
      <w:r w:rsidR="00657D11" w:rsidRPr="00657D11">
        <w:rPr>
          <w:sz w:val="24"/>
          <w:szCs w:val="24"/>
        </w:rPr>
        <w:t>somatic symptomatology,</w:t>
      </w:r>
      <w:r w:rsidR="004A4FF9">
        <w:rPr>
          <w:sz w:val="24"/>
          <w:szCs w:val="24"/>
        </w:rPr>
        <w:t xml:space="preserve"> r</w:t>
      </w:r>
      <w:r w:rsidR="004A4FF9" w:rsidRPr="004A4FF9">
        <w:rPr>
          <w:sz w:val="24"/>
          <w:szCs w:val="24"/>
        </w:rPr>
        <w:t>elationship distress</w:t>
      </w:r>
      <w:r w:rsidR="00657D11" w:rsidRPr="00657D11">
        <w:rPr>
          <w:sz w:val="24"/>
          <w:szCs w:val="24"/>
        </w:rPr>
        <w:t>, obesity, physical inactivity</w:t>
      </w:r>
      <w:r w:rsidR="00AF66BC">
        <w:rPr>
          <w:sz w:val="24"/>
          <w:szCs w:val="24"/>
        </w:rPr>
        <w:t>, and</w:t>
      </w:r>
      <w:r w:rsidR="00AF66BC" w:rsidRPr="00AF66BC">
        <w:t xml:space="preserve"> </w:t>
      </w:r>
      <w:r w:rsidR="00AF66BC" w:rsidRPr="00AF66BC">
        <w:rPr>
          <w:sz w:val="24"/>
          <w:szCs w:val="24"/>
        </w:rPr>
        <w:t>nutrition status and the composition of the microbiome</w:t>
      </w:r>
      <w:r w:rsidR="00657D11" w:rsidRPr="00657D11">
        <w:rPr>
          <w:sz w:val="24"/>
          <w:szCs w:val="24"/>
        </w:rPr>
        <w:t xml:space="preserve">. </w:t>
      </w:r>
      <w:r w:rsidR="00E31C8D">
        <w:rPr>
          <w:sz w:val="24"/>
          <w:szCs w:val="24"/>
        </w:rPr>
        <w:t>Sex differences</w:t>
      </w:r>
      <w:r w:rsidR="00E31C8D" w:rsidRPr="00E31C8D">
        <w:rPr>
          <w:sz w:val="24"/>
          <w:szCs w:val="24"/>
        </w:rPr>
        <w:t xml:space="preserve"> </w:t>
      </w:r>
      <w:r w:rsidR="00A74C08">
        <w:rPr>
          <w:sz w:val="24"/>
          <w:szCs w:val="24"/>
        </w:rPr>
        <w:t>are</w:t>
      </w:r>
      <w:r w:rsidR="00A74C08" w:rsidRPr="00E31C8D">
        <w:rPr>
          <w:sz w:val="24"/>
          <w:szCs w:val="24"/>
        </w:rPr>
        <w:t xml:space="preserve"> </w:t>
      </w:r>
      <w:r w:rsidR="00E31C8D">
        <w:rPr>
          <w:sz w:val="24"/>
          <w:szCs w:val="24"/>
        </w:rPr>
        <w:t xml:space="preserve">also </w:t>
      </w:r>
      <w:r w:rsidR="00E31C8D" w:rsidRPr="00E31C8D">
        <w:rPr>
          <w:sz w:val="24"/>
          <w:szCs w:val="24"/>
        </w:rPr>
        <w:t>supported by evidence examining the neuro-immune consequences of stress</w:t>
      </w:r>
      <w:r w:rsidR="00152FB3">
        <w:rPr>
          <w:sz w:val="24"/>
          <w:szCs w:val="24"/>
        </w:rPr>
        <w:t>, in particular, c</w:t>
      </w:r>
      <w:r w:rsidR="00FB605A" w:rsidRPr="00FB605A">
        <w:rPr>
          <w:sz w:val="24"/>
          <w:szCs w:val="24"/>
        </w:rPr>
        <w:t>hronic stress leads to a greater suppression of cell-mediated immunity in women than in men</w:t>
      </w:r>
      <w:r w:rsidR="00152FB3" w:rsidRPr="00152FB3">
        <w:rPr>
          <w:sz w:val="24"/>
          <w:szCs w:val="24"/>
        </w:rPr>
        <w:t xml:space="preserve"> (Bekhbat and Neigh 2018)</w:t>
      </w:r>
      <w:r w:rsidR="00B548D5">
        <w:rPr>
          <w:sz w:val="24"/>
          <w:szCs w:val="24"/>
        </w:rPr>
        <w:t>.</w:t>
      </w:r>
      <w:r w:rsidR="00FB605A" w:rsidRPr="00FB605A">
        <w:rPr>
          <w:sz w:val="24"/>
          <w:szCs w:val="24"/>
        </w:rPr>
        <w:t xml:space="preserve"> </w:t>
      </w:r>
      <w:r w:rsidR="004A4FF9">
        <w:rPr>
          <w:sz w:val="24"/>
          <w:szCs w:val="24"/>
        </w:rPr>
        <w:t xml:space="preserve">Therefore, </w:t>
      </w:r>
      <w:r w:rsidR="00657D11" w:rsidRPr="00657D11">
        <w:rPr>
          <w:sz w:val="24"/>
          <w:szCs w:val="24"/>
        </w:rPr>
        <w:t xml:space="preserve">women’s susceptibility to inflammation and its </w:t>
      </w:r>
      <w:r w:rsidR="00AF66BC">
        <w:rPr>
          <w:sz w:val="24"/>
          <w:szCs w:val="24"/>
        </w:rPr>
        <w:t>risk factors</w:t>
      </w:r>
      <w:r w:rsidR="00657D11" w:rsidRPr="00657D11">
        <w:rPr>
          <w:sz w:val="24"/>
          <w:szCs w:val="24"/>
        </w:rPr>
        <w:t xml:space="preserve"> may contribute to </w:t>
      </w:r>
      <w:r w:rsidR="00C44D74">
        <w:rPr>
          <w:sz w:val="24"/>
          <w:szCs w:val="24"/>
        </w:rPr>
        <w:t xml:space="preserve">the </w:t>
      </w:r>
      <w:r w:rsidR="00657D11" w:rsidRPr="00657D11">
        <w:rPr>
          <w:sz w:val="24"/>
          <w:szCs w:val="24"/>
        </w:rPr>
        <w:t xml:space="preserve">sex differences </w:t>
      </w:r>
      <w:r w:rsidR="00C44D74">
        <w:rPr>
          <w:sz w:val="24"/>
          <w:szCs w:val="24"/>
        </w:rPr>
        <w:t>found in the H</w:t>
      </w:r>
      <w:r w:rsidR="00A74C08">
        <w:rPr>
          <w:sz w:val="24"/>
          <w:szCs w:val="24"/>
        </w:rPr>
        <w:t>A</w:t>
      </w:r>
      <w:r w:rsidR="00C44D74">
        <w:rPr>
          <w:sz w:val="24"/>
          <w:szCs w:val="24"/>
        </w:rPr>
        <w:t>S cohort</w:t>
      </w:r>
      <w:r w:rsidR="00657D11" w:rsidRPr="00657D11">
        <w:rPr>
          <w:sz w:val="24"/>
          <w:szCs w:val="24"/>
        </w:rPr>
        <w:t>.</w:t>
      </w:r>
      <w:r w:rsidR="002E4C24" w:rsidRPr="002E4C24">
        <w:rPr>
          <w:sz w:val="24"/>
          <w:szCs w:val="24"/>
        </w:rPr>
        <w:t xml:space="preserve"> </w:t>
      </w:r>
    </w:p>
    <w:p w14:paraId="55FC2C81" w14:textId="01DDCD61" w:rsidR="006F18E5" w:rsidRDefault="00997A98" w:rsidP="00540F03">
      <w:pPr>
        <w:spacing w:before="100" w:beforeAutospacing="1" w:after="100" w:afterAutospacing="1" w:line="360" w:lineRule="auto"/>
        <w:rPr>
          <w:sz w:val="24"/>
          <w:szCs w:val="24"/>
        </w:rPr>
      </w:pPr>
      <w:r w:rsidRPr="00126E92">
        <w:rPr>
          <w:sz w:val="24"/>
          <w:szCs w:val="24"/>
        </w:rPr>
        <w:t>It should be noted that there are s</w:t>
      </w:r>
      <w:r w:rsidR="00057294" w:rsidRPr="00126E92">
        <w:rPr>
          <w:sz w:val="24"/>
          <w:szCs w:val="24"/>
        </w:rPr>
        <w:t>everal</w:t>
      </w:r>
      <w:r w:rsidRPr="00126E92">
        <w:rPr>
          <w:sz w:val="24"/>
          <w:szCs w:val="24"/>
        </w:rPr>
        <w:t xml:space="preserve"> limitations in this study. First, </w:t>
      </w:r>
      <w:r w:rsidR="006F18E5" w:rsidRPr="00126E92">
        <w:rPr>
          <w:sz w:val="24"/>
          <w:szCs w:val="24"/>
        </w:rPr>
        <w:t xml:space="preserve">there may be </w:t>
      </w:r>
      <w:r w:rsidR="00994602" w:rsidRPr="00126E92">
        <w:rPr>
          <w:sz w:val="24"/>
          <w:szCs w:val="24"/>
        </w:rPr>
        <w:t>reporting bias due to self-reported measures of mental health status.</w:t>
      </w:r>
      <w:r w:rsidR="001672D7" w:rsidRPr="00126E92">
        <w:rPr>
          <w:sz w:val="24"/>
          <w:szCs w:val="24"/>
        </w:rPr>
        <w:t xml:space="preserve"> </w:t>
      </w:r>
      <w:r w:rsidR="006F18E5" w:rsidRPr="00126E92">
        <w:rPr>
          <w:sz w:val="24"/>
          <w:szCs w:val="24"/>
        </w:rPr>
        <w:t>Second, l</w:t>
      </w:r>
      <w:r w:rsidR="001672D7" w:rsidRPr="00126E92">
        <w:rPr>
          <w:sz w:val="24"/>
          <w:szCs w:val="24"/>
        </w:rPr>
        <w:t xml:space="preserve">ack of </w:t>
      </w:r>
      <w:r w:rsidR="006F18E5" w:rsidRPr="00126E92">
        <w:rPr>
          <w:sz w:val="24"/>
          <w:szCs w:val="24"/>
        </w:rPr>
        <w:t xml:space="preserve">information is available on </w:t>
      </w:r>
      <w:r w:rsidR="001672D7" w:rsidRPr="00126E92">
        <w:rPr>
          <w:sz w:val="24"/>
          <w:szCs w:val="24"/>
        </w:rPr>
        <w:t>baseline mental state measures</w:t>
      </w:r>
      <w:r w:rsidR="006F18E5" w:rsidRPr="00126E92">
        <w:rPr>
          <w:sz w:val="24"/>
          <w:szCs w:val="24"/>
        </w:rPr>
        <w:t>,</w:t>
      </w:r>
      <w:r w:rsidR="001672D7" w:rsidRPr="00126E92">
        <w:rPr>
          <w:sz w:val="24"/>
          <w:szCs w:val="24"/>
        </w:rPr>
        <w:t xml:space="preserve"> duration of </w:t>
      </w:r>
      <w:r w:rsidR="006F18E5" w:rsidRPr="00126E92">
        <w:rPr>
          <w:sz w:val="24"/>
          <w:szCs w:val="24"/>
        </w:rPr>
        <w:t>mental health status</w:t>
      </w:r>
      <w:r w:rsidR="001672D7" w:rsidRPr="00126E92">
        <w:rPr>
          <w:sz w:val="24"/>
          <w:szCs w:val="24"/>
        </w:rPr>
        <w:t xml:space="preserve"> and prior mental health conditions.</w:t>
      </w:r>
      <w:r w:rsidR="00994602" w:rsidRPr="00126E92">
        <w:rPr>
          <w:sz w:val="24"/>
          <w:szCs w:val="24"/>
        </w:rPr>
        <w:t xml:space="preserve"> </w:t>
      </w:r>
      <w:r w:rsidR="006F18E5" w:rsidRPr="00126E92">
        <w:rPr>
          <w:sz w:val="24"/>
          <w:szCs w:val="24"/>
        </w:rPr>
        <w:t>Third</w:t>
      </w:r>
      <w:r w:rsidRPr="00126E92">
        <w:rPr>
          <w:sz w:val="24"/>
          <w:szCs w:val="24"/>
        </w:rPr>
        <w:t xml:space="preserve">, </w:t>
      </w:r>
      <w:r w:rsidR="00E264D6">
        <w:rPr>
          <w:sz w:val="24"/>
          <w:szCs w:val="24"/>
        </w:rPr>
        <w:t xml:space="preserve">the </w:t>
      </w:r>
      <w:r w:rsidR="006F18E5" w:rsidRPr="00126E92">
        <w:rPr>
          <w:sz w:val="24"/>
          <w:szCs w:val="24"/>
        </w:rPr>
        <w:t xml:space="preserve">HAS is </w:t>
      </w:r>
      <w:r w:rsidR="00A74C08">
        <w:rPr>
          <w:sz w:val="24"/>
          <w:szCs w:val="24"/>
        </w:rPr>
        <w:t xml:space="preserve">a </w:t>
      </w:r>
      <w:r w:rsidR="00994602" w:rsidRPr="00126E92">
        <w:rPr>
          <w:sz w:val="24"/>
          <w:szCs w:val="24"/>
        </w:rPr>
        <w:t>population</w:t>
      </w:r>
      <w:r w:rsidR="006F18E5" w:rsidRPr="00126E92">
        <w:rPr>
          <w:sz w:val="24"/>
          <w:szCs w:val="24"/>
        </w:rPr>
        <w:t xml:space="preserve">-based </w:t>
      </w:r>
      <w:r w:rsidR="00994602" w:rsidRPr="00126E92">
        <w:rPr>
          <w:sz w:val="24"/>
          <w:szCs w:val="24"/>
        </w:rPr>
        <w:t xml:space="preserve">study </w:t>
      </w:r>
      <w:r w:rsidR="006F18E5" w:rsidRPr="00126E92">
        <w:rPr>
          <w:sz w:val="24"/>
          <w:szCs w:val="24"/>
        </w:rPr>
        <w:t>with a low prevalence of clinical depression</w:t>
      </w:r>
      <w:r w:rsidR="002537E1" w:rsidRPr="0076164E">
        <w:rPr>
          <w:sz w:val="24"/>
          <w:szCs w:val="24"/>
        </w:rPr>
        <w:t xml:space="preserve"> (6/347 participants in the analysis sample were taking antidepressants at baseline and 13/347 were taking antidepressants at follow-up)</w:t>
      </w:r>
      <w:r w:rsidR="00994602" w:rsidRPr="0076164E">
        <w:rPr>
          <w:sz w:val="24"/>
          <w:szCs w:val="24"/>
        </w:rPr>
        <w:t xml:space="preserve"> </w:t>
      </w:r>
      <w:r w:rsidR="006F18E5" w:rsidRPr="00126E92">
        <w:rPr>
          <w:sz w:val="24"/>
          <w:szCs w:val="24"/>
        </w:rPr>
        <w:t>which may limit the comparability of</w:t>
      </w:r>
      <w:r w:rsidR="00994602" w:rsidRPr="00126E92">
        <w:rPr>
          <w:sz w:val="24"/>
          <w:szCs w:val="24"/>
        </w:rPr>
        <w:t xml:space="preserve"> findings</w:t>
      </w:r>
      <w:r w:rsidR="00152FB3">
        <w:rPr>
          <w:sz w:val="24"/>
          <w:szCs w:val="24"/>
        </w:rPr>
        <w:t xml:space="preserve"> from</w:t>
      </w:r>
      <w:r w:rsidR="00152FB3" w:rsidRPr="00152FB3">
        <w:rPr>
          <w:sz w:val="24"/>
          <w:szCs w:val="24"/>
        </w:rPr>
        <w:t xml:space="preserve"> </w:t>
      </w:r>
      <w:r w:rsidR="00A74C08">
        <w:rPr>
          <w:sz w:val="24"/>
          <w:szCs w:val="24"/>
        </w:rPr>
        <w:t xml:space="preserve">HAS with those from </w:t>
      </w:r>
      <w:r w:rsidR="00152FB3" w:rsidRPr="00152FB3">
        <w:rPr>
          <w:sz w:val="24"/>
          <w:szCs w:val="24"/>
        </w:rPr>
        <w:t>clinical population stud</w:t>
      </w:r>
      <w:r w:rsidR="00152FB3">
        <w:rPr>
          <w:sz w:val="24"/>
          <w:szCs w:val="24"/>
        </w:rPr>
        <w:t>ies</w:t>
      </w:r>
      <w:r w:rsidR="00994602" w:rsidRPr="00126E92">
        <w:rPr>
          <w:sz w:val="24"/>
          <w:szCs w:val="24"/>
        </w:rPr>
        <w:t>.</w:t>
      </w:r>
      <w:r w:rsidR="00901AC0" w:rsidRPr="00901AC0">
        <w:t xml:space="preserve"> </w:t>
      </w:r>
      <w:r w:rsidR="006D5212" w:rsidRPr="005E4AC8">
        <w:rPr>
          <w:sz w:val="24"/>
          <w:szCs w:val="24"/>
        </w:rPr>
        <w:t>Similarly, few</w:t>
      </w:r>
      <w:r w:rsidR="006D5212" w:rsidRPr="006D5212">
        <w:rPr>
          <w:sz w:val="24"/>
          <w:szCs w:val="24"/>
        </w:rPr>
        <w:t xml:space="preserve"> participants had elevated biomarker levels or depression scores that would be expected among clinical patients. This is unsurprising as HAS is a community-dwelling cohort where a healthy participant effect has been identified </w:t>
      </w:r>
      <w:r w:rsidR="00FB2348">
        <w:rPr>
          <w:sz w:val="24"/>
          <w:szCs w:val="24"/>
        </w:rPr>
        <w:t>(</w:t>
      </w:r>
      <w:r w:rsidR="00FB2348" w:rsidRPr="00FB2348">
        <w:rPr>
          <w:sz w:val="24"/>
          <w:szCs w:val="24"/>
        </w:rPr>
        <w:t>Syddall</w:t>
      </w:r>
      <w:r w:rsidR="00FB2348">
        <w:rPr>
          <w:sz w:val="24"/>
          <w:szCs w:val="24"/>
        </w:rPr>
        <w:t xml:space="preserve"> et al. 2010)</w:t>
      </w:r>
      <w:r w:rsidR="006D5212" w:rsidRPr="006D5212">
        <w:rPr>
          <w:sz w:val="24"/>
          <w:szCs w:val="24"/>
        </w:rPr>
        <w:t>. Therefore, clinically relevant thresholds for levels of biomarkers and depression/mental health scores were not used. Instead, general trends of greater risks of high depression scores and low mental health scores according to baseline levels and longitudinal changes in biomarkers were reported</w:t>
      </w:r>
      <w:r w:rsidR="005E4AC8">
        <w:rPr>
          <w:sz w:val="24"/>
          <w:szCs w:val="24"/>
        </w:rPr>
        <w:t xml:space="preserve">; </w:t>
      </w:r>
      <w:r w:rsidR="006D5212" w:rsidRPr="006D5212">
        <w:rPr>
          <w:sz w:val="24"/>
          <w:szCs w:val="24"/>
        </w:rPr>
        <w:t>high depression scores were regarded as those in the highest sex-specific third of the distribution and low mental health scores were those in the lowest sex-specific third of the distribution.</w:t>
      </w:r>
      <w:r w:rsidR="006D5212">
        <w:rPr>
          <w:sz w:val="24"/>
          <w:szCs w:val="24"/>
        </w:rPr>
        <w:t xml:space="preserve"> </w:t>
      </w:r>
      <w:r w:rsidR="009E62B8" w:rsidRPr="009E62B8">
        <w:rPr>
          <w:sz w:val="24"/>
          <w:szCs w:val="24"/>
        </w:rPr>
        <w:t>Fourth, this study was exploratory and use</w:t>
      </w:r>
      <w:r w:rsidR="005E4AC8">
        <w:rPr>
          <w:sz w:val="24"/>
          <w:szCs w:val="24"/>
        </w:rPr>
        <w:t>d</w:t>
      </w:r>
      <w:r w:rsidR="009E62B8" w:rsidRPr="009E62B8">
        <w:rPr>
          <w:sz w:val="24"/>
          <w:szCs w:val="24"/>
        </w:rPr>
        <w:t xml:space="preserve"> a relatively small sample size, especially for the sex-specific analyses.</w:t>
      </w:r>
      <w:r w:rsidR="009E62B8">
        <w:rPr>
          <w:sz w:val="24"/>
          <w:szCs w:val="24"/>
        </w:rPr>
        <w:t xml:space="preserve"> </w:t>
      </w:r>
      <w:r w:rsidR="00D9797B">
        <w:rPr>
          <w:sz w:val="24"/>
          <w:szCs w:val="24"/>
        </w:rPr>
        <w:t>Fifth,</w:t>
      </w:r>
      <w:r w:rsidR="00D9797B" w:rsidRPr="00D9797B">
        <w:rPr>
          <w:sz w:val="24"/>
          <w:szCs w:val="24"/>
        </w:rPr>
        <w:t xml:space="preserve"> the sample size for successfully assayed biomarkers differed between participants; a consequence of this is that different numbers of non-missing values were available for different biomarkers.</w:t>
      </w:r>
      <w:r w:rsidR="00D9797B">
        <w:rPr>
          <w:sz w:val="24"/>
          <w:szCs w:val="24"/>
        </w:rPr>
        <w:t xml:space="preserve"> </w:t>
      </w:r>
      <w:r w:rsidR="009E62B8">
        <w:rPr>
          <w:sz w:val="24"/>
          <w:szCs w:val="24"/>
        </w:rPr>
        <w:t>Finally</w:t>
      </w:r>
      <w:r w:rsidR="006F18E5" w:rsidRPr="00126E92">
        <w:rPr>
          <w:sz w:val="24"/>
          <w:szCs w:val="24"/>
        </w:rPr>
        <w:t xml:space="preserve">, </w:t>
      </w:r>
      <w:r w:rsidR="0067198A" w:rsidRPr="00126E92">
        <w:rPr>
          <w:sz w:val="24"/>
          <w:szCs w:val="24"/>
        </w:rPr>
        <w:t xml:space="preserve">information relating to </w:t>
      </w:r>
      <w:r w:rsidR="006F18E5" w:rsidRPr="00126E92">
        <w:rPr>
          <w:sz w:val="24"/>
          <w:szCs w:val="24"/>
        </w:rPr>
        <w:t xml:space="preserve">additional potential </w:t>
      </w:r>
      <w:r w:rsidR="00994602" w:rsidRPr="00126E92">
        <w:rPr>
          <w:sz w:val="24"/>
          <w:szCs w:val="24"/>
        </w:rPr>
        <w:t xml:space="preserve">confounding factors such as </w:t>
      </w:r>
      <w:r w:rsidR="00152FB3">
        <w:rPr>
          <w:sz w:val="24"/>
          <w:szCs w:val="24"/>
        </w:rPr>
        <w:t xml:space="preserve">stress </w:t>
      </w:r>
      <w:r w:rsidR="002205C5">
        <w:rPr>
          <w:sz w:val="24"/>
          <w:szCs w:val="24"/>
        </w:rPr>
        <w:t xml:space="preserve">level, </w:t>
      </w:r>
      <w:r w:rsidR="00994602" w:rsidRPr="00126E92">
        <w:rPr>
          <w:sz w:val="24"/>
          <w:szCs w:val="24"/>
        </w:rPr>
        <w:t>inflammatory events</w:t>
      </w:r>
      <w:r w:rsidR="001672D7" w:rsidRPr="00126E92">
        <w:rPr>
          <w:sz w:val="24"/>
          <w:szCs w:val="24"/>
        </w:rPr>
        <w:t xml:space="preserve">, physical </w:t>
      </w:r>
      <w:r w:rsidR="0067198A" w:rsidRPr="00126E92">
        <w:rPr>
          <w:sz w:val="24"/>
          <w:szCs w:val="24"/>
        </w:rPr>
        <w:t>activity level</w:t>
      </w:r>
      <w:r w:rsidR="00A74C08">
        <w:rPr>
          <w:sz w:val="24"/>
          <w:szCs w:val="24"/>
        </w:rPr>
        <w:t>s</w:t>
      </w:r>
      <w:r w:rsidR="0067198A" w:rsidRPr="00126E92">
        <w:rPr>
          <w:sz w:val="24"/>
          <w:szCs w:val="24"/>
        </w:rPr>
        <w:t xml:space="preserve">, </w:t>
      </w:r>
      <w:r w:rsidR="006F18E5" w:rsidRPr="00126E92">
        <w:rPr>
          <w:sz w:val="24"/>
          <w:szCs w:val="24"/>
        </w:rPr>
        <w:t>and</w:t>
      </w:r>
      <w:r w:rsidR="001672D7" w:rsidRPr="00126E92">
        <w:rPr>
          <w:sz w:val="24"/>
          <w:szCs w:val="24"/>
        </w:rPr>
        <w:t xml:space="preserve"> sleep patterns</w:t>
      </w:r>
      <w:r w:rsidR="006F18E5" w:rsidRPr="00126E92">
        <w:rPr>
          <w:sz w:val="24"/>
          <w:szCs w:val="24"/>
        </w:rPr>
        <w:t xml:space="preserve"> were unavailable.</w:t>
      </w:r>
      <w:r w:rsidR="00CA4C42">
        <w:rPr>
          <w:sz w:val="24"/>
          <w:szCs w:val="24"/>
        </w:rPr>
        <w:t xml:space="preserve"> </w:t>
      </w:r>
      <w:r w:rsidR="00901AC0" w:rsidRPr="00901AC0">
        <w:rPr>
          <w:sz w:val="24"/>
          <w:szCs w:val="24"/>
        </w:rPr>
        <w:t>Although psychosocial factors such as history of maltreatment, early life adversity, chronic fatigue syndrome and job burnout may have predisposed participants to lower HPA activity, it was not possible to account for these factors as they were not available in this cohort.</w:t>
      </w:r>
      <w:r w:rsidR="00901AC0">
        <w:rPr>
          <w:sz w:val="24"/>
          <w:szCs w:val="24"/>
        </w:rPr>
        <w:t xml:space="preserve"> </w:t>
      </w:r>
      <w:r w:rsidR="00CA4C42">
        <w:rPr>
          <w:sz w:val="24"/>
          <w:szCs w:val="24"/>
        </w:rPr>
        <w:t>Similarly, we cannot exclude the possibility that the observed associations could have been driven by various chronic or physical illnesses at baseline</w:t>
      </w:r>
      <w:r w:rsidR="006F142F">
        <w:rPr>
          <w:sz w:val="24"/>
          <w:szCs w:val="24"/>
        </w:rPr>
        <w:t>. However, the reported relationships were robust to adjustment for number of systems medicated at baseline, a marker of morbidity burden that has been used previously in HAS (</w:t>
      </w:r>
      <w:r w:rsidR="00D174D0" w:rsidRPr="00D174D0">
        <w:rPr>
          <w:sz w:val="24"/>
          <w:szCs w:val="24"/>
        </w:rPr>
        <w:t>Syddall</w:t>
      </w:r>
      <w:r w:rsidR="00D174D0">
        <w:rPr>
          <w:sz w:val="24"/>
          <w:szCs w:val="24"/>
        </w:rPr>
        <w:t xml:space="preserve"> et al. 2017; Syddall et al. 2010</w:t>
      </w:r>
      <w:r w:rsidR="006F142F">
        <w:rPr>
          <w:sz w:val="24"/>
          <w:szCs w:val="24"/>
        </w:rPr>
        <w:t>). Furthermore, measures of morbi</w:t>
      </w:r>
      <w:r w:rsidR="00BB78A5">
        <w:rPr>
          <w:sz w:val="24"/>
          <w:szCs w:val="24"/>
        </w:rPr>
        <w:t>dity burden based on medication use</w:t>
      </w:r>
      <w:r w:rsidR="006F142F">
        <w:rPr>
          <w:sz w:val="24"/>
          <w:szCs w:val="24"/>
        </w:rPr>
        <w:t xml:space="preserve"> are widely used and are strongly predictive of health outcomes (</w:t>
      </w:r>
      <w:r w:rsidR="00D174D0" w:rsidRPr="00D174D0">
        <w:rPr>
          <w:sz w:val="24"/>
          <w:szCs w:val="24"/>
        </w:rPr>
        <w:t>Huntley</w:t>
      </w:r>
      <w:r w:rsidR="00D174D0">
        <w:rPr>
          <w:sz w:val="24"/>
          <w:szCs w:val="24"/>
        </w:rPr>
        <w:t xml:space="preserve"> et al. 2012</w:t>
      </w:r>
      <w:r w:rsidR="006F142F">
        <w:rPr>
          <w:sz w:val="24"/>
          <w:szCs w:val="24"/>
        </w:rPr>
        <w:t>).</w:t>
      </w:r>
    </w:p>
    <w:p w14:paraId="7431E7FD" w14:textId="77777777" w:rsidR="0029280D" w:rsidRPr="00126E92" w:rsidRDefault="0029280D" w:rsidP="00540F03">
      <w:pPr>
        <w:spacing w:before="100" w:beforeAutospacing="1" w:after="100" w:afterAutospacing="1" w:line="360" w:lineRule="auto"/>
        <w:rPr>
          <w:sz w:val="24"/>
          <w:szCs w:val="24"/>
        </w:rPr>
      </w:pPr>
    </w:p>
    <w:p w14:paraId="24A36B18" w14:textId="3FA1E646" w:rsidR="00997A98" w:rsidRDefault="005179AB" w:rsidP="00540F03">
      <w:pPr>
        <w:spacing w:before="100" w:beforeAutospacing="1" w:after="100" w:afterAutospacing="1" w:line="360" w:lineRule="auto"/>
        <w:rPr>
          <w:b/>
          <w:bCs/>
          <w:sz w:val="24"/>
          <w:szCs w:val="24"/>
        </w:rPr>
      </w:pPr>
      <w:r>
        <w:rPr>
          <w:b/>
          <w:bCs/>
          <w:sz w:val="24"/>
          <w:szCs w:val="24"/>
        </w:rPr>
        <w:t xml:space="preserve">5 </w:t>
      </w:r>
      <w:r w:rsidR="00994602">
        <w:rPr>
          <w:b/>
          <w:bCs/>
          <w:sz w:val="24"/>
          <w:szCs w:val="24"/>
        </w:rPr>
        <w:t>Conclusions</w:t>
      </w:r>
    </w:p>
    <w:p w14:paraId="28738393" w14:textId="51BBC27A" w:rsidR="00955D8C" w:rsidRDefault="0067198A" w:rsidP="00540F03">
      <w:pPr>
        <w:spacing w:before="100" w:beforeAutospacing="1" w:after="100" w:afterAutospacing="1" w:line="360" w:lineRule="auto"/>
        <w:rPr>
          <w:sz w:val="24"/>
          <w:szCs w:val="24"/>
        </w:rPr>
      </w:pPr>
      <w:r w:rsidRPr="0067198A">
        <w:rPr>
          <w:sz w:val="24"/>
          <w:szCs w:val="24"/>
        </w:rPr>
        <w:t>Th</w:t>
      </w:r>
      <w:r w:rsidR="00160378">
        <w:rPr>
          <w:sz w:val="24"/>
          <w:szCs w:val="24"/>
        </w:rPr>
        <w:t xml:space="preserve">e </w:t>
      </w:r>
      <w:r w:rsidR="00953710">
        <w:rPr>
          <w:sz w:val="24"/>
          <w:szCs w:val="24"/>
        </w:rPr>
        <w:t xml:space="preserve">HAS </w:t>
      </w:r>
      <w:r w:rsidR="00160378">
        <w:rPr>
          <w:sz w:val="24"/>
          <w:szCs w:val="24"/>
        </w:rPr>
        <w:t>cohort offers</w:t>
      </w:r>
      <w:r w:rsidR="00611E6C">
        <w:rPr>
          <w:sz w:val="24"/>
          <w:szCs w:val="24"/>
        </w:rPr>
        <w:t xml:space="preserve"> </w:t>
      </w:r>
      <w:r w:rsidR="00160378">
        <w:rPr>
          <w:sz w:val="24"/>
          <w:szCs w:val="24"/>
        </w:rPr>
        <w:t xml:space="preserve">the opportunity of </w:t>
      </w:r>
      <w:r w:rsidR="00611E6C">
        <w:rPr>
          <w:sz w:val="24"/>
          <w:szCs w:val="24"/>
        </w:rPr>
        <w:t>examining</w:t>
      </w:r>
      <w:r w:rsidR="00611E6C" w:rsidRPr="0067198A">
        <w:rPr>
          <w:sz w:val="24"/>
          <w:szCs w:val="24"/>
        </w:rPr>
        <w:t xml:space="preserve"> </w:t>
      </w:r>
      <w:r w:rsidRPr="0067198A">
        <w:rPr>
          <w:sz w:val="24"/>
          <w:szCs w:val="24"/>
        </w:rPr>
        <w:t xml:space="preserve">the </w:t>
      </w:r>
      <w:r w:rsidR="00160378">
        <w:rPr>
          <w:sz w:val="24"/>
          <w:szCs w:val="24"/>
        </w:rPr>
        <w:t xml:space="preserve">associations between </w:t>
      </w:r>
      <w:r w:rsidR="002205C5">
        <w:rPr>
          <w:sz w:val="24"/>
          <w:szCs w:val="24"/>
        </w:rPr>
        <w:t>i</w:t>
      </w:r>
      <w:r w:rsidR="002205C5" w:rsidRPr="00160378">
        <w:rPr>
          <w:sz w:val="24"/>
          <w:szCs w:val="24"/>
        </w:rPr>
        <w:t>mmune</w:t>
      </w:r>
      <w:r w:rsidR="00160378" w:rsidRPr="00160378">
        <w:rPr>
          <w:sz w:val="24"/>
          <w:szCs w:val="24"/>
        </w:rPr>
        <w:t xml:space="preserve">-endocrine biomarkers </w:t>
      </w:r>
      <w:r w:rsidR="00160378">
        <w:rPr>
          <w:sz w:val="24"/>
          <w:szCs w:val="24"/>
        </w:rPr>
        <w:t>and</w:t>
      </w:r>
      <w:r w:rsidR="00160378" w:rsidRPr="00160378">
        <w:rPr>
          <w:sz w:val="24"/>
          <w:szCs w:val="24"/>
        </w:rPr>
        <w:t xml:space="preserve"> mental health</w:t>
      </w:r>
      <w:r w:rsidR="0052145E">
        <w:rPr>
          <w:sz w:val="24"/>
          <w:szCs w:val="24"/>
        </w:rPr>
        <w:t xml:space="preserve"> state</w:t>
      </w:r>
      <w:r w:rsidR="00160378" w:rsidRPr="00160378" w:rsidDel="00160378">
        <w:rPr>
          <w:sz w:val="24"/>
          <w:szCs w:val="24"/>
        </w:rPr>
        <w:t xml:space="preserve"> </w:t>
      </w:r>
      <w:r w:rsidRPr="0067198A">
        <w:rPr>
          <w:sz w:val="24"/>
          <w:szCs w:val="24"/>
        </w:rPr>
        <w:t xml:space="preserve">in older </w:t>
      </w:r>
      <w:r w:rsidR="008B1ECF">
        <w:rPr>
          <w:sz w:val="24"/>
          <w:szCs w:val="24"/>
        </w:rPr>
        <w:t>adult</w:t>
      </w:r>
      <w:r w:rsidRPr="0067198A">
        <w:rPr>
          <w:sz w:val="24"/>
          <w:szCs w:val="24"/>
        </w:rPr>
        <w:t>s</w:t>
      </w:r>
      <w:r w:rsidR="00160378">
        <w:rPr>
          <w:sz w:val="24"/>
          <w:szCs w:val="24"/>
        </w:rPr>
        <w:t xml:space="preserve"> over a 9</w:t>
      </w:r>
      <w:r w:rsidR="00953710">
        <w:rPr>
          <w:sz w:val="24"/>
          <w:szCs w:val="24"/>
        </w:rPr>
        <w:t>-</w:t>
      </w:r>
      <w:r w:rsidR="00160378">
        <w:rPr>
          <w:sz w:val="24"/>
          <w:szCs w:val="24"/>
        </w:rPr>
        <w:t>year follow-up period</w:t>
      </w:r>
      <w:r w:rsidRPr="0067198A">
        <w:rPr>
          <w:sz w:val="24"/>
          <w:szCs w:val="24"/>
        </w:rPr>
        <w:t xml:space="preserve">. </w:t>
      </w:r>
      <w:r w:rsidR="00160378">
        <w:rPr>
          <w:sz w:val="24"/>
          <w:szCs w:val="24"/>
        </w:rPr>
        <w:t xml:space="preserve">Data from the </w:t>
      </w:r>
      <w:r w:rsidR="00345A04">
        <w:rPr>
          <w:sz w:val="24"/>
          <w:szCs w:val="24"/>
        </w:rPr>
        <w:t xml:space="preserve">sex-pooled analysis </w:t>
      </w:r>
      <w:r w:rsidR="00160378">
        <w:rPr>
          <w:sz w:val="24"/>
          <w:szCs w:val="24"/>
        </w:rPr>
        <w:t>suggests that l</w:t>
      </w:r>
      <w:r w:rsidR="00611E6C">
        <w:rPr>
          <w:sz w:val="24"/>
          <w:szCs w:val="24"/>
        </w:rPr>
        <w:t xml:space="preserve">ow baseline cortisol level predicts </w:t>
      </w:r>
      <w:r w:rsidR="00611E6C" w:rsidRPr="00611E6C">
        <w:rPr>
          <w:sz w:val="24"/>
          <w:szCs w:val="24"/>
        </w:rPr>
        <w:t>greater risk of depression</w:t>
      </w:r>
      <w:r w:rsidR="00611E6C">
        <w:rPr>
          <w:sz w:val="24"/>
          <w:szCs w:val="24"/>
        </w:rPr>
        <w:t xml:space="preserve"> 9 years later. </w:t>
      </w:r>
      <w:r w:rsidRPr="0067198A">
        <w:rPr>
          <w:sz w:val="24"/>
          <w:szCs w:val="24"/>
        </w:rPr>
        <w:t xml:space="preserve">In addition, the findings highlight </w:t>
      </w:r>
      <w:r w:rsidR="004C6879">
        <w:rPr>
          <w:sz w:val="24"/>
          <w:szCs w:val="24"/>
        </w:rPr>
        <w:t>sex</w:t>
      </w:r>
      <w:r w:rsidR="004C6879" w:rsidRPr="0067198A">
        <w:rPr>
          <w:sz w:val="24"/>
          <w:szCs w:val="24"/>
        </w:rPr>
        <w:t xml:space="preserve"> </w:t>
      </w:r>
      <w:r w:rsidRPr="0067198A">
        <w:rPr>
          <w:sz w:val="24"/>
          <w:szCs w:val="24"/>
        </w:rPr>
        <w:t>difference</w:t>
      </w:r>
      <w:r w:rsidR="0052145E">
        <w:rPr>
          <w:sz w:val="24"/>
          <w:szCs w:val="24"/>
        </w:rPr>
        <w:t>s</w:t>
      </w:r>
      <w:r w:rsidR="00276D34">
        <w:rPr>
          <w:sz w:val="24"/>
          <w:szCs w:val="24"/>
        </w:rPr>
        <w:t xml:space="preserve"> in </w:t>
      </w:r>
      <w:r w:rsidR="00276D34" w:rsidRPr="00276D34">
        <w:rPr>
          <w:sz w:val="24"/>
          <w:szCs w:val="24"/>
        </w:rPr>
        <w:t xml:space="preserve">the effects of inflammation </w:t>
      </w:r>
      <w:r w:rsidR="00276D34">
        <w:rPr>
          <w:sz w:val="24"/>
          <w:szCs w:val="24"/>
        </w:rPr>
        <w:t xml:space="preserve">and HPA function </w:t>
      </w:r>
      <w:r w:rsidR="00276D34" w:rsidRPr="00276D34">
        <w:rPr>
          <w:sz w:val="24"/>
          <w:szCs w:val="24"/>
        </w:rPr>
        <w:t xml:space="preserve">on mental health </w:t>
      </w:r>
      <w:r w:rsidRPr="0067198A">
        <w:rPr>
          <w:sz w:val="24"/>
          <w:szCs w:val="24"/>
        </w:rPr>
        <w:t xml:space="preserve">where increased inflammation in women and </w:t>
      </w:r>
      <w:r w:rsidR="00953710">
        <w:rPr>
          <w:sz w:val="24"/>
          <w:szCs w:val="24"/>
        </w:rPr>
        <w:t>declines in</w:t>
      </w:r>
      <w:r w:rsidR="00953710" w:rsidRPr="0067198A">
        <w:rPr>
          <w:sz w:val="24"/>
          <w:szCs w:val="24"/>
        </w:rPr>
        <w:t xml:space="preserve"> </w:t>
      </w:r>
      <w:r w:rsidRPr="0067198A">
        <w:rPr>
          <w:sz w:val="24"/>
          <w:szCs w:val="24"/>
        </w:rPr>
        <w:t xml:space="preserve">cortisol in men </w:t>
      </w:r>
      <w:r w:rsidR="004C6879" w:rsidRPr="0067198A">
        <w:rPr>
          <w:sz w:val="24"/>
          <w:szCs w:val="24"/>
        </w:rPr>
        <w:t>w</w:t>
      </w:r>
      <w:r w:rsidR="004C6879">
        <w:rPr>
          <w:sz w:val="24"/>
          <w:szCs w:val="24"/>
        </w:rPr>
        <w:t>ere</w:t>
      </w:r>
      <w:r w:rsidR="004C6879" w:rsidRPr="0067198A">
        <w:rPr>
          <w:sz w:val="24"/>
          <w:szCs w:val="24"/>
        </w:rPr>
        <w:t xml:space="preserve"> </w:t>
      </w:r>
      <w:r w:rsidRPr="0067198A">
        <w:rPr>
          <w:sz w:val="24"/>
          <w:szCs w:val="24"/>
        </w:rPr>
        <w:t>linked to poor</w:t>
      </w:r>
      <w:r w:rsidR="00953710">
        <w:rPr>
          <w:sz w:val="24"/>
          <w:szCs w:val="24"/>
        </w:rPr>
        <w:t>er</w:t>
      </w:r>
      <w:r w:rsidRPr="0067198A">
        <w:rPr>
          <w:sz w:val="24"/>
          <w:szCs w:val="24"/>
        </w:rPr>
        <w:t xml:space="preserve"> mental health</w:t>
      </w:r>
      <w:r w:rsidR="002205C5">
        <w:rPr>
          <w:sz w:val="24"/>
          <w:szCs w:val="24"/>
        </w:rPr>
        <w:t xml:space="preserve"> state</w:t>
      </w:r>
      <w:r w:rsidRPr="0067198A">
        <w:rPr>
          <w:sz w:val="24"/>
          <w:szCs w:val="24"/>
        </w:rPr>
        <w:t xml:space="preserve">. Further research is warranted to confirm these findings. This could lead to the search for potential biomarkers to stratify medications as well as developing novel intervention </w:t>
      </w:r>
      <w:r w:rsidR="0052145E" w:rsidRPr="0067198A">
        <w:rPr>
          <w:sz w:val="24"/>
          <w:szCs w:val="24"/>
        </w:rPr>
        <w:t>target</w:t>
      </w:r>
      <w:r w:rsidR="00531511">
        <w:rPr>
          <w:sz w:val="24"/>
          <w:szCs w:val="24"/>
        </w:rPr>
        <w:t>s</w:t>
      </w:r>
      <w:r w:rsidR="0052145E">
        <w:rPr>
          <w:sz w:val="24"/>
          <w:szCs w:val="24"/>
        </w:rPr>
        <w:t xml:space="preserve"> </w:t>
      </w:r>
      <w:r w:rsidRPr="0067198A">
        <w:rPr>
          <w:sz w:val="24"/>
          <w:szCs w:val="24"/>
        </w:rPr>
        <w:t>to improve mental health at older age.</w:t>
      </w:r>
    </w:p>
    <w:p w14:paraId="69E44BD6" w14:textId="46DA0871" w:rsidR="003718DE" w:rsidRDefault="003718DE" w:rsidP="00540F03">
      <w:pPr>
        <w:spacing w:before="100" w:beforeAutospacing="1" w:after="100" w:afterAutospacing="1" w:line="360" w:lineRule="auto"/>
        <w:rPr>
          <w:rFonts w:cstheme="minorHAnsi"/>
          <w:b/>
          <w:bCs/>
          <w:sz w:val="24"/>
          <w:szCs w:val="24"/>
        </w:rPr>
      </w:pPr>
      <w:r w:rsidRPr="00A65623">
        <w:rPr>
          <w:rFonts w:cstheme="minorHAnsi"/>
          <w:b/>
          <w:bCs/>
          <w:sz w:val="24"/>
          <w:szCs w:val="24"/>
        </w:rPr>
        <w:t>Acknowledgements</w:t>
      </w:r>
    </w:p>
    <w:p w14:paraId="3582AB92" w14:textId="3E961E73" w:rsidR="00493624" w:rsidRPr="00493624" w:rsidRDefault="00493624" w:rsidP="00540F03">
      <w:pPr>
        <w:spacing w:before="100" w:beforeAutospacing="1" w:after="100" w:afterAutospacing="1" w:line="360" w:lineRule="auto"/>
        <w:rPr>
          <w:rFonts w:cstheme="minorHAnsi"/>
          <w:sz w:val="24"/>
          <w:szCs w:val="24"/>
        </w:rPr>
      </w:pPr>
      <w:r w:rsidRPr="00493624">
        <w:rPr>
          <w:rFonts w:cstheme="minorHAnsi"/>
          <w:sz w:val="24"/>
          <w:szCs w:val="24"/>
        </w:rPr>
        <w:t>This work was funded by the Medical Research Council, the Biotechnology and Biological Sciences Research Council and the University of Southampton.</w:t>
      </w:r>
    </w:p>
    <w:p w14:paraId="0044D417" w14:textId="77777777" w:rsidR="00E623E8" w:rsidRPr="00A65623" w:rsidRDefault="00E623E8" w:rsidP="00E623E8">
      <w:pPr>
        <w:spacing w:before="100" w:beforeAutospacing="1" w:after="100" w:afterAutospacing="1" w:line="360" w:lineRule="auto"/>
        <w:rPr>
          <w:rFonts w:cstheme="minorHAnsi"/>
          <w:b/>
          <w:bCs/>
          <w:sz w:val="24"/>
          <w:szCs w:val="24"/>
        </w:rPr>
      </w:pPr>
      <w:r w:rsidRPr="00A65623">
        <w:rPr>
          <w:rFonts w:cstheme="minorHAnsi"/>
          <w:b/>
          <w:bCs/>
          <w:sz w:val="24"/>
          <w:szCs w:val="24"/>
        </w:rPr>
        <w:t>References</w:t>
      </w:r>
    </w:p>
    <w:p w14:paraId="7D6BF201"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Ader R, Cohen N, Felten D. Psychoneuroimmunology: interactions between the nervous system and the immune system. The Lancet. 1995 Jan 14; 345 (8942):99-103. doi.org/10.1016/S0140-6736(95)90066-7</w:t>
      </w:r>
    </w:p>
    <w:p w14:paraId="313005ED"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Alexopoulos GS, Morimoto SS. The inflammation hypothesis in geriatric depression. International journal of geriatric psychiatry. 2011 Nov;26 (11):1109-18. doi.org/10.1002/gps.2672</w:t>
      </w:r>
    </w:p>
    <w:p w14:paraId="76EFBF1D"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Au B, Smith KJ, Gariépy G, Schmitz N. The longitudinal associations between C‐reactive protein and depressive symptoms: evidence from the English Longitudinal Study of Ageing (ELSA). International journal of geriatric psychiatry. 2015 Sep;30(9):976-84. doi.org/10.1002/gps.4250</w:t>
      </w:r>
    </w:p>
    <w:p w14:paraId="6683C387"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Bartlett DB, Firth CM, Phillips AC, Moss P, Baylis D, Syddall H, Sayer AA, Cooper C, Lord JM. The age‐related increase in low‐grade systemic inflammation (Inflammaging) is not driven by cytomegalovirus infection. Aging cell. 2012 Oct;11(5):912-5. doi.org/10.1111/j.1474-9726.2012.00849.x</w:t>
      </w:r>
    </w:p>
    <w:p w14:paraId="67F105F4"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Baylis D, Bartlett DB, Syddall HE, Ntani G, Gale CR, Cooper C, Lord JM, Sayer AA. Immune-endocrine biomarkers as predictors of frailty and mortality: a 10-year longitudinal study in community-dwelling older people. Age. 2013 Jun;35(3):963-71. doi.org/10.1007/s11357-012-9396-8</w:t>
      </w:r>
    </w:p>
    <w:p w14:paraId="247E61C5"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Bekhbat M, Neigh GN. Sex differences in the neuro-immune consequences of stress: Focus on depression and anxiety. Brain, behavior, and immunity. 2018 Jan 1;67:1-2. doi.org/10.1016/j.bbi.2017.02.006</w:t>
      </w:r>
    </w:p>
    <w:p w14:paraId="5AFB116C" w14:textId="6CD838D8" w:rsidR="00D174D0" w:rsidRDefault="00D174D0" w:rsidP="00A65623">
      <w:pPr>
        <w:spacing w:before="100" w:beforeAutospacing="1" w:after="100" w:afterAutospacing="1" w:line="240" w:lineRule="auto"/>
        <w:rPr>
          <w:rFonts w:cstheme="minorHAnsi"/>
          <w:sz w:val="24"/>
          <w:szCs w:val="24"/>
        </w:rPr>
      </w:pPr>
      <w:r w:rsidRPr="00A65623">
        <w:rPr>
          <w:rFonts w:cstheme="minorHAnsi"/>
          <w:sz w:val="24"/>
          <w:szCs w:val="24"/>
        </w:rPr>
        <w:t>Bremmer MA, Deeg DJ, Beekman AT, Penninx BW, Lips P, Hoogendijk WJ. Major depression in late life is associated with both hypo-and hypercortisolemia. Biological psychiatry. 2007 Sep 1;62(5):479-86. doi: 10.1016/j.biopsych.2006.11.033.</w:t>
      </w:r>
    </w:p>
    <w:p w14:paraId="5A998A49" w14:textId="43E3795C" w:rsidR="00843038" w:rsidRDefault="00843038" w:rsidP="00A65623">
      <w:pPr>
        <w:spacing w:before="100" w:beforeAutospacing="1" w:after="100" w:afterAutospacing="1" w:line="240" w:lineRule="auto"/>
        <w:rPr>
          <w:rFonts w:cstheme="minorHAnsi"/>
          <w:sz w:val="24"/>
          <w:szCs w:val="24"/>
        </w:rPr>
      </w:pPr>
      <w:r w:rsidRPr="00843038">
        <w:rPr>
          <w:rFonts w:cstheme="minorHAnsi"/>
          <w:sz w:val="24"/>
          <w:szCs w:val="24"/>
        </w:rPr>
        <w:t>Capuron L, Miller AH. Immune system to brain signaling: neuropsychopharma cological implications. Pharmacol Ther. 2011;130(2):226-238</w:t>
      </w:r>
    </w:p>
    <w:p w14:paraId="54874567" w14:textId="5BA1A8E6" w:rsidR="00E65BEC" w:rsidRDefault="00E65BEC" w:rsidP="00A65623">
      <w:pPr>
        <w:spacing w:before="100" w:beforeAutospacing="1" w:after="100" w:afterAutospacing="1" w:line="240" w:lineRule="auto"/>
        <w:rPr>
          <w:rFonts w:cstheme="minorHAnsi"/>
          <w:sz w:val="24"/>
          <w:szCs w:val="24"/>
        </w:rPr>
      </w:pPr>
      <w:r w:rsidRPr="00E65BEC">
        <w:rPr>
          <w:rFonts w:cstheme="minorHAnsi"/>
          <w:sz w:val="24"/>
          <w:szCs w:val="24"/>
        </w:rPr>
        <w:t xml:space="preserve">Cattaneo, A., Gennarelli, M., Uher, R. et al. Candidate Genes Expression Profile Associated with Antidepressants Response in the GENDEP Study: Differentiating between Baseline ‘Predictors’ and Longitudinal ‘Targets’. Neuropsychopharmacol </w:t>
      </w:r>
      <w:r w:rsidR="00793CFF">
        <w:rPr>
          <w:rFonts w:cstheme="minorHAnsi"/>
          <w:sz w:val="24"/>
          <w:szCs w:val="24"/>
        </w:rPr>
        <w:t xml:space="preserve">2013; </w:t>
      </w:r>
      <w:r w:rsidRPr="00E65BEC">
        <w:rPr>
          <w:rFonts w:cstheme="minorHAnsi"/>
          <w:sz w:val="24"/>
          <w:szCs w:val="24"/>
        </w:rPr>
        <w:t>38, 377–385 (https://doi.org/10.1038/npp.2012.191</w:t>
      </w:r>
    </w:p>
    <w:p w14:paraId="0713A861" w14:textId="7D82DC0E" w:rsidR="00FB2348" w:rsidRDefault="00FB2348" w:rsidP="00A65623">
      <w:pPr>
        <w:spacing w:before="100" w:beforeAutospacing="1" w:after="100" w:afterAutospacing="1" w:line="240" w:lineRule="auto"/>
        <w:rPr>
          <w:rFonts w:cstheme="minorHAnsi"/>
          <w:sz w:val="24"/>
          <w:szCs w:val="24"/>
        </w:rPr>
      </w:pPr>
      <w:r w:rsidRPr="00FB2348">
        <w:rPr>
          <w:rFonts w:cstheme="minorHAnsi"/>
          <w:sz w:val="24"/>
          <w:szCs w:val="24"/>
        </w:rPr>
        <w:t>Duggal NA, Upton J, Phillips AC, Hampson P, Lord JM. Depressive symptoms are associated with reduced neutrophil function in hip fracture patients. Brain Behav Immun. 2013;33:173-182. doi:10.1016/j.bbi.2013.07.004</w:t>
      </w:r>
    </w:p>
    <w:p w14:paraId="7B91383E" w14:textId="3CBC27EA" w:rsidR="00793CFF" w:rsidRDefault="00793CFF" w:rsidP="00793CFF">
      <w:pPr>
        <w:rPr>
          <w:rFonts w:ascii="Segoe UI" w:hAnsi="Segoe UI" w:cs="Segoe UI"/>
          <w:color w:val="212121"/>
          <w:shd w:val="clear" w:color="auto" w:fill="FFFFFF"/>
        </w:rPr>
      </w:pPr>
      <w:r w:rsidRPr="00490C4F">
        <w:rPr>
          <w:rFonts w:ascii="Segoe UI" w:hAnsi="Segoe UI" w:cs="Segoe UI"/>
          <w:color w:val="212121"/>
          <w:shd w:val="clear" w:color="auto" w:fill="FFFFFF"/>
        </w:rPr>
        <w:t xml:space="preserve">Fries E, Hesse J, Hellhammer J, Hellhammer DH. A new view on hypocortisolism. Psychoneuroendocrinology. 2005;30:1010-6. doi: 10.1016/j.psyneuen.2005.04.006. </w:t>
      </w:r>
    </w:p>
    <w:p w14:paraId="253F40AD" w14:textId="47F721B3" w:rsid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Haapakoski R, Mathieu J, Ebmeier KP, Alenius H, Kivimäki M. Cumulative meta-analysis of interleukins 6 and 1β, tumour necrosis factor α and C-reactive protein in patients with major depressive disorder. Brain, behavior, and immunity. 2015 Oct 1;49:206-15.doi: 10.1016/j.bbi.2015.06.001.</w:t>
      </w:r>
    </w:p>
    <w:p w14:paraId="6ED4A6DE" w14:textId="4EC00125" w:rsidR="00843038" w:rsidRDefault="00843038" w:rsidP="00A65623">
      <w:pPr>
        <w:spacing w:before="100" w:beforeAutospacing="1" w:after="100" w:afterAutospacing="1" w:line="240" w:lineRule="auto"/>
        <w:rPr>
          <w:rFonts w:cstheme="minorHAnsi"/>
          <w:sz w:val="24"/>
          <w:szCs w:val="24"/>
        </w:rPr>
      </w:pPr>
      <w:r w:rsidRPr="00843038">
        <w:rPr>
          <w:rFonts w:cstheme="minorHAnsi"/>
          <w:sz w:val="24"/>
          <w:szCs w:val="24"/>
        </w:rPr>
        <w:t>Haroon E, Raison CL, Miller AH. Psychoneuroimmunology meets neuropsychopharmacology: translational implications of the impact of inflammation on behavior. Neuropsychopharmacology. 2012;37:137-162.</w:t>
      </w:r>
    </w:p>
    <w:p w14:paraId="1E623083" w14:textId="3BF21AD1" w:rsidR="00793CFF" w:rsidRPr="00793CFF" w:rsidRDefault="00793CFF" w:rsidP="00793CFF">
      <w:pPr>
        <w:spacing w:before="100" w:beforeAutospacing="1" w:after="100" w:afterAutospacing="1" w:line="240" w:lineRule="auto"/>
        <w:rPr>
          <w:rFonts w:cstheme="minorHAnsi"/>
          <w:sz w:val="24"/>
          <w:szCs w:val="24"/>
        </w:rPr>
      </w:pPr>
      <w:r w:rsidRPr="00793CFF">
        <w:rPr>
          <w:rFonts w:cstheme="minorHAnsi"/>
          <w:sz w:val="24"/>
          <w:szCs w:val="24"/>
        </w:rPr>
        <w:t>Heim C, Ehlert U, Hanker JP, Hellhammer DH. Abuse-related posttraumatic stress disorder and alterations of the hypothalamic-pituitary-adrenal axis in women with chronic pelvic pain. Psychosom Med. 1998;60:309-18. doi: 10.1097/00006842-199805000-00017</w:t>
      </w:r>
    </w:p>
    <w:p w14:paraId="32C316A5" w14:textId="08C00331" w:rsidR="00793CFF" w:rsidRDefault="00793CFF" w:rsidP="00793CFF">
      <w:pPr>
        <w:spacing w:before="100" w:beforeAutospacing="1" w:after="100" w:afterAutospacing="1" w:line="240" w:lineRule="auto"/>
        <w:rPr>
          <w:rFonts w:cstheme="minorHAnsi"/>
          <w:sz w:val="24"/>
          <w:szCs w:val="24"/>
        </w:rPr>
      </w:pPr>
      <w:r w:rsidRPr="00793CFF">
        <w:rPr>
          <w:rFonts w:cstheme="minorHAnsi"/>
          <w:sz w:val="24"/>
          <w:szCs w:val="24"/>
        </w:rPr>
        <w:t xml:space="preserve">Heim C, Ehlert U, Hellhammer DH. The potential role of hypocortisolism in the pathophysiology of stress-related bodily disorders. Psychoneuroendocrinology. 2000;25:1-35. doi: 10.1016/s0306-4530(99)00035-9. </w:t>
      </w:r>
    </w:p>
    <w:p w14:paraId="1925788B" w14:textId="5F48B1FC" w:rsidR="00843038" w:rsidRPr="00A65623" w:rsidRDefault="00843038" w:rsidP="00A65623">
      <w:pPr>
        <w:spacing w:before="100" w:beforeAutospacing="1" w:after="100" w:afterAutospacing="1" w:line="240" w:lineRule="auto"/>
        <w:rPr>
          <w:rFonts w:cstheme="minorHAnsi"/>
          <w:sz w:val="24"/>
          <w:szCs w:val="24"/>
        </w:rPr>
      </w:pPr>
      <w:r w:rsidRPr="00843038">
        <w:rPr>
          <w:rFonts w:cstheme="minorHAnsi"/>
          <w:sz w:val="24"/>
          <w:szCs w:val="24"/>
        </w:rPr>
        <w:t>Huntley AL, Johnson R, Purdy S, Valderas JM, Salisbury C. Measures of multimorbidity and morbidity burden for use in primary care and community settings: a systematic review and guide. Ann Fam Med. 2012;10(2):134-141. doi:10.1370/afm.1363</w:t>
      </w:r>
    </w:p>
    <w:p w14:paraId="06A0E712"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Iob E, Kirschbaum C, Steptoe A. Persistent depressive symptoms, HPA-axis hyperactivity, and inflammation: the role of cognitive-affective and somatic symptoms. Molecular psychiatry. 2020 May;25(5):1130-40. doi: 10.1038/s41380-019-0501-6. </w:t>
      </w:r>
    </w:p>
    <w:p w14:paraId="65CD562F"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Jeon HS, Dunkle RE. Stress and depression among the oldest-old: A longitudinal analysis. Research on aging. 2009 Nov;31(6):661-87. doi: 10.1177/0164027509343541. </w:t>
      </w:r>
    </w:p>
    <w:p w14:paraId="11702F34"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Kalimi M, Shafagoj Y, Loria R, Padgett D, Regelson W. Anti-glucocorticoid effects of dehydroepiandrosterone (DHEA). Molecular and cellular biochemistry. 1994 Feb;131(2):99-104.99-104. doi: 10.1007/BF00925945. </w:t>
      </w:r>
    </w:p>
    <w:p w14:paraId="17CFA779"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Kamin HS, Kertes DA. Cortisol and DHEA in development and psychopathology. Hormones and behavior. 2017 Mar 1;89:69-85. doi: 10.1016/j.yhbeh.2016.11.018. </w:t>
      </w:r>
    </w:p>
    <w:p w14:paraId="14588EAC"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Klein SL, Flanagan KL. Sex differences in immune responses. Nature Reviews Immunology. 2016 Oct;16(10):626-38. doi: 10.1038/nri.2016.90. </w:t>
      </w:r>
    </w:p>
    <w:p w14:paraId="24661B6D"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Leonard BE, Myint A. The psychoneuroimmunology of depression. Human Psychopharmacology: clinical and experimental. 2009 Apr;24(3):165-75. doi.org/10.1002/hup.1011</w:t>
      </w:r>
    </w:p>
    <w:p w14:paraId="7C36EE40"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Mac Giollabhui N, Ng TH, Ellman LM, Alloy LB. The longitudinal associations of inflammatory biomarkers and depression revisited: systematic review, meta-analysis, and meta-regression. Molecular Psychiatry. 2020 Aug 17:1-3.doi: 10.1038/s41380-020-00867-4</w:t>
      </w:r>
    </w:p>
    <w:p w14:paraId="625EFC4B"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Malhi GS, Mann JJ. Course and prognosis. Lancet. 2018;392:2299-312. doi: 10.1016/S0140-6736(18)31948-2. </w:t>
      </w:r>
    </w:p>
    <w:p w14:paraId="7101AA93"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Martínez-Cengotitabengoa M, Carrascón L, O’Brien JT, Díaz-Gutiérrez MJ, Bermúdez-Ampudia C, Sanada K, Arrasate M, González-Pinto A. Peripheral inflammatory parameters in late-life depression: a systematic review. International journal of molecular sciences. 2016 Dec;17(12):2022. doi: 10.3390/ijms17122022.</w:t>
      </w:r>
    </w:p>
    <w:p w14:paraId="67F9C7BB"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Miller AH. Mechanisms of cytokine-induced behavioral changes: Psychoneuroimmunology at the translational interface. Brain, behavior, and immunity. 2009 Feb 1;23(2):149-58. doi.org/10.1016/j.bbi.2008.08.006</w:t>
      </w:r>
    </w:p>
    <w:p w14:paraId="0F95AF0D" w14:textId="73225323" w:rsid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Morrison MF, Redei E, TenHave T, Parmelee P, Boyce AA, Sinha PS, Katz IR. Dehydroepiandrosterone sulfate and psychiatric measures in a frail, elderly residential care population. Biological Psychiatry. 2000 Jan 15;47(2):144-50. doi: 10.1016/s0006-3223(99)00099-2. </w:t>
      </w:r>
    </w:p>
    <w:p w14:paraId="06DC586F" w14:textId="6DB610D9" w:rsidR="00843038" w:rsidRPr="00A65623" w:rsidRDefault="00843038" w:rsidP="00A65623">
      <w:pPr>
        <w:spacing w:before="100" w:beforeAutospacing="1" w:after="100" w:afterAutospacing="1" w:line="240" w:lineRule="auto"/>
        <w:rPr>
          <w:rFonts w:cstheme="minorHAnsi"/>
          <w:sz w:val="24"/>
          <w:szCs w:val="24"/>
        </w:rPr>
      </w:pPr>
      <w:r w:rsidRPr="00843038">
        <w:rPr>
          <w:rFonts w:cstheme="minorHAnsi"/>
          <w:sz w:val="24"/>
          <w:szCs w:val="24"/>
        </w:rPr>
        <w:t>Murri MB, Pariante C, Mondelli V, Masotti M, Atti AR, Mellacqua Z, Antonioli M, Ghio L, Menchetti M, Zanetidou S, Innamorati M. HPA axis and aging in depression: systematic review and meta-analysis. Psychoneuroendocrinology. 2014 Mar 1;41:46-62 doi.org/10.1016/j.psyneuen.2013.12.004</w:t>
      </w:r>
    </w:p>
    <w:p w14:paraId="6D289B29"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Oldehinkel AJ, van den Berg MD, Flentge F, Bouhuys AL, ter Horst GJ, Ormel J. Urinary free cortisol excretion in elderly persons with minor and major depression. Psychiatry research. 2001 Oct 10;104(1):39-47.doi: 10.1016/s0165-1781(01)00300-6. </w:t>
      </w:r>
    </w:p>
    <w:p w14:paraId="49D56782"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Pariante CM. The glucocorticoid receptor: part of the solution or part of the problem?. Journal of psychopharmacology. 2006 Jul;20(4_suppl):79-84. doi: 10.1177/1359786806066063</w:t>
      </w:r>
    </w:p>
    <w:p w14:paraId="6C6E8A11" w14:textId="2D82A7CA" w:rsidR="00D174D0" w:rsidRPr="00A65623" w:rsidRDefault="00D174D0" w:rsidP="00A65623">
      <w:pPr>
        <w:spacing w:before="100" w:beforeAutospacing="1" w:after="100" w:afterAutospacing="1" w:line="240" w:lineRule="auto"/>
        <w:rPr>
          <w:rFonts w:cstheme="minorHAnsi"/>
          <w:sz w:val="24"/>
          <w:szCs w:val="24"/>
        </w:rPr>
      </w:pPr>
      <w:r w:rsidRPr="00D174D0">
        <w:rPr>
          <w:rFonts w:cstheme="minorHAnsi"/>
          <w:sz w:val="24"/>
          <w:szCs w:val="24"/>
        </w:rPr>
        <w:t>Penninx BW, Beekman AT, Corsi AM, Bremmer M, Hoogendijk WJ, Guralnik JM, Ferrucci L, Bandinelli S. Late-life depressive symptoms are associated with both hyperactivity and hypoactivity of the hypothalamo-pituitary-adrenal axis. The American journal of geriatric psychiatry. 2007 Jun 1;15(6):522-9. doi: 10.1097/JGP.0b013e318033ed80.</w:t>
      </w:r>
    </w:p>
    <w:p w14:paraId="5AAD2051"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Prasad S, Sung B, Aggarwal BB. Age-associated chronic diseases require age-old medicine: role of chronic inflammation. Preventive medicine. 2012 May 1;54:S29-37. doi: 0.1016/j.ypmed.2011.11.011.</w:t>
      </w:r>
    </w:p>
    <w:p w14:paraId="3EBDBB3D"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Raison CL, Capuron L, Miller AH. Cytokines sing the blues: inflammation and the pathogenesis of depression. Trends in immunology. 2006 Jan 1;27(1):24-31. doi.org/10.1016/j.it.2005.11.006.</w:t>
      </w:r>
    </w:p>
    <w:p w14:paraId="0FC4D7A6"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Rhebergen D, Korten NC, Penninx BW, Stek ML, van der Mast RC, Voshaar RO, Comijs HC. Hypothalamic–pituitary–adrenal axis activity in older persons with and without a depressive disorder. Psychoneuroendocrinology. 2015 Jan 1;51:341-50. doi: 10.1016/j.psyneuen.2014.10.005</w:t>
      </w:r>
    </w:p>
    <w:p w14:paraId="0D91AF88"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Sayer AA, Cooper C, Evans JR, Rauf A, WORMALD RP, Osmond C, BARKER DJ. Are rates of ageing determined in utero? Age and ageing. 1998 Sep 1;27(5):579-83. doi: 10.1093/ageing/27.5.579. </w:t>
      </w:r>
    </w:p>
    <w:p w14:paraId="2907BF09"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Souza-Teodoro LH, de Oliveira C, Walters K, Carvalho LA. Higher serum dehydroepiandrosterone sulfate protects against the onset of depression in the elderly: findings from the English Longitudinal Study of Aging (ELSA). Psychoneuroendocrinology. 2016 Feb 1;64:40-6. doi: 10.1016/j.psyneuen.2015.11.005. </w:t>
      </w:r>
    </w:p>
    <w:p w14:paraId="293892D0"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Stetler C, Miller GE. Depression and hypothalamic-pituitary-adrenal activation: a quantitative summary of four decades of research. Psychosomatic medicine. 2011 Feb 1;73(2):114-26. doi: 10.1097/PSY.0b013e31820ad12b. </w:t>
      </w:r>
    </w:p>
    <w:p w14:paraId="663A2F3F" w14:textId="0505997D" w:rsidR="00D174D0" w:rsidRDefault="00D174D0" w:rsidP="00A65623">
      <w:pPr>
        <w:spacing w:before="100" w:beforeAutospacing="1" w:after="100" w:afterAutospacing="1" w:line="240" w:lineRule="auto"/>
        <w:rPr>
          <w:rFonts w:cstheme="minorHAnsi"/>
          <w:sz w:val="24"/>
          <w:szCs w:val="24"/>
        </w:rPr>
      </w:pPr>
      <w:r w:rsidRPr="00D174D0">
        <w:rPr>
          <w:rFonts w:cstheme="minorHAnsi"/>
          <w:sz w:val="24"/>
          <w:szCs w:val="24"/>
        </w:rPr>
        <w:t>Syddall</w:t>
      </w:r>
      <w:r>
        <w:rPr>
          <w:rFonts w:cstheme="minorHAnsi"/>
          <w:sz w:val="24"/>
          <w:szCs w:val="24"/>
        </w:rPr>
        <w:t xml:space="preserve"> HE</w:t>
      </w:r>
      <w:r w:rsidRPr="00D174D0">
        <w:rPr>
          <w:rFonts w:cstheme="minorHAnsi"/>
          <w:sz w:val="24"/>
          <w:szCs w:val="24"/>
        </w:rPr>
        <w:t>, Westbury</w:t>
      </w:r>
      <w:r>
        <w:rPr>
          <w:rFonts w:cstheme="minorHAnsi"/>
          <w:sz w:val="24"/>
          <w:szCs w:val="24"/>
        </w:rPr>
        <w:t xml:space="preserve"> LD</w:t>
      </w:r>
      <w:r w:rsidRPr="00D174D0">
        <w:rPr>
          <w:rFonts w:cstheme="minorHAnsi"/>
          <w:sz w:val="24"/>
          <w:szCs w:val="24"/>
        </w:rPr>
        <w:t>, Dodds</w:t>
      </w:r>
      <w:r>
        <w:rPr>
          <w:rFonts w:cstheme="minorHAnsi"/>
          <w:sz w:val="24"/>
          <w:szCs w:val="24"/>
        </w:rPr>
        <w:t xml:space="preserve"> R</w:t>
      </w:r>
      <w:r w:rsidRPr="00D174D0">
        <w:rPr>
          <w:rFonts w:cstheme="minorHAnsi"/>
          <w:sz w:val="24"/>
          <w:szCs w:val="24"/>
        </w:rPr>
        <w:t>, Dennison</w:t>
      </w:r>
      <w:r>
        <w:rPr>
          <w:rFonts w:cstheme="minorHAnsi"/>
          <w:sz w:val="24"/>
          <w:szCs w:val="24"/>
        </w:rPr>
        <w:t xml:space="preserve"> E</w:t>
      </w:r>
      <w:r w:rsidRPr="00D174D0">
        <w:rPr>
          <w:rFonts w:cstheme="minorHAnsi"/>
          <w:sz w:val="24"/>
          <w:szCs w:val="24"/>
        </w:rPr>
        <w:t>, Cooper</w:t>
      </w:r>
      <w:r>
        <w:rPr>
          <w:rFonts w:cstheme="minorHAnsi"/>
          <w:sz w:val="24"/>
          <w:szCs w:val="24"/>
        </w:rPr>
        <w:t xml:space="preserve"> C</w:t>
      </w:r>
      <w:r w:rsidRPr="00D174D0">
        <w:rPr>
          <w:rFonts w:cstheme="minorHAnsi"/>
          <w:sz w:val="24"/>
          <w:szCs w:val="24"/>
        </w:rPr>
        <w:t xml:space="preserve">, Sayer </w:t>
      </w:r>
      <w:r>
        <w:rPr>
          <w:rFonts w:cstheme="minorHAnsi"/>
          <w:sz w:val="24"/>
          <w:szCs w:val="24"/>
        </w:rPr>
        <w:t xml:space="preserve">AA. </w:t>
      </w:r>
      <w:r w:rsidRPr="00D174D0">
        <w:rPr>
          <w:rFonts w:cstheme="minorHAnsi"/>
          <w:sz w:val="24"/>
          <w:szCs w:val="24"/>
        </w:rPr>
        <w:t>Mortality in the Hertfordshire Ageing Study: association with level and loss of hand grip strength in later life</w:t>
      </w:r>
      <w:r>
        <w:rPr>
          <w:rFonts w:cstheme="minorHAnsi"/>
          <w:sz w:val="24"/>
          <w:szCs w:val="24"/>
        </w:rPr>
        <w:t>.</w:t>
      </w:r>
      <w:r w:rsidRPr="00D174D0">
        <w:t xml:space="preserve"> </w:t>
      </w:r>
      <w:r w:rsidRPr="00D174D0">
        <w:rPr>
          <w:rFonts w:cstheme="minorHAnsi"/>
          <w:sz w:val="24"/>
          <w:szCs w:val="24"/>
        </w:rPr>
        <w:t>Age and Ageing, Volume 46, Issue 3, May 2017, Pages 407–412, https://doi.org/10.1093/ageing/afw222</w:t>
      </w:r>
    </w:p>
    <w:p w14:paraId="7A650788" w14:textId="5BFBCED2"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Syddall HE, Simmonds SJ, Martin HJ, Watson C, Dennison EM, Cooper C, Sayer AA, Hertfordshire Cohort Study Group. Cohort profile: The hertfordshire ageing study (HAS). International journal of epidemiology. 2010 Feb 1;39(1):36-43. doi: 10.1093/ije/dyn275. </w:t>
      </w:r>
    </w:p>
    <w:p w14:paraId="10DEE1AC"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 xml:space="preserve">Veltman EM, Lamers F, Comijs HC, Stek ML, Van Der Mast RC, Rhebergen D. Inflammatory markers and cortisol parameters across depressive subtypes in an older cohort. Journal of affective disorders. 2018 Jul 1;234:54-8. doi: 10.1016/j.jad.2018.02.080.  </w:t>
      </w:r>
    </w:p>
    <w:p w14:paraId="5184414D" w14:textId="77777777" w:rsidR="00A65623" w:rsidRPr="00A65623"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Ware Jr JE, Gandek B. Overview of the SF-36 health survey and the international quality of life assessment (IQOLA) project. Journal of clinical epidemiology. 1998 Nov 1;51(11):903-12. doi: 10.1016/s0895-4356(98)00081-x.</w:t>
      </w:r>
    </w:p>
    <w:p w14:paraId="19028B37" w14:textId="0F9AE1D3" w:rsidR="00FA5905" w:rsidRDefault="00FA5905" w:rsidP="00A65623">
      <w:pPr>
        <w:spacing w:before="100" w:beforeAutospacing="1" w:after="100" w:afterAutospacing="1" w:line="240" w:lineRule="auto"/>
        <w:rPr>
          <w:rFonts w:cstheme="minorHAnsi"/>
          <w:sz w:val="24"/>
          <w:szCs w:val="24"/>
        </w:rPr>
      </w:pPr>
      <w:r w:rsidRPr="00FA5905">
        <w:rPr>
          <w:rFonts w:cstheme="minorHAnsi"/>
          <w:sz w:val="24"/>
          <w:szCs w:val="24"/>
        </w:rPr>
        <w:t>Wium-Andersen MK, Ørsted DD, Nielsen SF, Nordestgaard BG. Elevated C-Reactive Protein Levels, Psychological Distress, and Depression in 73 131 Individuals. JAMA Psychiatry. 2013;70(2):176–184. doi:10.1001/2013.jamapsychiatry.102</w:t>
      </w:r>
    </w:p>
    <w:p w14:paraId="32EBFEE4" w14:textId="77777777" w:rsidR="00793CFF" w:rsidRDefault="00793CFF" w:rsidP="00A65623">
      <w:pPr>
        <w:spacing w:before="100" w:beforeAutospacing="1" w:after="100" w:afterAutospacing="1" w:line="240" w:lineRule="auto"/>
        <w:rPr>
          <w:rFonts w:cstheme="minorHAnsi"/>
          <w:sz w:val="24"/>
          <w:szCs w:val="24"/>
        </w:rPr>
      </w:pPr>
    </w:p>
    <w:p w14:paraId="2B394F99" w14:textId="6DB03150" w:rsidR="00793CFF" w:rsidRDefault="00793CFF" w:rsidP="00793CFF">
      <w:pPr>
        <w:spacing w:before="100" w:beforeAutospacing="1" w:after="100" w:afterAutospacing="1" w:line="240" w:lineRule="auto"/>
        <w:rPr>
          <w:rFonts w:cstheme="minorHAnsi"/>
          <w:sz w:val="24"/>
          <w:szCs w:val="24"/>
        </w:rPr>
      </w:pPr>
      <w:r w:rsidRPr="00793CFF">
        <w:rPr>
          <w:rFonts w:cstheme="minorHAnsi"/>
          <w:sz w:val="24"/>
          <w:szCs w:val="24"/>
        </w:rPr>
        <w:t>Yehuda</w:t>
      </w:r>
      <w:r>
        <w:rPr>
          <w:rFonts w:cstheme="minorHAnsi"/>
          <w:sz w:val="24"/>
          <w:szCs w:val="24"/>
        </w:rPr>
        <w:t xml:space="preserve"> R. </w:t>
      </w:r>
      <w:r w:rsidRPr="00793CFF">
        <w:rPr>
          <w:rFonts w:cstheme="minorHAnsi"/>
          <w:sz w:val="24"/>
          <w:szCs w:val="24"/>
        </w:rPr>
        <w:t>Sensitization of the hypothalamic-pituitary-adrenal axis in posttraumatic stress disorder</w:t>
      </w:r>
      <w:r>
        <w:rPr>
          <w:rFonts w:cstheme="minorHAnsi"/>
          <w:sz w:val="24"/>
          <w:szCs w:val="24"/>
        </w:rPr>
        <w:t xml:space="preserve">. </w:t>
      </w:r>
      <w:r w:rsidRPr="00793CFF">
        <w:rPr>
          <w:rFonts w:cstheme="minorHAnsi"/>
          <w:sz w:val="24"/>
          <w:szCs w:val="24"/>
        </w:rPr>
        <w:t xml:space="preserve">Ann. NY Acad. Sci., </w:t>
      </w:r>
      <w:r>
        <w:rPr>
          <w:rFonts w:cstheme="minorHAnsi"/>
          <w:sz w:val="24"/>
          <w:szCs w:val="24"/>
        </w:rPr>
        <w:t xml:space="preserve">1997; </w:t>
      </w:r>
      <w:r w:rsidRPr="00793CFF">
        <w:rPr>
          <w:rFonts w:cstheme="minorHAnsi"/>
          <w:sz w:val="24"/>
          <w:szCs w:val="24"/>
        </w:rPr>
        <w:t>821</w:t>
      </w:r>
      <w:r>
        <w:rPr>
          <w:rFonts w:cstheme="minorHAnsi"/>
          <w:sz w:val="24"/>
          <w:szCs w:val="24"/>
        </w:rPr>
        <w:t>:</w:t>
      </w:r>
      <w:r w:rsidRPr="00793CFF">
        <w:rPr>
          <w:rFonts w:cstheme="minorHAnsi"/>
          <w:sz w:val="24"/>
          <w:szCs w:val="24"/>
        </w:rPr>
        <w:t>57-75</w:t>
      </w:r>
    </w:p>
    <w:p w14:paraId="1B60BEBA" w14:textId="66A385C8" w:rsidR="00B37915" w:rsidRDefault="00B37915" w:rsidP="00793CFF">
      <w:pPr>
        <w:spacing w:before="100" w:beforeAutospacing="1" w:after="100" w:afterAutospacing="1" w:line="240" w:lineRule="auto"/>
        <w:rPr>
          <w:rFonts w:cstheme="minorHAnsi"/>
          <w:sz w:val="24"/>
          <w:szCs w:val="24"/>
        </w:rPr>
      </w:pPr>
      <w:r w:rsidRPr="00B37915">
        <w:rPr>
          <w:rFonts w:cstheme="minorHAnsi"/>
          <w:sz w:val="24"/>
          <w:szCs w:val="24"/>
        </w:rPr>
        <w:t xml:space="preserve">Yehuda R, Seckl J. Minireview: Stress-related psychiatric disorders with low cortisol levels: a metabolic hypothesis. Endocrinology. 2011;152:4496-503. doi: 10.1210/en.2011-1218. </w:t>
      </w:r>
    </w:p>
    <w:p w14:paraId="29E99E06" w14:textId="229E3A8F" w:rsidR="003718DE" w:rsidRDefault="00A65623" w:rsidP="00A65623">
      <w:pPr>
        <w:spacing w:before="100" w:beforeAutospacing="1" w:after="100" w:afterAutospacing="1" w:line="240" w:lineRule="auto"/>
        <w:rPr>
          <w:rFonts w:cstheme="minorHAnsi"/>
          <w:sz w:val="24"/>
          <w:szCs w:val="24"/>
        </w:rPr>
      </w:pPr>
      <w:r w:rsidRPr="00A65623">
        <w:rPr>
          <w:rFonts w:cstheme="minorHAnsi"/>
          <w:sz w:val="24"/>
          <w:szCs w:val="24"/>
        </w:rPr>
        <w:t>Zigmond AS, Snaith RP. The hospital anxiety and depression scale. Acta psychiatrica scandinavica. 1983 Jun;67(6):361-70. doi: 10.1111/j.1600-0447.1983.tb09716.x.</w:t>
      </w:r>
    </w:p>
    <w:p w14:paraId="5480EB84" w14:textId="70D81086" w:rsidR="00A65623" w:rsidRDefault="00A65623" w:rsidP="00A65623">
      <w:pPr>
        <w:spacing w:before="100" w:beforeAutospacing="1" w:after="100" w:afterAutospacing="1" w:line="240" w:lineRule="auto"/>
        <w:rPr>
          <w:rFonts w:cstheme="minorHAnsi"/>
          <w:sz w:val="24"/>
          <w:szCs w:val="24"/>
        </w:rPr>
      </w:pPr>
    </w:p>
    <w:p w14:paraId="2BFEE243" w14:textId="40E93B2B" w:rsidR="00A65623" w:rsidRDefault="00A65623" w:rsidP="00A65623">
      <w:pPr>
        <w:spacing w:before="100" w:beforeAutospacing="1" w:after="100" w:afterAutospacing="1" w:line="240" w:lineRule="auto"/>
        <w:rPr>
          <w:rFonts w:cstheme="minorHAnsi"/>
          <w:sz w:val="24"/>
          <w:szCs w:val="24"/>
        </w:rPr>
      </w:pPr>
    </w:p>
    <w:p w14:paraId="4E8FC8D9" w14:textId="7D18F9B4" w:rsidR="00CF0798" w:rsidRDefault="00CF0798" w:rsidP="00A65623">
      <w:pPr>
        <w:spacing w:before="100" w:beforeAutospacing="1" w:after="100" w:afterAutospacing="1" w:line="240" w:lineRule="auto"/>
        <w:rPr>
          <w:rFonts w:cstheme="minorHAnsi"/>
          <w:sz w:val="24"/>
          <w:szCs w:val="24"/>
        </w:rPr>
      </w:pPr>
    </w:p>
    <w:p w14:paraId="42307C88" w14:textId="592636E9" w:rsidR="00CF0798" w:rsidRDefault="00CF0798" w:rsidP="00A65623">
      <w:pPr>
        <w:spacing w:before="100" w:beforeAutospacing="1" w:after="100" w:afterAutospacing="1" w:line="240" w:lineRule="auto"/>
        <w:rPr>
          <w:rFonts w:cstheme="minorHAnsi"/>
          <w:sz w:val="24"/>
          <w:szCs w:val="24"/>
        </w:rPr>
      </w:pPr>
    </w:p>
    <w:p w14:paraId="2A1569C1" w14:textId="1286D42D" w:rsidR="00CF0798" w:rsidRDefault="00CF0798" w:rsidP="00A65623">
      <w:pPr>
        <w:spacing w:before="100" w:beforeAutospacing="1" w:after="100" w:afterAutospacing="1" w:line="240" w:lineRule="auto"/>
        <w:rPr>
          <w:rFonts w:cstheme="minorHAnsi"/>
          <w:sz w:val="24"/>
          <w:szCs w:val="24"/>
        </w:rPr>
      </w:pPr>
    </w:p>
    <w:p w14:paraId="59868BA0" w14:textId="19A76BB1" w:rsidR="00CF0798" w:rsidRDefault="00CF0798" w:rsidP="00A65623">
      <w:pPr>
        <w:spacing w:before="100" w:beforeAutospacing="1" w:after="100" w:afterAutospacing="1" w:line="240" w:lineRule="auto"/>
        <w:rPr>
          <w:rFonts w:cstheme="minorHAnsi"/>
          <w:sz w:val="24"/>
          <w:szCs w:val="24"/>
        </w:rPr>
      </w:pPr>
    </w:p>
    <w:p w14:paraId="46DB34BA" w14:textId="62828BB9" w:rsidR="00CF0798" w:rsidRDefault="00CF0798" w:rsidP="00A65623">
      <w:pPr>
        <w:spacing w:before="100" w:beforeAutospacing="1" w:after="100" w:afterAutospacing="1" w:line="240" w:lineRule="auto"/>
        <w:rPr>
          <w:rFonts w:cstheme="minorHAnsi"/>
          <w:sz w:val="24"/>
          <w:szCs w:val="24"/>
        </w:rPr>
      </w:pPr>
    </w:p>
    <w:p w14:paraId="45373556" w14:textId="72060B1E" w:rsidR="00CF0798" w:rsidRDefault="00CF0798" w:rsidP="00A65623">
      <w:pPr>
        <w:spacing w:before="100" w:beforeAutospacing="1" w:after="100" w:afterAutospacing="1" w:line="240" w:lineRule="auto"/>
        <w:rPr>
          <w:rFonts w:cstheme="minorHAnsi"/>
          <w:sz w:val="24"/>
          <w:szCs w:val="24"/>
        </w:rPr>
      </w:pPr>
    </w:p>
    <w:p w14:paraId="6CE566CC" w14:textId="37A58557" w:rsidR="00CF0798" w:rsidRDefault="00CF0798" w:rsidP="00A65623">
      <w:pPr>
        <w:spacing w:before="100" w:beforeAutospacing="1" w:after="100" w:afterAutospacing="1" w:line="240" w:lineRule="auto"/>
        <w:rPr>
          <w:rFonts w:cstheme="minorHAnsi"/>
          <w:sz w:val="24"/>
          <w:szCs w:val="24"/>
        </w:rPr>
      </w:pPr>
    </w:p>
    <w:p w14:paraId="63F91D5D" w14:textId="66E872EB" w:rsidR="00CF0798" w:rsidRDefault="00CF0798" w:rsidP="00A65623">
      <w:pPr>
        <w:spacing w:before="100" w:beforeAutospacing="1" w:after="100" w:afterAutospacing="1" w:line="240" w:lineRule="auto"/>
        <w:rPr>
          <w:rFonts w:cstheme="minorHAnsi"/>
          <w:sz w:val="24"/>
          <w:szCs w:val="24"/>
        </w:rPr>
      </w:pPr>
    </w:p>
    <w:p w14:paraId="7E8D7E0E" w14:textId="1529D361" w:rsidR="00CF0798" w:rsidRDefault="00CF0798" w:rsidP="00A65623">
      <w:pPr>
        <w:spacing w:before="100" w:beforeAutospacing="1" w:after="100" w:afterAutospacing="1" w:line="240" w:lineRule="auto"/>
        <w:rPr>
          <w:rFonts w:cstheme="minorHAnsi"/>
          <w:sz w:val="24"/>
          <w:szCs w:val="24"/>
        </w:rPr>
      </w:pPr>
    </w:p>
    <w:p w14:paraId="009EE01F" w14:textId="6A08BB5C" w:rsidR="00CF0798" w:rsidRDefault="00CF0798" w:rsidP="00A65623">
      <w:pPr>
        <w:spacing w:before="100" w:beforeAutospacing="1" w:after="100" w:afterAutospacing="1" w:line="240" w:lineRule="auto"/>
        <w:rPr>
          <w:rFonts w:cstheme="minorHAnsi"/>
          <w:sz w:val="24"/>
          <w:szCs w:val="24"/>
        </w:rPr>
      </w:pPr>
    </w:p>
    <w:p w14:paraId="6C0897CE" w14:textId="20B4A7E8" w:rsidR="00CF0798" w:rsidRDefault="00CF0798" w:rsidP="00A65623">
      <w:pPr>
        <w:spacing w:before="100" w:beforeAutospacing="1" w:after="100" w:afterAutospacing="1" w:line="240" w:lineRule="auto"/>
        <w:rPr>
          <w:rFonts w:cstheme="minorHAnsi"/>
          <w:sz w:val="24"/>
          <w:szCs w:val="24"/>
        </w:rPr>
      </w:pPr>
    </w:p>
    <w:p w14:paraId="4D9A42AD" w14:textId="31FCC70F" w:rsidR="00CF0798" w:rsidRDefault="00CF0798" w:rsidP="00A65623">
      <w:pPr>
        <w:spacing w:before="100" w:beforeAutospacing="1" w:after="100" w:afterAutospacing="1" w:line="240" w:lineRule="auto"/>
        <w:rPr>
          <w:rFonts w:cstheme="minorHAnsi"/>
          <w:sz w:val="24"/>
          <w:szCs w:val="24"/>
        </w:rPr>
      </w:pPr>
    </w:p>
    <w:p w14:paraId="496D469E" w14:textId="003AEFC6" w:rsidR="00CF0798" w:rsidRDefault="00CF0798" w:rsidP="00A65623">
      <w:pPr>
        <w:spacing w:before="100" w:beforeAutospacing="1" w:after="100" w:afterAutospacing="1" w:line="240" w:lineRule="auto"/>
        <w:rPr>
          <w:rFonts w:cstheme="minorHAnsi"/>
          <w:sz w:val="24"/>
          <w:szCs w:val="24"/>
        </w:rPr>
      </w:pPr>
    </w:p>
    <w:p w14:paraId="700D2045" w14:textId="429BF0C0" w:rsidR="00CF0798" w:rsidRDefault="00CF0798" w:rsidP="00A65623">
      <w:pPr>
        <w:spacing w:before="100" w:beforeAutospacing="1" w:after="100" w:afterAutospacing="1" w:line="240" w:lineRule="auto"/>
        <w:rPr>
          <w:rFonts w:cstheme="minorHAnsi"/>
          <w:sz w:val="24"/>
          <w:szCs w:val="24"/>
        </w:rPr>
      </w:pPr>
    </w:p>
    <w:p w14:paraId="736FDD5F" w14:textId="77777777" w:rsidR="00CF0798" w:rsidRDefault="00CF0798" w:rsidP="00A65623">
      <w:pPr>
        <w:spacing w:before="100" w:beforeAutospacing="1" w:after="100" w:afterAutospacing="1" w:line="240" w:lineRule="auto"/>
        <w:rPr>
          <w:rFonts w:cstheme="minorHAnsi"/>
          <w:sz w:val="24"/>
          <w:szCs w:val="24"/>
        </w:rPr>
      </w:pPr>
    </w:p>
    <w:p w14:paraId="2AEEA226" w14:textId="77777777" w:rsidR="00A65623" w:rsidRPr="00A65623" w:rsidRDefault="00A65623" w:rsidP="00A65623">
      <w:pPr>
        <w:spacing w:before="100" w:beforeAutospacing="1" w:after="100" w:afterAutospacing="1" w:line="240" w:lineRule="auto"/>
        <w:rPr>
          <w:rFonts w:cstheme="minorHAnsi"/>
          <w:sz w:val="24"/>
          <w:szCs w:val="24"/>
        </w:rPr>
      </w:pPr>
    </w:p>
    <w:tbl>
      <w:tblPr>
        <w:tblW w:w="7938" w:type="dxa"/>
        <w:tblLayout w:type="fixed"/>
        <w:tblLook w:val="04A0" w:firstRow="1" w:lastRow="0" w:firstColumn="1" w:lastColumn="0" w:noHBand="0" w:noVBand="1"/>
      </w:tblPr>
      <w:tblGrid>
        <w:gridCol w:w="3119"/>
        <w:gridCol w:w="2126"/>
        <w:gridCol w:w="1985"/>
        <w:gridCol w:w="708"/>
      </w:tblGrid>
      <w:tr w:rsidR="0056022F" w:rsidRPr="007701A3" w14:paraId="5A76B604" w14:textId="77777777" w:rsidTr="0056022F">
        <w:trPr>
          <w:trHeight w:val="215"/>
        </w:trPr>
        <w:tc>
          <w:tcPr>
            <w:tcW w:w="7938" w:type="dxa"/>
            <w:gridSpan w:val="4"/>
            <w:tcBorders>
              <w:top w:val="nil"/>
              <w:left w:val="nil"/>
              <w:bottom w:val="nil"/>
              <w:right w:val="nil"/>
            </w:tcBorders>
            <w:shd w:val="clear" w:color="auto" w:fill="auto"/>
            <w:noWrap/>
            <w:vAlign w:val="center"/>
            <w:hideMark/>
          </w:tcPr>
          <w:p w14:paraId="4E785514" w14:textId="77777777" w:rsidR="008904C4" w:rsidRDefault="008904C4" w:rsidP="0056022F">
            <w:pPr>
              <w:spacing w:after="0" w:line="240" w:lineRule="auto"/>
              <w:rPr>
                <w:rFonts w:eastAsia="Times New Roman" w:cstheme="minorHAnsi"/>
                <w:b/>
                <w:bCs/>
                <w:sz w:val="20"/>
                <w:szCs w:val="20"/>
                <w:lang w:eastAsia="en-GB"/>
              </w:rPr>
            </w:pPr>
          </w:p>
          <w:p w14:paraId="418D07F2" w14:textId="3142104E"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b/>
                <w:bCs/>
                <w:sz w:val="20"/>
                <w:szCs w:val="20"/>
                <w:lang w:eastAsia="en-GB"/>
              </w:rPr>
              <w:t>Table 1: Descriptive statistics of the analysis sample</w:t>
            </w:r>
          </w:p>
        </w:tc>
      </w:tr>
      <w:tr w:rsidR="0056022F" w:rsidRPr="007701A3" w14:paraId="04062E20" w14:textId="77777777" w:rsidTr="0056022F">
        <w:trPr>
          <w:trHeight w:val="215"/>
        </w:trPr>
        <w:tc>
          <w:tcPr>
            <w:tcW w:w="3119" w:type="dxa"/>
            <w:tcBorders>
              <w:top w:val="nil"/>
              <w:left w:val="nil"/>
              <w:bottom w:val="single" w:sz="4" w:space="0" w:color="auto"/>
              <w:right w:val="nil"/>
            </w:tcBorders>
            <w:shd w:val="clear" w:color="auto" w:fill="auto"/>
            <w:noWrap/>
            <w:vAlign w:val="center"/>
            <w:hideMark/>
          </w:tcPr>
          <w:p w14:paraId="17318EE6"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2126" w:type="dxa"/>
            <w:tcBorders>
              <w:top w:val="nil"/>
              <w:left w:val="nil"/>
              <w:bottom w:val="single" w:sz="4" w:space="0" w:color="auto"/>
              <w:right w:val="nil"/>
            </w:tcBorders>
            <w:shd w:val="clear" w:color="auto" w:fill="auto"/>
            <w:noWrap/>
            <w:vAlign w:val="center"/>
            <w:hideMark/>
          </w:tcPr>
          <w:p w14:paraId="6343C00E"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1985" w:type="dxa"/>
            <w:tcBorders>
              <w:top w:val="nil"/>
              <w:left w:val="nil"/>
              <w:bottom w:val="single" w:sz="4" w:space="0" w:color="auto"/>
              <w:right w:val="nil"/>
            </w:tcBorders>
            <w:shd w:val="clear" w:color="auto" w:fill="auto"/>
            <w:noWrap/>
            <w:vAlign w:val="center"/>
            <w:hideMark/>
          </w:tcPr>
          <w:p w14:paraId="392BC343"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708" w:type="dxa"/>
            <w:tcBorders>
              <w:top w:val="nil"/>
              <w:left w:val="nil"/>
              <w:bottom w:val="single" w:sz="4" w:space="0" w:color="auto"/>
              <w:right w:val="nil"/>
            </w:tcBorders>
            <w:shd w:val="clear" w:color="auto" w:fill="auto"/>
            <w:noWrap/>
            <w:vAlign w:val="center"/>
            <w:hideMark/>
          </w:tcPr>
          <w:p w14:paraId="5EEEA393" w14:textId="77777777" w:rsidR="0056022F" w:rsidRPr="007701A3" w:rsidRDefault="0056022F" w:rsidP="0056022F">
            <w:pPr>
              <w:spacing w:after="0" w:line="240" w:lineRule="auto"/>
              <w:jc w:val="center"/>
              <w:rPr>
                <w:rFonts w:eastAsia="Times New Roman" w:cstheme="minorHAnsi"/>
                <w:sz w:val="20"/>
                <w:szCs w:val="20"/>
                <w:lang w:eastAsia="en-GB"/>
              </w:rPr>
            </w:pPr>
          </w:p>
        </w:tc>
      </w:tr>
      <w:tr w:rsidR="0056022F" w:rsidRPr="007701A3" w14:paraId="4BDCA8F9" w14:textId="77777777" w:rsidTr="0056022F">
        <w:trPr>
          <w:trHeight w:val="450"/>
        </w:trPr>
        <w:tc>
          <w:tcPr>
            <w:tcW w:w="3119" w:type="dxa"/>
            <w:vMerge w:val="restart"/>
            <w:tcBorders>
              <w:top w:val="single" w:sz="4" w:space="0" w:color="auto"/>
              <w:bottom w:val="single" w:sz="4" w:space="0" w:color="auto"/>
            </w:tcBorders>
            <w:shd w:val="clear" w:color="auto" w:fill="auto"/>
            <w:vAlign w:val="center"/>
            <w:hideMark/>
          </w:tcPr>
          <w:p w14:paraId="7C242E6E" w14:textId="1BB8233B" w:rsidR="0056022F" w:rsidRPr="007701A3" w:rsidRDefault="0056022F" w:rsidP="0056022F">
            <w:pPr>
              <w:spacing w:after="0" w:line="240" w:lineRule="auto"/>
              <w:rPr>
                <w:rFonts w:eastAsia="Times New Roman" w:cstheme="minorHAnsi"/>
                <w:b/>
                <w:bCs/>
                <w:sz w:val="20"/>
                <w:szCs w:val="20"/>
                <w:lang w:eastAsia="en-GB"/>
              </w:rPr>
            </w:pPr>
            <w:r w:rsidRPr="007701A3">
              <w:rPr>
                <w:rFonts w:eastAsia="Times New Roman" w:cstheme="minorHAnsi"/>
                <w:b/>
                <w:bCs/>
                <w:sz w:val="20"/>
                <w:szCs w:val="20"/>
                <w:lang w:eastAsia="en-GB"/>
              </w:rPr>
              <w:t>Characteristic [</w:t>
            </w:r>
            <w:r w:rsidR="00752E36">
              <w:rPr>
                <w:rFonts w:eastAsia="Times New Roman" w:cstheme="minorHAnsi"/>
                <w:b/>
                <w:bCs/>
                <w:sz w:val="20"/>
                <w:szCs w:val="20"/>
                <w:lang w:eastAsia="en-GB"/>
              </w:rPr>
              <w:t xml:space="preserve">Mean (SD), </w:t>
            </w:r>
            <w:r w:rsidRPr="007701A3">
              <w:rPr>
                <w:rFonts w:eastAsia="Times New Roman" w:cstheme="minorHAnsi"/>
                <w:b/>
                <w:bCs/>
                <w:sz w:val="20"/>
                <w:szCs w:val="20"/>
                <w:lang w:eastAsia="en-GB"/>
              </w:rPr>
              <w:t>Median (lower quartile, upper quartile) or N(%)]</w:t>
            </w:r>
          </w:p>
        </w:tc>
        <w:tc>
          <w:tcPr>
            <w:tcW w:w="2126" w:type="dxa"/>
            <w:vMerge w:val="restart"/>
            <w:tcBorders>
              <w:top w:val="single" w:sz="4" w:space="0" w:color="auto"/>
              <w:bottom w:val="single" w:sz="4" w:space="0" w:color="auto"/>
            </w:tcBorders>
            <w:shd w:val="clear" w:color="auto" w:fill="auto"/>
            <w:vAlign w:val="center"/>
            <w:hideMark/>
          </w:tcPr>
          <w:p w14:paraId="131623A1" w14:textId="77777777" w:rsidR="0056022F" w:rsidRPr="007701A3" w:rsidRDefault="0056022F" w:rsidP="0056022F">
            <w:pPr>
              <w:spacing w:after="0" w:line="240" w:lineRule="auto"/>
              <w:rPr>
                <w:rFonts w:eastAsia="Times New Roman" w:cstheme="minorHAnsi"/>
                <w:b/>
                <w:bCs/>
                <w:sz w:val="20"/>
                <w:szCs w:val="20"/>
                <w:lang w:eastAsia="en-GB"/>
              </w:rPr>
            </w:pPr>
            <w:r w:rsidRPr="007701A3">
              <w:rPr>
                <w:rFonts w:eastAsia="Times New Roman" w:cstheme="minorHAnsi"/>
                <w:b/>
                <w:bCs/>
                <w:sz w:val="20"/>
                <w:szCs w:val="20"/>
                <w:lang w:eastAsia="en-GB"/>
              </w:rPr>
              <w:t>Men (n=200)</w:t>
            </w:r>
          </w:p>
        </w:tc>
        <w:tc>
          <w:tcPr>
            <w:tcW w:w="1985" w:type="dxa"/>
            <w:vMerge w:val="restart"/>
            <w:tcBorders>
              <w:top w:val="single" w:sz="4" w:space="0" w:color="auto"/>
              <w:bottom w:val="single" w:sz="4" w:space="0" w:color="auto"/>
            </w:tcBorders>
            <w:shd w:val="clear" w:color="auto" w:fill="auto"/>
            <w:vAlign w:val="center"/>
            <w:hideMark/>
          </w:tcPr>
          <w:p w14:paraId="5361A018" w14:textId="77777777" w:rsidR="0056022F" w:rsidRPr="007701A3" w:rsidRDefault="0056022F" w:rsidP="0056022F">
            <w:pPr>
              <w:spacing w:after="0" w:line="240" w:lineRule="auto"/>
              <w:rPr>
                <w:rFonts w:eastAsia="Times New Roman" w:cstheme="minorHAnsi"/>
                <w:b/>
                <w:bCs/>
                <w:sz w:val="20"/>
                <w:szCs w:val="20"/>
                <w:lang w:eastAsia="en-GB"/>
              </w:rPr>
            </w:pPr>
            <w:r w:rsidRPr="007701A3">
              <w:rPr>
                <w:rFonts w:eastAsia="Times New Roman" w:cstheme="minorHAnsi"/>
                <w:b/>
                <w:bCs/>
                <w:sz w:val="20"/>
                <w:szCs w:val="20"/>
                <w:lang w:eastAsia="en-GB"/>
              </w:rPr>
              <w:t>Women (n=147)</w:t>
            </w:r>
          </w:p>
        </w:tc>
        <w:tc>
          <w:tcPr>
            <w:tcW w:w="708" w:type="dxa"/>
            <w:vMerge w:val="restart"/>
            <w:tcBorders>
              <w:top w:val="single" w:sz="4" w:space="0" w:color="auto"/>
              <w:bottom w:val="single" w:sz="4" w:space="0" w:color="auto"/>
            </w:tcBorders>
            <w:shd w:val="clear" w:color="auto" w:fill="auto"/>
            <w:vAlign w:val="center"/>
            <w:hideMark/>
          </w:tcPr>
          <w:p w14:paraId="634792EE" w14:textId="77777777" w:rsidR="0056022F" w:rsidRPr="007701A3" w:rsidRDefault="0056022F" w:rsidP="0056022F">
            <w:pPr>
              <w:spacing w:after="0" w:line="240" w:lineRule="auto"/>
              <w:rPr>
                <w:rFonts w:eastAsia="Times New Roman" w:cstheme="minorHAnsi"/>
                <w:b/>
                <w:bCs/>
                <w:sz w:val="20"/>
                <w:szCs w:val="20"/>
                <w:lang w:eastAsia="en-GB"/>
              </w:rPr>
            </w:pPr>
            <w:r w:rsidRPr="007701A3">
              <w:rPr>
                <w:rFonts w:eastAsia="Times New Roman" w:cstheme="minorHAnsi"/>
                <w:b/>
                <w:bCs/>
                <w:sz w:val="20"/>
                <w:szCs w:val="20"/>
                <w:lang w:eastAsia="en-GB"/>
              </w:rPr>
              <w:t>Obs</w:t>
            </w:r>
          </w:p>
        </w:tc>
      </w:tr>
      <w:tr w:rsidR="0056022F" w:rsidRPr="007701A3" w14:paraId="72DDB2DF" w14:textId="77777777" w:rsidTr="00110AC6">
        <w:trPr>
          <w:trHeight w:val="450"/>
        </w:trPr>
        <w:tc>
          <w:tcPr>
            <w:tcW w:w="3119" w:type="dxa"/>
            <w:vMerge/>
            <w:tcBorders>
              <w:bottom w:val="single" w:sz="4" w:space="0" w:color="auto"/>
            </w:tcBorders>
            <w:vAlign w:val="center"/>
            <w:hideMark/>
          </w:tcPr>
          <w:p w14:paraId="6B4B439A" w14:textId="77777777" w:rsidR="0056022F" w:rsidRPr="007701A3" w:rsidRDefault="0056022F" w:rsidP="0056022F">
            <w:pPr>
              <w:spacing w:after="0" w:line="240" w:lineRule="auto"/>
              <w:jc w:val="center"/>
              <w:rPr>
                <w:rFonts w:eastAsia="Times New Roman" w:cstheme="minorHAnsi"/>
                <w:b/>
                <w:bCs/>
                <w:sz w:val="20"/>
                <w:szCs w:val="20"/>
                <w:lang w:eastAsia="en-GB"/>
              </w:rPr>
            </w:pPr>
          </w:p>
        </w:tc>
        <w:tc>
          <w:tcPr>
            <w:tcW w:w="2126" w:type="dxa"/>
            <w:vMerge/>
            <w:tcBorders>
              <w:bottom w:val="single" w:sz="4" w:space="0" w:color="auto"/>
            </w:tcBorders>
            <w:vAlign w:val="center"/>
            <w:hideMark/>
          </w:tcPr>
          <w:p w14:paraId="416D6168" w14:textId="77777777" w:rsidR="0056022F" w:rsidRPr="007701A3" w:rsidRDefault="0056022F" w:rsidP="0056022F">
            <w:pPr>
              <w:spacing w:after="0" w:line="240" w:lineRule="auto"/>
              <w:rPr>
                <w:rFonts w:eastAsia="Times New Roman" w:cstheme="minorHAnsi"/>
                <w:b/>
                <w:bCs/>
                <w:sz w:val="20"/>
                <w:szCs w:val="20"/>
                <w:lang w:eastAsia="en-GB"/>
              </w:rPr>
            </w:pPr>
          </w:p>
        </w:tc>
        <w:tc>
          <w:tcPr>
            <w:tcW w:w="1985" w:type="dxa"/>
            <w:vMerge/>
            <w:tcBorders>
              <w:bottom w:val="single" w:sz="4" w:space="0" w:color="auto"/>
            </w:tcBorders>
            <w:vAlign w:val="center"/>
            <w:hideMark/>
          </w:tcPr>
          <w:p w14:paraId="1C3EB35E" w14:textId="77777777" w:rsidR="0056022F" w:rsidRPr="007701A3" w:rsidRDefault="0056022F" w:rsidP="0056022F">
            <w:pPr>
              <w:spacing w:after="0" w:line="240" w:lineRule="auto"/>
              <w:rPr>
                <w:rFonts w:eastAsia="Times New Roman" w:cstheme="minorHAnsi"/>
                <w:b/>
                <w:bCs/>
                <w:sz w:val="20"/>
                <w:szCs w:val="20"/>
                <w:lang w:eastAsia="en-GB"/>
              </w:rPr>
            </w:pPr>
          </w:p>
        </w:tc>
        <w:tc>
          <w:tcPr>
            <w:tcW w:w="708" w:type="dxa"/>
            <w:vMerge/>
            <w:tcBorders>
              <w:bottom w:val="single" w:sz="4" w:space="0" w:color="auto"/>
            </w:tcBorders>
            <w:vAlign w:val="center"/>
            <w:hideMark/>
          </w:tcPr>
          <w:p w14:paraId="2C73D5CC" w14:textId="77777777" w:rsidR="0056022F" w:rsidRPr="007701A3" w:rsidRDefault="0056022F" w:rsidP="0056022F">
            <w:pPr>
              <w:spacing w:after="0" w:line="240" w:lineRule="auto"/>
              <w:rPr>
                <w:rFonts w:eastAsia="Times New Roman" w:cstheme="minorHAnsi"/>
                <w:b/>
                <w:bCs/>
                <w:sz w:val="20"/>
                <w:szCs w:val="20"/>
                <w:lang w:eastAsia="en-GB"/>
              </w:rPr>
            </w:pPr>
          </w:p>
        </w:tc>
      </w:tr>
      <w:tr w:rsidR="0056022F" w:rsidRPr="007701A3" w14:paraId="32F4D2EF" w14:textId="77777777" w:rsidTr="0056022F">
        <w:trPr>
          <w:trHeight w:val="215"/>
        </w:trPr>
        <w:tc>
          <w:tcPr>
            <w:tcW w:w="3119" w:type="dxa"/>
            <w:tcBorders>
              <w:top w:val="single" w:sz="4" w:space="0" w:color="auto"/>
            </w:tcBorders>
            <w:shd w:val="clear" w:color="auto" w:fill="auto"/>
            <w:noWrap/>
            <w:vAlign w:val="center"/>
            <w:hideMark/>
          </w:tcPr>
          <w:p w14:paraId="3E2404F4" w14:textId="77777777" w:rsidR="0056022F" w:rsidRPr="007701A3" w:rsidRDefault="0056022F" w:rsidP="0056022F">
            <w:pPr>
              <w:spacing w:after="0" w:line="240" w:lineRule="auto"/>
              <w:rPr>
                <w:rFonts w:eastAsia="Times New Roman" w:cstheme="minorHAnsi"/>
                <w:b/>
                <w:bCs/>
                <w:i/>
                <w:iCs/>
                <w:sz w:val="20"/>
                <w:szCs w:val="20"/>
                <w:lang w:eastAsia="en-GB"/>
              </w:rPr>
            </w:pPr>
            <w:r w:rsidRPr="007701A3">
              <w:rPr>
                <w:rFonts w:eastAsia="Times New Roman" w:cstheme="minorHAnsi"/>
                <w:b/>
                <w:bCs/>
                <w:i/>
                <w:iCs/>
                <w:sz w:val="20"/>
                <w:szCs w:val="20"/>
                <w:lang w:eastAsia="en-GB"/>
              </w:rPr>
              <w:t>Baseline (1994/5)</w:t>
            </w:r>
          </w:p>
        </w:tc>
        <w:tc>
          <w:tcPr>
            <w:tcW w:w="2126" w:type="dxa"/>
            <w:tcBorders>
              <w:top w:val="single" w:sz="4" w:space="0" w:color="auto"/>
            </w:tcBorders>
            <w:shd w:val="clear" w:color="auto" w:fill="auto"/>
            <w:noWrap/>
            <w:vAlign w:val="center"/>
            <w:hideMark/>
          </w:tcPr>
          <w:p w14:paraId="06DEECDF" w14:textId="77777777" w:rsidR="0056022F" w:rsidRPr="007701A3" w:rsidRDefault="0056022F" w:rsidP="0056022F">
            <w:pPr>
              <w:spacing w:after="0" w:line="240" w:lineRule="auto"/>
              <w:rPr>
                <w:rFonts w:eastAsia="Times New Roman" w:cstheme="minorHAnsi"/>
                <w:b/>
                <w:bCs/>
                <w:i/>
                <w:iCs/>
                <w:sz w:val="20"/>
                <w:szCs w:val="20"/>
                <w:lang w:eastAsia="en-GB"/>
              </w:rPr>
            </w:pPr>
          </w:p>
        </w:tc>
        <w:tc>
          <w:tcPr>
            <w:tcW w:w="1985" w:type="dxa"/>
            <w:tcBorders>
              <w:top w:val="single" w:sz="4" w:space="0" w:color="auto"/>
            </w:tcBorders>
            <w:shd w:val="clear" w:color="auto" w:fill="auto"/>
            <w:noWrap/>
            <w:vAlign w:val="center"/>
            <w:hideMark/>
          </w:tcPr>
          <w:p w14:paraId="3131CD87"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single" w:sz="4" w:space="0" w:color="auto"/>
            </w:tcBorders>
            <w:shd w:val="clear" w:color="auto" w:fill="auto"/>
            <w:noWrap/>
            <w:vAlign w:val="center"/>
            <w:hideMark/>
          </w:tcPr>
          <w:p w14:paraId="5EA67574"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2BE8A4BF" w14:textId="77777777" w:rsidTr="0056022F">
        <w:trPr>
          <w:trHeight w:val="215"/>
        </w:trPr>
        <w:tc>
          <w:tcPr>
            <w:tcW w:w="3119" w:type="dxa"/>
            <w:shd w:val="clear" w:color="auto" w:fill="auto"/>
            <w:noWrap/>
            <w:vAlign w:val="center"/>
            <w:hideMark/>
          </w:tcPr>
          <w:p w14:paraId="754CF4F6"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Age (years)</w:t>
            </w:r>
          </w:p>
        </w:tc>
        <w:tc>
          <w:tcPr>
            <w:tcW w:w="2126" w:type="dxa"/>
            <w:shd w:val="clear" w:color="auto" w:fill="auto"/>
            <w:noWrap/>
            <w:vAlign w:val="center"/>
            <w:hideMark/>
          </w:tcPr>
          <w:p w14:paraId="245E6EEA"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67.2 (2.3)</w:t>
            </w:r>
          </w:p>
        </w:tc>
        <w:tc>
          <w:tcPr>
            <w:tcW w:w="1985" w:type="dxa"/>
            <w:shd w:val="clear" w:color="auto" w:fill="auto"/>
            <w:noWrap/>
            <w:vAlign w:val="center"/>
            <w:hideMark/>
          </w:tcPr>
          <w:p w14:paraId="55D1D010"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67.3 (2.1)</w:t>
            </w:r>
          </w:p>
        </w:tc>
        <w:tc>
          <w:tcPr>
            <w:tcW w:w="708" w:type="dxa"/>
            <w:shd w:val="clear" w:color="auto" w:fill="auto"/>
            <w:noWrap/>
            <w:vAlign w:val="center"/>
            <w:hideMark/>
          </w:tcPr>
          <w:p w14:paraId="6D27D378"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2EF41EF4" w14:textId="77777777" w:rsidTr="0056022F">
        <w:trPr>
          <w:trHeight w:val="215"/>
        </w:trPr>
        <w:tc>
          <w:tcPr>
            <w:tcW w:w="3119" w:type="dxa"/>
            <w:shd w:val="clear" w:color="auto" w:fill="auto"/>
            <w:noWrap/>
            <w:vAlign w:val="center"/>
            <w:hideMark/>
          </w:tcPr>
          <w:p w14:paraId="1704FA7F"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Height (cm)</w:t>
            </w:r>
          </w:p>
        </w:tc>
        <w:tc>
          <w:tcPr>
            <w:tcW w:w="2126" w:type="dxa"/>
            <w:shd w:val="clear" w:color="auto" w:fill="auto"/>
            <w:noWrap/>
            <w:vAlign w:val="center"/>
            <w:hideMark/>
          </w:tcPr>
          <w:p w14:paraId="350A9C13"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172.6 (6.3)</w:t>
            </w:r>
          </w:p>
        </w:tc>
        <w:tc>
          <w:tcPr>
            <w:tcW w:w="1985" w:type="dxa"/>
            <w:shd w:val="clear" w:color="auto" w:fill="auto"/>
            <w:noWrap/>
            <w:vAlign w:val="center"/>
            <w:hideMark/>
          </w:tcPr>
          <w:p w14:paraId="731258BF"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159.3 (5.5)</w:t>
            </w:r>
          </w:p>
        </w:tc>
        <w:tc>
          <w:tcPr>
            <w:tcW w:w="708" w:type="dxa"/>
            <w:shd w:val="clear" w:color="auto" w:fill="auto"/>
            <w:noWrap/>
            <w:vAlign w:val="center"/>
            <w:hideMark/>
          </w:tcPr>
          <w:p w14:paraId="21E37B0B"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5E951108" w14:textId="77777777" w:rsidTr="0056022F">
        <w:trPr>
          <w:trHeight w:val="215"/>
        </w:trPr>
        <w:tc>
          <w:tcPr>
            <w:tcW w:w="3119" w:type="dxa"/>
            <w:shd w:val="clear" w:color="auto" w:fill="auto"/>
            <w:noWrap/>
            <w:vAlign w:val="center"/>
            <w:hideMark/>
          </w:tcPr>
          <w:p w14:paraId="665434D4"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Weight (kg)</w:t>
            </w:r>
          </w:p>
        </w:tc>
        <w:tc>
          <w:tcPr>
            <w:tcW w:w="2126" w:type="dxa"/>
            <w:shd w:val="clear" w:color="auto" w:fill="auto"/>
            <w:noWrap/>
            <w:vAlign w:val="center"/>
            <w:hideMark/>
          </w:tcPr>
          <w:p w14:paraId="477BA014"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80.8 (12.4)</w:t>
            </w:r>
          </w:p>
        </w:tc>
        <w:tc>
          <w:tcPr>
            <w:tcW w:w="1985" w:type="dxa"/>
            <w:shd w:val="clear" w:color="auto" w:fill="auto"/>
            <w:noWrap/>
            <w:vAlign w:val="center"/>
            <w:hideMark/>
          </w:tcPr>
          <w:p w14:paraId="6CB8EACA"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69.3 (11.3)</w:t>
            </w:r>
          </w:p>
        </w:tc>
        <w:tc>
          <w:tcPr>
            <w:tcW w:w="708" w:type="dxa"/>
            <w:shd w:val="clear" w:color="auto" w:fill="auto"/>
            <w:noWrap/>
            <w:vAlign w:val="center"/>
            <w:hideMark/>
          </w:tcPr>
          <w:p w14:paraId="0D144B2F"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02303038" w14:textId="77777777" w:rsidTr="0056022F">
        <w:trPr>
          <w:trHeight w:val="215"/>
        </w:trPr>
        <w:tc>
          <w:tcPr>
            <w:tcW w:w="3119" w:type="dxa"/>
            <w:shd w:val="clear" w:color="auto" w:fill="auto"/>
            <w:noWrap/>
            <w:vAlign w:val="center"/>
            <w:hideMark/>
          </w:tcPr>
          <w:p w14:paraId="17BB3A46"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BMI (kg/m</w:t>
            </w:r>
            <w:r w:rsidRPr="007701A3">
              <w:rPr>
                <w:rFonts w:eastAsia="Times New Roman" w:cstheme="minorHAnsi"/>
                <w:color w:val="000000"/>
                <w:sz w:val="20"/>
                <w:szCs w:val="20"/>
                <w:vertAlign w:val="superscript"/>
                <w:lang w:eastAsia="en-GB"/>
              </w:rPr>
              <w:t>2</w:t>
            </w:r>
            <w:r w:rsidRPr="007701A3">
              <w:rPr>
                <w:rFonts w:eastAsia="Times New Roman" w:cstheme="minorHAnsi"/>
                <w:color w:val="000000"/>
                <w:sz w:val="20"/>
                <w:szCs w:val="20"/>
                <w:lang w:eastAsia="en-GB"/>
              </w:rPr>
              <w:t>)</w:t>
            </w:r>
          </w:p>
        </w:tc>
        <w:tc>
          <w:tcPr>
            <w:tcW w:w="2126" w:type="dxa"/>
            <w:shd w:val="clear" w:color="auto" w:fill="auto"/>
            <w:noWrap/>
            <w:vAlign w:val="center"/>
            <w:hideMark/>
          </w:tcPr>
          <w:p w14:paraId="04B74528"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27.1 (3.5)</w:t>
            </w:r>
          </w:p>
        </w:tc>
        <w:tc>
          <w:tcPr>
            <w:tcW w:w="1985" w:type="dxa"/>
            <w:shd w:val="clear" w:color="auto" w:fill="auto"/>
            <w:noWrap/>
            <w:vAlign w:val="center"/>
            <w:hideMark/>
          </w:tcPr>
          <w:p w14:paraId="05E4CC14"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27.3 (4.3)</w:t>
            </w:r>
          </w:p>
        </w:tc>
        <w:tc>
          <w:tcPr>
            <w:tcW w:w="708" w:type="dxa"/>
            <w:shd w:val="clear" w:color="auto" w:fill="auto"/>
            <w:noWrap/>
            <w:vAlign w:val="center"/>
            <w:hideMark/>
          </w:tcPr>
          <w:p w14:paraId="3575C5C0"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79BB82B2" w14:textId="77777777" w:rsidTr="0056022F">
        <w:trPr>
          <w:trHeight w:val="215"/>
        </w:trPr>
        <w:tc>
          <w:tcPr>
            <w:tcW w:w="3119" w:type="dxa"/>
            <w:shd w:val="clear" w:color="auto" w:fill="auto"/>
            <w:noWrap/>
            <w:vAlign w:val="center"/>
            <w:hideMark/>
          </w:tcPr>
          <w:p w14:paraId="0DB6832D"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Ever smoked regularly</w:t>
            </w:r>
          </w:p>
        </w:tc>
        <w:tc>
          <w:tcPr>
            <w:tcW w:w="2126" w:type="dxa"/>
            <w:shd w:val="clear" w:color="auto" w:fill="auto"/>
            <w:noWrap/>
            <w:vAlign w:val="center"/>
            <w:hideMark/>
          </w:tcPr>
          <w:p w14:paraId="2DD31CFC"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146 (73.0%)</w:t>
            </w:r>
          </w:p>
        </w:tc>
        <w:tc>
          <w:tcPr>
            <w:tcW w:w="1985" w:type="dxa"/>
            <w:shd w:val="clear" w:color="auto" w:fill="auto"/>
            <w:noWrap/>
            <w:vAlign w:val="center"/>
            <w:hideMark/>
          </w:tcPr>
          <w:p w14:paraId="170BAC8B"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80 (54.4%)</w:t>
            </w:r>
          </w:p>
        </w:tc>
        <w:tc>
          <w:tcPr>
            <w:tcW w:w="708" w:type="dxa"/>
            <w:shd w:val="clear" w:color="auto" w:fill="auto"/>
            <w:noWrap/>
            <w:vAlign w:val="center"/>
            <w:hideMark/>
          </w:tcPr>
          <w:p w14:paraId="35E6FE6E"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0E46806A" w14:textId="77777777" w:rsidTr="0056022F">
        <w:trPr>
          <w:trHeight w:val="215"/>
        </w:trPr>
        <w:tc>
          <w:tcPr>
            <w:tcW w:w="3119" w:type="dxa"/>
            <w:tcBorders>
              <w:left w:val="nil"/>
              <w:bottom w:val="nil"/>
              <w:right w:val="nil"/>
            </w:tcBorders>
            <w:shd w:val="clear" w:color="auto" w:fill="auto"/>
            <w:noWrap/>
            <w:vAlign w:val="center"/>
            <w:hideMark/>
          </w:tcPr>
          <w:p w14:paraId="2991E478" w14:textId="77777777" w:rsidR="0056022F" w:rsidRPr="007701A3" w:rsidRDefault="0056022F" w:rsidP="0056022F">
            <w:pPr>
              <w:spacing w:after="0" w:line="240" w:lineRule="auto"/>
              <w:rPr>
                <w:rFonts w:eastAsia="Times New Roman" w:cstheme="minorHAnsi"/>
                <w:color w:val="000000"/>
                <w:sz w:val="20"/>
                <w:szCs w:val="20"/>
                <w:lang w:eastAsia="en-GB"/>
              </w:rPr>
            </w:pPr>
          </w:p>
        </w:tc>
        <w:tc>
          <w:tcPr>
            <w:tcW w:w="2126" w:type="dxa"/>
            <w:tcBorders>
              <w:left w:val="nil"/>
              <w:bottom w:val="nil"/>
              <w:right w:val="nil"/>
            </w:tcBorders>
            <w:shd w:val="clear" w:color="auto" w:fill="auto"/>
            <w:noWrap/>
            <w:vAlign w:val="center"/>
            <w:hideMark/>
          </w:tcPr>
          <w:p w14:paraId="5CF6A888" w14:textId="77777777" w:rsidR="0056022F" w:rsidRPr="007701A3" w:rsidRDefault="0056022F" w:rsidP="0056022F">
            <w:pPr>
              <w:spacing w:after="0" w:line="240" w:lineRule="auto"/>
              <w:rPr>
                <w:rFonts w:eastAsia="Times New Roman" w:cstheme="minorHAnsi"/>
                <w:sz w:val="20"/>
                <w:szCs w:val="20"/>
                <w:lang w:eastAsia="en-GB"/>
              </w:rPr>
            </w:pPr>
          </w:p>
        </w:tc>
        <w:tc>
          <w:tcPr>
            <w:tcW w:w="1985" w:type="dxa"/>
            <w:tcBorders>
              <w:left w:val="nil"/>
              <w:bottom w:val="nil"/>
              <w:right w:val="nil"/>
            </w:tcBorders>
            <w:shd w:val="clear" w:color="auto" w:fill="auto"/>
            <w:noWrap/>
            <w:vAlign w:val="center"/>
            <w:hideMark/>
          </w:tcPr>
          <w:p w14:paraId="7DAC5A8B"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left w:val="nil"/>
              <w:bottom w:val="nil"/>
              <w:right w:val="nil"/>
            </w:tcBorders>
            <w:shd w:val="clear" w:color="auto" w:fill="auto"/>
            <w:noWrap/>
            <w:vAlign w:val="center"/>
            <w:hideMark/>
          </w:tcPr>
          <w:p w14:paraId="581A9156"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00C93850" w14:textId="77777777" w:rsidTr="0056022F">
        <w:trPr>
          <w:trHeight w:val="215"/>
        </w:trPr>
        <w:tc>
          <w:tcPr>
            <w:tcW w:w="3119" w:type="dxa"/>
            <w:tcBorders>
              <w:top w:val="nil"/>
              <w:left w:val="nil"/>
              <w:bottom w:val="nil"/>
              <w:right w:val="nil"/>
            </w:tcBorders>
            <w:shd w:val="clear" w:color="auto" w:fill="auto"/>
            <w:noWrap/>
            <w:vAlign w:val="center"/>
            <w:hideMark/>
          </w:tcPr>
          <w:p w14:paraId="41B912C3"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Weekly alcohol units</w:t>
            </w:r>
          </w:p>
        </w:tc>
        <w:tc>
          <w:tcPr>
            <w:tcW w:w="2126" w:type="dxa"/>
            <w:tcBorders>
              <w:top w:val="nil"/>
              <w:left w:val="nil"/>
              <w:bottom w:val="nil"/>
              <w:right w:val="nil"/>
            </w:tcBorders>
            <w:shd w:val="clear" w:color="auto" w:fill="auto"/>
            <w:noWrap/>
            <w:vAlign w:val="center"/>
            <w:hideMark/>
          </w:tcPr>
          <w:p w14:paraId="74119BC7" w14:textId="77777777" w:rsidR="0056022F" w:rsidRPr="007701A3" w:rsidRDefault="0056022F" w:rsidP="0056022F">
            <w:pPr>
              <w:spacing w:after="0" w:line="240" w:lineRule="auto"/>
              <w:rPr>
                <w:rFonts w:eastAsia="Times New Roman" w:cstheme="minorHAnsi"/>
                <w:color w:val="000000"/>
                <w:sz w:val="20"/>
                <w:szCs w:val="20"/>
                <w:lang w:eastAsia="en-GB"/>
              </w:rPr>
            </w:pPr>
          </w:p>
        </w:tc>
        <w:tc>
          <w:tcPr>
            <w:tcW w:w="1985" w:type="dxa"/>
            <w:tcBorders>
              <w:top w:val="nil"/>
              <w:left w:val="nil"/>
              <w:bottom w:val="nil"/>
              <w:right w:val="nil"/>
            </w:tcBorders>
            <w:shd w:val="clear" w:color="auto" w:fill="auto"/>
            <w:noWrap/>
            <w:vAlign w:val="center"/>
            <w:hideMark/>
          </w:tcPr>
          <w:p w14:paraId="6292126F"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18DA10F5" w14:textId="77777777" w:rsidR="0056022F" w:rsidRPr="007701A3" w:rsidRDefault="0056022F" w:rsidP="0056022F">
            <w:pPr>
              <w:spacing w:after="0" w:line="240" w:lineRule="auto"/>
              <w:rPr>
                <w:rFonts w:eastAsia="Times New Roman" w:cstheme="minorHAnsi"/>
                <w:color w:val="000000"/>
                <w:sz w:val="20"/>
                <w:szCs w:val="20"/>
                <w:lang w:eastAsia="en-GB"/>
              </w:rPr>
            </w:pPr>
          </w:p>
        </w:tc>
      </w:tr>
      <w:tr w:rsidR="0056022F" w:rsidRPr="007701A3" w14:paraId="0DB321DD" w14:textId="77777777" w:rsidTr="0056022F">
        <w:trPr>
          <w:trHeight w:val="215"/>
        </w:trPr>
        <w:tc>
          <w:tcPr>
            <w:tcW w:w="3119" w:type="dxa"/>
            <w:tcBorders>
              <w:top w:val="nil"/>
              <w:left w:val="nil"/>
              <w:bottom w:val="nil"/>
              <w:right w:val="nil"/>
            </w:tcBorders>
            <w:shd w:val="clear" w:color="auto" w:fill="auto"/>
            <w:noWrap/>
            <w:vAlign w:val="center"/>
            <w:hideMark/>
          </w:tcPr>
          <w:p w14:paraId="4281F61B" w14:textId="504A1267" w:rsidR="0056022F" w:rsidRPr="007701A3" w:rsidRDefault="007701A3" w:rsidP="0056022F">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     </w:t>
            </w:r>
            <w:r w:rsidR="0056022F" w:rsidRPr="007701A3">
              <w:rPr>
                <w:rFonts w:eastAsia="Times New Roman" w:cstheme="minorHAnsi"/>
                <w:color w:val="000000"/>
                <w:sz w:val="20"/>
                <w:szCs w:val="20"/>
                <w:lang w:eastAsia="en-GB"/>
              </w:rPr>
              <w:t>Non-drinker</w:t>
            </w:r>
          </w:p>
        </w:tc>
        <w:tc>
          <w:tcPr>
            <w:tcW w:w="2126" w:type="dxa"/>
            <w:tcBorders>
              <w:top w:val="nil"/>
              <w:left w:val="nil"/>
              <w:bottom w:val="nil"/>
              <w:right w:val="nil"/>
            </w:tcBorders>
            <w:shd w:val="clear" w:color="auto" w:fill="auto"/>
            <w:noWrap/>
            <w:vAlign w:val="center"/>
            <w:hideMark/>
          </w:tcPr>
          <w:p w14:paraId="0ECB47A0"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44 (22.0%)</w:t>
            </w:r>
          </w:p>
        </w:tc>
        <w:tc>
          <w:tcPr>
            <w:tcW w:w="1985" w:type="dxa"/>
            <w:tcBorders>
              <w:top w:val="nil"/>
              <w:left w:val="nil"/>
              <w:bottom w:val="nil"/>
              <w:right w:val="nil"/>
            </w:tcBorders>
            <w:shd w:val="clear" w:color="auto" w:fill="auto"/>
            <w:noWrap/>
            <w:vAlign w:val="center"/>
            <w:hideMark/>
          </w:tcPr>
          <w:p w14:paraId="27876D97"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72 (49.0%)</w:t>
            </w:r>
          </w:p>
        </w:tc>
        <w:tc>
          <w:tcPr>
            <w:tcW w:w="708" w:type="dxa"/>
            <w:vMerge w:val="restart"/>
            <w:tcBorders>
              <w:top w:val="nil"/>
              <w:left w:val="nil"/>
              <w:right w:val="nil"/>
            </w:tcBorders>
            <w:shd w:val="clear" w:color="auto" w:fill="auto"/>
            <w:noWrap/>
            <w:vAlign w:val="center"/>
            <w:hideMark/>
          </w:tcPr>
          <w:p w14:paraId="1183F0A2"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43444C7E" w14:textId="77777777" w:rsidTr="0056022F">
        <w:trPr>
          <w:trHeight w:val="215"/>
        </w:trPr>
        <w:tc>
          <w:tcPr>
            <w:tcW w:w="3119" w:type="dxa"/>
            <w:tcBorders>
              <w:top w:val="nil"/>
              <w:left w:val="nil"/>
              <w:bottom w:val="nil"/>
              <w:right w:val="nil"/>
            </w:tcBorders>
            <w:shd w:val="clear" w:color="auto" w:fill="auto"/>
            <w:noWrap/>
            <w:vAlign w:val="center"/>
            <w:hideMark/>
          </w:tcPr>
          <w:p w14:paraId="2C26D8CE" w14:textId="44B0CD1D" w:rsidR="0056022F" w:rsidRPr="007701A3" w:rsidRDefault="007701A3" w:rsidP="0056022F">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     </w:t>
            </w:r>
            <w:r w:rsidR="0056022F" w:rsidRPr="007701A3">
              <w:rPr>
                <w:rFonts w:eastAsia="Times New Roman" w:cstheme="minorHAnsi"/>
                <w:color w:val="000000"/>
                <w:sz w:val="20"/>
                <w:szCs w:val="20"/>
                <w:lang w:eastAsia="en-GB"/>
              </w:rPr>
              <w:t>Low (1-10 [M], 1-7 [W])</w:t>
            </w:r>
          </w:p>
        </w:tc>
        <w:tc>
          <w:tcPr>
            <w:tcW w:w="2126" w:type="dxa"/>
            <w:tcBorders>
              <w:top w:val="nil"/>
              <w:left w:val="nil"/>
              <w:bottom w:val="nil"/>
              <w:right w:val="nil"/>
            </w:tcBorders>
            <w:shd w:val="clear" w:color="auto" w:fill="auto"/>
            <w:noWrap/>
            <w:vAlign w:val="center"/>
            <w:hideMark/>
          </w:tcPr>
          <w:p w14:paraId="69580F2E"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104 (52.0%)</w:t>
            </w:r>
          </w:p>
        </w:tc>
        <w:tc>
          <w:tcPr>
            <w:tcW w:w="1985" w:type="dxa"/>
            <w:tcBorders>
              <w:top w:val="nil"/>
              <w:left w:val="nil"/>
              <w:bottom w:val="nil"/>
              <w:right w:val="nil"/>
            </w:tcBorders>
            <w:shd w:val="clear" w:color="auto" w:fill="auto"/>
            <w:noWrap/>
            <w:vAlign w:val="center"/>
            <w:hideMark/>
          </w:tcPr>
          <w:p w14:paraId="724B4853"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63 (42.9%)</w:t>
            </w:r>
          </w:p>
        </w:tc>
        <w:tc>
          <w:tcPr>
            <w:tcW w:w="708" w:type="dxa"/>
            <w:vMerge/>
            <w:tcBorders>
              <w:left w:val="nil"/>
              <w:right w:val="nil"/>
            </w:tcBorders>
            <w:shd w:val="clear" w:color="auto" w:fill="auto"/>
            <w:noWrap/>
            <w:vAlign w:val="center"/>
            <w:hideMark/>
          </w:tcPr>
          <w:p w14:paraId="4D229894" w14:textId="77777777" w:rsidR="0056022F" w:rsidRPr="007701A3" w:rsidRDefault="0056022F" w:rsidP="0056022F">
            <w:pPr>
              <w:spacing w:after="0" w:line="240" w:lineRule="auto"/>
              <w:rPr>
                <w:rFonts w:eastAsia="Times New Roman" w:cstheme="minorHAnsi"/>
                <w:color w:val="000000"/>
                <w:sz w:val="20"/>
                <w:szCs w:val="20"/>
                <w:lang w:eastAsia="en-GB"/>
              </w:rPr>
            </w:pPr>
          </w:p>
        </w:tc>
      </w:tr>
      <w:tr w:rsidR="0056022F" w:rsidRPr="007701A3" w14:paraId="7D4F9F68" w14:textId="77777777" w:rsidTr="0056022F">
        <w:trPr>
          <w:trHeight w:val="215"/>
        </w:trPr>
        <w:tc>
          <w:tcPr>
            <w:tcW w:w="3119" w:type="dxa"/>
            <w:tcBorders>
              <w:top w:val="nil"/>
              <w:left w:val="nil"/>
              <w:bottom w:val="nil"/>
              <w:right w:val="nil"/>
            </w:tcBorders>
            <w:shd w:val="clear" w:color="auto" w:fill="auto"/>
            <w:noWrap/>
            <w:vAlign w:val="center"/>
            <w:hideMark/>
          </w:tcPr>
          <w:p w14:paraId="2E3758BD" w14:textId="4DB9A741" w:rsidR="0056022F" w:rsidRPr="007701A3" w:rsidRDefault="007701A3" w:rsidP="0056022F">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     </w:t>
            </w:r>
            <w:r w:rsidR="0056022F" w:rsidRPr="007701A3">
              <w:rPr>
                <w:rFonts w:eastAsia="Times New Roman" w:cstheme="minorHAnsi"/>
                <w:color w:val="000000"/>
                <w:sz w:val="20"/>
                <w:szCs w:val="20"/>
                <w:lang w:eastAsia="en-GB"/>
              </w:rPr>
              <w:t>Moderate (11-21 [M], 8-14 [W])</w:t>
            </w:r>
          </w:p>
        </w:tc>
        <w:tc>
          <w:tcPr>
            <w:tcW w:w="2126" w:type="dxa"/>
            <w:tcBorders>
              <w:top w:val="nil"/>
              <w:left w:val="nil"/>
              <w:bottom w:val="nil"/>
              <w:right w:val="nil"/>
            </w:tcBorders>
            <w:shd w:val="clear" w:color="auto" w:fill="auto"/>
            <w:noWrap/>
            <w:vAlign w:val="center"/>
            <w:hideMark/>
          </w:tcPr>
          <w:p w14:paraId="1C5411C5"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31 (15.5%)</w:t>
            </w:r>
          </w:p>
        </w:tc>
        <w:tc>
          <w:tcPr>
            <w:tcW w:w="1985" w:type="dxa"/>
            <w:tcBorders>
              <w:top w:val="nil"/>
              <w:left w:val="nil"/>
              <w:bottom w:val="nil"/>
              <w:right w:val="nil"/>
            </w:tcBorders>
            <w:shd w:val="clear" w:color="auto" w:fill="auto"/>
            <w:noWrap/>
            <w:vAlign w:val="center"/>
            <w:hideMark/>
          </w:tcPr>
          <w:p w14:paraId="603A7480"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10 (6.8%)</w:t>
            </w:r>
          </w:p>
        </w:tc>
        <w:tc>
          <w:tcPr>
            <w:tcW w:w="708" w:type="dxa"/>
            <w:vMerge/>
            <w:tcBorders>
              <w:left w:val="nil"/>
              <w:right w:val="nil"/>
            </w:tcBorders>
            <w:shd w:val="clear" w:color="auto" w:fill="auto"/>
            <w:noWrap/>
            <w:vAlign w:val="center"/>
            <w:hideMark/>
          </w:tcPr>
          <w:p w14:paraId="3D944CB5" w14:textId="77777777" w:rsidR="0056022F" w:rsidRPr="007701A3" w:rsidRDefault="0056022F" w:rsidP="0056022F">
            <w:pPr>
              <w:spacing w:after="0" w:line="240" w:lineRule="auto"/>
              <w:rPr>
                <w:rFonts w:eastAsia="Times New Roman" w:cstheme="minorHAnsi"/>
                <w:color w:val="000000"/>
                <w:sz w:val="20"/>
                <w:szCs w:val="20"/>
                <w:lang w:eastAsia="en-GB"/>
              </w:rPr>
            </w:pPr>
          </w:p>
        </w:tc>
      </w:tr>
      <w:tr w:rsidR="0056022F" w:rsidRPr="007701A3" w14:paraId="151EE96F" w14:textId="77777777" w:rsidTr="0056022F">
        <w:trPr>
          <w:trHeight w:val="215"/>
        </w:trPr>
        <w:tc>
          <w:tcPr>
            <w:tcW w:w="3119" w:type="dxa"/>
            <w:tcBorders>
              <w:top w:val="nil"/>
              <w:left w:val="nil"/>
              <w:bottom w:val="nil"/>
              <w:right w:val="nil"/>
            </w:tcBorders>
            <w:shd w:val="clear" w:color="auto" w:fill="auto"/>
            <w:noWrap/>
            <w:vAlign w:val="center"/>
            <w:hideMark/>
          </w:tcPr>
          <w:p w14:paraId="72A348F2" w14:textId="66523AA8" w:rsidR="0056022F" w:rsidRPr="007701A3" w:rsidRDefault="007701A3" w:rsidP="0056022F">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     </w:t>
            </w:r>
            <w:r w:rsidR="0056022F" w:rsidRPr="007701A3">
              <w:rPr>
                <w:rFonts w:eastAsia="Times New Roman" w:cstheme="minorHAnsi"/>
                <w:color w:val="000000"/>
                <w:sz w:val="20"/>
                <w:szCs w:val="20"/>
                <w:lang w:eastAsia="en-GB"/>
              </w:rPr>
              <w:t>High (&gt;21 [M], &gt;14 [W])</w:t>
            </w:r>
          </w:p>
        </w:tc>
        <w:tc>
          <w:tcPr>
            <w:tcW w:w="2126" w:type="dxa"/>
            <w:tcBorders>
              <w:top w:val="nil"/>
              <w:left w:val="nil"/>
              <w:bottom w:val="nil"/>
              <w:right w:val="nil"/>
            </w:tcBorders>
            <w:shd w:val="clear" w:color="auto" w:fill="auto"/>
            <w:noWrap/>
            <w:vAlign w:val="center"/>
            <w:hideMark/>
          </w:tcPr>
          <w:p w14:paraId="7D3268F7"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21 (10.5%)</w:t>
            </w:r>
          </w:p>
        </w:tc>
        <w:tc>
          <w:tcPr>
            <w:tcW w:w="1985" w:type="dxa"/>
            <w:tcBorders>
              <w:top w:val="nil"/>
              <w:left w:val="nil"/>
              <w:bottom w:val="nil"/>
              <w:right w:val="nil"/>
            </w:tcBorders>
            <w:shd w:val="clear" w:color="auto" w:fill="auto"/>
            <w:noWrap/>
            <w:vAlign w:val="center"/>
            <w:hideMark/>
          </w:tcPr>
          <w:p w14:paraId="11F1D214"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 (1.4%)</w:t>
            </w:r>
          </w:p>
        </w:tc>
        <w:tc>
          <w:tcPr>
            <w:tcW w:w="708" w:type="dxa"/>
            <w:vMerge/>
            <w:tcBorders>
              <w:left w:val="nil"/>
              <w:bottom w:val="nil"/>
              <w:right w:val="nil"/>
            </w:tcBorders>
            <w:shd w:val="clear" w:color="auto" w:fill="auto"/>
            <w:noWrap/>
            <w:vAlign w:val="center"/>
            <w:hideMark/>
          </w:tcPr>
          <w:p w14:paraId="051516F8" w14:textId="77777777" w:rsidR="0056022F" w:rsidRPr="007701A3" w:rsidRDefault="0056022F" w:rsidP="0056022F">
            <w:pPr>
              <w:spacing w:after="0" w:line="240" w:lineRule="auto"/>
              <w:rPr>
                <w:rFonts w:eastAsia="Times New Roman" w:cstheme="minorHAnsi"/>
                <w:color w:val="000000"/>
                <w:sz w:val="20"/>
                <w:szCs w:val="20"/>
                <w:lang w:eastAsia="en-GB"/>
              </w:rPr>
            </w:pPr>
          </w:p>
        </w:tc>
      </w:tr>
      <w:tr w:rsidR="0056022F" w:rsidRPr="007701A3" w14:paraId="354ECCDC" w14:textId="77777777" w:rsidTr="0056022F">
        <w:trPr>
          <w:trHeight w:val="215"/>
        </w:trPr>
        <w:tc>
          <w:tcPr>
            <w:tcW w:w="3119" w:type="dxa"/>
            <w:tcBorders>
              <w:top w:val="nil"/>
              <w:left w:val="nil"/>
              <w:bottom w:val="nil"/>
              <w:right w:val="nil"/>
            </w:tcBorders>
            <w:shd w:val="clear" w:color="auto" w:fill="auto"/>
            <w:noWrap/>
            <w:vAlign w:val="center"/>
            <w:hideMark/>
          </w:tcPr>
          <w:p w14:paraId="5DEE09C9" w14:textId="77777777" w:rsidR="0056022F" w:rsidRPr="007701A3" w:rsidRDefault="0056022F" w:rsidP="0056022F">
            <w:pPr>
              <w:spacing w:after="0" w:line="240" w:lineRule="auto"/>
              <w:rPr>
                <w:rFonts w:eastAsia="Times New Roman" w:cstheme="minorHAnsi"/>
                <w:sz w:val="20"/>
                <w:szCs w:val="20"/>
                <w:lang w:eastAsia="en-GB"/>
              </w:rPr>
            </w:pPr>
          </w:p>
        </w:tc>
        <w:tc>
          <w:tcPr>
            <w:tcW w:w="2126" w:type="dxa"/>
            <w:tcBorders>
              <w:top w:val="nil"/>
              <w:left w:val="nil"/>
              <w:bottom w:val="nil"/>
              <w:right w:val="nil"/>
            </w:tcBorders>
            <w:shd w:val="clear" w:color="auto" w:fill="auto"/>
            <w:noWrap/>
            <w:vAlign w:val="center"/>
            <w:hideMark/>
          </w:tcPr>
          <w:p w14:paraId="0FFA4248" w14:textId="77777777" w:rsidR="0056022F" w:rsidRPr="007701A3" w:rsidRDefault="0056022F" w:rsidP="0056022F">
            <w:pPr>
              <w:spacing w:after="0" w:line="240" w:lineRule="auto"/>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hideMark/>
          </w:tcPr>
          <w:p w14:paraId="0ECD8AF8"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7E58F227"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68231939" w14:textId="77777777" w:rsidTr="0056022F">
        <w:trPr>
          <w:trHeight w:val="215"/>
        </w:trPr>
        <w:tc>
          <w:tcPr>
            <w:tcW w:w="3119" w:type="dxa"/>
            <w:tcBorders>
              <w:top w:val="nil"/>
              <w:left w:val="nil"/>
              <w:bottom w:val="nil"/>
              <w:right w:val="nil"/>
            </w:tcBorders>
            <w:shd w:val="clear" w:color="auto" w:fill="auto"/>
            <w:noWrap/>
            <w:vAlign w:val="center"/>
            <w:hideMark/>
          </w:tcPr>
          <w:p w14:paraId="2B15F628"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Number of systems medicated</w:t>
            </w:r>
          </w:p>
        </w:tc>
        <w:tc>
          <w:tcPr>
            <w:tcW w:w="2126" w:type="dxa"/>
            <w:tcBorders>
              <w:top w:val="nil"/>
              <w:left w:val="nil"/>
              <w:bottom w:val="nil"/>
              <w:right w:val="nil"/>
            </w:tcBorders>
            <w:shd w:val="clear" w:color="auto" w:fill="auto"/>
            <w:noWrap/>
            <w:vAlign w:val="center"/>
            <w:hideMark/>
          </w:tcPr>
          <w:p w14:paraId="04911508"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1.0 (0.0, 2.0)</w:t>
            </w:r>
          </w:p>
        </w:tc>
        <w:tc>
          <w:tcPr>
            <w:tcW w:w="1985" w:type="dxa"/>
            <w:tcBorders>
              <w:top w:val="nil"/>
              <w:left w:val="nil"/>
              <w:bottom w:val="nil"/>
              <w:right w:val="nil"/>
            </w:tcBorders>
            <w:shd w:val="clear" w:color="auto" w:fill="auto"/>
            <w:noWrap/>
            <w:vAlign w:val="center"/>
            <w:hideMark/>
          </w:tcPr>
          <w:p w14:paraId="4CE085BC"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1.0 (1.0, 2.0)</w:t>
            </w:r>
          </w:p>
        </w:tc>
        <w:tc>
          <w:tcPr>
            <w:tcW w:w="708" w:type="dxa"/>
            <w:tcBorders>
              <w:top w:val="nil"/>
              <w:left w:val="nil"/>
              <w:bottom w:val="nil"/>
              <w:right w:val="nil"/>
            </w:tcBorders>
            <w:shd w:val="clear" w:color="auto" w:fill="auto"/>
            <w:noWrap/>
            <w:vAlign w:val="center"/>
            <w:hideMark/>
          </w:tcPr>
          <w:p w14:paraId="5C774F1E"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61C9AA23" w14:textId="77777777" w:rsidTr="0056022F">
        <w:trPr>
          <w:trHeight w:val="215"/>
        </w:trPr>
        <w:tc>
          <w:tcPr>
            <w:tcW w:w="3119" w:type="dxa"/>
            <w:tcBorders>
              <w:top w:val="nil"/>
              <w:left w:val="nil"/>
              <w:bottom w:val="nil"/>
              <w:right w:val="nil"/>
            </w:tcBorders>
            <w:shd w:val="clear" w:color="auto" w:fill="auto"/>
            <w:noWrap/>
            <w:vAlign w:val="center"/>
            <w:hideMark/>
          </w:tcPr>
          <w:p w14:paraId="258B8C0E"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Cortisol (ng/ml)</w:t>
            </w:r>
          </w:p>
        </w:tc>
        <w:tc>
          <w:tcPr>
            <w:tcW w:w="2126" w:type="dxa"/>
            <w:tcBorders>
              <w:top w:val="nil"/>
              <w:left w:val="nil"/>
              <w:bottom w:val="nil"/>
              <w:right w:val="nil"/>
            </w:tcBorders>
            <w:shd w:val="clear" w:color="auto" w:fill="auto"/>
            <w:noWrap/>
            <w:vAlign w:val="center"/>
            <w:hideMark/>
          </w:tcPr>
          <w:p w14:paraId="7588C196"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110.0 (85.0, 139.2)</w:t>
            </w:r>
          </w:p>
        </w:tc>
        <w:tc>
          <w:tcPr>
            <w:tcW w:w="1985" w:type="dxa"/>
            <w:tcBorders>
              <w:top w:val="nil"/>
              <w:left w:val="nil"/>
              <w:bottom w:val="nil"/>
              <w:right w:val="nil"/>
            </w:tcBorders>
            <w:shd w:val="clear" w:color="auto" w:fill="auto"/>
            <w:noWrap/>
            <w:vAlign w:val="center"/>
            <w:hideMark/>
          </w:tcPr>
          <w:p w14:paraId="1A7782CB"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100.3 (76.4, 126.6)</w:t>
            </w:r>
          </w:p>
        </w:tc>
        <w:tc>
          <w:tcPr>
            <w:tcW w:w="708" w:type="dxa"/>
            <w:tcBorders>
              <w:top w:val="nil"/>
              <w:left w:val="nil"/>
              <w:bottom w:val="nil"/>
              <w:right w:val="nil"/>
            </w:tcBorders>
            <w:shd w:val="clear" w:color="auto" w:fill="auto"/>
            <w:noWrap/>
            <w:vAlign w:val="center"/>
            <w:hideMark/>
          </w:tcPr>
          <w:p w14:paraId="75E15D6A"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07BBC634" w14:textId="77777777" w:rsidTr="0056022F">
        <w:trPr>
          <w:trHeight w:val="215"/>
        </w:trPr>
        <w:tc>
          <w:tcPr>
            <w:tcW w:w="3119" w:type="dxa"/>
            <w:tcBorders>
              <w:top w:val="nil"/>
              <w:left w:val="nil"/>
              <w:bottom w:val="nil"/>
              <w:right w:val="nil"/>
            </w:tcBorders>
            <w:shd w:val="clear" w:color="auto" w:fill="auto"/>
            <w:noWrap/>
            <w:vAlign w:val="center"/>
            <w:hideMark/>
          </w:tcPr>
          <w:p w14:paraId="1090D9A8"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DHEAS (ng/ml)</w:t>
            </w:r>
          </w:p>
        </w:tc>
        <w:tc>
          <w:tcPr>
            <w:tcW w:w="2126" w:type="dxa"/>
            <w:tcBorders>
              <w:top w:val="nil"/>
              <w:left w:val="nil"/>
              <w:bottom w:val="nil"/>
              <w:right w:val="nil"/>
            </w:tcBorders>
            <w:shd w:val="clear" w:color="auto" w:fill="auto"/>
            <w:noWrap/>
            <w:vAlign w:val="center"/>
            <w:hideMark/>
          </w:tcPr>
          <w:p w14:paraId="1FFACCD0"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862.9 (670.8, 1143.9)</w:t>
            </w:r>
          </w:p>
        </w:tc>
        <w:tc>
          <w:tcPr>
            <w:tcW w:w="1985" w:type="dxa"/>
            <w:tcBorders>
              <w:top w:val="nil"/>
              <w:left w:val="nil"/>
              <w:bottom w:val="nil"/>
              <w:right w:val="nil"/>
            </w:tcBorders>
            <w:shd w:val="clear" w:color="auto" w:fill="auto"/>
            <w:noWrap/>
            <w:vAlign w:val="center"/>
            <w:hideMark/>
          </w:tcPr>
          <w:p w14:paraId="739005AD"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577.5 (306.7, 886.3)</w:t>
            </w:r>
          </w:p>
        </w:tc>
        <w:tc>
          <w:tcPr>
            <w:tcW w:w="708" w:type="dxa"/>
            <w:tcBorders>
              <w:top w:val="nil"/>
              <w:left w:val="nil"/>
              <w:bottom w:val="nil"/>
              <w:right w:val="nil"/>
            </w:tcBorders>
            <w:shd w:val="clear" w:color="auto" w:fill="auto"/>
            <w:noWrap/>
            <w:vAlign w:val="center"/>
            <w:hideMark/>
          </w:tcPr>
          <w:p w14:paraId="7736ADF0"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0B8A9DAE" w14:textId="77777777" w:rsidTr="0056022F">
        <w:trPr>
          <w:trHeight w:val="215"/>
        </w:trPr>
        <w:tc>
          <w:tcPr>
            <w:tcW w:w="3119" w:type="dxa"/>
            <w:tcBorders>
              <w:top w:val="nil"/>
              <w:left w:val="nil"/>
              <w:bottom w:val="nil"/>
              <w:right w:val="nil"/>
            </w:tcBorders>
            <w:shd w:val="clear" w:color="auto" w:fill="auto"/>
            <w:noWrap/>
            <w:vAlign w:val="center"/>
            <w:hideMark/>
          </w:tcPr>
          <w:p w14:paraId="49AF6FAA"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Cortisol:DHEAS ratio</w:t>
            </w:r>
          </w:p>
        </w:tc>
        <w:tc>
          <w:tcPr>
            <w:tcW w:w="2126" w:type="dxa"/>
            <w:tcBorders>
              <w:top w:val="nil"/>
              <w:left w:val="nil"/>
              <w:bottom w:val="nil"/>
              <w:right w:val="nil"/>
            </w:tcBorders>
            <w:shd w:val="clear" w:color="auto" w:fill="auto"/>
            <w:noWrap/>
            <w:vAlign w:val="center"/>
            <w:hideMark/>
          </w:tcPr>
          <w:p w14:paraId="6A5B9E21"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0.1 (0.1, 0.2)</w:t>
            </w:r>
          </w:p>
        </w:tc>
        <w:tc>
          <w:tcPr>
            <w:tcW w:w="1985" w:type="dxa"/>
            <w:tcBorders>
              <w:top w:val="nil"/>
              <w:left w:val="nil"/>
              <w:bottom w:val="nil"/>
              <w:right w:val="nil"/>
            </w:tcBorders>
            <w:shd w:val="clear" w:color="auto" w:fill="auto"/>
            <w:noWrap/>
            <w:vAlign w:val="center"/>
            <w:hideMark/>
          </w:tcPr>
          <w:p w14:paraId="57CE3BDE"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0.2 (0.1, 0.4)</w:t>
            </w:r>
          </w:p>
        </w:tc>
        <w:tc>
          <w:tcPr>
            <w:tcW w:w="708" w:type="dxa"/>
            <w:tcBorders>
              <w:top w:val="nil"/>
              <w:left w:val="nil"/>
              <w:bottom w:val="nil"/>
              <w:right w:val="nil"/>
            </w:tcBorders>
            <w:shd w:val="clear" w:color="auto" w:fill="auto"/>
            <w:noWrap/>
            <w:vAlign w:val="center"/>
            <w:hideMark/>
          </w:tcPr>
          <w:p w14:paraId="1DDB925C"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347</w:t>
            </w:r>
          </w:p>
        </w:tc>
      </w:tr>
      <w:tr w:rsidR="0056022F" w:rsidRPr="007701A3" w14:paraId="576F337E" w14:textId="77777777" w:rsidTr="0056022F">
        <w:trPr>
          <w:trHeight w:val="215"/>
        </w:trPr>
        <w:tc>
          <w:tcPr>
            <w:tcW w:w="3119" w:type="dxa"/>
            <w:tcBorders>
              <w:top w:val="nil"/>
              <w:left w:val="nil"/>
              <w:bottom w:val="nil"/>
              <w:right w:val="nil"/>
            </w:tcBorders>
            <w:shd w:val="clear" w:color="auto" w:fill="auto"/>
            <w:noWrap/>
            <w:vAlign w:val="center"/>
            <w:hideMark/>
          </w:tcPr>
          <w:p w14:paraId="5FCFCFE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IL-1β (pg/ml)</w:t>
            </w:r>
          </w:p>
        </w:tc>
        <w:tc>
          <w:tcPr>
            <w:tcW w:w="2126" w:type="dxa"/>
            <w:tcBorders>
              <w:top w:val="nil"/>
              <w:left w:val="nil"/>
              <w:bottom w:val="nil"/>
              <w:right w:val="nil"/>
            </w:tcBorders>
            <w:shd w:val="clear" w:color="auto" w:fill="auto"/>
            <w:noWrap/>
            <w:vAlign w:val="center"/>
            <w:hideMark/>
          </w:tcPr>
          <w:p w14:paraId="4268043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11.3 (5.6, 17.7)</w:t>
            </w:r>
          </w:p>
        </w:tc>
        <w:tc>
          <w:tcPr>
            <w:tcW w:w="1985" w:type="dxa"/>
            <w:tcBorders>
              <w:top w:val="nil"/>
              <w:left w:val="nil"/>
              <w:bottom w:val="nil"/>
              <w:right w:val="nil"/>
            </w:tcBorders>
            <w:shd w:val="clear" w:color="auto" w:fill="auto"/>
            <w:noWrap/>
            <w:vAlign w:val="center"/>
            <w:hideMark/>
          </w:tcPr>
          <w:p w14:paraId="2B76CBBC"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16.3 (11.7, 26.9)</w:t>
            </w:r>
          </w:p>
        </w:tc>
        <w:tc>
          <w:tcPr>
            <w:tcW w:w="708" w:type="dxa"/>
            <w:tcBorders>
              <w:top w:val="nil"/>
              <w:left w:val="nil"/>
              <w:bottom w:val="nil"/>
              <w:right w:val="nil"/>
            </w:tcBorders>
            <w:shd w:val="clear" w:color="auto" w:fill="auto"/>
            <w:noWrap/>
            <w:vAlign w:val="center"/>
            <w:hideMark/>
          </w:tcPr>
          <w:p w14:paraId="0772BAA6"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252</w:t>
            </w:r>
          </w:p>
        </w:tc>
      </w:tr>
      <w:tr w:rsidR="0056022F" w:rsidRPr="007701A3" w14:paraId="260D82EA" w14:textId="77777777" w:rsidTr="0056022F">
        <w:trPr>
          <w:trHeight w:val="215"/>
        </w:trPr>
        <w:tc>
          <w:tcPr>
            <w:tcW w:w="3119" w:type="dxa"/>
            <w:tcBorders>
              <w:top w:val="nil"/>
              <w:left w:val="nil"/>
              <w:bottom w:val="nil"/>
              <w:right w:val="nil"/>
            </w:tcBorders>
            <w:shd w:val="clear" w:color="auto" w:fill="auto"/>
            <w:noWrap/>
            <w:vAlign w:val="center"/>
            <w:hideMark/>
          </w:tcPr>
          <w:p w14:paraId="601743A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IL-6 (pg/ml)</w:t>
            </w:r>
          </w:p>
        </w:tc>
        <w:tc>
          <w:tcPr>
            <w:tcW w:w="2126" w:type="dxa"/>
            <w:tcBorders>
              <w:top w:val="nil"/>
              <w:left w:val="nil"/>
              <w:bottom w:val="nil"/>
              <w:right w:val="nil"/>
            </w:tcBorders>
            <w:shd w:val="clear" w:color="auto" w:fill="auto"/>
            <w:noWrap/>
            <w:vAlign w:val="center"/>
            <w:hideMark/>
          </w:tcPr>
          <w:p w14:paraId="778B90E5"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0.92 (0.24, 1.98)</w:t>
            </w:r>
          </w:p>
        </w:tc>
        <w:tc>
          <w:tcPr>
            <w:tcW w:w="1985" w:type="dxa"/>
            <w:tcBorders>
              <w:top w:val="nil"/>
              <w:left w:val="nil"/>
              <w:bottom w:val="nil"/>
              <w:right w:val="nil"/>
            </w:tcBorders>
            <w:shd w:val="clear" w:color="auto" w:fill="auto"/>
            <w:noWrap/>
            <w:vAlign w:val="center"/>
            <w:hideMark/>
          </w:tcPr>
          <w:p w14:paraId="40428D9D"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0.89 (0.40, 2.36)</w:t>
            </w:r>
          </w:p>
        </w:tc>
        <w:tc>
          <w:tcPr>
            <w:tcW w:w="708" w:type="dxa"/>
            <w:tcBorders>
              <w:top w:val="nil"/>
              <w:left w:val="nil"/>
              <w:bottom w:val="nil"/>
              <w:right w:val="nil"/>
            </w:tcBorders>
            <w:shd w:val="clear" w:color="auto" w:fill="auto"/>
            <w:noWrap/>
            <w:vAlign w:val="center"/>
            <w:hideMark/>
          </w:tcPr>
          <w:p w14:paraId="543F9394"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215</w:t>
            </w:r>
          </w:p>
        </w:tc>
      </w:tr>
      <w:tr w:rsidR="0056022F" w:rsidRPr="007701A3" w14:paraId="21A0024C" w14:textId="77777777" w:rsidTr="0056022F">
        <w:trPr>
          <w:trHeight w:val="215"/>
        </w:trPr>
        <w:tc>
          <w:tcPr>
            <w:tcW w:w="3119" w:type="dxa"/>
            <w:tcBorders>
              <w:top w:val="nil"/>
              <w:left w:val="nil"/>
              <w:bottom w:val="nil"/>
              <w:right w:val="nil"/>
            </w:tcBorders>
            <w:shd w:val="clear" w:color="auto" w:fill="auto"/>
            <w:noWrap/>
            <w:vAlign w:val="center"/>
            <w:hideMark/>
          </w:tcPr>
          <w:p w14:paraId="6F63FEEE"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IL-10 (pg/ml)</w:t>
            </w:r>
          </w:p>
        </w:tc>
        <w:tc>
          <w:tcPr>
            <w:tcW w:w="2126" w:type="dxa"/>
            <w:tcBorders>
              <w:top w:val="nil"/>
              <w:left w:val="nil"/>
              <w:bottom w:val="nil"/>
              <w:right w:val="nil"/>
            </w:tcBorders>
            <w:shd w:val="clear" w:color="auto" w:fill="auto"/>
            <w:noWrap/>
            <w:vAlign w:val="center"/>
            <w:hideMark/>
          </w:tcPr>
          <w:p w14:paraId="6A37EBF1"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2.9 (2.5, 4.7)</w:t>
            </w:r>
          </w:p>
        </w:tc>
        <w:tc>
          <w:tcPr>
            <w:tcW w:w="1985" w:type="dxa"/>
            <w:tcBorders>
              <w:top w:val="nil"/>
              <w:left w:val="nil"/>
              <w:bottom w:val="nil"/>
              <w:right w:val="nil"/>
            </w:tcBorders>
            <w:shd w:val="clear" w:color="auto" w:fill="auto"/>
            <w:noWrap/>
            <w:vAlign w:val="center"/>
            <w:hideMark/>
          </w:tcPr>
          <w:p w14:paraId="7E636393"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1.9 (0.3, 2.1)</w:t>
            </w:r>
          </w:p>
        </w:tc>
        <w:tc>
          <w:tcPr>
            <w:tcW w:w="708" w:type="dxa"/>
            <w:tcBorders>
              <w:top w:val="nil"/>
              <w:left w:val="nil"/>
              <w:bottom w:val="nil"/>
              <w:right w:val="nil"/>
            </w:tcBorders>
            <w:shd w:val="clear" w:color="auto" w:fill="auto"/>
            <w:noWrap/>
            <w:vAlign w:val="center"/>
            <w:hideMark/>
          </w:tcPr>
          <w:p w14:paraId="45EFF53D"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268</w:t>
            </w:r>
          </w:p>
        </w:tc>
      </w:tr>
      <w:tr w:rsidR="0056022F" w:rsidRPr="007701A3" w14:paraId="415287E3" w14:textId="77777777" w:rsidTr="0056022F">
        <w:trPr>
          <w:trHeight w:val="215"/>
        </w:trPr>
        <w:tc>
          <w:tcPr>
            <w:tcW w:w="3119" w:type="dxa"/>
            <w:tcBorders>
              <w:top w:val="nil"/>
              <w:left w:val="nil"/>
              <w:bottom w:val="nil"/>
              <w:right w:val="nil"/>
            </w:tcBorders>
            <w:shd w:val="clear" w:color="auto" w:fill="auto"/>
            <w:noWrap/>
            <w:vAlign w:val="center"/>
            <w:hideMark/>
          </w:tcPr>
          <w:p w14:paraId="1284EEFC"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TNFα (pg/ml)</w:t>
            </w:r>
          </w:p>
        </w:tc>
        <w:tc>
          <w:tcPr>
            <w:tcW w:w="2126" w:type="dxa"/>
            <w:tcBorders>
              <w:top w:val="nil"/>
              <w:left w:val="nil"/>
              <w:bottom w:val="nil"/>
              <w:right w:val="nil"/>
            </w:tcBorders>
            <w:shd w:val="clear" w:color="auto" w:fill="auto"/>
            <w:noWrap/>
            <w:vAlign w:val="center"/>
            <w:hideMark/>
          </w:tcPr>
          <w:p w14:paraId="10D0F711"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0.8 (0.3, 1.1)</w:t>
            </w:r>
          </w:p>
        </w:tc>
        <w:tc>
          <w:tcPr>
            <w:tcW w:w="1985" w:type="dxa"/>
            <w:tcBorders>
              <w:top w:val="nil"/>
              <w:left w:val="nil"/>
              <w:bottom w:val="nil"/>
              <w:right w:val="nil"/>
            </w:tcBorders>
            <w:shd w:val="clear" w:color="auto" w:fill="auto"/>
            <w:noWrap/>
            <w:vAlign w:val="center"/>
            <w:hideMark/>
          </w:tcPr>
          <w:p w14:paraId="3BA2FF86"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0.6 (0.5, 1.4)</w:t>
            </w:r>
          </w:p>
        </w:tc>
        <w:tc>
          <w:tcPr>
            <w:tcW w:w="708" w:type="dxa"/>
            <w:tcBorders>
              <w:top w:val="nil"/>
              <w:left w:val="nil"/>
              <w:bottom w:val="nil"/>
              <w:right w:val="nil"/>
            </w:tcBorders>
            <w:shd w:val="clear" w:color="auto" w:fill="auto"/>
            <w:noWrap/>
            <w:vAlign w:val="center"/>
            <w:hideMark/>
          </w:tcPr>
          <w:p w14:paraId="773181EE"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248</w:t>
            </w:r>
          </w:p>
        </w:tc>
      </w:tr>
      <w:tr w:rsidR="0056022F" w:rsidRPr="007701A3" w14:paraId="3864DCD8" w14:textId="77777777" w:rsidTr="0056022F">
        <w:trPr>
          <w:trHeight w:val="215"/>
        </w:trPr>
        <w:tc>
          <w:tcPr>
            <w:tcW w:w="3119" w:type="dxa"/>
            <w:tcBorders>
              <w:top w:val="nil"/>
              <w:left w:val="nil"/>
              <w:bottom w:val="nil"/>
              <w:right w:val="nil"/>
            </w:tcBorders>
            <w:shd w:val="clear" w:color="auto" w:fill="auto"/>
            <w:noWrap/>
            <w:vAlign w:val="center"/>
            <w:hideMark/>
          </w:tcPr>
          <w:p w14:paraId="1633F632"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CRP (mg/l)</w:t>
            </w:r>
          </w:p>
        </w:tc>
        <w:tc>
          <w:tcPr>
            <w:tcW w:w="2126" w:type="dxa"/>
            <w:tcBorders>
              <w:top w:val="nil"/>
              <w:left w:val="nil"/>
              <w:bottom w:val="nil"/>
              <w:right w:val="nil"/>
            </w:tcBorders>
            <w:shd w:val="clear" w:color="auto" w:fill="auto"/>
            <w:noWrap/>
            <w:vAlign w:val="center"/>
            <w:hideMark/>
          </w:tcPr>
          <w:p w14:paraId="627890C3"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2.0 (1.0, 4.1)</w:t>
            </w:r>
          </w:p>
        </w:tc>
        <w:tc>
          <w:tcPr>
            <w:tcW w:w="1985" w:type="dxa"/>
            <w:tcBorders>
              <w:top w:val="nil"/>
              <w:left w:val="nil"/>
              <w:bottom w:val="nil"/>
              <w:right w:val="nil"/>
            </w:tcBorders>
            <w:shd w:val="clear" w:color="auto" w:fill="auto"/>
            <w:noWrap/>
            <w:vAlign w:val="center"/>
            <w:hideMark/>
          </w:tcPr>
          <w:p w14:paraId="4656764F"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3.1 (1.1, 5.7)</w:t>
            </w:r>
          </w:p>
        </w:tc>
        <w:tc>
          <w:tcPr>
            <w:tcW w:w="708" w:type="dxa"/>
            <w:tcBorders>
              <w:top w:val="nil"/>
              <w:left w:val="nil"/>
              <w:bottom w:val="nil"/>
              <w:right w:val="nil"/>
            </w:tcBorders>
            <w:shd w:val="clear" w:color="auto" w:fill="auto"/>
            <w:noWrap/>
            <w:vAlign w:val="center"/>
            <w:hideMark/>
          </w:tcPr>
          <w:p w14:paraId="7E059CFF"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340</w:t>
            </w:r>
          </w:p>
        </w:tc>
      </w:tr>
      <w:tr w:rsidR="0056022F" w:rsidRPr="007701A3" w14:paraId="5525C8E6" w14:textId="77777777" w:rsidTr="0056022F">
        <w:trPr>
          <w:trHeight w:val="215"/>
        </w:trPr>
        <w:tc>
          <w:tcPr>
            <w:tcW w:w="3119" w:type="dxa"/>
            <w:tcBorders>
              <w:top w:val="nil"/>
              <w:left w:val="nil"/>
              <w:bottom w:val="nil"/>
              <w:right w:val="nil"/>
            </w:tcBorders>
            <w:shd w:val="clear" w:color="auto" w:fill="auto"/>
            <w:noWrap/>
            <w:vAlign w:val="center"/>
            <w:hideMark/>
          </w:tcPr>
          <w:p w14:paraId="10792E34" w14:textId="77777777" w:rsidR="0056022F" w:rsidRPr="007701A3" w:rsidRDefault="0056022F" w:rsidP="0056022F">
            <w:pPr>
              <w:spacing w:after="0" w:line="240" w:lineRule="auto"/>
              <w:rPr>
                <w:rFonts w:eastAsia="Times New Roman" w:cstheme="minorHAnsi"/>
                <w:color w:val="000000"/>
                <w:sz w:val="20"/>
                <w:szCs w:val="20"/>
                <w:lang w:eastAsia="en-GB"/>
              </w:rPr>
            </w:pPr>
          </w:p>
        </w:tc>
        <w:tc>
          <w:tcPr>
            <w:tcW w:w="2126" w:type="dxa"/>
            <w:tcBorders>
              <w:top w:val="nil"/>
              <w:left w:val="nil"/>
              <w:bottom w:val="nil"/>
              <w:right w:val="nil"/>
            </w:tcBorders>
            <w:shd w:val="clear" w:color="auto" w:fill="auto"/>
            <w:noWrap/>
            <w:vAlign w:val="center"/>
            <w:hideMark/>
          </w:tcPr>
          <w:p w14:paraId="13EE2B4E" w14:textId="77777777" w:rsidR="0056022F" w:rsidRPr="007701A3" w:rsidRDefault="0056022F" w:rsidP="0056022F">
            <w:pPr>
              <w:spacing w:after="0" w:line="240" w:lineRule="auto"/>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hideMark/>
          </w:tcPr>
          <w:p w14:paraId="32FFFB78"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215F03E9"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05CE6602" w14:textId="77777777" w:rsidTr="0056022F">
        <w:trPr>
          <w:trHeight w:val="215"/>
        </w:trPr>
        <w:tc>
          <w:tcPr>
            <w:tcW w:w="3119" w:type="dxa"/>
            <w:tcBorders>
              <w:top w:val="nil"/>
              <w:left w:val="nil"/>
              <w:bottom w:val="nil"/>
              <w:right w:val="nil"/>
            </w:tcBorders>
            <w:shd w:val="clear" w:color="auto" w:fill="auto"/>
            <w:noWrap/>
            <w:vAlign w:val="center"/>
            <w:hideMark/>
          </w:tcPr>
          <w:p w14:paraId="259915CB" w14:textId="77777777" w:rsidR="0056022F" w:rsidRPr="007701A3" w:rsidRDefault="0056022F" w:rsidP="0056022F">
            <w:pPr>
              <w:spacing w:after="0" w:line="240" w:lineRule="auto"/>
              <w:rPr>
                <w:rFonts w:eastAsia="Times New Roman" w:cstheme="minorHAnsi"/>
                <w:b/>
                <w:bCs/>
                <w:i/>
                <w:iCs/>
                <w:sz w:val="20"/>
                <w:szCs w:val="20"/>
                <w:lang w:eastAsia="en-GB"/>
              </w:rPr>
            </w:pPr>
            <w:r w:rsidRPr="007701A3">
              <w:rPr>
                <w:rFonts w:eastAsia="Times New Roman" w:cstheme="minorHAnsi"/>
                <w:b/>
                <w:bCs/>
                <w:i/>
                <w:iCs/>
                <w:sz w:val="20"/>
                <w:szCs w:val="20"/>
                <w:lang w:eastAsia="en-GB"/>
              </w:rPr>
              <w:t>Annual change (%)</w:t>
            </w:r>
          </w:p>
        </w:tc>
        <w:tc>
          <w:tcPr>
            <w:tcW w:w="2126" w:type="dxa"/>
            <w:tcBorders>
              <w:top w:val="nil"/>
              <w:left w:val="nil"/>
              <w:bottom w:val="nil"/>
              <w:right w:val="nil"/>
            </w:tcBorders>
            <w:shd w:val="clear" w:color="auto" w:fill="auto"/>
            <w:noWrap/>
            <w:vAlign w:val="center"/>
            <w:hideMark/>
          </w:tcPr>
          <w:p w14:paraId="7CE5D858" w14:textId="77777777" w:rsidR="0056022F" w:rsidRPr="007701A3" w:rsidRDefault="0056022F" w:rsidP="0056022F">
            <w:pPr>
              <w:spacing w:after="0" w:line="240" w:lineRule="auto"/>
              <w:rPr>
                <w:rFonts w:eastAsia="Times New Roman" w:cstheme="minorHAnsi"/>
                <w:b/>
                <w:bCs/>
                <w:i/>
                <w:iCs/>
                <w:sz w:val="20"/>
                <w:szCs w:val="20"/>
                <w:lang w:eastAsia="en-GB"/>
              </w:rPr>
            </w:pPr>
          </w:p>
        </w:tc>
        <w:tc>
          <w:tcPr>
            <w:tcW w:w="1985" w:type="dxa"/>
            <w:tcBorders>
              <w:top w:val="nil"/>
              <w:left w:val="nil"/>
              <w:bottom w:val="nil"/>
              <w:right w:val="nil"/>
            </w:tcBorders>
            <w:shd w:val="clear" w:color="auto" w:fill="auto"/>
            <w:noWrap/>
            <w:vAlign w:val="center"/>
            <w:hideMark/>
          </w:tcPr>
          <w:p w14:paraId="18A9B2BD"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413ABF6C"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3462CB2C" w14:textId="77777777" w:rsidTr="0056022F">
        <w:trPr>
          <w:trHeight w:val="215"/>
        </w:trPr>
        <w:tc>
          <w:tcPr>
            <w:tcW w:w="3119" w:type="dxa"/>
            <w:tcBorders>
              <w:top w:val="nil"/>
              <w:left w:val="nil"/>
              <w:bottom w:val="nil"/>
              <w:right w:val="nil"/>
            </w:tcBorders>
            <w:shd w:val="clear" w:color="auto" w:fill="auto"/>
            <w:noWrap/>
            <w:vAlign w:val="center"/>
            <w:hideMark/>
          </w:tcPr>
          <w:p w14:paraId="5A2C110C"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Cortisol</w:t>
            </w:r>
          </w:p>
        </w:tc>
        <w:tc>
          <w:tcPr>
            <w:tcW w:w="2126" w:type="dxa"/>
            <w:tcBorders>
              <w:top w:val="nil"/>
              <w:left w:val="nil"/>
              <w:bottom w:val="nil"/>
              <w:right w:val="nil"/>
            </w:tcBorders>
            <w:shd w:val="clear" w:color="auto" w:fill="auto"/>
            <w:noWrap/>
            <w:vAlign w:val="center"/>
            <w:hideMark/>
          </w:tcPr>
          <w:p w14:paraId="6796EDA5"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1.4 (-1.0, 5.5)</w:t>
            </w:r>
          </w:p>
        </w:tc>
        <w:tc>
          <w:tcPr>
            <w:tcW w:w="1985" w:type="dxa"/>
            <w:tcBorders>
              <w:top w:val="nil"/>
              <w:left w:val="nil"/>
              <w:bottom w:val="nil"/>
              <w:right w:val="nil"/>
            </w:tcBorders>
            <w:shd w:val="clear" w:color="auto" w:fill="auto"/>
            <w:noWrap/>
            <w:vAlign w:val="center"/>
            <w:hideMark/>
          </w:tcPr>
          <w:p w14:paraId="2427CF8D"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2.5 (-1.1, 8.3)</w:t>
            </w:r>
          </w:p>
        </w:tc>
        <w:tc>
          <w:tcPr>
            <w:tcW w:w="708" w:type="dxa"/>
            <w:tcBorders>
              <w:top w:val="nil"/>
              <w:left w:val="nil"/>
              <w:bottom w:val="nil"/>
              <w:right w:val="nil"/>
            </w:tcBorders>
            <w:shd w:val="clear" w:color="auto" w:fill="auto"/>
            <w:noWrap/>
            <w:vAlign w:val="center"/>
            <w:hideMark/>
          </w:tcPr>
          <w:p w14:paraId="26520A53"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262</w:t>
            </w:r>
          </w:p>
        </w:tc>
      </w:tr>
      <w:tr w:rsidR="0056022F" w:rsidRPr="007701A3" w14:paraId="07EC7E23" w14:textId="77777777" w:rsidTr="0056022F">
        <w:trPr>
          <w:trHeight w:val="215"/>
        </w:trPr>
        <w:tc>
          <w:tcPr>
            <w:tcW w:w="3119" w:type="dxa"/>
            <w:tcBorders>
              <w:top w:val="nil"/>
              <w:left w:val="nil"/>
              <w:bottom w:val="nil"/>
              <w:right w:val="nil"/>
            </w:tcBorders>
            <w:shd w:val="clear" w:color="auto" w:fill="auto"/>
            <w:noWrap/>
            <w:vAlign w:val="center"/>
            <w:hideMark/>
          </w:tcPr>
          <w:p w14:paraId="4D193997"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DHEAS</w:t>
            </w:r>
          </w:p>
        </w:tc>
        <w:tc>
          <w:tcPr>
            <w:tcW w:w="2126" w:type="dxa"/>
            <w:tcBorders>
              <w:top w:val="nil"/>
              <w:left w:val="nil"/>
              <w:bottom w:val="nil"/>
              <w:right w:val="nil"/>
            </w:tcBorders>
            <w:shd w:val="clear" w:color="auto" w:fill="auto"/>
            <w:noWrap/>
            <w:vAlign w:val="center"/>
            <w:hideMark/>
          </w:tcPr>
          <w:p w14:paraId="5BC33131"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-2.5 (-5.2, 0.4)</w:t>
            </w:r>
          </w:p>
        </w:tc>
        <w:tc>
          <w:tcPr>
            <w:tcW w:w="1985" w:type="dxa"/>
            <w:tcBorders>
              <w:top w:val="nil"/>
              <w:left w:val="nil"/>
              <w:bottom w:val="nil"/>
              <w:right w:val="nil"/>
            </w:tcBorders>
            <w:shd w:val="clear" w:color="auto" w:fill="auto"/>
            <w:noWrap/>
            <w:vAlign w:val="center"/>
            <w:hideMark/>
          </w:tcPr>
          <w:p w14:paraId="6A430EBF"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-1.2 (-5.0, 3.1)</w:t>
            </w:r>
          </w:p>
        </w:tc>
        <w:tc>
          <w:tcPr>
            <w:tcW w:w="708" w:type="dxa"/>
            <w:tcBorders>
              <w:top w:val="nil"/>
              <w:left w:val="nil"/>
              <w:bottom w:val="nil"/>
              <w:right w:val="nil"/>
            </w:tcBorders>
            <w:shd w:val="clear" w:color="auto" w:fill="auto"/>
            <w:noWrap/>
            <w:vAlign w:val="center"/>
            <w:hideMark/>
          </w:tcPr>
          <w:p w14:paraId="2999AF72"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258</w:t>
            </w:r>
          </w:p>
        </w:tc>
      </w:tr>
      <w:tr w:rsidR="0056022F" w:rsidRPr="007701A3" w14:paraId="5E30C745" w14:textId="77777777" w:rsidTr="0056022F">
        <w:trPr>
          <w:trHeight w:val="215"/>
        </w:trPr>
        <w:tc>
          <w:tcPr>
            <w:tcW w:w="3119" w:type="dxa"/>
            <w:tcBorders>
              <w:top w:val="nil"/>
              <w:left w:val="nil"/>
              <w:bottom w:val="nil"/>
              <w:right w:val="nil"/>
            </w:tcBorders>
            <w:shd w:val="clear" w:color="auto" w:fill="auto"/>
            <w:noWrap/>
            <w:vAlign w:val="center"/>
            <w:hideMark/>
          </w:tcPr>
          <w:p w14:paraId="16AFB067" w14:textId="7BA13B42"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Cortisol:DHEAS</w:t>
            </w:r>
            <w:r w:rsidR="007701A3">
              <w:rPr>
                <w:rFonts w:eastAsia="Times New Roman" w:cstheme="minorHAnsi"/>
                <w:sz w:val="20"/>
                <w:szCs w:val="20"/>
                <w:lang w:eastAsia="en-GB"/>
              </w:rPr>
              <w:t xml:space="preserve"> ratio</w:t>
            </w:r>
          </w:p>
        </w:tc>
        <w:tc>
          <w:tcPr>
            <w:tcW w:w="2126" w:type="dxa"/>
            <w:tcBorders>
              <w:top w:val="nil"/>
              <w:left w:val="nil"/>
              <w:bottom w:val="nil"/>
              <w:right w:val="nil"/>
            </w:tcBorders>
            <w:shd w:val="clear" w:color="auto" w:fill="auto"/>
            <w:noWrap/>
            <w:vAlign w:val="center"/>
            <w:hideMark/>
          </w:tcPr>
          <w:p w14:paraId="6D0F0EEC"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7.2 (1.2, 18.9)</w:t>
            </w:r>
          </w:p>
        </w:tc>
        <w:tc>
          <w:tcPr>
            <w:tcW w:w="1985" w:type="dxa"/>
            <w:tcBorders>
              <w:top w:val="nil"/>
              <w:left w:val="nil"/>
              <w:bottom w:val="nil"/>
              <w:right w:val="nil"/>
            </w:tcBorders>
            <w:shd w:val="clear" w:color="auto" w:fill="auto"/>
            <w:noWrap/>
            <w:vAlign w:val="center"/>
            <w:hideMark/>
          </w:tcPr>
          <w:p w14:paraId="75BC53B7"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4.7 (-2.3, 19.5)</w:t>
            </w:r>
          </w:p>
        </w:tc>
        <w:tc>
          <w:tcPr>
            <w:tcW w:w="708" w:type="dxa"/>
            <w:tcBorders>
              <w:top w:val="nil"/>
              <w:left w:val="nil"/>
              <w:bottom w:val="nil"/>
              <w:right w:val="nil"/>
            </w:tcBorders>
            <w:shd w:val="clear" w:color="auto" w:fill="auto"/>
            <w:noWrap/>
            <w:vAlign w:val="center"/>
            <w:hideMark/>
          </w:tcPr>
          <w:p w14:paraId="54E4878B"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257</w:t>
            </w:r>
          </w:p>
        </w:tc>
      </w:tr>
      <w:tr w:rsidR="0056022F" w:rsidRPr="007701A3" w14:paraId="41534E4C" w14:textId="77777777" w:rsidTr="0056022F">
        <w:trPr>
          <w:trHeight w:val="215"/>
        </w:trPr>
        <w:tc>
          <w:tcPr>
            <w:tcW w:w="3119" w:type="dxa"/>
            <w:tcBorders>
              <w:top w:val="nil"/>
              <w:left w:val="nil"/>
              <w:bottom w:val="nil"/>
              <w:right w:val="nil"/>
            </w:tcBorders>
            <w:shd w:val="clear" w:color="auto" w:fill="auto"/>
            <w:noWrap/>
            <w:vAlign w:val="center"/>
            <w:hideMark/>
          </w:tcPr>
          <w:p w14:paraId="105991DD"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IL-1β</w:t>
            </w:r>
          </w:p>
        </w:tc>
        <w:tc>
          <w:tcPr>
            <w:tcW w:w="2126" w:type="dxa"/>
            <w:tcBorders>
              <w:top w:val="nil"/>
              <w:left w:val="nil"/>
              <w:bottom w:val="nil"/>
              <w:right w:val="nil"/>
            </w:tcBorders>
            <w:shd w:val="clear" w:color="auto" w:fill="auto"/>
            <w:noWrap/>
            <w:vAlign w:val="center"/>
            <w:hideMark/>
          </w:tcPr>
          <w:p w14:paraId="573D7F0F"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0.3 (-5.3, 4.6)</w:t>
            </w:r>
          </w:p>
        </w:tc>
        <w:tc>
          <w:tcPr>
            <w:tcW w:w="1985" w:type="dxa"/>
            <w:tcBorders>
              <w:top w:val="nil"/>
              <w:left w:val="nil"/>
              <w:bottom w:val="nil"/>
              <w:right w:val="nil"/>
            </w:tcBorders>
            <w:shd w:val="clear" w:color="auto" w:fill="auto"/>
            <w:noWrap/>
            <w:vAlign w:val="center"/>
            <w:hideMark/>
          </w:tcPr>
          <w:p w14:paraId="6D404FFE"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-4.2 (-6.5, 0.4)</w:t>
            </w:r>
          </w:p>
        </w:tc>
        <w:tc>
          <w:tcPr>
            <w:tcW w:w="708" w:type="dxa"/>
            <w:tcBorders>
              <w:top w:val="nil"/>
              <w:left w:val="nil"/>
              <w:bottom w:val="nil"/>
              <w:right w:val="nil"/>
            </w:tcBorders>
            <w:shd w:val="clear" w:color="auto" w:fill="auto"/>
            <w:noWrap/>
            <w:vAlign w:val="center"/>
            <w:hideMark/>
          </w:tcPr>
          <w:p w14:paraId="5749B28A"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148</w:t>
            </w:r>
          </w:p>
        </w:tc>
      </w:tr>
      <w:tr w:rsidR="0056022F" w:rsidRPr="007701A3" w14:paraId="0750DF2A" w14:textId="77777777" w:rsidTr="0056022F">
        <w:trPr>
          <w:trHeight w:val="215"/>
        </w:trPr>
        <w:tc>
          <w:tcPr>
            <w:tcW w:w="3119" w:type="dxa"/>
            <w:tcBorders>
              <w:top w:val="nil"/>
              <w:left w:val="nil"/>
              <w:bottom w:val="nil"/>
              <w:right w:val="nil"/>
            </w:tcBorders>
            <w:shd w:val="clear" w:color="auto" w:fill="auto"/>
            <w:noWrap/>
            <w:vAlign w:val="center"/>
            <w:hideMark/>
          </w:tcPr>
          <w:p w14:paraId="33EF7E3F"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IL-6</w:t>
            </w:r>
          </w:p>
        </w:tc>
        <w:tc>
          <w:tcPr>
            <w:tcW w:w="2126" w:type="dxa"/>
            <w:tcBorders>
              <w:top w:val="nil"/>
              <w:left w:val="nil"/>
              <w:bottom w:val="nil"/>
              <w:right w:val="nil"/>
            </w:tcBorders>
            <w:shd w:val="clear" w:color="auto" w:fill="auto"/>
            <w:noWrap/>
            <w:vAlign w:val="center"/>
            <w:hideMark/>
          </w:tcPr>
          <w:p w14:paraId="05CAF90D"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27.6 (5.9, 115.2)</w:t>
            </w:r>
          </w:p>
        </w:tc>
        <w:tc>
          <w:tcPr>
            <w:tcW w:w="1985" w:type="dxa"/>
            <w:tcBorders>
              <w:top w:val="nil"/>
              <w:left w:val="nil"/>
              <w:bottom w:val="nil"/>
              <w:right w:val="nil"/>
            </w:tcBorders>
            <w:shd w:val="clear" w:color="auto" w:fill="auto"/>
            <w:noWrap/>
            <w:vAlign w:val="center"/>
            <w:hideMark/>
          </w:tcPr>
          <w:p w14:paraId="56C12A1C"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24.3 (0.3, 77.8)</w:t>
            </w:r>
          </w:p>
        </w:tc>
        <w:tc>
          <w:tcPr>
            <w:tcW w:w="708" w:type="dxa"/>
            <w:tcBorders>
              <w:top w:val="nil"/>
              <w:left w:val="nil"/>
              <w:bottom w:val="nil"/>
              <w:right w:val="nil"/>
            </w:tcBorders>
            <w:shd w:val="clear" w:color="auto" w:fill="auto"/>
            <w:noWrap/>
            <w:vAlign w:val="center"/>
            <w:hideMark/>
          </w:tcPr>
          <w:p w14:paraId="4B794B77"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162</w:t>
            </w:r>
          </w:p>
        </w:tc>
      </w:tr>
      <w:tr w:rsidR="0056022F" w:rsidRPr="007701A3" w14:paraId="2CDB914A" w14:textId="77777777" w:rsidTr="0056022F">
        <w:trPr>
          <w:trHeight w:val="215"/>
        </w:trPr>
        <w:tc>
          <w:tcPr>
            <w:tcW w:w="3119" w:type="dxa"/>
            <w:tcBorders>
              <w:top w:val="nil"/>
              <w:left w:val="nil"/>
              <w:bottom w:val="nil"/>
              <w:right w:val="nil"/>
            </w:tcBorders>
            <w:shd w:val="clear" w:color="auto" w:fill="auto"/>
            <w:noWrap/>
            <w:vAlign w:val="center"/>
            <w:hideMark/>
          </w:tcPr>
          <w:p w14:paraId="448DF3F2"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IL-10</w:t>
            </w:r>
          </w:p>
        </w:tc>
        <w:tc>
          <w:tcPr>
            <w:tcW w:w="2126" w:type="dxa"/>
            <w:tcBorders>
              <w:top w:val="nil"/>
              <w:left w:val="nil"/>
              <w:bottom w:val="nil"/>
              <w:right w:val="nil"/>
            </w:tcBorders>
            <w:shd w:val="clear" w:color="auto" w:fill="auto"/>
            <w:noWrap/>
            <w:vAlign w:val="center"/>
            <w:hideMark/>
          </w:tcPr>
          <w:p w14:paraId="14D472C5"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-8.6 (-9.9, -4.0)</w:t>
            </w:r>
          </w:p>
        </w:tc>
        <w:tc>
          <w:tcPr>
            <w:tcW w:w="1985" w:type="dxa"/>
            <w:tcBorders>
              <w:top w:val="nil"/>
              <w:left w:val="nil"/>
              <w:bottom w:val="nil"/>
              <w:right w:val="nil"/>
            </w:tcBorders>
            <w:shd w:val="clear" w:color="auto" w:fill="auto"/>
            <w:noWrap/>
            <w:vAlign w:val="center"/>
            <w:hideMark/>
          </w:tcPr>
          <w:p w14:paraId="3543999A"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-4.3 (-9.0, 2.9)</w:t>
            </w:r>
          </w:p>
        </w:tc>
        <w:tc>
          <w:tcPr>
            <w:tcW w:w="708" w:type="dxa"/>
            <w:tcBorders>
              <w:top w:val="nil"/>
              <w:left w:val="nil"/>
              <w:bottom w:val="nil"/>
              <w:right w:val="nil"/>
            </w:tcBorders>
            <w:shd w:val="clear" w:color="auto" w:fill="auto"/>
            <w:noWrap/>
            <w:vAlign w:val="center"/>
            <w:hideMark/>
          </w:tcPr>
          <w:p w14:paraId="7D687EF6"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54</w:t>
            </w:r>
          </w:p>
        </w:tc>
      </w:tr>
      <w:tr w:rsidR="0056022F" w:rsidRPr="007701A3" w14:paraId="51C66104" w14:textId="77777777" w:rsidTr="0056022F">
        <w:trPr>
          <w:trHeight w:val="215"/>
        </w:trPr>
        <w:tc>
          <w:tcPr>
            <w:tcW w:w="3119" w:type="dxa"/>
            <w:tcBorders>
              <w:top w:val="nil"/>
              <w:left w:val="nil"/>
              <w:bottom w:val="nil"/>
              <w:right w:val="nil"/>
            </w:tcBorders>
            <w:shd w:val="clear" w:color="auto" w:fill="auto"/>
            <w:noWrap/>
            <w:vAlign w:val="center"/>
            <w:hideMark/>
          </w:tcPr>
          <w:p w14:paraId="7E618956"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TNFα</w:t>
            </w:r>
          </w:p>
        </w:tc>
        <w:tc>
          <w:tcPr>
            <w:tcW w:w="2126" w:type="dxa"/>
            <w:tcBorders>
              <w:top w:val="nil"/>
              <w:left w:val="nil"/>
              <w:bottom w:val="nil"/>
              <w:right w:val="nil"/>
            </w:tcBorders>
            <w:shd w:val="clear" w:color="auto" w:fill="auto"/>
            <w:noWrap/>
            <w:vAlign w:val="center"/>
            <w:hideMark/>
          </w:tcPr>
          <w:p w14:paraId="7EDEB70D"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27.7 (12.1, 117.6)</w:t>
            </w:r>
          </w:p>
        </w:tc>
        <w:tc>
          <w:tcPr>
            <w:tcW w:w="1985" w:type="dxa"/>
            <w:tcBorders>
              <w:top w:val="nil"/>
              <w:left w:val="nil"/>
              <w:bottom w:val="nil"/>
              <w:right w:val="nil"/>
            </w:tcBorders>
            <w:shd w:val="clear" w:color="auto" w:fill="auto"/>
            <w:noWrap/>
            <w:vAlign w:val="center"/>
            <w:hideMark/>
          </w:tcPr>
          <w:p w14:paraId="41217604"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69.2 (20.1, 221.1)</w:t>
            </w:r>
          </w:p>
        </w:tc>
        <w:tc>
          <w:tcPr>
            <w:tcW w:w="708" w:type="dxa"/>
            <w:tcBorders>
              <w:top w:val="nil"/>
              <w:left w:val="nil"/>
              <w:bottom w:val="nil"/>
              <w:right w:val="nil"/>
            </w:tcBorders>
            <w:shd w:val="clear" w:color="auto" w:fill="auto"/>
            <w:noWrap/>
            <w:vAlign w:val="center"/>
            <w:hideMark/>
          </w:tcPr>
          <w:p w14:paraId="3BB960E1"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110</w:t>
            </w:r>
          </w:p>
        </w:tc>
      </w:tr>
      <w:tr w:rsidR="0056022F" w:rsidRPr="007701A3" w14:paraId="13CEE892" w14:textId="77777777" w:rsidTr="0056022F">
        <w:trPr>
          <w:trHeight w:val="215"/>
        </w:trPr>
        <w:tc>
          <w:tcPr>
            <w:tcW w:w="3119" w:type="dxa"/>
            <w:tcBorders>
              <w:top w:val="nil"/>
              <w:left w:val="nil"/>
              <w:bottom w:val="nil"/>
              <w:right w:val="nil"/>
            </w:tcBorders>
            <w:shd w:val="clear" w:color="auto" w:fill="auto"/>
            <w:noWrap/>
            <w:vAlign w:val="center"/>
            <w:hideMark/>
          </w:tcPr>
          <w:p w14:paraId="4284C905"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CRP</w:t>
            </w:r>
          </w:p>
        </w:tc>
        <w:tc>
          <w:tcPr>
            <w:tcW w:w="2126" w:type="dxa"/>
            <w:tcBorders>
              <w:top w:val="nil"/>
              <w:left w:val="nil"/>
              <w:bottom w:val="nil"/>
              <w:right w:val="nil"/>
            </w:tcBorders>
            <w:shd w:val="clear" w:color="auto" w:fill="auto"/>
            <w:noWrap/>
            <w:vAlign w:val="center"/>
            <w:hideMark/>
          </w:tcPr>
          <w:p w14:paraId="7B20943D"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3.7 (-5.4, 25.9)</w:t>
            </w:r>
          </w:p>
        </w:tc>
        <w:tc>
          <w:tcPr>
            <w:tcW w:w="1985" w:type="dxa"/>
            <w:tcBorders>
              <w:top w:val="nil"/>
              <w:left w:val="nil"/>
              <w:bottom w:val="nil"/>
              <w:right w:val="nil"/>
            </w:tcBorders>
            <w:shd w:val="clear" w:color="auto" w:fill="auto"/>
            <w:noWrap/>
            <w:vAlign w:val="center"/>
            <w:hideMark/>
          </w:tcPr>
          <w:p w14:paraId="2BE3D6AE"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2.7 (-6.1, 11.8)</w:t>
            </w:r>
          </w:p>
        </w:tc>
        <w:tc>
          <w:tcPr>
            <w:tcW w:w="708" w:type="dxa"/>
            <w:tcBorders>
              <w:top w:val="nil"/>
              <w:left w:val="nil"/>
              <w:bottom w:val="nil"/>
              <w:right w:val="nil"/>
            </w:tcBorders>
            <w:shd w:val="clear" w:color="auto" w:fill="auto"/>
            <w:noWrap/>
            <w:vAlign w:val="center"/>
            <w:hideMark/>
          </w:tcPr>
          <w:p w14:paraId="5EAFA80D" w14:textId="77777777" w:rsidR="0056022F" w:rsidRPr="007701A3" w:rsidRDefault="0056022F" w:rsidP="0056022F">
            <w:pPr>
              <w:spacing w:after="0" w:line="240" w:lineRule="auto"/>
              <w:rPr>
                <w:rFonts w:eastAsia="Times New Roman" w:cstheme="minorHAnsi"/>
                <w:color w:val="000000"/>
                <w:sz w:val="20"/>
                <w:szCs w:val="20"/>
                <w:lang w:eastAsia="en-GB"/>
              </w:rPr>
            </w:pPr>
            <w:r w:rsidRPr="007701A3">
              <w:rPr>
                <w:rFonts w:eastAsia="Times New Roman" w:cstheme="minorHAnsi"/>
                <w:color w:val="000000"/>
                <w:sz w:val="20"/>
                <w:szCs w:val="20"/>
                <w:lang w:eastAsia="en-GB"/>
              </w:rPr>
              <w:t>255</w:t>
            </w:r>
          </w:p>
        </w:tc>
      </w:tr>
      <w:tr w:rsidR="0056022F" w:rsidRPr="007701A3" w14:paraId="247851D7" w14:textId="77777777" w:rsidTr="0056022F">
        <w:trPr>
          <w:trHeight w:val="215"/>
        </w:trPr>
        <w:tc>
          <w:tcPr>
            <w:tcW w:w="3119" w:type="dxa"/>
            <w:tcBorders>
              <w:top w:val="nil"/>
              <w:left w:val="nil"/>
              <w:bottom w:val="nil"/>
              <w:right w:val="nil"/>
            </w:tcBorders>
            <w:shd w:val="clear" w:color="auto" w:fill="auto"/>
            <w:noWrap/>
            <w:vAlign w:val="center"/>
            <w:hideMark/>
          </w:tcPr>
          <w:p w14:paraId="03BCE775" w14:textId="77777777" w:rsidR="0056022F" w:rsidRPr="007701A3" w:rsidRDefault="0056022F" w:rsidP="0056022F">
            <w:pPr>
              <w:spacing w:after="0" w:line="240" w:lineRule="auto"/>
              <w:rPr>
                <w:rFonts w:eastAsia="Times New Roman" w:cstheme="minorHAnsi"/>
                <w:color w:val="000000"/>
                <w:sz w:val="20"/>
                <w:szCs w:val="20"/>
                <w:lang w:eastAsia="en-GB"/>
              </w:rPr>
            </w:pPr>
          </w:p>
        </w:tc>
        <w:tc>
          <w:tcPr>
            <w:tcW w:w="2126" w:type="dxa"/>
            <w:tcBorders>
              <w:top w:val="nil"/>
              <w:left w:val="nil"/>
              <w:bottom w:val="nil"/>
              <w:right w:val="nil"/>
            </w:tcBorders>
            <w:shd w:val="clear" w:color="auto" w:fill="auto"/>
            <w:noWrap/>
            <w:vAlign w:val="center"/>
            <w:hideMark/>
          </w:tcPr>
          <w:p w14:paraId="010832BF" w14:textId="77777777" w:rsidR="0056022F" w:rsidRPr="007701A3" w:rsidRDefault="0056022F" w:rsidP="0056022F">
            <w:pPr>
              <w:spacing w:after="0" w:line="240" w:lineRule="auto"/>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hideMark/>
          </w:tcPr>
          <w:p w14:paraId="328F888D"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477667C8"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44EC885D" w14:textId="77777777" w:rsidTr="0056022F">
        <w:trPr>
          <w:trHeight w:val="215"/>
        </w:trPr>
        <w:tc>
          <w:tcPr>
            <w:tcW w:w="3119" w:type="dxa"/>
            <w:tcBorders>
              <w:top w:val="nil"/>
              <w:left w:val="nil"/>
              <w:bottom w:val="nil"/>
              <w:right w:val="nil"/>
            </w:tcBorders>
            <w:shd w:val="clear" w:color="auto" w:fill="auto"/>
            <w:noWrap/>
            <w:vAlign w:val="center"/>
            <w:hideMark/>
          </w:tcPr>
          <w:p w14:paraId="36E86FBC" w14:textId="77777777" w:rsidR="0056022F" w:rsidRPr="007701A3" w:rsidRDefault="0056022F" w:rsidP="0056022F">
            <w:pPr>
              <w:spacing w:after="0" w:line="240" w:lineRule="auto"/>
              <w:rPr>
                <w:rFonts w:eastAsia="Times New Roman" w:cstheme="minorHAnsi"/>
                <w:b/>
                <w:bCs/>
                <w:sz w:val="20"/>
                <w:szCs w:val="20"/>
                <w:lang w:eastAsia="en-GB"/>
              </w:rPr>
            </w:pPr>
            <w:r w:rsidRPr="007701A3">
              <w:rPr>
                <w:rFonts w:eastAsia="Times New Roman" w:cstheme="minorHAnsi"/>
                <w:b/>
                <w:bCs/>
                <w:sz w:val="20"/>
                <w:szCs w:val="20"/>
                <w:lang w:eastAsia="en-GB"/>
              </w:rPr>
              <w:t>Follow-up (2003/5)</w:t>
            </w:r>
          </w:p>
        </w:tc>
        <w:tc>
          <w:tcPr>
            <w:tcW w:w="2126" w:type="dxa"/>
            <w:tcBorders>
              <w:top w:val="nil"/>
              <w:left w:val="nil"/>
              <w:bottom w:val="nil"/>
              <w:right w:val="nil"/>
            </w:tcBorders>
            <w:shd w:val="clear" w:color="auto" w:fill="auto"/>
            <w:noWrap/>
            <w:vAlign w:val="center"/>
            <w:hideMark/>
          </w:tcPr>
          <w:p w14:paraId="0E1355D8" w14:textId="77777777" w:rsidR="0056022F" w:rsidRPr="007701A3" w:rsidRDefault="0056022F" w:rsidP="0056022F">
            <w:pPr>
              <w:spacing w:after="0" w:line="240" w:lineRule="auto"/>
              <w:rPr>
                <w:rFonts w:eastAsia="Times New Roman" w:cstheme="minorHAnsi"/>
                <w:b/>
                <w:bCs/>
                <w:sz w:val="20"/>
                <w:szCs w:val="20"/>
                <w:lang w:eastAsia="en-GB"/>
              </w:rPr>
            </w:pPr>
          </w:p>
        </w:tc>
        <w:tc>
          <w:tcPr>
            <w:tcW w:w="1985" w:type="dxa"/>
            <w:tcBorders>
              <w:top w:val="nil"/>
              <w:left w:val="nil"/>
              <w:bottom w:val="nil"/>
              <w:right w:val="nil"/>
            </w:tcBorders>
            <w:shd w:val="clear" w:color="auto" w:fill="auto"/>
            <w:noWrap/>
            <w:vAlign w:val="center"/>
            <w:hideMark/>
          </w:tcPr>
          <w:p w14:paraId="16D0EB14"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67D72D2A"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259EDC55" w14:textId="77777777" w:rsidTr="0056022F">
        <w:trPr>
          <w:trHeight w:val="215"/>
        </w:trPr>
        <w:tc>
          <w:tcPr>
            <w:tcW w:w="3119" w:type="dxa"/>
            <w:tcBorders>
              <w:top w:val="nil"/>
              <w:left w:val="nil"/>
              <w:bottom w:val="nil"/>
              <w:right w:val="nil"/>
            </w:tcBorders>
            <w:shd w:val="clear" w:color="auto" w:fill="auto"/>
            <w:noWrap/>
            <w:vAlign w:val="center"/>
            <w:hideMark/>
          </w:tcPr>
          <w:p w14:paraId="4138250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Follow-up time (years)</w:t>
            </w:r>
          </w:p>
        </w:tc>
        <w:tc>
          <w:tcPr>
            <w:tcW w:w="2126" w:type="dxa"/>
            <w:tcBorders>
              <w:top w:val="nil"/>
              <w:left w:val="nil"/>
              <w:bottom w:val="nil"/>
              <w:right w:val="nil"/>
            </w:tcBorders>
            <w:shd w:val="clear" w:color="auto" w:fill="auto"/>
            <w:noWrap/>
            <w:vAlign w:val="center"/>
            <w:hideMark/>
          </w:tcPr>
          <w:p w14:paraId="21F1AE87"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9.5 (9.0, 9.8)</w:t>
            </w:r>
          </w:p>
        </w:tc>
        <w:tc>
          <w:tcPr>
            <w:tcW w:w="1985" w:type="dxa"/>
            <w:tcBorders>
              <w:top w:val="nil"/>
              <w:left w:val="nil"/>
              <w:bottom w:val="nil"/>
              <w:right w:val="nil"/>
            </w:tcBorders>
            <w:shd w:val="clear" w:color="auto" w:fill="auto"/>
            <w:noWrap/>
            <w:vAlign w:val="center"/>
            <w:hideMark/>
          </w:tcPr>
          <w:p w14:paraId="4FC125DE"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9.1 (8.6, 9.4)</w:t>
            </w:r>
          </w:p>
        </w:tc>
        <w:tc>
          <w:tcPr>
            <w:tcW w:w="708" w:type="dxa"/>
            <w:tcBorders>
              <w:top w:val="nil"/>
              <w:left w:val="nil"/>
              <w:bottom w:val="nil"/>
              <w:right w:val="nil"/>
            </w:tcBorders>
            <w:shd w:val="clear" w:color="auto" w:fill="auto"/>
            <w:noWrap/>
            <w:vAlign w:val="center"/>
            <w:hideMark/>
          </w:tcPr>
          <w:p w14:paraId="3FD691A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347</w:t>
            </w:r>
          </w:p>
        </w:tc>
      </w:tr>
      <w:tr w:rsidR="0056022F" w:rsidRPr="007701A3" w14:paraId="55A75FEE" w14:textId="77777777" w:rsidTr="0056022F">
        <w:trPr>
          <w:trHeight w:val="215"/>
        </w:trPr>
        <w:tc>
          <w:tcPr>
            <w:tcW w:w="3119" w:type="dxa"/>
            <w:tcBorders>
              <w:top w:val="nil"/>
              <w:left w:val="nil"/>
              <w:bottom w:val="nil"/>
              <w:right w:val="nil"/>
            </w:tcBorders>
            <w:shd w:val="clear" w:color="auto" w:fill="auto"/>
            <w:noWrap/>
            <w:vAlign w:val="center"/>
            <w:hideMark/>
          </w:tcPr>
          <w:p w14:paraId="5A777DD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HAD depression score</w:t>
            </w:r>
          </w:p>
        </w:tc>
        <w:tc>
          <w:tcPr>
            <w:tcW w:w="2126" w:type="dxa"/>
            <w:tcBorders>
              <w:top w:val="nil"/>
              <w:left w:val="nil"/>
              <w:bottom w:val="nil"/>
              <w:right w:val="nil"/>
            </w:tcBorders>
            <w:shd w:val="clear" w:color="auto" w:fill="auto"/>
            <w:noWrap/>
            <w:vAlign w:val="center"/>
            <w:hideMark/>
          </w:tcPr>
          <w:p w14:paraId="3523C6EC"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3.0 (1.0, 5.0)</w:t>
            </w:r>
          </w:p>
        </w:tc>
        <w:tc>
          <w:tcPr>
            <w:tcW w:w="1985" w:type="dxa"/>
            <w:tcBorders>
              <w:top w:val="nil"/>
              <w:left w:val="nil"/>
              <w:bottom w:val="nil"/>
              <w:right w:val="nil"/>
            </w:tcBorders>
            <w:shd w:val="clear" w:color="auto" w:fill="auto"/>
            <w:noWrap/>
            <w:vAlign w:val="center"/>
            <w:hideMark/>
          </w:tcPr>
          <w:p w14:paraId="38932473"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3.0 (1.0, 6.0)</w:t>
            </w:r>
          </w:p>
        </w:tc>
        <w:tc>
          <w:tcPr>
            <w:tcW w:w="708" w:type="dxa"/>
            <w:tcBorders>
              <w:top w:val="nil"/>
              <w:left w:val="nil"/>
              <w:bottom w:val="nil"/>
              <w:right w:val="nil"/>
            </w:tcBorders>
            <w:shd w:val="clear" w:color="auto" w:fill="auto"/>
            <w:noWrap/>
            <w:vAlign w:val="center"/>
            <w:hideMark/>
          </w:tcPr>
          <w:p w14:paraId="7FEA2C03"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346</w:t>
            </w:r>
          </w:p>
        </w:tc>
      </w:tr>
      <w:tr w:rsidR="0056022F" w:rsidRPr="007701A3" w14:paraId="62712C5B" w14:textId="77777777" w:rsidTr="0056022F">
        <w:trPr>
          <w:trHeight w:val="215"/>
        </w:trPr>
        <w:tc>
          <w:tcPr>
            <w:tcW w:w="3119" w:type="dxa"/>
            <w:tcBorders>
              <w:top w:val="nil"/>
              <w:left w:val="nil"/>
              <w:bottom w:val="nil"/>
              <w:right w:val="nil"/>
            </w:tcBorders>
            <w:shd w:val="clear" w:color="auto" w:fill="auto"/>
            <w:noWrap/>
            <w:vAlign w:val="center"/>
            <w:hideMark/>
          </w:tcPr>
          <w:p w14:paraId="11181C95" w14:textId="77777777" w:rsidR="0056022F" w:rsidRPr="007701A3" w:rsidRDefault="0056022F" w:rsidP="0056022F">
            <w:pPr>
              <w:spacing w:after="0" w:line="240" w:lineRule="auto"/>
              <w:rPr>
                <w:rFonts w:eastAsia="Times New Roman" w:cstheme="minorHAnsi"/>
                <w:sz w:val="20"/>
                <w:szCs w:val="20"/>
                <w:lang w:eastAsia="en-GB"/>
              </w:rPr>
            </w:pPr>
          </w:p>
        </w:tc>
        <w:tc>
          <w:tcPr>
            <w:tcW w:w="2126" w:type="dxa"/>
            <w:tcBorders>
              <w:top w:val="nil"/>
              <w:left w:val="nil"/>
              <w:bottom w:val="nil"/>
              <w:right w:val="nil"/>
            </w:tcBorders>
            <w:shd w:val="clear" w:color="auto" w:fill="auto"/>
            <w:noWrap/>
            <w:vAlign w:val="center"/>
            <w:hideMark/>
          </w:tcPr>
          <w:p w14:paraId="650D41EA" w14:textId="77777777" w:rsidR="0056022F" w:rsidRPr="007701A3" w:rsidRDefault="0056022F" w:rsidP="0056022F">
            <w:pPr>
              <w:spacing w:after="0" w:line="240" w:lineRule="auto"/>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hideMark/>
          </w:tcPr>
          <w:p w14:paraId="48A69A47"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3A7981B1"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0215745E" w14:textId="77777777" w:rsidTr="0056022F">
        <w:trPr>
          <w:trHeight w:val="215"/>
        </w:trPr>
        <w:tc>
          <w:tcPr>
            <w:tcW w:w="3119" w:type="dxa"/>
            <w:tcBorders>
              <w:top w:val="nil"/>
              <w:left w:val="nil"/>
              <w:bottom w:val="nil"/>
              <w:right w:val="nil"/>
            </w:tcBorders>
            <w:shd w:val="clear" w:color="auto" w:fill="auto"/>
            <w:noWrap/>
            <w:vAlign w:val="center"/>
            <w:hideMark/>
          </w:tcPr>
          <w:p w14:paraId="2ABF7CB8"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HAD depression score</w:t>
            </w:r>
          </w:p>
        </w:tc>
        <w:tc>
          <w:tcPr>
            <w:tcW w:w="2126" w:type="dxa"/>
            <w:tcBorders>
              <w:top w:val="nil"/>
              <w:left w:val="nil"/>
              <w:bottom w:val="nil"/>
              <w:right w:val="nil"/>
            </w:tcBorders>
            <w:shd w:val="clear" w:color="auto" w:fill="auto"/>
            <w:noWrap/>
            <w:vAlign w:val="center"/>
            <w:hideMark/>
          </w:tcPr>
          <w:p w14:paraId="0F207AA2" w14:textId="77777777" w:rsidR="0056022F" w:rsidRPr="007701A3" w:rsidRDefault="0056022F" w:rsidP="0056022F">
            <w:pPr>
              <w:spacing w:after="0" w:line="240" w:lineRule="auto"/>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hideMark/>
          </w:tcPr>
          <w:p w14:paraId="6C0D5FE2"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5824426F"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6FA0E73F" w14:textId="77777777" w:rsidTr="0056022F">
        <w:trPr>
          <w:trHeight w:val="215"/>
        </w:trPr>
        <w:tc>
          <w:tcPr>
            <w:tcW w:w="3119" w:type="dxa"/>
            <w:tcBorders>
              <w:top w:val="nil"/>
              <w:left w:val="nil"/>
              <w:bottom w:val="nil"/>
              <w:right w:val="nil"/>
            </w:tcBorders>
            <w:shd w:val="clear" w:color="auto" w:fill="auto"/>
            <w:noWrap/>
            <w:vAlign w:val="center"/>
            <w:hideMark/>
          </w:tcPr>
          <w:p w14:paraId="0C1DFE09" w14:textId="5FA2B741" w:rsidR="0056022F" w:rsidRPr="007701A3" w:rsidRDefault="007701A3" w:rsidP="0056022F">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    </w:t>
            </w:r>
            <w:r w:rsidR="0056022F" w:rsidRPr="007701A3">
              <w:rPr>
                <w:rFonts w:eastAsia="Times New Roman" w:cstheme="minorHAnsi"/>
                <w:sz w:val="20"/>
                <w:szCs w:val="20"/>
                <w:lang w:eastAsia="en-GB"/>
              </w:rPr>
              <w:t>0-7 Non-case</w:t>
            </w:r>
          </w:p>
        </w:tc>
        <w:tc>
          <w:tcPr>
            <w:tcW w:w="2126" w:type="dxa"/>
            <w:tcBorders>
              <w:top w:val="nil"/>
              <w:left w:val="nil"/>
              <w:bottom w:val="nil"/>
              <w:right w:val="nil"/>
            </w:tcBorders>
            <w:shd w:val="clear" w:color="auto" w:fill="auto"/>
            <w:noWrap/>
            <w:vAlign w:val="center"/>
            <w:hideMark/>
          </w:tcPr>
          <w:p w14:paraId="75A7687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179 (89.5%)</w:t>
            </w:r>
          </w:p>
        </w:tc>
        <w:tc>
          <w:tcPr>
            <w:tcW w:w="1985" w:type="dxa"/>
            <w:tcBorders>
              <w:top w:val="nil"/>
              <w:left w:val="nil"/>
              <w:bottom w:val="nil"/>
              <w:right w:val="nil"/>
            </w:tcBorders>
            <w:shd w:val="clear" w:color="auto" w:fill="auto"/>
            <w:noWrap/>
            <w:vAlign w:val="center"/>
            <w:hideMark/>
          </w:tcPr>
          <w:p w14:paraId="325FEC8D"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127 (87.0%)</w:t>
            </w:r>
          </w:p>
        </w:tc>
        <w:tc>
          <w:tcPr>
            <w:tcW w:w="708" w:type="dxa"/>
            <w:tcBorders>
              <w:top w:val="nil"/>
              <w:left w:val="nil"/>
              <w:bottom w:val="nil"/>
              <w:right w:val="nil"/>
            </w:tcBorders>
            <w:shd w:val="clear" w:color="auto" w:fill="auto"/>
            <w:noWrap/>
            <w:vAlign w:val="center"/>
            <w:hideMark/>
          </w:tcPr>
          <w:p w14:paraId="2502987E"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335DF9FE" w14:textId="77777777" w:rsidTr="0056022F">
        <w:trPr>
          <w:trHeight w:val="215"/>
        </w:trPr>
        <w:tc>
          <w:tcPr>
            <w:tcW w:w="3119" w:type="dxa"/>
            <w:tcBorders>
              <w:top w:val="nil"/>
              <w:left w:val="nil"/>
              <w:bottom w:val="nil"/>
              <w:right w:val="nil"/>
            </w:tcBorders>
            <w:shd w:val="clear" w:color="auto" w:fill="auto"/>
            <w:noWrap/>
            <w:vAlign w:val="center"/>
            <w:hideMark/>
          </w:tcPr>
          <w:p w14:paraId="0AD4550D" w14:textId="2F04D22B" w:rsidR="0056022F" w:rsidRPr="007701A3" w:rsidRDefault="007701A3" w:rsidP="007701A3">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    </w:t>
            </w:r>
            <w:r w:rsidR="0056022F" w:rsidRPr="007701A3">
              <w:rPr>
                <w:rFonts w:eastAsia="Times New Roman" w:cstheme="minorHAnsi"/>
                <w:sz w:val="20"/>
                <w:szCs w:val="20"/>
                <w:lang w:eastAsia="en-GB"/>
              </w:rPr>
              <w:t xml:space="preserve">8-10 </w:t>
            </w:r>
            <w:r>
              <w:rPr>
                <w:rFonts w:eastAsia="Times New Roman" w:cstheme="minorHAnsi"/>
                <w:sz w:val="20"/>
                <w:szCs w:val="20"/>
                <w:lang w:eastAsia="en-GB"/>
              </w:rPr>
              <w:t>Possible</w:t>
            </w:r>
            <w:r w:rsidR="0056022F" w:rsidRPr="007701A3">
              <w:rPr>
                <w:rFonts w:eastAsia="Times New Roman" w:cstheme="minorHAnsi"/>
                <w:sz w:val="20"/>
                <w:szCs w:val="20"/>
                <w:lang w:eastAsia="en-GB"/>
              </w:rPr>
              <w:t xml:space="preserve"> case</w:t>
            </w:r>
          </w:p>
        </w:tc>
        <w:tc>
          <w:tcPr>
            <w:tcW w:w="2126" w:type="dxa"/>
            <w:tcBorders>
              <w:top w:val="nil"/>
              <w:left w:val="nil"/>
              <w:bottom w:val="nil"/>
              <w:right w:val="nil"/>
            </w:tcBorders>
            <w:shd w:val="clear" w:color="auto" w:fill="auto"/>
            <w:noWrap/>
            <w:vAlign w:val="center"/>
            <w:hideMark/>
          </w:tcPr>
          <w:p w14:paraId="0ECF7C43"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14 (7.0%)</w:t>
            </w:r>
          </w:p>
        </w:tc>
        <w:tc>
          <w:tcPr>
            <w:tcW w:w="1985" w:type="dxa"/>
            <w:tcBorders>
              <w:top w:val="nil"/>
              <w:left w:val="nil"/>
              <w:bottom w:val="nil"/>
              <w:right w:val="nil"/>
            </w:tcBorders>
            <w:shd w:val="clear" w:color="auto" w:fill="auto"/>
            <w:noWrap/>
            <w:vAlign w:val="center"/>
            <w:hideMark/>
          </w:tcPr>
          <w:p w14:paraId="48DED415"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17 (11.6%)</w:t>
            </w:r>
          </w:p>
        </w:tc>
        <w:tc>
          <w:tcPr>
            <w:tcW w:w="708" w:type="dxa"/>
            <w:tcBorders>
              <w:top w:val="nil"/>
              <w:left w:val="nil"/>
              <w:bottom w:val="nil"/>
              <w:right w:val="nil"/>
            </w:tcBorders>
            <w:shd w:val="clear" w:color="auto" w:fill="auto"/>
            <w:noWrap/>
            <w:vAlign w:val="center"/>
            <w:hideMark/>
          </w:tcPr>
          <w:p w14:paraId="277AF6E2"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346</w:t>
            </w:r>
          </w:p>
        </w:tc>
      </w:tr>
      <w:tr w:rsidR="0056022F" w:rsidRPr="007701A3" w14:paraId="2161C52B" w14:textId="77777777" w:rsidTr="0056022F">
        <w:trPr>
          <w:trHeight w:val="215"/>
        </w:trPr>
        <w:tc>
          <w:tcPr>
            <w:tcW w:w="3119" w:type="dxa"/>
            <w:tcBorders>
              <w:top w:val="nil"/>
              <w:left w:val="nil"/>
              <w:bottom w:val="nil"/>
              <w:right w:val="nil"/>
            </w:tcBorders>
            <w:shd w:val="clear" w:color="auto" w:fill="auto"/>
            <w:noWrap/>
            <w:vAlign w:val="center"/>
            <w:hideMark/>
          </w:tcPr>
          <w:p w14:paraId="374C6076" w14:textId="6967DB04" w:rsidR="0056022F" w:rsidRPr="007701A3" w:rsidRDefault="007701A3" w:rsidP="0056022F">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    </w:t>
            </w:r>
            <w:r w:rsidR="0056022F" w:rsidRPr="007701A3">
              <w:rPr>
                <w:rFonts w:eastAsia="Times New Roman" w:cstheme="minorHAnsi"/>
                <w:sz w:val="20"/>
                <w:szCs w:val="20"/>
                <w:lang w:eastAsia="en-GB"/>
              </w:rPr>
              <w:t xml:space="preserve">11+ </w:t>
            </w:r>
            <w:r>
              <w:rPr>
                <w:rFonts w:eastAsia="Times New Roman" w:cstheme="minorHAnsi"/>
                <w:sz w:val="20"/>
                <w:szCs w:val="20"/>
                <w:lang w:eastAsia="en-GB"/>
              </w:rPr>
              <w:t>Probable c</w:t>
            </w:r>
            <w:r w:rsidR="0056022F" w:rsidRPr="007701A3">
              <w:rPr>
                <w:rFonts w:eastAsia="Times New Roman" w:cstheme="minorHAnsi"/>
                <w:sz w:val="20"/>
                <w:szCs w:val="20"/>
                <w:lang w:eastAsia="en-GB"/>
              </w:rPr>
              <w:t>ase</w:t>
            </w:r>
          </w:p>
        </w:tc>
        <w:tc>
          <w:tcPr>
            <w:tcW w:w="2126" w:type="dxa"/>
            <w:tcBorders>
              <w:top w:val="nil"/>
              <w:left w:val="nil"/>
              <w:bottom w:val="nil"/>
              <w:right w:val="nil"/>
            </w:tcBorders>
            <w:shd w:val="clear" w:color="auto" w:fill="auto"/>
            <w:noWrap/>
            <w:vAlign w:val="center"/>
            <w:hideMark/>
          </w:tcPr>
          <w:p w14:paraId="081D6AE2"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7 (3.5%)</w:t>
            </w:r>
          </w:p>
        </w:tc>
        <w:tc>
          <w:tcPr>
            <w:tcW w:w="1985" w:type="dxa"/>
            <w:tcBorders>
              <w:top w:val="nil"/>
              <w:left w:val="nil"/>
              <w:bottom w:val="nil"/>
              <w:right w:val="nil"/>
            </w:tcBorders>
            <w:shd w:val="clear" w:color="auto" w:fill="auto"/>
            <w:noWrap/>
            <w:vAlign w:val="center"/>
            <w:hideMark/>
          </w:tcPr>
          <w:p w14:paraId="6B9A15AC"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2 (1.4%)</w:t>
            </w:r>
          </w:p>
        </w:tc>
        <w:tc>
          <w:tcPr>
            <w:tcW w:w="708" w:type="dxa"/>
            <w:tcBorders>
              <w:top w:val="nil"/>
              <w:left w:val="nil"/>
              <w:bottom w:val="nil"/>
              <w:right w:val="nil"/>
            </w:tcBorders>
            <w:shd w:val="clear" w:color="auto" w:fill="auto"/>
            <w:noWrap/>
            <w:vAlign w:val="center"/>
            <w:hideMark/>
          </w:tcPr>
          <w:p w14:paraId="113E62D2"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7E21E447" w14:textId="77777777" w:rsidTr="0056022F">
        <w:trPr>
          <w:trHeight w:val="215"/>
        </w:trPr>
        <w:tc>
          <w:tcPr>
            <w:tcW w:w="3119" w:type="dxa"/>
            <w:tcBorders>
              <w:top w:val="nil"/>
              <w:left w:val="nil"/>
              <w:bottom w:val="nil"/>
              <w:right w:val="nil"/>
            </w:tcBorders>
            <w:shd w:val="clear" w:color="auto" w:fill="auto"/>
            <w:noWrap/>
            <w:vAlign w:val="center"/>
            <w:hideMark/>
          </w:tcPr>
          <w:p w14:paraId="3ED5C2E9" w14:textId="77777777" w:rsidR="0056022F" w:rsidRPr="007701A3" w:rsidRDefault="0056022F" w:rsidP="0056022F">
            <w:pPr>
              <w:spacing w:after="0" w:line="240" w:lineRule="auto"/>
              <w:rPr>
                <w:rFonts w:eastAsia="Times New Roman" w:cstheme="minorHAnsi"/>
                <w:sz w:val="20"/>
                <w:szCs w:val="20"/>
                <w:lang w:eastAsia="en-GB"/>
              </w:rPr>
            </w:pPr>
          </w:p>
        </w:tc>
        <w:tc>
          <w:tcPr>
            <w:tcW w:w="2126" w:type="dxa"/>
            <w:tcBorders>
              <w:top w:val="nil"/>
              <w:left w:val="nil"/>
              <w:bottom w:val="nil"/>
              <w:right w:val="nil"/>
            </w:tcBorders>
            <w:shd w:val="clear" w:color="auto" w:fill="auto"/>
            <w:noWrap/>
            <w:vAlign w:val="center"/>
            <w:hideMark/>
          </w:tcPr>
          <w:p w14:paraId="29A338A4" w14:textId="77777777" w:rsidR="0056022F" w:rsidRPr="007701A3" w:rsidRDefault="0056022F" w:rsidP="0056022F">
            <w:pPr>
              <w:spacing w:after="0" w:line="240" w:lineRule="auto"/>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hideMark/>
          </w:tcPr>
          <w:p w14:paraId="75C0B6CE" w14:textId="77777777" w:rsidR="0056022F" w:rsidRPr="007701A3" w:rsidRDefault="0056022F" w:rsidP="0056022F">
            <w:pPr>
              <w:spacing w:after="0" w:line="240" w:lineRule="auto"/>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7D31E4C2" w14:textId="77777777" w:rsidR="0056022F" w:rsidRPr="007701A3" w:rsidRDefault="0056022F" w:rsidP="0056022F">
            <w:pPr>
              <w:spacing w:after="0" w:line="240" w:lineRule="auto"/>
              <w:rPr>
                <w:rFonts w:eastAsia="Times New Roman" w:cstheme="minorHAnsi"/>
                <w:sz w:val="20"/>
                <w:szCs w:val="20"/>
                <w:lang w:eastAsia="en-GB"/>
              </w:rPr>
            </w:pPr>
          </w:p>
        </w:tc>
      </w:tr>
      <w:tr w:rsidR="0056022F" w:rsidRPr="007701A3" w14:paraId="6BD5808B" w14:textId="77777777" w:rsidTr="0056022F">
        <w:trPr>
          <w:trHeight w:val="215"/>
        </w:trPr>
        <w:tc>
          <w:tcPr>
            <w:tcW w:w="3119" w:type="dxa"/>
            <w:tcBorders>
              <w:top w:val="nil"/>
              <w:left w:val="nil"/>
              <w:bottom w:val="nil"/>
              <w:right w:val="nil"/>
            </w:tcBorders>
            <w:shd w:val="clear" w:color="auto" w:fill="auto"/>
            <w:noWrap/>
            <w:vAlign w:val="center"/>
            <w:hideMark/>
          </w:tcPr>
          <w:p w14:paraId="753F7718"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High HAD depression score</w:t>
            </w:r>
            <w:r w:rsidRPr="007701A3">
              <w:rPr>
                <w:rFonts w:eastAsia="Times New Roman" w:cstheme="minorHAnsi"/>
                <w:sz w:val="20"/>
                <w:szCs w:val="20"/>
                <w:vertAlign w:val="superscript"/>
                <w:lang w:eastAsia="en-GB"/>
              </w:rPr>
              <w:t>a</w:t>
            </w:r>
          </w:p>
        </w:tc>
        <w:tc>
          <w:tcPr>
            <w:tcW w:w="2126" w:type="dxa"/>
            <w:tcBorders>
              <w:top w:val="nil"/>
              <w:left w:val="nil"/>
              <w:bottom w:val="nil"/>
              <w:right w:val="nil"/>
            </w:tcBorders>
            <w:shd w:val="clear" w:color="auto" w:fill="auto"/>
            <w:noWrap/>
            <w:vAlign w:val="center"/>
            <w:hideMark/>
          </w:tcPr>
          <w:p w14:paraId="1EC8C4F0"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79 (39.5%)</w:t>
            </w:r>
          </w:p>
        </w:tc>
        <w:tc>
          <w:tcPr>
            <w:tcW w:w="1985" w:type="dxa"/>
            <w:tcBorders>
              <w:top w:val="nil"/>
              <w:left w:val="nil"/>
              <w:bottom w:val="nil"/>
              <w:right w:val="nil"/>
            </w:tcBorders>
            <w:shd w:val="clear" w:color="auto" w:fill="auto"/>
            <w:noWrap/>
            <w:vAlign w:val="center"/>
            <w:hideMark/>
          </w:tcPr>
          <w:p w14:paraId="1737F059"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49 (33.6%)</w:t>
            </w:r>
          </w:p>
        </w:tc>
        <w:tc>
          <w:tcPr>
            <w:tcW w:w="708" w:type="dxa"/>
            <w:tcBorders>
              <w:top w:val="nil"/>
              <w:left w:val="nil"/>
              <w:bottom w:val="nil"/>
              <w:right w:val="nil"/>
            </w:tcBorders>
            <w:shd w:val="clear" w:color="auto" w:fill="auto"/>
            <w:noWrap/>
            <w:vAlign w:val="center"/>
            <w:hideMark/>
          </w:tcPr>
          <w:p w14:paraId="580C52E8"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346</w:t>
            </w:r>
          </w:p>
        </w:tc>
      </w:tr>
      <w:tr w:rsidR="0056022F" w:rsidRPr="007701A3" w14:paraId="0452AC5E" w14:textId="77777777" w:rsidTr="0056022F">
        <w:trPr>
          <w:trHeight w:val="215"/>
        </w:trPr>
        <w:tc>
          <w:tcPr>
            <w:tcW w:w="3119" w:type="dxa"/>
            <w:tcBorders>
              <w:top w:val="nil"/>
              <w:left w:val="nil"/>
              <w:bottom w:val="nil"/>
              <w:right w:val="nil"/>
            </w:tcBorders>
            <w:shd w:val="clear" w:color="auto" w:fill="auto"/>
            <w:noWrap/>
            <w:vAlign w:val="center"/>
            <w:hideMark/>
          </w:tcPr>
          <w:p w14:paraId="37E27197" w14:textId="399A8995"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SF-36 mental health</w:t>
            </w:r>
            <w:r w:rsidR="000E6453" w:rsidRPr="007701A3">
              <w:rPr>
                <w:rFonts w:eastAsia="Times New Roman" w:cstheme="minorHAnsi"/>
                <w:sz w:val="20"/>
                <w:szCs w:val="20"/>
                <w:lang w:eastAsia="en-GB"/>
              </w:rPr>
              <w:t xml:space="preserve"> score</w:t>
            </w:r>
          </w:p>
        </w:tc>
        <w:tc>
          <w:tcPr>
            <w:tcW w:w="2126" w:type="dxa"/>
            <w:tcBorders>
              <w:top w:val="nil"/>
              <w:left w:val="nil"/>
              <w:bottom w:val="nil"/>
              <w:right w:val="nil"/>
            </w:tcBorders>
            <w:shd w:val="clear" w:color="auto" w:fill="auto"/>
            <w:noWrap/>
            <w:vAlign w:val="center"/>
            <w:hideMark/>
          </w:tcPr>
          <w:p w14:paraId="052C79C3"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84.0 (72.0, 92.0)</w:t>
            </w:r>
          </w:p>
        </w:tc>
        <w:tc>
          <w:tcPr>
            <w:tcW w:w="1985" w:type="dxa"/>
            <w:tcBorders>
              <w:top w:val="nil"/>
              <w:left w:val="nil"/>
              <w:bottom w:val="nil"/>
              <w:right w:val="nil"/>
            </w:tcBorders>
            <w:shd w:val="clear" w:color="auto" w:fill="auto"/>
            <w:noWrap/>
            <w:vAlign w:val="center"/>
            <w:hideMark/>
          </w:tcPr>
          <w:p w14:paraId="1647E165"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76.0 (64.0, 88.0)</w:t>
            </w:r>
          </w:p>
        </w:tc>
        <w:tc>
          <w:tcPr>
            <w:tcW w:w="708" w:type="dxa"/>
            <w:tcBorders>
              <w:top w:val="nil"/>
              <w:left w:val="nil"/>
              <w:bottom w:val="nil"/>
              <w:right w:val="nil"/>
            </w:tcBorders>
            <w:shd w:val="clear" w:color="auto" w:fill="auto"/>
            <w:noWrap/>
            <w:vAlign w:val="center"/>
            <w:hideMark/>
          </w:tcPr>
          <w:p w14:paraId="5E9E91F7"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343</w:t>
            </w:r>
          </w:p>
        </w:tc>
      </w:tr>
      <w:tr w:rsidR="0056022F" w:rsidRPr="007701A3" w14:paraId="48ED54F9" w14:textId="77777777" w:rsidTr="0056022F">
        <w:trPr>
          <w:trHeight w:val="215"/>
        </w:trPr>
        <w:tc>
          <w:tcPr>
            <w:tcW w:w="3119" w:type="dxa"/>
            <w:tcBorders>
              <w:top w:val="nil"/>
              <w:left w:val="nil"/>
              <w:bottom w:val="single" w:sz="4" w:space="0" w:color="auto"/>
              <w:right w:val="nil"/>
            </w:tcBorders>
            <w:shd w:val="clear" w:color="auto" w:fill="auto"/>
            <w:noWrap/>
            <w:vAlign w:val="center"/>
            <w:hideMark/>
          </w:tcPr>
          <w:p w14:paraId="72AB3A62"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Poor SF-36 mental health</w:t>
            </w:r>
            <w:r w:rsidRPr="007701A3">
              <w:rPr>
                <w:rFonts w:eastAsia="Times New Roman" w:cstheme="minorHAnsi"/>
                <w:sz w:val="20"/>
                <w:szCs w:val="20"/>
                <w:vertAlign w:val="superscript"/>
                <w:lang w:eastAsia="en-GB"/>
              </w:rPr>
              <w:t>b</w:t>
            </w:r>
          </w:p>
        </w:tc>
        <w:tc>
          <w:tcPr>
            <w:tcW w:w="2126" w:type="dxa"/>
            <w:tcBorders>
              <w:top w:val="nil"/>
              <w:left w:val="nil"/>
              <w:bottom w:val="single" w:sz="4" w:space="0" w:color="auto"/>
              <w:right w:val="nil"/>
            </w:tcBorders>
            <w:shd w:val="clear" w:color="auto" w:fill="auto"/>
            <w:noWrap/>
            <w:vAlign w:val="center"/>
            <w:hideMark/>
          </w:tcPr>
          <w:p w14:paraId="2DEBB032"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77 (38.9%)</w:t>
            </w:r>
          </w:p>
        </w:tc>
        <w:tc>
          <w:tcPr>
            <w:tcW w:w="1985" w:type="dxa"/>
            <w:tcBorders>
              <w:top w:val="nil"/>
              <w:left w:val="nil"/>
              <w:bottom w:val="single" w:sz="4" w:space="0" w:color="auto"/>
              <w:right w:val="nil"/>
            </w:tcBorders>
            <w:shd w:val="clear" w:color="auto" w:fill="auto"/>
            <w:noWrap/>
            <w:vAlign w:val="center"/>
            <w:hideMark/>
          </w:tcPr>
          <w:p w14:paraId="45D34BE6"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49 (33.8%)</w:t>
            </w:r>
          </w:p>
        </w:tc>
        <w:tc>
          <w:tcPr>
            <w:tcW w:w="708" w:type="dxa"/>
            <w:tcBorders>
              <w:top w:val="nil"/>
              <w:left w:val="nil"/>
              <w:bottom w:val="single" w:sz="4" w:space="0" w:color="auto"/>
              <w:right w:val="nil"/>
            </w:tcBorders>
            <w:shd w:val="clear" w:color="auto" w:fill="auto"/>
            <w:noWrap/>
            <w:vAlign w:val="center"/>
            <w:hideMark/>
          </w:tcPr>
          <w:p w14:paraId="5613994F"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343</w:t>
            </w:r>
          </w:p>
        </w:tc>
      </w:tr>
      <w:tr w:rsidR="0056022F" w:rsidRPr="007701A3" w14:paraId="302C847E" w14:textId="77777777" w:rsidTr="0056022F">
        <w:trPr>
          <w:trHeight w:val="215"/>
        </w:trPr>
        <w:tc>
          <w:tcPr>
            <w:tcW w:w="3119" w:type="dxa"/>
            <w:tcBorders>
              <w:top w:val="nil"/>
              <w:left w:val="nil"/>
              <w:bottom w:val="nil"/>
              <w:right w:val="nil"/>
            </w:tcBorders>
            <w:shd w:val="clear" w:color="auto" w:fill="auto"/>
            <w:noWrap/>
            <w:vAlign w:val="center"/>
            <w:hideMark/>
          </w:tcPr>
          <w:p w14:paraId="53E1B62A"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M: Men; W: Women</w:t>
            </w:r>
          </w:p>
        </w:tc>
        <w:tc>
          <w:tcPr>
            <w:tcW w:w="2126" w:type="dxa"/>
            <w:tcBorders>
              <w:top w:val="nil"/>
              <w:left w:val="nil"/>
              <w:bottom w:val="nil"/>
              <w:right w:val="nil"/>
            </w:tcBorders>
            <w:shd w:val="clear" w:color="auto" w:fill="auto"/>
            <w:noWrap/>
            <w:vAlign w:val="center"/>
            <w:hideMark/>
          </w:tcPr>
          <w:p w14:paraId="15163DB4"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1985" w:type="dxa"/>
            <w:tcBorders>
              <w:top w:val="nil"/>
              <w:left w:val="nil"/>
              <w:bottom w:val="nil"/>
              <w:right w:val="nil"/>
            </w:tcBorders>
            <w:shd w:val="clear" w:color="auto" w:fill="auto"/>
            <w:noWrap/>
            <w:vAlign w:val="center"/>
            <w:hideMark/>
          </w:tcPr>
          <w:p w14:paraId="1149F112"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5CB1E860" w14:textId="77777777" w:rsidR="0056022F" w:rsidRPr="007701A3" w:rsidRDefault="0056022F" w:rsidP="0056022F">
            <w:pPr>
              <w:spacing w:after="0" w:line="240" w:lineRule="auto"/>
              <w:jc w:val="center"/>
              <w:rPr>
                <w:rFonts w:eastAsia="Times New Roman" w:cstheme="minorHAnsi"/>
                <w:sz w:val="20"/>
                <w:szCs w:val="20"/>
                <w:lang w:eastAsia="en-GB"/>
              </w:rPr>
            </w:pPr>
          </w:p>
        </w:tc>
      </w:tr>
      <w:tr w:rsidR="0056022F" w:rsidRPr="007701A3" w14:paraId="648FC2FE" w14:textId="77777777" w:rsidTr="0056022F">
        <w:trPr>
          <w:trHeight w:val="215"/>
        </w:trPr>
        <w:tc>
          <w:tcPr>
            <w:tcW w:w="5245" w:type="dxa"/>
            <w:gridSpan w:val="2"/>
            <w:tcBorders>
              <w:top w:val="nil"/>
              <w:left w:val="nil"/>
              <w:bottom w:val="nil"/>
              <w:right w:val="nil"/>
            </w:tcBorders>
            <w:shd w:val="clear" w:color="auto" w:fill="auto"/>
            <w:noWrap/>
            <w:vAlign w:val="center"/>
            <w:hideMark/>
          </w:tcPr>
          <w:p w14:paraId="36E3928B"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Obs: Number of non-missing observations</w:t>
            </w:r>
          </w:p>
        </w:tc>
        <w:tc>
          <w:tcPr>
            <w:tcW w:w="1985" w:type="dxa"/>
            <w:tcBorders>
              <w:top w:val="nil"/>
              <w:left w:val="nil"/>
              <w:bottom w:val="nil"/>
              <w:right w:val="nil"/>
            </w:tcBorders>
            <w:shd w:val="clear" w:color="auto" w:fill="auto"/>
            <w:noWrap/>
            <w:vAlign w:val="center"/>
            <w:hideMark/>
          </w:tcPr>
          <w:p w14:paraId="53799DE2"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7BAADA90" w14:textId="77777777" w:rsidR="0056022F" w:rsidRPr="007701A3" w:rsidRDefault="0056022F" w:rsidP="0056022F">
            <w:pPr>
              <w:spacing w:after="0" w:line="240" w:lineRule="auto"/>
              <w:jc w:val="center"/>
              <w:rPr>
                <w:rFonts w:eastAsia="Times New Roman" w:cstheme="minorHAnsi"/>
                <w:sz w:val="20"/>
                <w:szCs w:val="20"/>
                <w:lang w:eastAsia="en-GB"/>
              </w:rPr>
            </w:pPr>
          </w:p>
        </w:tc>
      </w:tr>
      <w:tr w:rsidR="0056022F" w:rsidRPr="007701A3" w14:paraId="4D92B1DD" w14:textId="77777777" w:rsidTr="0056022F">
        <w:trPr>
          <w:trHeight w:val="215"/>
        </w:trPr>
        <w:tc>
          <w:tcPr>
            <w:tcW w:w="5245" w:type="dxa"/>
            <w:gridSpan w:val="2"/>
            <w:tcBorders>
              <w:top w:val="nil"/>
              <w:left w:val="nil"/>
              <w:bottom w:val="nil"/>
              <w:right w:val="nil"/>
            </w:tcBorders>
            <w:shd w:val="clear" w:color="auto" w:fill="auto"/>
            <w:noWrap/>
            <w:vAlign w:val="center"/>
            <w:hideMark/>
          </w:tcPr>
          <w:p w14:paraId="7A386DB3"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lang w:eastAsia="en-GB"/>
              </w:rPr>
              <w:t>HAD: Hospital anxiety and depression scale</w:t>
            </w:r>
          </w:p>
        </w:tc>
        <w:tc>
          <w:tcPr>
            <w:tcW w:w="1985" w:type="dxa"/>
            <w:tcBorders>
              <w:top w:val="nil"/>
              <w:left w:val="nil"/>
              <w:bottom w:val="nil"/>
              <w:right w:val="nil"/>
            </w:tcBorders>
            <w:shd w:val="clear" w:color="auto" w:fill="auto"/>
            <w:noWrap/>
            <w:vAlign w:val="center"/>
            <w:hideMark/>
          </w:tcPr>
          <w:p w14:paraId="61D56DA7"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53DC82CC" w14:textId="77777777" w:rsidR="0056022F" w:rsidRPr="007701A3" w:rsidRDefault="0056022F" w:rsidP="0056022F">
            <w:pPr>
              <w:spacing w:after="0" w:line="240" w:lineRule="auto"/>
              <w:jc w:val="center"/>
              <w:rPr>
                <w:rFonts w:eastAsia="Times New Roman" w:cstheme="minorHAnsi"/>
                <w:sz w:val="20"/>
                <w:szCs w:val="20"/>
                <w:lang w:eastAsia="en-GB"/>
              </w:rPr>
            </w:pPr>
          </w:p>
        </w:tc>
      </w:tr>
      <w:tr w:rsidR="0056022F" w:rsidRPr="007701A3" w14:paraId="139852C2" w14:textId="77777777" w:rsidTr="0056022F">
        <w:trPr>
          <w:trHeight w:val="215"/>
        </w:trPr>
        <w:tc>
          <w:tcPr>
            <w:tcW w:w="5245" w:type="dxa"/>
            <w:gridSpan w:val="2"/>
            <w:tcBorders>
              <w:top w:val="nil"/>
              <w:left w:val="nil"/>
              <w:bottom w:val="nil"/>
              <w:right w:val="nil"/>
            </w:tcBorders>
            <w:shd w:val="clear" w:color="auto" w:fill="auto"/>
            <w:noWrap/>
            <w:vAlign w:val="center"/>
            <w:hideMark/>
          </w:tcPr>
          <w:p w14:paraId="0FBE3864"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vertAlign w:val="superscript"/>
                <w:lang w:eastAsia="en-GB"/>
              </w:rPr>
              <w:t>a</w:t>
            </w:r>
            <w:r w:rsidRPr="007701A3">
              <w:rPr>
                <w:rFonts w:eastAsia="Times New Roman" w:cstheme="minorHAnsi"/>
                <w:sz w:val="20"/>
                <w:szCs w:val="20"/>
                <w:lang w:eastAsia="en-GB"/>
              </w:rPr>
              <w:t xml:space="preserve"> Score in the highest sex-specific third of the distribution</w:t>
            </w:r>
          </w:p>
        </w:tc>
        <w:tc>
          <w:tcPr>
            <w:tcW w:w="1985" w:type="dxa"/>
            <w:tcBorders>
              <w:top w:val="nil"/>
              <w:left w:val="nil"/>
              <w:bottom w:val="nil"/>
              <w:right w:val="nil"/>
            </w:tcBorders>
            <w:shd w:val="clear" w:color="auto" w:fill="auto"/>
            <w:noWrap/>
            <w:vAlign w:val="center"/>
            <w:hideMark/>
          </w:tcPr>
          <w:p w14:paraId="0F860449"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235F2197" w14:textId="77777777" w:rsidR="0056022F" w:rsidRPr="007701A3" w:rsidRDefault="0056022F" w:rsidP="0056022F">
            <w:pPr>
              <w:spacing w:after="0" w:line="240" w:lineRule="auto"/>
              <w:jc w:val="center"/>
              <w:rPr>
                <w:rFonts w:eastAsia="Times New Roman" w:cstheme="minorHAnsi"/>
                <w:sz w:val="20"/>
                <w:szCs w:val="20"/>
                <w:lang w:eastAsia="en-GB"/>
              </w:rPr>
            </w:pPr>
          </w:p>
        </w:tc>
      </w:tr>
      <w:tr w:rsidR="0056022F" w:rsidRPr="007701A3" w14:paraId="3377E41B" w14:textId="77777777" w:rsidTr="0056022F">
        <w:trPr>
          <w:trHeight w:val="215"/>
        </w:trPr>
        <w:tc>
          <w:tcPr>
            <w:tcW w:w="5245" w:type="dxa"/>
            <w:gridSpan w:val="2"/>
            <w:tcBorders>
              <w:top w:val="nil"/>
              <w:left w:val="nil"/>
              <w:bottom w:val="nil"/>
              <w:right w:val="nil"/>
            </w:tcBorders>
            <w:shd w:val="clear" w:color="auto" w:fill="auto"/>
            <w:noWrap/>
            <w:vAlign w:val="center"/>
            <w:hideMark/>
          </w:tcPr>
          <w:p w14:paraId="55AB9918" w14:textId="77777777" w:rsidR="0056022F" w:rsidRPr="007701A3" w:rsidRDefault="0056022F" w:rsidP="0056022F">
            <w:pPr>
              <w:spacing w:after="0" w:line="240" w:lineRule="auto"/>
              <w:rPr>
                <w:rFonts w:eastAsia="Times New Roman" w:cstheme="minorHAnsi"/>
                <w:sz w:val="20"/>
                <w:szCs w:val="20"/>
                <w:lang w:eastAsia="en-GB"/>
              </w:rPr>
            </w:pPr>
            <w:r w:rsidRPr="007701A3">
              <w:rPr>
                <w:rFonts w:eastAsia="Times New Roman" w:cstheme="minorHAnsi"/>
                <w:sz w:val="20"/>
                <w:szCs w:val="20"/>
                <w:vertAlign w:val="superscript"/>
                <w:lang w:eastAsia="en-GB"/>
              </w:rPr>
              <w:t>b</w:t>
            </w:r>
            <w:r w:rsidRPr="007701A3">
              <w:rPr>
                <w:rFonts w:eastAsia="Times New Roman" w:cstheme="minorHAnsi"/>
                <w:sz w:val="20"/>
                <w:szCs w:val="20"/>
                <w:lang w:eastAsia="en-GB"/>
              </w:rPr>
              <w:t xml:space="preserve"> Score in the lowest sex-specific third of the distribution</w:t>
            </w:r>
          </w:p>
        </w:tc>
        <w:tc>
          <w:tcPr>
            <w:tcW w:w="1985" w:type="dxa"/>
            <w:tcBorders>
              <w:top w:val="nil"/>
              <w:left w:val="nil"/>
              <w:bottom w:val="nil"/>
              <w:right w:val="nil"/>
            </w:tcBorders>
            <w:shd w:val="clear" w:color="auto" w:fill="auto"/>
            <w:noWrap/>
            <w:vAlign w:val="center"/>
            <w:hideMark/>
          </w:tcPr>
          <w:p w14:paraId="331D0589" w14:textId="77777777" w:rsidR="0056022F" w:rsidRPr="007701A3" w:rsidRDefault="0056022F" w:rsidP="0056022F">
            <w:pPr>
              <w:spacing w:after="0" w:line="240" w:lineRule="auto"/>
              <w:jc w:val="center"/>
              <w:rPr>
                <w:rFonts w:eastAsia="Times New Roman" w:cstheme="minorHAnsi"/>
                <w:sz w:val="20"/>
                <w:szCs w:val="20"/>
                <w:lang w:eastAsia="en-GB"/>
              </w:rPr>
            </w:pPr>
          </w:p>
        </w:tc>
        <w:tc>
          <w:tcPr>
            <w:tcW w:w="708" w:type="dxa"/>
            <w:tcBorders>
              <w:top w:val="nil"/>
              <w:left w:val="nil"/>
              <w:bottom w:val="nil"/>
              <w:right w:val="nil"/>
            </w:tcBorders>
            <w:shd w:val="clear" w:color="auto" w:fill="auto"/>
            <w:noWrap/>
            <w:vAlign w:val="center"/>
            <w:hideMark/>
          </w:tcPr>
          <w:p w14:paraId="7B6A2E1C" w14:textId="77777777" w:rsidR="0056022F" w:rsidRPr="007701A3" w:rsidRDefault="0056022F" w:rsidP="0056022F">
            <w:pPr>
              <w:spacing w:after="0" w:line="240" w:lineRule="auto"/>
              <w:jc w:val="center"/>
              <w:rPr>
                <w:rFonts w:eastAsia="Times New Roman" w:cstheme="minorHAnsi"/>
                <w:sz w:val="20"/>
                <w:szCs w:val="20"/>
                <w:lang w:eastAsia="en-GB"/>
              </w:rPr>
            </w:pPr>
          </w:p>
        </w:tc>
      </w:tr>
    </w:tbl>
    <w:p w14:paraId="7D0596A3" w14:textId="77777777" w:rsidR="00E46704" w:rsidRDefault="00E46704" w:rsidP="0056022F">
      <w:pPr>
        <w:rPr>
          <w:rFonts w:ascii="Calibri" w:eastAsia="Calibri" w:hAnsi="Calibri" w:cs="Times New Roman"/>
          <w:lang w:eastAsia="en-US"/>
        </w:rPr>
        <w:sectPr w:rsidR="00E46704">
          <w:footerReference w:type="default" r:id="rId9"/>
          <w:pgSz w:w="11906" w:h="16838"/>
          <w:pgMar w:top="1440" w:right="1440" w:bottom="1440" w:left="1440" w:header="708" w:footer="708" w:gutter="0"/>
          <w:cols w:space="708"/>
          <w:docGrid w:linePitch="360"/>
        </w:sectPr>
      </w:pPr>
    </w:p>
    <w:tbl>
      <w:tblPr>
        <w:tblW w:w="13928" w:type="dxa"/>
        <w:tblLayout w:type="fixed"/>
        <w:tblCellMar>
          <w:left w:w="68" w:type="dxa"/>
          <w:right w:w="68" w:type="dxa"/>
        </w:tblCellMar>
        <w:tblLook w:val="04A0" w:firstRow="1" w:lastRow="0" w:firstColumn="1" w:lastColumn="0" w:noHBand="0" w:noVBand="1"/>
      </w:tblPr>
      <w:tblGrid>
        <w:gridCol w:w="1134"/>
        <w:gridCol w:w="411"/>
        <w:gridCol w:w="1588"/>
        <w:gridCol w:w="538"/>
        <w:gridCol w:w="1486"/>
        <w:gridCol w:w="567"/>
        <w:gridCol w:w="1486"/>
        <w:gridCol w:w="565"/>
        <w:gridCol w:w="1486"/>
        <w:gridCol w:w="565"/>
        <w:gridCol w:w="1486"/>
        <w:gridCol w:w="565"/>
        <w:gridCol w:w="1486"/>
        <w:gridCol w:w="565"/>
      </w:tblGrid>
      <w:tr w:rsidR="0088561D" w:rsidRPr="00110AC6" w14:paraId="65723338" w14:textId="77777777" w:rsidTr="00490565">
        <w:trPr>
          <w:trHeight w:val="227"/>
        </w:trPr>
        <w:tc>
          <w:tcPr>
            <w:tcW w:w="13928" w:type="dxa"/>
            <w:gridSpan w:val="14"/>
            <w:tcBorders>
              <w:left w:val="nil"/>
            </w:tcBorders>
            <w:shd w:val="clear" w:color="auto" w:fill="auto"/>
            <w:vAlign w:val="center"/>
          </w:tcPr>
          <w:p w14:paraId="5DB4356B" w14:textId="23E6C5F7" w:rsidR="0088561D" w:rsidRPr="00110AC6" w:rsidRDefault="0088561D" w:rsidP="007701A3">
            <w:pPr>
              <w:spacing w:after="0" w:line="240" w:lineRule="auto"/>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 xml:space="preserve">Table 2: </w:t>
            </w:r>
            <w:r w:rsidR="007701A3">
              <w:rPr>
                <w:rFonts w:eastAsia="Times New Roman" w:cstheme="minorHAnsi"/>
                <w:b/>
                <w:bCs/>
                <w:color w:val="000000"/>
                <w:sz w:val="20"/>
                <w:szCs w:val="20"/>
                <w:lang w:eastAsia="en-GB"/>
              </w:rPr>
              <w:t>Risk</w:t>
            </w:r>
            <w:r w:rsidRPr="00110AC6">
              <w:rPr>
                <w:rFonts w:eastAsia="Times New Roman" w:cstheme="minorHAnsi"/>
                <w:b/>
                <w:bCs/>
                <w:color w:val="000000"/>
                <w:sz w:val="20"/>
                <w:szCs w:val="20"/>
                <w:lang w:eastAsia="en-GB"/>
              </w:rPr>
              <w:t xml:space="preserve"> of high HAD depression and poor SF-36 mental health scores at follow-up per standard deviation difference in baseline biomarker</w:t>
            </w:r>
          </w:p>
        </w:tc>
      </w:tr>
      <w:tr w:rsidR="0088561D" w:rsidRPr="00110AC6" w14:paraId="079A2FD0" w14:textId="77777777" w:rsidTr="00490565">
        <w:trPr>
          <w:trHeight w:val="227"/>
        </w:trPr>
        <w:tc>
          <w:tcPr>
            <w:tcW w:w="1134" w:type="dxa"/>
            <w:tcBorders>
              <w:left w:val="nil"/>
              <w:bottom w:val="single" w:sz="4" w:space="0" w:color="auto"/>
            </w:tcBorders>
            <w:shd w:val="clear" w:color="auto" w:fill="auto"/>
            <w:vAlign w:val="center"/>
          </w:tcPr>
          <w:p w14:paraId="5B416274" w14:textId="77777777" w:rsidR="0088561D" w:rsidRPr="00110AC6" w:rsidRDefault="0088561D" w:rsidP="00E46704">
            <w:pPr>
              <w:spacing w:after="0" w:line="240" w:lineRule="auto"/>
              <w:rPr>
                <w:rFonts w:eastAsia="Times New Roman" w:cstheme="minorHAnsi"/>
                <w:b/>
                <w:bCs/>
                <w:color w:val="000000"/>
                <w:sz w:val="20"/>
                <w:szCs w:val="20"/>
                <w:lang w:eastAsia="en-GB"/>
              </w:rPr>
            </w:pPr>
          </w:p>
        </w:tc>
        <w:tc>
          <w:tcPr>
            <w:tcW w:w="411" w:type="dxa"/>
            <w:tcBorders>
              <w:bottom w:val="single" w:sz="4" w:space="0" w:color="auto"/>
            </w:tcBorders>
            <w:shd w:val="clear" w:color="auto" w:fill="auto"/>
            <w:noWrap/>
            <w:vAlign w:val="center"/>
          </w:tcPr>
          <w:p w14:paraId="766AE8B5" w14:textId="77777777" w:rsidR="0088561D" w:rsidRPr="00110AC6" w:rsidRDefault="0088561D" w:rsidP="00E46704">
            <w:pPr>
              <w:spacing w:after="0" w:line="240" w:lineRule="auto"/>
              <w:jc w:val="center"/>
              <w:rPr>
                <w:rFonts w:eastAsia="Times New Roman" w:cstheme="minorHAnsi"/>
                <w:b/>
                <w:bCs/>
                <w:color w:val="000000"/>
                <w:sz w:val="20"/>
                <w:szCs w:val="20"/>
                <w:lang w:eastAsia="en-GB"/>
              </w:rPr>
            </w:pPr>
          </w:p>
        </w:tc>
        <w:tc>
          <w:tcPr>
            <w:tcW w:w="4179" w:type="dxa"/>
            <w:gridSpan w:val="4"/>
            <w:tcBorders>
              <w:bottom w:val="single" w:sz="4" w:space="0" w:color="auto"/>
            </w:tcBorders>
            <w:shd w:val="clear" w:color="auto" w:fill="auto"/>
            <w:vAlign w:val="center"/>
          </w:tcPr>
          <w:p w14:paraId="7E6E6F85" w14:textId="77777777" w:rsidR="0088561D" w:rsidRPr="00110AC6" w:rsidRDefault="0088561D" w:rsidP="00E46704">
            <w:pPr>
              <w:spacing w:after="0" w:line="240" w:lineRule="auto"/>
              <w:jc w:val="center"/>
              <w:rPr>
                <w:rFonts w:eastAsia="Times New Roman" w:cstheme="minorHAnsi"/>
                <w:b/>
                <w:bCs/>
                <w:color w:val="000000"/>
                <w:sz w:val="20"/>
                <w:szCs w:val="20"/>
                <w:lang w:eastAsia="en-GB"/>
              </w:rPr>
            </w:pPr>
          </w:p>
        </w:tc>
        <w:tc>
          <w:tcPr>
            <w:tcW w:w="4102" w:type="dxa"/>
            <w:gridSpan w:val="4"/>
            <w:tcBorders>
              <w:bottom w:val="single" w:sz="4" w:space="0" w:color="auto"/>
            </w:tcBorders>
            <w:vAlign w:val="center"/>
          </w:tcPr>
          <w:p w14:paraId="6DB9469D" w14:textId="77777777" w:rsidR="0088561D" w:rsidRPr="00110AC6" w:rsidRDefault="0088561D" w:rsidP="00E46704">
            <w:pPr>
              <w:spacing w:after="0" w:line="240" w:lineRule="auto"/>
              <w:jc w:val="center"/>
              <w:rPr>
                <w:rFonts w:eastAsia="Times New Roman" w:cstheme="minorHAnsi"/>
                <w:b/>
                <w:bCs/>
                <w:color w:val="000000"/>
                <w:sz w:val="20"/>
                <w:szCs w:val="20"/>
                <w:lang w:eastAsia="en-GB"/>
              </w:rPr>
            </w:pPr>
          </w:p>
        </w:tc>
        <w:tc>
          <w:tcPr>
            <w:tcW w:w="4102" w:type="dxa"/>
            <w:gridSpan w:val="4"/>
            <w:tcBorders>
              <w:bottom w:val="single" w:sz="4" w:space="0" w:color="auto"/>
            </w:tcBorders>
          </w:tcPr>
          <w:p w14:paraId="77D6D444" w14:textId="77777777" w:rsidR="0088561D" w:rsidRPr="00110AC6" w:rsidRDefault="0088561D" w:rsidP="00E46704">
            <w:pPr>
              <w:spacing w:after="0" w:line="240" w:lineRule="auto"/>
              <w:jc w:val="center"/>
              <w:rPr>
                <w:rFonts w:eastAsia="Times New Roman" w:cstheme="minorHAnsi"/>
                <w:b/>
                <w:bCs/>
                <w:color w:val="000000"/>
                <w:sz w:val="20"/>
                <w:szCs w:val="20"/>
                <w:lang w:eastAsia="en-GB"/>
              </w:rPr>
            </w:pPr>
          </w:p>
        </w:tc>
      </w:tr>
      <w:tr w:rsidR="00282537" w:rsidRPr="00110AC6" w14:paraId="24331281" w14:textId="77777777" w:rsidTr="00490565">
        <w:trPr>
          <w:trHeight w:val="368"/>
        </w:trPr>
        <w:tc>
          <w:tcPr>
            <w:tcW w:w="1134" w:type="dxa"/>
            <w:vMerge w:val="restart"/>
            <w:tcBorders>
              <w:top w:val="single" w:sz="4" w:space="0" w:color="auto"/>
              <w:left w:val="nil"/>
              <w:right w:val="single" w:sz="4" w:space="0" w:color="auto"/>
            </w:tcBorders>
            <w:shd w:val="clear" w:color="auto" w:fill="auto"/>
            <w:vAlign w:val="center"/>
          </w:tcPr>
          <w:p w14:paraId="43DB40BB" w14:textId="0C9EC796" w:rsidR="00282537" w:rsidRPr="00110AC6" w:rsidRDefault="00282537" w:rsidP="00E46704">
            <w:pPr>
              <w:spacing w:after="0" w:line="240" w:lineRule="auto"/>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Biomarker</w:t>
            </w:r>
          </w:p>
        </w:tc>
        <w:tc>
          <w:tcPr>
            <w:tcW w:w="411" w:type="dxa"/>
            <w:vMerge w:val="restart"/>
            <w:tcBorders>
              <w:top w:val="single" w:sz="4" w:space="0" w:color="auto"/>
              <w:left w:val="single" w:sz="4" w:space="0" w:color="auto"/>
              <w:right w:val="single" w:sz="4" w:space="0" w:color="auto"/>
            </w:tcBorders>
            <w:shd w:val="clear" w:color="auto" w:fill="auto"/>
            <w:noWrap/>
            <w:vAlign w:val="center"/>
          </w:tcPr>
          <w:p w14:paraId="4D4F1B47" w14:textId="688DE6B3"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M</w:t>
            </w:r>
          </w:p>
        </w:tc>
        <w:tc>
          <w:tcPr>
            <w:tcW w:w="4179" w:type="dxa"/>
            <w:gridSpan w:val="4"/>
            <w:tcBorders>
              <w:top w:val="single" w:sz="4" w:space="0" w:color="auto"/>
              <w:left w:val="single" w:sz="4" w:space="0" w:color="auto"/>
              <w:right w:val="single" w:sz="4" w:space="0" w:color="auto"/>
            </w:tcBorders>
            <w:shd w:val="clear" w:color="auto" w:fill="auto"/>
            <w:vAlign w:val="center"/>
          </w:tcPr>
          <w:p w14:paraId="2DA2DBE5" w14:textId="7191A7B1"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 xml:space="preserve">Men and women pooled and adjusted for sex </w:t>
            </w:r>
          </w:p>
        </w:tc>
        <w:tc>
          <w:tcPr>
            <w:tcW w:w="4102" w:type="dxa"/>
            <w:gridSpan w:val="4"/>
            <w:tcBorders>
              <w:top w:val="single" w:sz="4" w:space="0" w:color="auto"/>
              <w:left w:val="single" w:sz="4" w:space="0" w:color="auto"/>
              <w:right w:val="single" w:sz="4" w:space="0" w:color="auto"/>
            </w:tcBorders>
            <w:vAlign w:val="center"/>
          </w:tcPr>
          <w:p w14:paraId="71C64F13" w14:textId="1ED9A3B9"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Men</w:t>
            </w:r>
          </w:p>
        </w:tc>
        <w:tc>
          <w:tcPr>
            <w:tcW w:w="4102" w:type="dxa"/>
            <w:gridSpan w:val="4"/>
            <w:tcBorders>
              <w:top w:val="single" w:sz="4" w:space="0" w:color="auto"/>
              <w:left w:val="single" w:sz="4" w:space="0" w:color="auto"/>
            </w:tcBorders>
          </w:tcPr>
          <w:p w14:paraId="76AB4997" w14:textId="7CD9B973"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Women</w:t>
            </w:r>
          </w:p>
        </w:tc>
      </w:tr>
      <w:tr w:rsidR="00282537" w:rsidRPr="00110AC6" w14:paraId="7797B381" w14:textId="052BCFCD" w:rsidTr="00490565">
        <w:trPr>
          <w:trHeight w:val="227"/>
        </w:trPr>
        <w:tc>
          <w:tcPr>
            <w:tcW w:w="1134" w:type="dxa"/>
            <w:vMerge/>
            <w:tcBorders>
              <w:left w:val="nil"/>
              <w:right w:val="single" w:sz="4" w:space="0" w:color="auto"/>
            </w:tcBorders>
            <w:shd w:val="clear" w:color="auto" w:fill="auto"/>
            <w:vAlign w:val="center"/>
            <w:hideMark/>
          </w:tcPr>
          <w:p w14:paraId="66742D2C" w14:textId="54E91385" w:rsidR="00282537" w:rsidRPr="00110AC6" w:rsidRDefault="00282537" w:rsidP="00E46704">
            <w:pPr>
              <w:spacing w:after="0" w:line="240" w:lineRule="auto"/>
              <w:rPr>
                <w:rFonts w:eastAsia="Times New Roman" w:cstheme="minorHAnsi"/>
                <w:b/>
                <w:bCs/>
                <w:color w:val="000000"/>
                <w:sz w:val="20"/>
                <w:szCs w:val="20"/>
                <w:lang w:eastAsia="en-GB"/>
              </w:rPr>
            </w:pPr>
          </w:p>
        </w:tc>
        <w:tc>
          <w:tcPr>
            <w:tcW w:w="411" w:type="dxa"/>
            <w:vMerge/>
            <w:tcBorders>
              <w:left w:val="single" w:sz="4" w:space="0" w:color="auto"/>
              <w:right w:val="single" w:sz="4" w:space="0" w:color="auto"/>
            </w:tcBorders>
            <w:shd w:val="clear" w:color="auto" w:fill="auto"/>
            <w:noWrap/>
            <w:vAlign w:val="center"/>
            <w:hideMark/>
          </w:tcPr>
          <w:p w14:paraId="11F5EFB1" w14:textId="2B7953BB" w:rsidR="00282537" w:rsidRPr="00110AC6" w:rsidRDefault="00282537" w:rsidP="0088561D">
            <w:pPr>
              <w:spacing w:after="0" w:line="240" w:lineRule="auto"/>
              <w:jc w:val="center"/>
              <w:rPr>
                <w:rFonts w:eastAsia="Times New Roman" w:cstheme="minorHAnsi"/>
                <w:b/>
                <w:bCs/>
                <w:color w:val="000000"/>
                <w:sz w:val="20"/>
                <w:szCs w:val="20"/>
                <w:lang w:eastAsia="en-GB"/>
              </w:rPr>
            </w:pPr>
          </w:p>
        </w:tc>
        <w:tc>
          <w:tcPr>
            <w:tcW w:w="2126" w:type="dxa"/>
            <w:gridSpan w:val="2"/>
            <w:tcBorders>
              <w:left w:val="single" w:sz="4" w:space="0" w:color="auto"/>
              <w:bottom w:val="nil"/>
              <w:right w:val="nil"/>
            </w:tcBorders>
            <w:shd w:val="clear" w:color="auto" w:fill="auto"/>
            <w:vAlign w:val="center"/>
            <w:hideMark/>
          </w:tcPr>
          <w:p w14:paraId="22F912B3" w14:textId="77777777"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High depression</w:t>
            </w:r>
          </w:p>
        </w:tc>
        <w:tc>
          <w:tcPr>
            <w:tcW w:w="2053" w:type="dxa"/>
            <w:gridSpan w:val="2"/>
            <w:tcBorders>
              <w:left w:val="nil"/>
              <w:bottom w:val="nil"/>
              <w:right w:val="single" w:sz="4" w:space="0" w:color="auto"/>
            </w:tcBorders>
            <w:shd w:val="clear" w:color="auto" w:fill="auto"/>
            <w:vAlign w:val="center"/>
            <w:hideMark/>
          </w:tcPr>
          <w:p w14:paraId="1D022D7C" w14:textId="77777777"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Poor mental health</w:t>
            </w:r>
          </w:p>
        </w:tc>
        <w:tc>
          <w:tcPr>
            <w:tcW w:w="2051" w:type="dxa"/>
            <w:gridSpan w:val="2"/>
            <w:tcBorders>
              <w:left w:val="single" w:sz="4" w:space="0" w:color="auto"/>
              <w:bottom w:val="nil"/>
              <w:right w:val="nil"/>
            </w:tcBorders>
            <w:vAlign w:val="center"/>
          </w:tcPr>
          <w:p w14:paraId="05756928" w14:textId="3AEC9F45"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High depression</w:t>
            </w:r>
          </w:p>
        </w:tc>
        <w:tc>
          <w:tcPr>
            <w:tcW w:w="2051" w:type="dxa"/>
            <w:gridSpan w:val="2"/>
            <w:tcBorders>
              <w:left w:val="nil"/>
              <w:bottom w:val="nil"/>
              <w:right w:val="single" w:sz="4" w:space="0" w:color="auto"/>
            </w:tcBorders>
            <w:vAlign w:val="center"/>
          </w:tcPr>
          <w:p w14:paraId="713D0A9A" w14:textId="16A789FB"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Poor mental health</w:t>
            </w:r>
          </w:p>
        </w:tc>
        <w:tc>
          <w:tcPr>
            <w:tcW w:w="2051" w:type="dxa"/>
            <w:gridSpan w:val="2"/>
            <w:tcBorders>
              <w:left w:val="single" w:sz="4" w:space="0" w:color="auto"/>
              <w:bottom w:val="nil"/>
            </w:tcBorders>
          </w:tcPr>
          <w:p w14:paraId="5A4AFB4D" w14:textId="2872B50C"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High depression</w:t>
            </w:r>
          </w:p>
        </w:tc>
        <w:tc>
          <w:tcPr>
            <w:tcW w:w="2051" w:type="dxa"/>
            <w:gridSpan w:val="2"/>
            <w:tcBorders>
              <w:left w:val="nil"/>
              <w:bottom w:val="nil"/>
            </w:tcBorders>
          </w:tcPr>
          <w:p w14:paraId="7CCF9129" w14:textId="7C2EE690" w:rsidR="00282537" w:rsidRPr="00110AC6" w:rsidRDefault="00282537" w:rsidP="00E46704">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Poor mental health</w:t>
            </w:r>
          </w:p>
        </w:tc>
      </w:tr>
      <w:tr w:rsidR="00282537" w:rsidRPr="00110AC6" w14:paraId="7A93F9DD" w14:textId="4200B9BF" w:rsidTr="00490565">
        <w:trPr>
          <w:trHeight w:val="227"/>
        </w:trPr>
        <w:tc>
          <w:tcPr>
            <w:tcW w:w="1134" w:type="dxa"/>
            <w:vMerge/>
            <w:tcBorders>
              <w:left w:val="nil"/>
              <w:bottom w:val="single" w:sz="4" w:space="0" w:color="000000"/>
              <w:right w:val="single" w:sz="4" w:space="0" w:color="auto"/>
            </w:tcBorders>
            <w:vAlign w:val="center"/>
            <w:hideMark/>
          </w:tcPr>
          <w:p w14:paraId="311F92FF" w14:textId="77777777" w:rsidR="00282537" w:rsidRPr="00110AC6" w:rsidRDefault="00282537" w:rsidP="00420B70">
            <w:pPr>
              <w:spacing w:after="0" w:line="240" w:lineRule="auto"/>
              <w:rPr>
                <w:rFonts w:eastAsia="Times New Roman" w:cstheme="minorHAnsi"/>
                <w:b/>
                <w:bCs/>
                <w:color w:val="000000"/>
                <w:sz w:val="20"/>
                <w:szCs w:val="20"/>
                <w:lang w:eastAsia="en-GB"/>
              </w:rPr>
            </w:pPr>
          </w:p>
        </w:tc>
        <w:tc>
          <w:tcPr>
            <w:tcW w:w="411" w:type="dxa"/>
            <w:vMerge/>
            <w:tcBorders>
              <w:left w:val="single" w:sz="4" w:space="0" w:color="auto"/>
              <w:bottom w:val="single" w:sz="4" w:space="0" w:color="000000"/>
              <w:right w:val="single" w:sz="4" w:space="0" w:color="auto"/>
            </w:tcBorders>
            <w:vAlign w:val="center"/>
            <w:hideMark/>
          </w:tcPr>
          <w:p w14:paraId="235703A0"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p>
        </w:tc>
        <w:tc>
          <w:tcPr>
            <w:tcW w:w="1588" w:type="dxa"/>
            <w:tcBorders>
              <w:top w:val="nil"/>
              <w:left w:val="single" w:sz="4" w:space="0" w:color="auto"/>
              <w:bottom w:val="single" w:sz="4" w:space="0" w:color="auto"/>
              <w:right w:val="nil"/>
            </w:tcBorders>
            <w:shd w:val="clear" w:color="auto" w:fill="auto"/>
            <w:noWrap/>
            <w:vAlign w:val="bottom"/>
            <w:hideMark/>
          </w:tcPr>
          <w:p w14:paraId="5C32D36F" w14:textId="77777777"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38" w:type="dxa"/>
            <w:tcBorders>
              <w:top w:val="nil"/>
              <w:left w:val="nil"/>
              <w:bottom w:val="single" w:sz="4" w:space="0" w:color="auto"/>
              <w:right w:val="nil"/>
            </w:tcBorders>
            <w:shd w:val="clear" w:color="auto" w:fill="auto"/>
            <w:noWrap/>
            <w:vAlign w:val="bottom"/>
            <w:hideMark/>
          </w:tcPr>
          <w:p w14:paraId="24E64003" w14:textId="78963757"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486" w:type="dxa"/>
            <w:tcBorders>
              <w:top w:val="nil"/>
              <w:left w:val="nil"/>
              <w:bottom w:val="single" w:sz="4" w:space="0" w:color="auto"/>
              <w:right w:val="nil"/>
            </w:tcBorders>
            <w:shd w:val="clear" w:color="auto" w:fill="auto"/>
            <w:noWrap/>
            <w:vAlign w:val="bottom"/>
            <w:hideMark/>
          </w:tcPr>
          <w:p w14:paraId="4387597C" w14:textId="691ABA87"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7" w:type="dxa"/>
            <w:tcBorders>
              <w:top w:val="nil"/>
              <w:left w:val="nil"/>
              <w:bottom w:val="single" w:sz="4" w:space="0" w:color="auto"/>
              <w:right w:val="single" w:sz="4" w:space="0" w:color="auto"/>
            </w:tcBorders>
            <w:shd w:val="clear" w:color="auto" w:fill="auto"/>
            <w:noWrap/>
            <w:vAlign w:val="bottom"/>
            <w:hideMark/>
          </w:tcPr>
          <w:p w14:paraId="3A80CF0D" w14:textId="6F3582ED"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486" w:type="dxa"/>
            <w:tcBorders>
              <w:top w:val="nil"/>
              <w:left w:val="single" w:sz="4" w:space="0" w:color="auto"/>
              <w:bottom w:val="single" w:sz="4" w:space="0" w:color="auto"/>
              <w:right w:val="nil"/>
            </w:tcBorders>
            <w:vAlign w:val="bottom"/>
          </w:tcPr>
          <w:p w14:paraId="063496B0" w14:textId="34651DFA"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5" w:type="dxa"/>
            <w:tcBorders>
              <w:top w:val="nil"/>
              <w:left w:val="nil"/>
              <w:bottom w:val="single" w:sz="4" w:space="0" w:color="auto"/>
              <w:right w:val="nil"/>
            </w:tcBorders>
            <w:vAlign w:val="bottom"/>
          </w:tcPr>
          <w:p w14:paraId="2A858726" w14:textId="7C7BE21A"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486" w:type="dxa"/>
            <w:tcBorders>
              <w:top w:val="nil"/>
              <w:left w:val="nil"/>
              <w:bottom w:val="single" w:sz="4" w:space="0" w:color="auto"/>
              <w:right w:val="nil"/>
            </w:tcBorders>
            <w:vAlign w:val="bottom"/>
          </w:tcPr>
          <w:p w14:paraId="40AB6A9B" w14:textId="32704C7E"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5" w:type="dxa"/>
            <w:tcBorders>
              <w:top w:val="nil"/>
              <w:left w:val="nil"/>
              <w:bottom w:val="single" w:sz="4" w:space="0" w:color="auto"/>
              <w:right w:val="single" w:sz="4" w:space="0" w:color="auto"/>
            </w:tcBorders>
            <w:vAlign w:val="bottom"/>
          </w:tcPr>
          <w:p w14:paraId="0B258A3D" w14:textId="43205828"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486" w:type="dxa"/>
            <w:tcBorders>
              <w:top w:val="nil"/>
              <w:left w:val="single" w:sz="4" w:space="0" w:color="auto"/>
              <w:bottom w:val="single" w:sz="4" w:space="0" w:color="auto"/>
              <w:right w:val="nil"/>
            </w:tcBorders>
            <w:vAlign w:val="bottom"/>
          </w:tcPr>
          <w:p w14:paraId="1888D47C" w14:textId="7B889128"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5" w:type="dxa"/>
            <w:tcBorders>
              <w:top w:val="nil"/>
              <w:left w:val="nil"/>
              <w:bottom w:val="single" w:sz="4" w:space="0" w:color="auto"/>
              <w:right w:val="nil"/>
            </w:tcBorders>
            <w:vAlign w:val="bottom"/>
          </w:tcPr>
          <w:p w14:paraId="544C5C55" w14:textId="78EDCEDD"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486" w:type="dxa"/>
            <w:tcBorders>
              <w:top w:val="nil"/>
              <w:left w:val="nil"/>
              <w:bottom w:val="single" w:sz="4" w:space="0" w:color="auto"/>
              <w:right w:val="nil"/>
            </w:tcBorders>
            <w:vAlign w:val="bottom"/>
          </w:tcPr>
          <w:p w14:paraId="561423D1" w14:textId="43CC0335"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5" w:type="dxa"/>
            <w:tcBorders>
              <w:top w:val="nil"/>
              <w:left w:val="nil"/>
              <w:bottom w:val="single" w:sz="4" w:space="0" w:color="auto"/>
              <w:right w:val="nil"/>
            </w:tcBorders>
            <w:vAlign w:val="bottom"/>
          </w:tcPr>
          <w:p w14:paraId="30E2A4F0" w14:textId="083E1B4D" w:rsidR="00282537" w:rsidRPr="00110AC6" w:rsidRDefault="00282537" w:rsidP="00420B70">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r>
      <w:tr w:rsidR="001E1E07" w:rsidRPr="00110AC6" w14:paraId="3674FFCF" w14:textId="01DE48C8" w:rsidTr="00490565">
        <w:trPr>
          <w:trHeight w:val="227"/>
        </w:trPr>
        <w:tc>
          <w:tcPr>
            <w:tcW w:w="1134" w:type="dxa"/>
            <w:vMerge w:val="restart"/>
            <w:tcBorders>
              <w:top w:val="nil"/>
              <w:left w:val="nil"/>
              <w:bottom w:val="nil"/>
              <w:right w:val="single" w:sz="4" w:space="0" w:color="auto"/>
            </w:tcBorders>
            <w:shd w:val="clear" w:color="auto" w:fill="auto"/>
            <w:vAlign w:val="center"/>
            <w:hideMark/>
          </w:tcPr>
          <w:p w14:paraId="173E1566"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Cortisol</w:t>
            </w:r>
          </w:p>
        </w:tc>
        <w:tc>
          <w:tcPr>
            <w:tcW w:w="411" w:type="dxa"/>
            <w:tcBorders>
              <w:top w:val="nil"/>
              <w:left w:val="single" w:sz="4" w:space="0" w:color="auto"/>
              <w:bottom w:val="nil"/>
              <w:right w:val="single" w:sz="4" w:space="0" w:color="auto"/>
            </w:tcBorders>
            <w:shd w:val="clear" w:color="auto" w:fill="auto"/>
            <w:noWrap/>
            <w:vAlign w:val="bottom"/>
            <w:hideMark/>
          </w:tcPr>
          <w:p w14:paraId="43C7A9BE"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5DC7C6FF" w14:textId="2AA9CF3F"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b/>
                <w:color w:val="000000"/>
                <w:sz w:val="20"/>
                <w:szCs w:val="20"/>
              </w:rPr>
              <w:t>0.75 (0.60,0.94)</w:t>
            </w:r>
          </w:p>
        </w:tc>
        <w:tc>
          <w:tcPr>
            <w:tcW w:w="538" w:type="dxa"/>
            <w:tcBorders>
              <w:top w:val="nil"/>
              <w:left w:val="nil"/>
              <w:bottom w:val="nil"/>
              <w:right w:val="nil"/>
            </w:tcBorders>
            <w:shd w:val="clear" w:color="auto" w:fill="auto"/>
            <w:noWrap/>
            <w:vAlign w:val="bottom"/>
          </w:tcPr>
          <w:p w14:paraId="542A10D5" w14:textId="4F805A82"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b/>
                <w:color w:val="000000"/>
                <w:sz w:val="20"/>
                <w:szCs w:val="20"/>
              </w:rPr>
              <w:t>0.01</w:t>
            </w:r>
          </w:p>
        </w:tc>
        <w:tc>
          <w:tcPr>
            <w:tcW w:w="1486" w:type="dxa"/>
            <w:tcBorders>
              <w:top w:val="nil"/>
              <w:left w:val="nil"/>
              <w:bottom w:val="nil"/>
              <w:right w:val="nil"/>
            </w:tcBorders>
            <w:shd w:val="clear" w:color="auto" w:fill="auto"/>
            <w:noWrap/>
            <w:vAlign w:val="bottom"/>
          </w:tcPr>
          <w:p w14:paraId="686545CF" w14:textId="0A1D170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0.98 (0.79,1.23)</w:t>
            </w:r>
          </w:p>
        </w:tc>
        <w:tc>
          <w:tcPr>
            <w:tcW w:w="567" w:type="dxa"/>
            <w:tcBorders>
              <w:top w:val="nil"/>
              <w:left w:val="nil"/>
              <w:bottom w:val="nil"/>
              <w:right w:val="single" w:sz="4" w:space="0" w:color="auto"/>
            </w:tcBorders>
            <w:shd w:val="clear" w:color="auto" w:fill="auto"/>
            <w:noWrap/>
            <w:vAlign w:val="bottom"/>
          </w:tcPr>
          <w:p w14:paraId="10340373" w14:textId="19092D4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0.89</w:t>
            </w:r>
          </w:p>
        </w:tc>
        <w:tc>
          <w:tcPr>
            <w:tcW w:w="1486" w:type="dxa"/>
            <w:tcBorders>
              <w:top w:val="single" w:sz="4" w:space="0" w:color="auto"/>
              <w:left w:val="single" w:sz="4" w:space="0" w:color="auto"/>
              <w:bottom w:val="nil"/>
              <w:right w:val="nil"/>
            </w:tcBorders>
            <w:shd w:val="clear" w:color="auto" w:fill="auto"/>
            <w:vAlign w:val="bottom"/>
          </w:tcPr>
          <w:p w14:paraId="61765014" w14:textId="101BC0F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0.80 (0.60,1.08)</w:t>
            </w:r>
          </w:p>
        </w:tc>
        <w:tc>
          <w:tcPr>
            <w:tcW w:w="565" w:type="dxa"/>
            <w:tcBorders>
              <w:top w:val="single" w:sz="4" w:space="0" w:color="auto"/>
              <w:left w:val="nil"/>
              <w:bottom w:val="nil"/>
              <w:right w:val="nil"/>
            </w:tcBorders>
            <w:shd w:val="clear" w:color="auto" w:fill="auto"/>
            <w:vAlign w:val="bottom"/>
          </w:tcPr>
          <w:p w14:paraId="12EAF6E5" w14:textId="13C5622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0.15</w:t>
            </w:r>
          </w:p>
        </w:tc>
        <w:tc>
          <w:tcPr>
            <w:tcW w:w="1486" w:type="dxa"/>
            <w:tcBorders>
              <w:top w:val="single" w:sz="4" w:space="0" w:color="auto"/>
              <w:left w:val="nil"/>
              <w:bottom w:val="nil"/>
              <w:right w:val="nil"/>
            </w:tcBorders>
            <w:shd w:val="clear" w:color="auto" w:fill="auto"/>
            <w:vAlign w:val="bottom"/>
          </w:tcPr>
          <w:p w14:paraId="1CCFBA19" w14:textId="16521C2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1.16 (0.86,1.57)</w:t>
            </w:r>
          </w:p>
        </w:tc>
        <w:tc>
          <w:tcPr>
            <w:tcW w:w="565" w:type="dxa"/>
            <w:tcBorders>
              <w:top w:val="single" w:sz="4" w:space="0" w:color="auto"/>
              <w:left w:val="nil"/>
              <w:bottom w:val="nil"/>
              <w:right w:val="single" w:sz="4" w:space="0" w:color="auto"/>
            </w:tcBorders>
            <w:shd w:val="clear" w:color="auto" w:fill="auto"/>
            <w:vAlign w:val="bottom"/>
          </w:tcPr>
          <w:p w14:paraId="68230A1A" w14:textId="670FA6D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0.33</w:t>
            </w:r>
          </w:p>
        </w:tc>
        <w:tc>
          <w:tcPr>
            <w:tcW w:w="1486" w:type="dxa"/>
            <w:tcBorders>
              <w:top w:val="single" w:sz="4" w:space="0" w:color="auto"/>
              <w:left w:val="single" w:sz="4" w:space="0" w:color="auto"/>
              <w:bottom w:val="nil"/>
              <w:right w:val="nil"/>
            </w:tcBorders>
            <w:shd w:val="clear" w:color="auto" w:fill="auto"/>
            <w:vAlign w:val="bottom"/>
          </w:tcPr>
          <w:p w14:paraId="743ED703" w14:textId="5E7F69CE"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0.63 (0.43,0.93)</w:t>
            </w:r>
          </w:p>
        </w:tc>
        <w:tc>
          <w:tcPr>
            <w:tcW w:w="565" w:type="dxa"/>
            <w:tcBorders>
              <w:top w:val="single" w:sz="4" w:space="0" w:color="auto"/>
              <w:left w:val="nil"/>
              <w:bottom w:val="nil"/>
              <w:right w:val="nil"/>
            </w:tcBorders>
            <w:shd w:val="clear" w:color="auto" w:fill="auto"/>
            <w:vAlign w:val="bottom"/>
          </w:tcPr>
          <w:p w14:paraId="29CB8501" w14:textId="590AE16C"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0.02</w:t>
            </w:r>
          </w:p>
        </w:tc>
        <w:tc>
          <w:tcPr>
            <w:tcW w:w="1486" w:type="dxa"/>
            <w:tcBorders>
              <w:top w:val="single" w:sz="4" w:space="0" w:color="auto"/>
              <w:left w:val="nil"/>
              <w:bottom w:val="nil"/>
              <w:right w:val="nil"/>
            </w:tcBorders>
            <w:shd w:val="clear" w:color="auto" w:fill="auto"/>
            <w:vAlign w:val="bottom"/>
          </w:tcPr>
          <w:p w14:paraId="1A693D6D" w14:textId="1176C10E"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0.79 (0.55,1.14)</w:t>
            </w:r>
          </w:p>
        </w:tc>
        <w:tc>
          <w:tcPr>
            <w:tcW w:w="565" w:type="dxa"/>
            <w:tcBorders>
              <w:top w:val="single" w:sz="4" w:space="0" w:color="auto"/>
              <w:left w:val="nil"/>
              <w:bottom w:val="nil"/>
              <w:right w:val="nil"/>
            </w:tcBorders>
            <w:shd w:val="clear" w:color="auto" w:fill="auto"/>
            <w:vAlign w:val="bottom"/>
          </w:tcPr>
          <w:p w14:paraId="479ADFF8" w14:textId="13D9013E"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0.21</w:t>
            </w:r>
          </w:p>
        </w:tc>
      </w:tr>
      <w:tr w:rsidR="001E1E07" w:rsidRPr="00110AC6" w14:paraId="18F1C23F" w14:textId="1B8F1998" w:rsidTr="00490565">
        <w:trPr>
          <w:trHeight w:val="227"/>
        </w:trPr>
        <w:tc>
          <w:tcPr>
            <w:tcW w:w="1134" w:type="dxa"/>
            <w:vMerge/>
            <w:tcBorders>
              <w:top w:val="nil"/>
              <w:left w:val="nil"/>
              <w:bottom w:val="nil"/>
              <w:right w:val="single" w:sz="4" w:space="0" w:color="auto"/>
            </w:tcBorders>
            <w:vAlign w:val="center"/>
            <w:hideMark/>
          </w:tcPr>
          <w:p w14:paraId="612BE04F"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bottom w:val="nil"/>
              <w:right w:val="single" w:sz="4" w:space="0" w:color="auto"/>
            </w:tcBorders>
            <w:shd w:val="clear" w:color="auto" w:fill="auto"/>
            <w:noWrap/>
            <w:vAlign w:val="bottom"/>
            <w:hideMark/>
          </w:tcPr>
          <w:p w14:paraId="6B49316E"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71FA3707" w14:textId="0711621F"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b/>
                <w:color w:val="000000"/>
                <w:sz w:val="20"/>
                <w:szCs w:val="20"/>
              </w:rPr>
              <w:t>0.77 (0.61,0.98)</w:t>
            </w:r>
          </w:p>
        </w:tc>
        <w:tc>
          <w:tcPr>
            <w:tcW w:w="538" w:type="dxa"/>
            <w:tcBorders>
              <w:top w:val="nil"/>
              <w:left w:val="nil"/>
              <w:bottom w:val="nil"/>
              <w:right w:val="nil"/>
            </w:tcBorders>
            <w:shd w:val="clear" w:color="auto" w:fill="auto"/>
            <w:noWrap/>
            <w:vAlign w:val="bottom"/>
          </w:tcPr>
          <w:p w14:paraId="271E014E" w14:textId="40EDF463"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b/>
                <w:color w:val="000000"/>
                <w:sz w:val="20"/>
                <w:szCs w:val="20"/>
              </w:rPr>
              <w:t>0.03</w:t>
            </w:r>
          </w:p>
        </w:tc>
        <w:tc>
          <w:tcPr>
            <w:tcW w:w="1486" w:type="dxa"/>
            <w:tcBorders>
              <w:top w:val="nil"/>
              <w:left w:val="nil"/>
              <w:bottom w:val="nil"/>
              <w:right w:val="nil"/>
            </w:tcBorders>
            <w:shd w:val="clear" w:color="auto" w:fill="auto"/>
            <w:noWrap/>
            <w:vAlign w:val="bottom"/>
          </w:tcPr>
          <w:p w14:paraId="38E112C9" w14:textId="03C54B7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1.01 (0.80,1.27)</w:t>
            </w:r>
          </w:p>
        </w:tc>
        <w:tc>
          <w:tcPr>
            <w:tcW w:w="567" w:type="dxa"/>
            <w:tcBorders>
              <w:top w:val="nil"/>
              <w:left w:val="nil"/>
              <w:bottom w:val="nil"/>
              <w:right w:val="single" w:sz="4" w:space="0" w:color="auto"/>
            </w:tcBorders>
            <w:shd w:val="clear" w:color="auto" w:fill="auto"/>
            <w:noWrap/>
            <w:vAlign w:val="bottom"/>
          </w:tcPr>
          <w:p w14:paraId="2D9A711A" w14:textId="42EDC5D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w:t>
            </w:r>
          </w:p>
        </w:tc>
        <w:tc>
          <w:tcPr>
            <w:tcW w:w="1486" w:type="dxa"/>
            <w:tcBorders>
              <w:top w:val="nil"/>
              <w:left w:val="single" w:sz="4" w:space="0" w:color="auto"/>
              <w:bottom w:val="nil"/>
              <w:right w:val="nil"/>
            </w:tcBorders>
            <w:shd w:val="clear" w:color="auto" w:fill="auto"/>
            <w:vAlign w:val="bottom"/>
          </w:tcPr>
          <w:p w14:paraId="531F9DF4" w14:textId="36CC85C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0.83 (0.61,1.13)</w:t>
            </w:r>
          </w:p>
        </w:tc>
        <w:tc>
          <w:tcPr>
            <w:tcW w:w="565" w:type="dxa"/>
            <w:tcBorders>
              <w:top w:val="nil"/>
              <w:left w:val="nil"/>
              <w:bottom w:val="nil"/>
              <w:right w:val="nil"/>
            </w:tcBorders>
            <w:shd w:val="clear" w:color="auto" w:fill="auto"/>
            <w:vAlign w:val="bottom"/>
          </w:tcPr>
          <w:p w14:paraId="7EFB866F" w14:textId="5F34081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0.24</w:t>
            </w:r>
          </w:p>
        </w:tc>
        <w:tc>
          <w:tcPr>
            <w:tcW w:w="1486" w:type="dxa"/>
            <w:tcBorders>
              <w:top w:val="nil"/>
              <w:left w:val="nil"/>
              <w:bottom w:val="nil"/>
              <w:right w:val="nil"/>
            </w:tcBorders>
            <w:shd w:val="clear" w:color="auto" w:fill="auto"/>
            <w:vAlign w:val="bottom"/>
          </w:tcPr>
          <w:p w14:paraId="05BC5010" w14:textId="6A2839E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1.19 (0.87,1.63)</w:t>
            </w:r>
          </w:p>
        </w:tc>
        <w:tc>
          <w:tcPr>
            <w:tcW w:w="565" w:type="dxa"/>
            <w:tcBorders>
              <w:top w:val="nil"/>
              <w:left w:val="nil"/>
              <w:bottom w:val="nil"/>
              <w:right w:val="single" w:sz="4" w:space="0" w:color="auto"/>
            </w:tcBorders>
            <w:shd w:val="clear" w:color="auto" w:fill="auto"/>
            <w:vAlign w:val="bottom"/>
          </w:tcPr>
          <w:p w14:paraId="24583966" w14:textId="2442D01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0.28</w:t>
            </w:r>
          </w:p>
        </w:tc>
        <w:tc>
          <w:tcPr>
            <w:tcW w:w="1486" w:type="dxa"/>
            <w:tcBorders>
              <w:top w:val="nil"/>
              <w:left w:val="single" w:sz="4" w:space="0" w:color="auto"/>
              <w:bottom w:val="nil"/>
              <w:right w:val="nil"/>
            </w:tcBorders>
            <w:shd w:val="clear" w:color="auto" w:fill="auto"/>
            <w:vAlign w:val="bottom"/>
          </w:tcPr>
          <w:p w14:paraId="25913A31" w14:textId="32364638"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0.61 (0.41,0.91)</w:t>
            </w:r>
          </w:p>
        </w:tc>
        <w:tc>
          <w:tcPr>
            <w:tcW w:w="565" w:type="dxa"/>
            <w:tcBorders>
              <w:top w:val="nil"/>
              <w:left w:val="nil"/>
              <w:bottom w:val="nil"/>
              <w:right w:val="nil"/>
            </w:tcBorders>
            <w:shd w:val="clear" w:color="auto" w:fill="auto"/>
            <w:vAlign w:val="bottom"/>
          </w:tcPr>
          <w:p w14:paraId="4F722BF6" w14:textId="6730A4D6"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0.02</w:t>
            </w:r>
          </w:p>
        </w:tc>
        <w:tc>
          <w:tcPr>
            <w:tcW w:w="1486" w:type="dxa"/>
            <w:tcBorders>
              <w:top w:val="nil"/>
              <w:left w:val="nil"/>
              <w:bottom w:val="nil"/>
              <w:right w:val="nil"/>
            </w:tcBorders>
            <w:shd w:val="clear" w:color="auto" w:fill="auto"/>
            <w:vAlign w:val="bottom"/>
          </w:tcPr>
          <w:p w14:paraId="3A4D5E84" w14:textId="5030A56B"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0.82 (0.56,1.18)</w:t>
            </w:r>
          </w:p>
        </w:tc>
        <w:tc>
          <w:tcPr>
            <w:tcW w:w="565" w:type="dxa"/>
            <w:tcBorders>
              <w:top w:val="nil"/>
              <w:left w:val="nil"/>
              <w:bottom w:val="nil"/>
              <w:right w:val="nil"/>
            </w:tcBorders>
            <w:shd w:val="clear" w:color="auto" w:fill="auto"/>
            <w:vAlign w:val="bottom"/>
          </w:tcPr>
          <w:p w14:paraId="5BD5A74C" w14:textId="7546E77D"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0.28</w:t>
            </w:r>
          </w:p>
        </w:tc>
      </w:tr>
      <w:tr w:rsidR="001E1E07" w:rsidRPr="00110AC6" w14:paraId="6EBD9CBC" w14:textId="2E7FE89A" w:rsidTr="00490565">
        <w:trPr>
          <w:trHeight w:val="227"/>
        </w:trPr>
        <w:tc>
          <w:tcPr>
            <w:tcW w:w="1134" w:type="dxa"/>
            <w:vMerge w:val="restart"/>
            <w:tcBorders>
              <w:top w:val="nil"/>
              <w:left w:val="nil"/>
              <w:bottom w:val="nil"/>
              <w:right w:val="single" w:sz="4" w:space="0" w:color="auto"/>
            </w:tcBorders>
            <w:shd w:val="clear" w:color="auto" w:fill="auto"/>
            <w:vAlign w:val="center"/>
            <w:hideMark/>
          </w:tcPr>
          <w:p w14:paraId="0E1B69D8"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DHEAS</w:t>
            </w:r>
          </w:p>
        </w:tc>
        <w:tc>
          <w:tcPr>
            <w:tcW w:w="411" w:type="dxa"/>
            <w:tcBorders>
              <w:top w:val="nil"/>
              <w:left w:val="single" w:sz="4" w:space="0" w:color="auto"/>
              <w:bottom w:val="nil"/>
              <w:right w:val="single" w:sz="4" w:space="0" w:color="auto"/>
            </w:tcBorders>
            <w:shd w:val="clear" w:color="auto" w:fill="auto"/>
            <w:noWrap/>
            <w:vAlign w:val="bottom"/>
            <w:hideMark/>
          </w:tcPr>
          <w:p w14:paraId="4CB845DB"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545CB9D9" w14:textId="3C2B9CA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0.94 (0.76,1.18)</w:t>
            </w:r>
          </w:p>
        </w:tc>
        <w:tc>
          <w:tcPr>
            <w:tcW w:w="538" w:type="dxa"/>
            <w:tcBorders>
              <w:top w:val="nil"/>
              <w:left w:val="nil"/>
              <w:bottom w:val="nil"/>
              <w:right w:val="nil"/>
            </w:tcBorders>
            <w:shd w:val="clear" w:color="auto" w:fill="auto"/>
            <w:noWrap/>
            <w:vAlign w:val="bottom"/>
          </w:tcPr>
          <w:p w14:paraId="0452AB21" w14:textId="7094FFE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0.60</w:t>
            </w:r>
          </w:p>
        </w:tc>
        <w:tc>
          <w:tcPr>
            <w:tcW w:w="1486" w:type="dxa"/>
            <w:tcBorders>
              <w:top w:val="nil"/>
              <w:left w:val="nil"/>
              <w:bottom w:val="nil"/>
              <w:right w:val="nil"/>
            </w:tcBorders>
            <w:shd w:val="clear" w:color="auto" w:fill="auto"/>
            <w:noWrap/>
            <w:vAlign w:val="bottom"/>
          </w:tcPr>
          <w:p w14:paraId="3E3A8D93" w14:textId="63B0036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0.80 (0.64,1.00)</w:t>
            </w:r>
          </w:p>
        </w:tc>
        <w:tc>
          <w:tcPr>
            <w:tcW w:w="567" w:type="dxa"/>
            <w:tcBorders>
              <w:top w:val="nil"/>
              <w:left w:val="nil"/>
              <w:bottom w:val="nil"/>
              <w:right w:val="single" w:sz="4" w:space="0" w:color="auto"/>
            </w:tcBorders>
            <w:shd w:val="clear" w:color="auto" w:fill="auto"/>
            <w:noWrap/>
            <w:vAlign w:val="bottom"/>
          </w:tcPr>
          <w:p w14:paraId="6756245B" w14:textId="72804DA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0.05</w:t>
            </w:r>
          </w:p>
        </w:tc>
        <w:tc>
          <w:tcPr>
            <w:tcW w:w="1486" w:type="dxa"/>
            <w:tcBorders>
              <w:top w:val="nil"/>
              <w:left w:val="single" w:sz="4" w:space="0" w:color="auto"/>
              <w:bottom w:val="nil"/>
              <w:right w:val="nil"/>
            </w:tcBorders>
            <w:shd w:val="clear" w:color="auto" w:fill="auto"/>
            <w:vAlign w:val="bottom"/>
          </w:tcPr>
          <w:p w14:paraId="38DFADDD" w14:textId="3F2EFBF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1.03 (0.77,1.37)</w:t>
            </w:r>
          </w:p>
        </w:tc>
        <w:tc>
          <w:tcPr>
            <w:tcW w:w="565" w:type="dxa"/>
            <w:tcBorders>
              <w:top w:val="nil"/>
              <w:left w:val="nil"/>
              <w:bottom w:val="nil"/>
              <w:right w:val="nil"/>
            </w:tcBorders>
            <w:shd w:val="clear" w:color="auto" w:fill="auto"/>
            <w:vAlign w:val="bottom"/>
          </w:tcPr>
          <w:p w14:paraId="781DB82C" w14:textId="0884407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0.84</w:t>
            </w:r>
          </w:p>
        </w:tc>
        <w:tc>
          <w:tcPr>
            <w:tcW w:w="1486" w:type="dxa"/>
            <w:tcBorders>
              <w:top w:val="nil"/>
              <w:left w:val="nil"/>
              <w:bottom w:val="nil"/>
              <w:right w:val="nil"/>
            </w:tcBorders>
            <w:shd w:val="clear" w:color="auto" w:fill="auto"/>
            <w:vAlign w:val="bottom"/>
          </w:tcPr>
          <w:p w14:paraId="52E18878" w14:textId="54A9EEFE"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0.71 (0.53,0.97)</w:t>
            </w:r>
          </w:p>
        </w:tc>
        <w:tc>
          <w:tcPr>
            <w:tcW w:w="565" w:type="dxa"/>
            <w:tcBorders>
              <w:top w:val="nil"/>
              <w:left w:val="nil"/>
              <w:bottom w:val="nil"/>
              <w:right w:val="single" w:sz="4" w:space="0" w:color="auto"/>
            </w:tcBorders>
            <w:shd w:val="clear" w:color="auto" w:fill="auto"/>
            <w:vAlign w:val="bottom"/>
          </w:tcPr>
          <w:p w14:paraId="313D35A4" w14:textId="16427758"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0.03</w:t>
            </w:r>
          </w:p>
        </w:tc>
        <w:tc>
          <w:tcPr>
            <w:tcW w:w="1486" w:type="dxa"/>
            <w:tcBorders>
              <w:top w:val="nil"/>
              <w:left w:val="single" w:sz="4" w:space="0" w:color="auto"/>
              <w:bottom w:val="nil"/>
              <w:right w:val="nil"/>
            </w:tcBorders>
            <w:shd w:val="clear" w:color="auto" w:fill="auto"/>
            <w:vAlign w:val="bottom"/>
          </w:tcPr>
          <w:p w14:paraId="1EED0731" w14:textId="0EE9221F"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0.84 (0.59,1.19)</w:t>
            </w:r>
          </w:p>
        </w:tc>
        <w:tc>
          <w:tcPr>
            <w:tcW w:w="565" w:type="dxa"/>
            <w:tcBorders>
              <w:top w:val="nil"/>
              <w:left w:val="nil"/>
              <w:bottom w:val="nil"/>
              <w:right w:val="nil"/>
            </w:tcBorders>
            <w:shd w:val="clear" w:color="auto" w:fill="auto"/>
            <w:vAlign w:val="bottom"/>
          </w:tcPr>
          <w:p w14:paraId="0639ADBC" w14:textId="20CEA6C0"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0.32</w:t>
            </w:r>
          </w:p>
        </w:tc>
        <w:tc>
          <w:tcPr>
            <w:tcW w:w="1486" w:type="dxa"/>
            <w:tcBorders>
              <w:top w:val="nil"/>
              <w:left w:val="nil"/>
              <w:bottom w:val="nil"/>
              <w:right w:val="nil"/>
            </w:tcBorders>
            <w:shd w:val="clear" w:color="auto" w:fill="auto"/>
            <w:vAlign w:val="bottom"/>
          </w:tcPr>
          <w:p w14:paraId="558F02BA" w14:textId="32DFE30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0.91 (0.65,1.29)</w:t>
            </w:r>
          </w:p>
        </w:tc>
        <w:tc>
          <w:tcPr>
            <w:tcW w:w="565" w:type="dxa"/>
            <w:tcBorders>
              <w:top w:val="nil"/>
              <w:left w:val="nil"/>
              <w:bottom w:val="nil"/>
              <w:right w:val="nil"/>
            </w:tcBorders>
            <w:shd w:val="clear" w:color="auto" w:fill="auto"/>
            <w:vAlign w:val="bottom"/>
          </w:tcPr>
          <w:p w14:paraId="7C0B1530" w14:textId="52153DC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0.61</w:t>
            </w:r>
          </w:p>
        </w:tc>
      </w:tr>
      <w:tr w:rsidR="001E1E07" w:rsidRPr="00110AC6" w14:paraId="283EA711" w14:textId="5038C9F3" w:rsidTr="00490565">
        <w:trPr>
          <w:trHeight w:val="227"/>
        </w:trPr>
        <w:tc>
          <w:tcPr>
            <w:tcW w:w="1134" w:type="dxa"/>
            <w:vMerge/>
            <w:tcBorders>
              <w:top w:val="nil"/>
              <w:left w:val="nil"/>
              <w:bottom w:val="nil"/>
              <w:right w:val="single" w:sz="4" w:space="0" w:color="auto"/>
            </w:tcBorders>
            <w:vAlign w:val="center"/>
            <w:hideMark/>
          </w:tcPr>
          <w:p w14:paraId="65B47A2F"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bottom w:val="nil"/>
              <w:right w:val="single" w:sz="4" w:space="0" w:color="auto"/>
            </w:tcBorders>
            <w:shd w:val="clear" w:color="auto" w:fill="auto"/>
            <w:noWrap/>
            <w:vAlign w:val="bottom"/>
            <w:hideMark/>
          </w:tcPr>
          <w:p w14:paraId="57C04034"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056BF0A6" w14:textId="13EF40D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1.02 (0.81,1.28)</w:t>
            </w:r>
          </w:p>
        </w:tc>
        <w:tc>
          <w:tcPr>
            <w:tcW w:w="538" w:type="dxa"/>
            <w:tcBorders>
              <w:top w:val="nil"/>
              <w:left w:val="nil"/>
              <w:bottom w:val="nil"/>
              <w:right w:val="nil"/>
            </w:tcBorders>
            <w:shd w:val="clear" w:color="auto" w:fill="auto"/>
            <w:noWrap/>
            <w:vAlign w:val="bottom"/>
          </w:tcPr>
          <w:p w14:paraId="18FBB70C" w14:textId="5C97AAF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0.87</w:t>
            </w:r>
          </w:p>
        </w:tc>
        <w:tc>
          <w:tcPr>
            <w:tcW w:w="1486" w:type="dxa"/>
            <w:tcBorders>
              <w:top w:val="nil"/>
              <w:left w:val="nil"/>
              <w:bottom w:val="nil"/>
              <w:right w:val="nil"/>
            </w:tcBorders>
            <w:shd w:val="clear" w:color="auto" w:fill="auto"/>
            <w:noWrap/>
            <w:vAlign w:val="bottom"/>
          </w:tcPr>
          <w:p w14:paraId="11370C0A" w14:textId="418668F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0.85 (0.68,1.08)</w:t>
            </w:r>
          </w:p>
        </w:tc>
        <w:tc>
          <w:tcPr>
            <w:tcW w:w="567" w:type="dxa"/>
            <w:tcBorders>
              <w:top w:val="nil"/>
              <w:left w:val="nil"/>
              <w:bottom w:val="nil"/>
              <w:right w:val="single" w:sz="4" w:space="0" w:color="auto"/>
            </w:tcBorders>
            <w:shd w:val="clear" w:color="auto" w:fill="auto"/>
            <w:noWrap/>
            <w:vAlign w:val="bottom"/>
          </w:tcPr>
          <w:p w14:paraId="07D59841" w14:textId="5C74F3F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0.19</w:t>
            </w:r>
          </w:p>
        </w:tc>
        <w:tc>
          <w:tcPr>
            <w:tcW w:w="1486" w:type="dxa"/>
            <w:tcBorders>
              <w:top w:val="nil"/>
              <w:left w:val="single" w:sz="4" w:space="0" w:color="auto"/>
              <w:bottom w:val="nil"/>
              <w:right w:val="nil"/>
            </w:tcBorders>
            <w:shd w:val="clear" w:color="auto" w:fill="auto"/>
            <w:vAlign w:val="bottom"/>
          </w:tcPr>
          <w:p w14:paraId="5DEAA17B" w14:textId="0DC1163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1.10 (0.81,1.49)</w:t>
            </w:r>
          </w:p>
        </w:tc>
        <w:tc>
          <w:tcPr>
            <w:tcW w:w="565" w:type="dxa"/>
            <w:tcBorders>
              <w:top w:val="nil"/>
              <w:left w:val="nil"/>
              <w:bottom w:val="nil"/>
              <w:right w:val="nil"/>
            </w:tcBorders>
            <w:shd w:val="clear" w:color="auto" w:fill="auto"/>
            <w:vAlign w:val="bottom"/>
          </w:tcPr>
          <w:p w14:paraId="0D41DD94" w14:textId="437E05A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0.53</w:t>
            </w:r>
          </w:p>
        </w:tc>
        <w:tc>
          <w:tcPr>
            <w:tcW w:w="1486" w:type="dxa"/>
            <w:tcBorders>
              <w:top w:val="nil"/>
              <w:left w:val="nil"/>
              <w:bottom w:val="nil"/>
              <w:right w:val="nil"/>
            </w:tcBorders>
            <w:shd w:val="clear" w:color="auto" w:fill="auto"/>
            <w:vAlign w:val="bottom"/>
          </w:tcPr>
          <w:p w14:paraId="697AB765" w14:textId="54AB06E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0.74 (0.54,1.01)</w:t>
            </w:r>
          </w:p>
        </w:tc>
        <w:tc>
          <w:tcPr>
            <w:tcW w:w="565" w:type="dxa"/>
            <w:tcBorders>
              <w:top w:val="nil"/>
              <w:left w:val="nil"/>
              <w:bottom w:val="nil"/>
              <w:right w:val="single" w:sz="4" w:space="0" w:color="auto"/>
            </w:tcBorders>
            <w:shd w:val="clear" w:color="auto" w:fill="auto"/>
            <w:vAlign w:val="bottom"/>
          </w:tcPr>
          <w:p w14:paraId="23DA91AF" w14:textId="4034606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0.06</w:t>
            </w:r>
          </w:p>
        </w:tc>
        <w:tc>
          <w:tcPr>
            <w:tcW w:w="1486" w:type="dxa"/>
            <w:tcBorders>
              <w:top w:val="nil"/>
              <w:left w:val="single" w:sz="4" w:space="0" w:color="auto"/>
              <w:bottom w:val="nil"/>
              <w:right w:val="nil"/>
            </w:tcBorders>
            <w:shd w:val="clear" w:color="auto" w:fill="auto"/>
            <w:vAlign w:val="bottom"/>
          </w:tcPr>
          <w:p w14:paraId="130E6D67" w14:textId="34620CE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0.93 (0.64,1.36)</w:t>
            </w:r>
          </w:p>
        </w:tc>
        <w:tc>
          <w:tcPr>
            <w:tcW w:w="565" w:type="dxa"/>
            <w:tcBorders>
              <w:top w:val="nil"/>
              <w:left w:val="nil"/>
              <w:bottom w:val="nil"/>
              <w:right w:val="nil"/>
            </w:tcBorders>
            <w:shd w:val="clear" w:color="auto" w:fill="auto"/>
            <w:vAlign w:val="bottom"/>
          </w:tcPr>
          <w:p w14:paraId="2B87B29B" w14:textId="666B12A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0.70</w:t>
            </w:r>
          </w:p>
        </w:tc>
        <w:tc>
          <w:tcPr>
            <w:tcW w:w="1486" w:type="dxa"/>
            <w:tcBorders>
              <w:top w:val="nil"/>
              <w:left w:val="nil"/>
              <w:bottom w:val="nil"/>
              <w:right w:val="nil"/>
            </w:tcBorders>
            <w:shd w:val="clear" w:color="auto" w:fill="auto"/>
            <w:vAlign w:val="bottom"/>
          </w:tcPr>
          <w:p w14:paraId="45A1837D" w14:textId="018FECA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1.03 (0.71,1.50)</w:t>
            </w:r>
          </w:p>
        </w:tc>
        <w:tc>
          <w:tcPr>
            <w:tcW w:w="565" w:type="dxa"/>
            <w:tcBorders>
              <w:top w:val="nil"/>
              <w:left w:val="nil"/>
              <w:bottom w:val="nil"/>
              <w:right w:val="nil"/>
            </w:tcBorders>
            <w:shd w:val="clear" w:color="auto" w:fill="auto"/>
            <w:vAlign w:val="bottom"/>
          </w:tcPr>
          <w:p w14:paraId="2DA83E54" w14:textId="0975A86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0.87</w:t>
            </w:r>
          </w:p>
        </w:tc>
      </w:tr>
      <w:tr w:rsidR="001E1E07" w:rsidRPr="00110AC6" w14:paraId="0D15171C" w14:textId="2A6BE832" w:rsidTr="00490565">
        <w:trPr>
          <w:trHeight w:val="227"/>
        </w:trPr>
        <w:tc>
          <w:tcPr>
            <w:tcW w:w="1134" w:type="dxa"/>
            <w:vMerge w:val="restart"/>
            <w:tcBorders>
              <w:top w:val="nil"/>
              <w:left w:val="nil"/>
              <w:bottom w:val="nil"/>
              <w:right w:val="single" w:sz="4" w:space="0" w:color="auto"/>
            </w:tcBorders>
            <w:shd w:val="clear" w:color="auto" w:fill="auto"/>
            <w:vAlign w:val="center"/>
            <w:hideMark/>
          </w:tcPr>
          <w:p w14:paraId="2B991FE3" w14:textId="3108E8C6"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Cortisol:</w:t>
            </w:r>
            <w:r w:rsidRPr="00110AC6">
              <w:rPr>
                <w:rFonts w:eastAsia="Times New Roman" w:cstheme="minorHAnsi"/>
                <w:color w:val="000000"/>
                <w:sz w:val="20"/>
                <w:szCs w:val="20"/>
                <w:lang w:eastAsia="en-GB"/>
              </w:rPr>
              <w:br/>
              <w:t>DHEAS</w:t>
            </w:r>
            <w:r w:rsidR="007701A3">
              <w:rPr>
                <w:rFonts w:eastAsia="Times New Roman" w:cstheme="minorHAnsi"/>
                <w:color w:val="000000"/>
                <w:sz w:val="20"/>
                <w:szCs w:val="20"/>
                <w:lang w:eastAsia="en-GB"/>
              </w:rPr>
              <w:t xml:space="preserve"> ratio</w:t>
            </w:r>
          </w:p>
        </w:tc>
        <w:tc>
          <w:tcPr>
            <w:tcW w:w="411" w:type="dxa"/>
            <w:tcBorders>
              <w:top w:val="nil"/>
              <w:left w:val="single" w:sz="4" w:space="0" w:color="auto"/>
              <w:bottom w:val="nil"/>
              <w:right w:val="single" w:sz="4" w:space="0" w:color="auto"/>
            </w:tcBorders>
            <w:shd w:val="clear" w:color="auto" w:fill="auto"/>
            <w:noWrap/>
            <w:vAlign w:val="bottom"/>
            <w:hideMark/>
          </w:tcPr>
          <w:p w14:paraId="2C690B94"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54EDE483" w14:textId="01C9DE3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 (0.74,1.15)</w:t>
            </w:r>
          </w:p>
        </w:tc>
        <w:tc>
          <w:tcPr>
            <w:tcW w:w="538" w:type="dxa"/>
            <w:tcBorders>
              <w:top w:val="nil"/>
              <w:left w:val="nil"/>
              <w:bottom w:val="nil"/>
              <w:right w:val="nil"/>
            </w:tcBorders>
            <w:shd w:val="clear" w:color="auto" w:fill="auto"/>
            <w:noWrap/>
            <w:vAlign w:val="bottom"/>
          </w:tcPr>
          <w:p w14:paraId="456454D3" w14:textId="385FD4A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0.47</w:t>
            </w:r>
          </w:p>
        </w:tc>
        <w:tc>
          <w:tcPr>
            <w:tcW w:w="1486" w:type="dxa"/>
            <w:tcBorders>
              <w:top w:val="nil"/>
              <w:left w:val="nil"/>
              <w:bottom w:val="nil"/>
              <w:right w:val="nil"/>
            </w:tcBorders>
            <w:shd w:val="clear" w:color="auto" w:fill="auto"/>
            <w:noWrap/>
            <w:vAlign w:val="bottom"/>
          </w:tcPr>
          <w:p w14:paraId="1C51475A" w14:textId="4F6E61A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1.18 (0.95,1.47)</w:t>
            </w:r>
          </w:p>
        </w:tc>
        <w:tc>
          <w:tcPr>
            <w:tcW w:w="567" w:type="dxa"/>
            <w:tcBorders>
              <w:top w:val="nil"/>
              <w:left w:val="nil"/>
              <w:bottom w:val="nil"/>
              <w:right w:val="single" w:sz="4" w:space="0" w:color="auto"/>
            </w:tcBorders>
            <w:shd w:val="clear" w:color="auto" w:fill="auto"/>
            <w:noWrap/>
            <w:vAlign w:val="bottom"/>
          </w:tcPr>
          <w:p w14:paraId="752AFC11" w14:textId="58A60FD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0.14</w:t>
            </w:r>
          </w:p>
        </w:tc>
        <w:tc>
          <w:tcPr>
            <w:tcW w:w="1486" w:type="dxa"/>
            <w:tcBorders>
              <w:top w:val="nil"/>
              <w:left w:val="single" w:sz="4" w:space="0" w:color="auto"/>
              <w:bottom w:val="nil"/>
              <w:right w:val="nil"/>
            </w:tcBorders>
            <w:shd w:val="clear" w:color="auto" w:fill="auto"/>
            <w:vAlign w:val="bottom"/>
          </w:tcPr>
          <w:p w14:paraId="109157FE" w14:textId="75B9F3A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0.86 (0.64,1.16)</w:t>
            </w:r>
          </w:p>
        </w:tc>
        <w:tc>
          <w:tcPr>
            <w:tcW w:w="565" w:type="dxa"/>
            <w:tcBorders>
              <w:top w:val="nil"/>
              <w:left w:val="nil"/>
              <w:bottom w:val="nil"/>
              <w:right w:val="nil"/>
            </w:tcBorders>
            <w:shd w:val="clear" w:color="auto" w:fill="auto"/>
            <w:vAlign w:val="bottom"/>
          </w:tcPr>
          <w:p w14:paraId="32E9584E" w14:textId="79C5645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0.33</w:t>
            </w:r>
          </w:p>
        </w:tc>
        <w:tc>
          <w:tcPr>
            <w:tcW w:w="1486" w:type="dxa"/>
            <w:tcBorders>
              <w:top w:val="nil"/>
              <w:left w:val="nil"/>
              <w:bottom w:val="nil"/>
              <w:right w:val="nil"/>
            </w:tcBorders>
            <w:shd w:val="clear" w:color="auto" w:fill="auto"/>
            <w:vAlign w:val="bottom"/>
          </w:tcPr>
          <w:p w14:paraId="73122A7E" w14:textId="24A78EF6"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1.41 (1.04,1.90)</w:t>
            </w:r>
          </w:p>
        </w:tc>
        <w:tc>
          <w:tcPr>
            <w:tcW w:w="565" w:type="dxa"/>
            <w:tcBorders>
              <w:top w:val="nil"/>
              <w:left w:val="nil"/>
              <w:bottom w:val="nil"/>
              <w:right w:val="single" w:sz="4" w:space="0" w:color="auto"/>
            </w:tcBorders>
            <w:shd w:val="clear" w:color="auto" w:fill="auto"/>
            <w:vAlign w:val="bottom"/>
          </w:tcPr>
          <w:p w14:paraId="1AF52806" w14:textId="4B244B1C"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0.03</w:t>
            </w:r>
          </w:p>
        </w:tc>
        <w:tc>
          <w:tcPr>
            <w:tcW w:w="1486" w:type="dxa"/>
            <w:tcBorders>
              <w:top w:val="nil"/>
              <w:left w:val="single" w:sz="4" w:space="0" w:color="auto"/>
              <w:bottom w:val="nil"/>
              <w:right w:val="nil"/>
            </w:tcBorders>
            <w:shd w:val="clear" w:color="auto" w:fill="auto"/>
            <w:vAlign w:val="bottom"/>
          </w:tcPr>
          <w:p w14:paraId="77DEDA3B" w14:textId="4A623F8C"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0.97 (0.68,1.37)</w:t>
            </w:r>
          </w:p>
        </w:tc>
        <w:tc>
          <w:tcPr>
            <w:tcW w:w="565" w:type="dxa"/>
            <w:tcBorders>
              <w:top w:val="nil"/>
              <w:left w:val="nil"/>
              <w:bottom w:val="nil"/>
              <w:right w:val="nil"/>
            </w:tcBorders>
            <w:shd w:val="clear" w:color="auto" w:fill="auto"/>
            <w:vAlign w:val="bottom"/>
          </w:tcPr>
          <w:p w14:paraId="3B66F5EE" w14:textId="362CB78D"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0.84</w:t>
            </w:r>
          </w:p>
        </w:tc>
        <w:tc>
          <w:tcPr>
            <w:tcW w:w="1486" w:type="dxa"/>
            <w:tcBorders>
              <w:top w:val="nil"/>
              <w:left w:val="nil"/>
              <w:bottom w:val="nil"/>
              <w:right w:val="nil"/>
            </w:tcBorders>
            <w:shd w:val="clear" w:color="auto" w:fill="auto"/>
            <w:vAlign w:val="bottom"/>
          </w:tcPr>
          <w:p w14:paraId="49DE7FD2" w14:textId="6C8A5FF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0.96 (0.68,1.36)</w:t>
            </w:r>
          </w:p>
        </w:tc>
        <w:tc>
          <w:tcPr>
            <w:tcW w:w="565" w:type="dxa"/>
            <w:tcBorders>
              <w:top w:val="nil"/>
              <w:left w:val="nil"/>
              <w:bottom w:val="nil"/>
              <w:right w:val="nil"/>
            </w:tcBorders>
            <w:shd w:val="clear" w:color="auto" w:fill="auto"/>
            <w:vAlign w:val="bottom"/>
          </w:tcPr>
          <w:p w14:paraId="08B78B2D" w14:textId="13901BA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0.84</w:t>
            </w:r>
          </w:p>
        </w:tc>
      </w:tr>
      <w:tr w:rsidR="001E1E07" w:rsidRPr="00110AC6" w14:paraId="4F892778" w14:textId="0462FBFE" w:rsidTr="00490565">
        <w:trPr>
          <w:trHeight w:val="227"/>
        </w:trPr>
        <w:tc>
          <w:tcPr>
            <w:tcW w:w="1134" w:type="dxa"/>
            <w:vMerge/>
            <w:tcBorders>
              <w:top w:val="nil"/>
              <w:left w:val="nil"/>
              <w:bottom w:val="nil"/>
              <w:right w:val="single" w:sz="4" w:space="0" w:color="auto"/>
            </w:tcBorders>
            <w:vAlign w:val="center"/>
            <w:hideMark/>
          </w:tcPr>
          <w:p w14:paraId="711C05A2"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bottom w:val="nil"/>
              <w:right w:val="single" w:sz="4" w:space="0" w:color="auto"/>
            </w:tcBorders>
            <w:shd w:val="clear" w:color="auto" w:fill="auto"/>
            <w:noWrap/>
            <w:vAlign w:val="bottom"/>
            <w:hideMark/>
          </w:tcPr>
          <w:p w14:paraId="5B10FDFA"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35EC4FD7" w14:textId="1A8109C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0.88 (0.69,1.11)</w:t>
            </w:r>
          </w:p>
        </w:tc>
        <w:tc>
          <w:tcPr>
            <w:tcW w:w="538" w:type="dxa"/>
            <w:tcBorders>
              <w:top w:val="nil"/>
              <w:left w:val="nil"/>
              <w:bottom w:val="nil"/>
              <w:right w:val="nil"/>
            </w:tcBorders>
            <w:shd w:val="clear" w:color="auto" w:fill="auto"/>
            <w:noWrap/>
            <w:vAlign w:val="bottom"/>
          </w:tcPr>
          <w:p w14:paraId="45BFB3C9" w14:textId="63607DF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0.26</w:t>
            </w:r>
          </w:p>
        </w:tc>
        <w:tc>
          <w:tcPr>
            <w:tcW w:w="1486" w:type="dxa"/>
            <w:tcBorders>
              <w:top w:val="nil"/>
              <w:left w:val="nil"/>
              <w:bottom w:val="nil"/>
              <w:right w:val="nil"/>
            </w:tcBorders>
            <w:shd w:val="clear" w:color="auto" w:fill="auto"/>
            <w:noWrap/>
            <w:vAlign w:val="bottom"/>
          </w:tcPr>
          <w:p w14:paraId="3CFB65E5" w14:textId="07CD5DC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1.13 (0.90,1.41)</w:t>
            </w:r>
          </w:p>
        </w:tc>
        <w:tc>
          <w:tcPr>
            <w:tcW w:w="567" w:type="dxa"/>
            <w:tcBorders>
              <w:top w:val="nil"/>
              <w:left w:val="nil"/>
              <w:bottom w:val="nil"/>
              <w:right w:val="single" w:sz="4" w:space="0" w:color="auto"/>
            </w:tcBorders>
            <w:shd w:val="clear" w:color="auto" w:fill="auto"/>
            <w:noWrap/>
            <w:vAlign w:val="bottom"/>
          </w:tcPr>
          <w:p w14:paraId="1380CEC5" w14:textId="1F2AF02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0.30</w:t>
            </w:r>
          </w:p>
        </w:tc>
        <w:tc>
          <w:tcPr>
            <w:tcW w:w="1486" w:type="dxa"/>
            <w:tcBorders>
              <w:top w:val="nil"/>
              <w:left w:val="single" w:sz="4" w:space="0" w:color="auto"/>
              <w:bottom w:val="nil"/>
              <w:right w:val="nil"/>
            </w:tcBorders>
            <w:shd w:val="clear" w:color="auto" w:fill="auto"/>
            <w:vAlign w:val="bottom"/>
          </w:tcPr>
          <w:p w14:paraId="7F9C1F06" w14:textId="0D4CF99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0.83 (0.61,1.13)</w:t>
            </w:r>
          </w:p>
        </w:tc>
        <w:tc>
          <w:tcPr>
            <w:tcW w:w="565" w:type="dxa"/>
            <w:tcBorders>
              <w:top w:val="nil"/>
              <w:left w:val="nil"/>
              <w:bottom w:val="nil"/>
              <w:right w:val="nil"/>
            </w:tcBorders>
            <w:shd w:val="clear" w:color="auto" w:fill="auto"/>
            <w:vAlign w:val="bottom"/>
          </w:tcPr>
          <w:p w14:paraId="235F23EA" w14:textId="5D10CB6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0.24</w:t>
            </w:r>
          </w:p>
        </w:tc>
        <w:tc>
          <w:tcPr>
            <w:tcW w:w="1486" w:type="dxa"/>
            <w:tcBorders>
              <w:top w:val="nil"/>
              <w:left w:val="nil"/>
              <w:bottom w:val="nil"/>
              <w:right w:val="nil"/>
            </w:tcBorders>
            <w:shd w:val="clear" w:color="auto" w:fill="auto"/>
            <w:vAlign w:val="bottom"/>
          </w:tcPr>
          <w:p w14:paraId="78409420" w14:textId="68575626"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1.38 (1.01,1.87)</w:t>
            </w:r>
          </w:p>
        </w:tc>
        <w:tc>
          <w:tcPr>
            <w:tcW w:w="565" w:type="dxa"/>
            <w:tcBorders>
              <w:top w:val="nil"/>
              <w:left w:val="nil"/>
              <w:bottom w:val="nil"/>
              <w:right w:val="single" w:sz="4" w:space="0" w:color="auto"/>
            </w:tcBorders>
            <w:shd w:val="clear" w:color="auto" w:fill="auto"/>
            <w:vAlign w:val="bottom"/>
          </w:tcPr>
          <w:p w14:paraId="607F9452" w14:textId="7990F10E"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0.04</w:t>
            </w:r>
          </w:p>
        </w:tc>
        <w:tc>
          <w:tcPr>
            <w:tcW w:w="1486" w:type="dxa"/>
            <w:tcBorders>
              <w:top w:val="nil"/>
              <w:left w:val="single" w:sz="4" w:space="0" w:color="auto"/>
              <w:bottom w:val="nil"/>
              <w:right w:val="nil"/>
            </w:tcBorders>
            <w:shd w:val="clear" w:color="auto" w:fill="auto"/>
            <w:vAlign w:val="bottom"/>
          </w:tcPr>
          <w:p w14:paraId="211EAB9D" w14:textId="487C8C96"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0.86 (0.59,1.24)</w:t>
            </w:r>
          </w:p>
        </w:tc>
        <w:tc>
          <w:tcPr>
            <w:tcW w:w="565" w:type="dxa"/>
            <w:tcBorders>
              <w:top w:val="nil"/>
              <w:left w:val="nil"/>
              <w:bottom w:val="nil"/>
              <w:right w:val="nil"/>
            </w:tcBorders>
            <w:shd w:val="clear" w:color="auto" w:fill="auto"/>
            <w:vAlign w:val="bottom"/>
          </w:tcPr>
          <w:p w14:paraId="30AA5E9B" w14:textId="6D2A42E9"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0.41</w:t>
            </w:r>
          </w:p>
        </w:tc>
        <w:tc>
          <w:tcPr>
            <w:tcW w:w="1486" w:type="dxa"/>
            <w:tcBorders>
              <w:top w:val="nil"/>
              <w:left w:val="nil"/>
              <w:bottom w:val="nil"/>
              <w:right w:val="nil"/>
            </w:tcBorders>
            <w:shd w:val="clear" w:color="auto" w:fill="auto"/>
            <w:vAlign w:val="bottom"/>
          </w:tcPr>
          <w:p w14:paraId="14B4EEAD" w14:textId="0955DE7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0.86 (0.60,1.25)</w:t>
            </w:r>
          </w:p>
        </w:tc>
        <w:tc>
          <w:tcPr>
            <w:tcW w:w="565" w:type="dxa"/>
            <w:tcBorders>
              <w:top w:val="nil"/>
              <w:left w:val="nil"/>
              <w:bottom w:val="nil"/>
              <w:right w:val="nil"/>
            </w:tcBorders>
            <w:shd w:val="clear" w:color="auto" w:fill="auto"/>
            <w:vAlign w:val="bottom"/>
          </w:tcPr>
          <w:p w14:paraId="6469ED0D" w14:textId="3E44D5A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0.44</w:t>
            </w:r>
          </w:p>
        </w:tc>
      </w:tr>
      <w:tr w:rsidR="001E1E07" w:rsidRPr="00110AC6" w14:paraId="4C0D3F5A" w14:textId="4EB80B40" w:rsidTr="00490565">
        <w:trPr>
          <w:trHeight w:val="227"/>
        </w:trPr>
        <w:tc>
          <w:tcPr>
            <w:tcW w:w="1134" w:type="dxa"/>
            <w:vMerge w:val="restart"/>
            <w:tcBorders>
              <w:top w:val="nil"/>
              <w:left w:val="nil"/>
              <w:bottom w:val="nil"/>
              <w:right w:val="single" w:sz="4" w:space="0" w:color="auto"/>
            </w:tcBorders>
            <w:shd w:val="clear" w:color="auto" w:fill="auto"/>
            <w:vAlign w:val="center"/>
            <w:hideMark/>
          </w:tcPr>
          <w:p w14:paraId="566C53DE"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IL-1β</w:t>
            </w:r>
          </w:p>
        </w:tc>
        <w:tc>
          <w:tcPr>
            <w:tcW w:w="411" w:type="dxa"/>
            <w:tcBorders>
              <w:top w:val="nil"/>
              <w:left w:val="single" w:sz="4" w:space="0" w:color="auto"/>
              <w:bottom w:val="nil"/>
              <w:right w:val="single" w:sz="4" w:space="0" w:color="auto"/>
            </w:tcBorders>
            <w:shd w:val="clear" w:color="auto" w:fill="auto"/>
            <w:noWrap/>
            <w:vAlign w:val="bottom"/>
            <w:hideMark/>
          </w:tcPr>
          <w:p w14:paraId="14DA40EB"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13F945F9" w14:textId="71C5074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0.97 (0.75,1.26)</w:t>
            </w:r>
          </w:p>
        </w:tc>
        <w:tc>
          <w:tcPr>
            <w:tcW w:w="538" w:type="dxa"/>
            <w:tcBorders>
              <w:top w:val="nil"/>
              <w:left w:val="nil"/>
              <w:bottom w:val="nil"/>
              <w:right w:val="nil"/>
            </w:tcBorders>
            <w:shd w:val="clear" w:color="auto" w:fill="auto"/>
            <w:noWrap/>
            <w:vAlign w:val="bottom"/>
          </w:tcPr>
          <w:p w14:paraId="5CFE29B0" w14:textId="2EB56E6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0.82</w:t>
            </w:r>
          </w:p>
        </w:tc>
        <w:tc>
          <w:tcPr>
            <w:tcW w:w="1486" w:type="dxa"/>
            <w:tcBorders>
              <w:top w:val="nil"/>
              <w:left w:val="nil"/>
              <w:bottom w:val="nil"/>
              <w:right w:val="nil"/>
            </w:tcBorders>
            <w:shd w:val="clear" w:color="auto" w:fill="auto"/>
            <w:noWrap/>
            <w:vAlign w:val="bottom"/>
          </w:tcPr>
          <w:p w14:paraId="2E0E2470" w14:textId="015890F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1.25 (0.96,1.64)</w:t>
            </w:r>
          </w:p>
        </w:tc>
        <w:tc>
          <w:tcPr>
            <w:tcW w:w="567" w:type="dxa"/>
            <w:tcBorders>
              <w:top w:val="nil"/>
              <w:left w:val="nil"/>
              <w:bottom w:val="nil"/>
              <w:right w:val="single" w:sz="4" w:space="0" w:color="auto"/>
            </w:tcBorders>
            <w:shd w:val="clear" w:color="auto" w:fill="auto"/>
            <w:noWrap/>
            <w:vAlign w:val="bottom"/>
          </w:tcPr>
          <w:p w14:paraId="6F989807" w14:textId="4D4BE5E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0.10</w:t>
            </w:r>
          </w:p>
        </w:tc>
        <w:tc>
          <w:tcPr>
            <w:tcW w:w="1486" w:type="dxa"/>
            <w:tcBorders>
              <w:top w:val="nil"/>
              <w:left w:val="single" w:sz="4" w:space="0" w:color="auto"/>
              <w:bottom w:val="nil"/>
              <w:right w:val="nil"/>
            </w:tcBorders>
            <w:shd w:val="clear" w:color="auto" w:fill="auto"/>
            <w:vAlign w:val="bottom"/>
          </w:tcPr>
          <w:p w14:paraId="3528F28B" w14:textId="5112D40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0.74 (0.51,1.06)</w:t>
            </w:r>
          </w:p>
        </w:tc>
        <w:tc>
          <w:tcPr>
            <w:tcW w:w="565" w:type="dxa"/>
            <w:tcBorders>
              <w:top w:val="nil"/>
              <w:left w:val="nil"/>
              <w:bottom w:val="nil"/>
              <w:right w:val="nil"/>
            </w:tcBorders>
            <w:shd w:val="clear" w:color="auto" w:fill="auto"/>
            <w:vAlign w:val="bottom"/>
          </w:tcPr>
          <w:p w14:paraId="7EED8F7D" w14:textId="73BFB1A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0.10</w:t>
            </w:r>
          </w:p>
        </w:tc>
        <w:tc>
          <w:tcPr>
            <w:tcW w:w="1486" w:type="dxa"/>
            <w:tcBorders>
              <w:top w:val="nil"/>
              <w:left w:val="nil"/>
              <w:bottom w:val="nil"/>
              <w:right w:val="nil"/>
            </w:tcBorders>
            <w:shd w:val="clear" w:color="auto" w:fill="auto"/>
            <w:vAlign w:val="bottom"/>
          </w:tcPr>
          <w:p w14:paraId="12DBAFA4" w14:textId="2437798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1.12 (0.80,1.58)</w:t>
            </w:r>
          </w:p>
        </w:tc>
        <w:tc>
          <w:tcPr>
            <w:tcW w:w="565" w:type="dxa"/>
            <w:tcBorders>
              <w:top w:val="nil"/>
              <w:left w:val="nil"/>
              <w:bottom w:val="nil"/>
              <w:right w:val="single" w:sz="4" w:space="0" w:color="auto"/>
            </w:tcBorders>
            <w:shd w:val="clear" w:color="auto" w:fill="auto"/>
            <w:vAlign w:val="bottom"/>
          </w:tcPr>
          <w:p w14:paraId="10EDE0CD" w14:textId="2C60804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0.50</w:t>
            </w:r>
          </w:p>
        </w:tc>
        <w:tc>
          <w:tcPr>
            <w:tcW w:w="1486" w:type="dxa"/>
            <w:tcBorders>
              <w:top w:val="nil"/>
              <w:left w:val="single" w:sz="4" w:space="0" w:color="auto"/>
              <w:bottom w:val="nil"/>
              <w:right w:val="nil"/>
            </w:tcBorders>
            <w:shd w:val="clear" w:color="auto" w:fill="auto"/>
            <w:vAlign w:val="bottom"/>
          </w:tcPr>
          <w:p w14:paraId="721BAC4B" w14:textId="704BDD7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1.46 (0.93,2.29)</w:t>
            </w:r>
          </w:p>
        </w:tc>
        <w:tc>
          <w:tcPr>
            <w:tcW w:w="565" w:type="dxa"/>
            <w:tcBorders>
              <w:top w:val="nil"/>
              <w:left w:val="nil"/>
              <w:bottom w:val="nil"/>
              <w:right w:val="nil"/>
            </w:tcBorders>
            <w:shd w:val="clear" w:color="auto" w:fill="auto"/>
            <w:vAlign w:val="bottom"/>
          </w:tcPr>
          <w:p w14:paraId="2AADA0F3" w14:textId="68FDA9E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0.10</w:t>
            </w:r>
          </w:p>
        </w:tc>
        <w:tc>
          <w:tcPr>
            <w:tcW w:w="1486" w:type="dxa"/>
            <w:tcBorders>
              <w:top w:val="nil"/>
              <w:left w:val="nil"/>
              <w:bottom w:val="nil"/>
              <w:right w:val="nil"/>
            </w:tcBorders>
            <w:shd w:val="clear" w:color="auto" w:fill="auto"/>
            <w:vAlign w:val="bottom"/>
          </w:tcPr>
          <w:p w14:paraId="1FD38FB8" w14:textId="798B4BF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1.52 (0.97,2.38)</w:t>
            </w:r>
          </w:p>
        </w:tc>
        <w:tc>
          <w:tcPr>
            <w:tcW w:w="565" w:type="dxa"/>
            <w:tcBorders>
              <w:top w:val="nil"/>
              <w:left w:val="nil"/>
              <w:bottom w:val="nil"/>
              <w:right w:val="nil"/>
            </w:tcBorders>
            <w:shd w:val="clear" w:color="auto" w:fill="auto"/>
            <w:vAlign w:val="bottom"/>
          </w:tcPr>
          <w:p w14:paraId="059475F0" w14:textId="6FED459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0.07</w:t>
            </w:r>
          </w:p>
        </w:tc>
      </w:tr>
      <w:tr w:rsidR="001E1E07" w:rsidRPr="00110AC6" w14:paraId="0C6EF81B" w14:textId="2B7D29F1" w:rsidTr="00490565">
        <w:trPr>
          <w:trHeight w:val="227"/>
        </w:trPr>
        <w:tc>
          <w:tcPr>
            <w:tcW w:w="1134" w:type="dxa"/>
            <w:vMerge/>
            <w:tcBorders>
              <w:top w:val="nil"/>
              <w:left w:val="nil"/>
              <w:bottom w:val="nil"/>
              <w:right w:val="single" w:sz="4" w:space="0" w:color="auto"/>
            </w:tcBorders>
            <w:vAlign w:val="center"/>
            <w:hideMark/>
          </w:tcPr>
          <w:p w14:paraId="59B6A195"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bottom w:val="nil"/>
              <w:right w:val="single" w:sz="4" w:space="0" w:color="auto"/>
            </w:tcBorders>
            <w:shd w:val="clear" w:color="auto" w:fill="auto"/>
            <w:noWrap/>
            <w:vAlign w:val="bottom"/>
            <w:hideMark/>
          </w:tcPr>
          <w:p w14:paraId="4E61A69F"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13420545" w14:textId="7C93F1E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0.93 (0.71,1.22)</w:t>
            </w:r>
          </w:p>
        </w:tc>
        <w:tc>
          <w:tcPr>
            <w:tcW w:w="538" w:type="dxa"/>
            <w:tcBorders>
              <w:top w:val="nil"/>
              <w:left w:val="nil"/>
              <w:bottom w:val="nil"/>
              <w:right w:val="nil"/>
            </w:tcBorders>
            <w:shd w:val="clear" w:color="auto" w:fill="auto"/>
            <w:noWrap/>
            <w:vAlign w:val="bottom"/>
          </w:tcPr>
          <w:p w14:paraId="66D0E3EF" w14:textId="52B3CD0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0.62</w:t>
            </w:r>
          </w:p>
        </w:tc>
        <w:tc>
          <w:tcPr>
            <w:tcW w:w="1486" w:type="dxa"/>
            <w:tcBorders>
              <w:top w:val="nil"/>
              <w:left w:val="nil"/>
              <w:bottom w:val="nil"/>
              <w:right w:val="nil"/>
            </w:tcBorders>
            <w:shd w:val="clear" w:color="auto" w:fill="auto"/>
            <w:noWrap/>
            <w:vAlign w:val="bottom"/>
          </w:tcPr>
          <w:p w14:paraId="6CBA3419" w14:textId="56CCB87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1.27 (0.97,1.67)</w:t>
            </w:r>
          </w:p>
        </w:tc>
        <w:tc>
          <w:tcPr>
            <w:tcW w:w="567" w:type="dxa"/>
            <w:tcBorders>
              <w:top w:val="nil"/>
              <w:left w:val="nil"/>
              <w:bottom w:val="nil"/>
              <w:right w:val="single" w:sz="4" w:space="0" w:color="auto"/>
            </w:tcBorders>
            <w:shd w:val="clear" w:color="auto" w:fill="auto"/>
            <w:noWrap/>
            <w:vAlign w:val="bottom"/>
          </w:tcPr>
          <w:p w14:paraId="3E6D9160" w14:textId="06CCA46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0.08</w:t>
            </w:r>
          </w:p>
        </w:tc>
        <w:tc>
          <w:tcPr>
            <w:tcW w:w="1486" w:type="dxa"/>
            <w:tcBorders>
              <w:top w:val="nil"/>
              <w:left w:val="single" w:sz="4" w:space="0" w:color="auto"/>
              <w:bottom w:val="nil"/>
              <w:right w:val="nil"/>
            </w:tcBorders>
            <w:shd w:val="clear" w:color="auto" w:fill="auto"/>
            <w:vAlign w:val="bottom"/>
          </w:tcPr>
          <w:p w14:paraId="698DD74C" w14:textId="73CC366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0.73 (0.50,1.05)</w:t>
            </w:r>
          </w:p>
        </w:tc>
        <w:tc>
          <w:tcPr>
            <w:tcW w:w="565" w:type="dxa"/>
            <w:tcBorders>
              <w:top w:val="nil"/>
              <w:left w:val="nil"/>
              <w:bottom w:val="nil"/>
              <w:right w:val="nil"/>
            </w:tcBorders>
            <w:shd w:val="clear" w:color="auto" w:fill="auto"/>
            <w:vAlign w:val="bottom"/>
          </w:tcPr>
          <w:p w14:paraId="01896D6F" w14:textId="7C50A4B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0.09</w:t>
            </w:r>
          </w:p>
        </w:tc>
        <w:tc>
          <w:tcPr>
            <w:tcW w:w="1486" w:type="dxa"/>
            <w:tcBorders>
              <w:top w:val="nil"/>
              <w:left w:val="nil"/>
              <w:bottom w:val="nil"/>
              <w:right w:val="nil"/>
            </w:tcBorders>
            <w:shd w:val="clear" w:color="auto" w:fill="auto"/>
            <w:vAlign w:val="bottom"/>
          </w:tcPr>
          <w:p w14:paraId="75C45206" w14:textId="3CCD399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1.13 (0.80,1.59)</w:t>
            </w:r>
          </w:p>
        </w:tc>
        <w:tc>
          <w:tcPr>
            <w:tcW w:w="565" w:type="dxa"/>
            <w:tcBorders>
              <w:top w:val="nil"/>
              <w:left w:val="nil"/>
              <w:bottom w:val="nil"/>
              <w:right w:val="single" w:sz="4" w:space="0" w:color="auto"/>
            </w:tcBorders>
            <w:shd w:val="clear" w:color="auto" w:fill="auto"/>
            <w:vAlign w:val="bottom"/>
          </w:tcPr>
          <w:p w14:paraId="078BA020" w14:textId="2826EF4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0.49</w:t>
            </w:r>
          </w:p>
        </w:tc>
        <w:tc>
          <w:tcPr>
            <w:tcW w:w="1486" w:type="dxa"/>
            <w:tcBorders>
              <w:top w:val="nil"/>
              <w:left w:val="single" w:sz="4" w:space="0" w:color="auto"/>
              <w:bottom w:val="nil"/>
              <w:right w:val="nil"/>
            </w:tcBorders>
            <w:shd w:val="clear" w:color="auto" w:fill="auto"/>
            <w:vAlign w:val="bottom"/>
          </w:tcPr>
          <w:p w14:paraId="5A00CCEB" w14:textId="78B5808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1.41 (0.88,2.26)</w:t>
            </w:r>
          </w:p>
        </w:tc>
        <w:tc>
          <w:tcPr>
            <w:tcW w:w="565" w:type="dxa"/>
            <w:tcBorders>
              <w:top w:val="nil"/>
              <w:left w:val="nil"/>
              <w:bottom w:val="nil"/>
              <w:right w:val="nil"/>
            </w:tcBorders>
            <w:shd w:val="clear" w:color="auto" w:fill="auto"/>
            <w:vAlign w:val="bottom"/>
          </w:tcPr>
          <w:p w14:paraId="6BC2408A" w14:textId="6611AFA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0.15</w:t>
            </w:r>
          </w:p>
        </w:tc>
        <w:tc>
          <w:tcPr>
            <w:tcW w:w="1486" w:type="dxa"/>
            <w:tcBorders>
              <w:top w:val="nil"/>
              <w:left w:val="nil"/>
              <w:bottom w:val="nil"/>
              <w:right w:val="nil"/>
            </w:tcBorders>
            <w:shd w:val="clear" w:color="auto" w:fill="auto"/>
            <w:vAlign w:val="bottom"/>
          </w:tcPr>
          <w:p w14:paraId="51FACE64" w14:textId="4F8CCBC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1.60 (0.99,2.59)</w:t>
            </w:r>
          </w:p>
        </w:tc>
        <w:tc>
          <w:tcPr>
            <w:tcW w:w="565" w:type="dxa"/>
            <w:tcBorders>
              <w:top w:val="nil"/>
              <w:left w:val="nil"/>
              <w:bottom w:val="nil"/>
              <w:right w:val="nil"/>
            </w:tcBorders>
            <w:shd w:val="clear" w:color="auto" w:fill="auto"/>
            <w:vAlign w:val="bottom"/>
          </w:tcPr>
          <w:p w14:paraId="7BBECD67" w14:textId="67723B8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0.06</w:t>
            </w:r>
          </w:p>
        </w:tc>
      </w:tr>
      <w:tr w:rsidR="001E1E07" w:rsidRPr="00110AC6" w14:paraId="3D70ED47" w14:textId="61DAD3DD" w:rsidTr="00490565">
        <w:trPr>
          <w:trHeight w:val="227"/>
        </w:trPr>
        <w:tc>
          <w:tcPr>
            <w:tcW w:w="1134" w:type="dxa"/>
            <w:vMerge w:val="restart"/>
            <w:tcBorders>
              <w:top w:val="nil"/>
              <w:left w:val="nil"/>
              <w:bottom w:val="nil"/>
              <w:right w:val="single" w:sz="4" w:space="0" w:color="auto"/>
            </w:tcBorders>
            <w:shd w:val="clear" w:color="auto" w:fill="auto"/>
            <w:vAlign w:val="center"/>
            <w:hideMark/>
          </w:tcPr>
          <w:p w14:paraId="22CE9391"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IL-6</w:t>
            </w:r>
          </w:p>
        </w:tc>
        <w:tc>
          <w:tcPr>
            <w:tcW w:w="411" w:type="dxa"/>
            <w:tcBorders>
              <w:top w:val="nil"/>
              <w:left w:val="single" w:sz="4" w:space="0" w:color="auto"/>
              <w:bottom w:val="nil"/>
              <w:right w:val="single" w:sz="4" w:space="0" w:color="auto"/>
            </w:tcBorders>
            <w:shd w:val="clear" w:color="auto" w:fill="auto"/>
            <w:noWrap/>
            <w:vAlign w:val="bottom"/>
            <w:hideMark/>
          </w:tcPr>
          <w:p w14:paraId="69FFEB1A"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19EB44F3" w14:textId="24637B2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1.02 (0.77,1.35)</w:t>
            </w:r>
          </w:p>
        </w:tc>
        <w:tc>
          <w:tcPr>
            <w:tcW w:w="538" w:type="dxa"/>
            <w:tcBorders>
              <w:top w:val="nil"/>
              <w:left w:val="nil"/>
              <w:bottom w:val="nil"/>
              <w:right w:val="nil"/>
            </w:tcBorders>
            <w:shd w:val="clear" w:color="auto" w:fill="auto"/>
            <w:noWrap/>
            <w:vAlign w:val="bottom"/>
          </w:tcPr>
          <w:p w14:paraId="71C0E575" w14:textId="17781C0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0.89</w:t>
            </w:r>
          </w:p>
        </w:tc>
        <w:tc>
          <w:tcPr>
            <w:tcW w:w="1486" w:type="dxa"/>
            <w:tcBorders>
              <w:top w:val="nil"/>
              <w:left w:val="nil"/>
              <w:bottom w:val="nil"/>
              <w:right w:val="nil"/>
            </w:tcBorders>
            <w:shd w:val="clear" w:color="auto" w:fill="auto"/>
            <w:noWrap/>
            <w:vAlign w:val="bottom"/>
          </w:tcPr>
          <w:p w14:paraId="044C6192" w14:textId="75D6F28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1.04 (0.78,1.38)</w:t>
            </w:r>
          </w:p>
        </w:tc>
        <w:tc>
          <w:tcPr>
            <w:tcW w:w="567" w:type="dxa"/>
            <w:tcBorders>
              <w:top w:val="nil"/>
              <w:left w:val="nil"/>
              <w:bottom w:val="nil"/>
              <w:right w:val="single" w:sz="4" w:space="0" w:color="auto"/>
            </w:tcBorders>
            <w:shd w:val="clear" w:color="auto" w:fill="auto"/>
            <w:noWrap/>
            <w:vAlign w:val="bottom"/>
          </w:tcPr>
          <w:p w14:paraId="0147E034" w14:textId="52223C2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0.79</w:t>
            </w:r>
          </w:p>
        </w:tc>
        <w:tc>
          <w:tcPr>
            <w:tcW w:w="1486" w:type="dxa"/>
            <w:tcBorders>
              <w:top w:val="nil"/>
              <w:left w:val="single" w:sz="4" w:space="0" w:color="auto"/>
              <w:bottom w:val="nil"/>
              <w:right w:val="nil"/>
            </w:tcBorders>
            <w:shd w:val="clear" w:color="auto" w:fill="auto"/>
            <w:vAlign w:val="bottom"/>
          </w:tcPr>
          <w:p w14:paraId="4AC8B78E" w14:textId="066A25E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1.09 (0.77,1.54)</w:t>
            </w:r>
          </w:p>
        </w:tc>
        <w:tc>
          <w:tcPr>
            <w:tcW w:w="565" w:type="dxa"/>
            <w:tcBorders>
              <w:top w:val="nil"/>
              <w:left w:val="nil"/>
              <w:bottom w:val="nil"/>
              <w:right w:val="nil"/>
            </w:tcBorders>
            <w:shd w:val="clear" w:color="auto" w:fill="auto"/>
            <w:vAlign w:val="bottom"/>
          </w:tcPr>
          <w:p w14:paraId="11369220" w14:textId="313C7C7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0.63</w:t>
            </w:r>
          </w:p>
        </w:tc>
        <w:tc>
          <w:tcPr>
            <w:tcW w:w="1486" w:type="dxa"/>
            <w:tcBorders>
              <w:top w:val="nil"/>
              <w:left w:val="nil"/>
              <w:bottom w:val="nil"/>
              <w:right w:val="nil"/>
            </w:tcBorders>
            <w:shd w:val="clear" w:color="auto" w:fill="auto"/>
            <w:vAlign w:val="bottom"/>
          </w:tcPr>
          <w:p w14:paraId="6D2E6149" w14:textId="7880870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1.03 (0.72,1.47)</w:t>
            </w:r>
          </w:p>
        </w:tc>
        <w:tc>
          <w:tcPr>
            <w:tcW w:w="565" w:type="dxa"/>
            <w:tcBorders>
              <w:top w:val="nil"/>
              <w:left w:val="nil"/>
              <w:bottom w:val="nil"/>
              <w:right w:val="single" w:sz="4" w:space="0" w:color="auto"/>
            </w:tcBorders>
            <w:shd w:val="clear" w:color="auto" w:fill="auto"/>
            <w:vAlign w:val="bottom"/>
          </w:tcPr>
          <w:p w14:paraId="2757154C" w14:textId="75C8D32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0.89</w:t>
            </w:r>
          </w:p>
        </w:tc>
        <w:tc>
          <w:tcPr>
            <w:tcW w:w="1486" w:type="dxa"/>
            <w:tcBorders>
              <w:top w:val="nil"/>
              <w:left w:val="single" w:sz="4" w:space="0" w:color="auto"/>
              <w:bottom w:val="nil"/>
              <w:right w:val="nil"/>
            </w:tcBorders>
            <w:shd w:val="clear" w:color="auto" w:fill="auto"/>
            <w:vAlign w:val="bottom"/>
          </w:tcPr>
          <w:p w14:paraId="38EBA210" w14:textId="345AA26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0.88 (0.53,1.47)</w:t>
            </w:r>
          </w:p>
        </w:tc>
        <w:tc>
          <w:tcPr>
            <w:tcW w:w="565" w:type="dxa"/>
            <w:tcBorders>
              <w:top w:val="nil"/>
              <w:left w:val="nil"/>
              <w:bottom w:val="nil"/>
              <w:right w:val="nil"/>
            </w:tcBorders>
            <w:shd w:val="clear" w:color="auto" w:fill="auto"/>
            <w:vAlign w:val="bottom"/>
          </w:tcPr>
          <w:p w14:paraId="42B521F8" w14:textId="1414BAF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0.63</w:t>
            </w:r>
          </w:p>
        </w:tc>
        <w:tc>
          <w:tcPr>
            <w:tcW w:w="1486" w:type="dxa"/>
            <w:tcBorders>
              <w:top w:val="nil"/>
              <w:left w:val="nil"/>
              <w:bottom w:val="nil"/>
              <w:right w:val="nil"/>
            </w:tcBorders>
            <w:shd w:val="clear" w:color="auto" w:fill="auto"/>
            <w:vAlign w:val="bottom"/>
          </w:tcPr>
          <w:p w14:paraId="51826D72" w14:textId="7A5520A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1.00 (0.61,1.64)</w:t>
            </w:r>
          </w:p>
        </w:tc>
        <w:tc>
          <w:tcPr>
            <w:tcW w:w="565" w:type="dxa"/>
            <w:tcBorders>
              <w:top w:val="nil"/>
              <w:left w:val="nil"/>
              <w:bottom w:val="nil"/>
              <w:right w:val="nil"/>
            </w:tcBorders>
            <w:shd w:val="clear" w:color="auto" w:fill="auto"/>
            <w:vAlign w:val="bottom"/>
          </w:tcPr>
          <w:p w14:paraId="22FEB169" w14:textId="2ED32DE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0.99</w:t>
            </w:r>
          </w:p>
        </w:tc>
      </w:tr>
      <w:tr w:rsidR="001E1E07" w:rsidRPr="00110AC6" w14:paraId="2BEE047A" w14:textId="1FE8C0BE" w:rsidTr="00490565">
        <w:trPr>
          <w:trHeight w:val="227"/>
        </w:trPr>
        <w:tc>
          <w:tcPr>
            <w:tcW w:w="1134" w:type="dxa"/>
            <w:vMerge/>
            <w:tcBorders>
              <w:top w:val="nil"/>
              <w:left w:val="nil"/>
              <w:bottom w:val="nil"/>
              <w:right w:val="single" w:sz="4" w:space="0" w:color="auto"/>
            </w:tcBorders>
            <w:vAlign w:val="center"/>
            <w:hideMark/>
          </w:tcPr>
          <w:p w14:paraId="5E7CE662"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bottom w:val="nil"/>
              <w:right w:val="single" w:sz="4" w:space="0" w:color="auto"/>
            </w:tcBorders>
            <w:shd w:val="clear" w:color="auto" w:fill="auto"/>
            <w:noWrap/>
            <w:vAlign w:val="bottom"/>
            <w:hideMark/>
          </w:tcPr>
          <w:p w14:paraId="789F27FF"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0CCE5F25" w14:textId="769461B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0.97 (0.73,1.30)</w:t>
            </w:r>
          </w:p>
        </w:tc>
        <w:tc>
          <w:tcPr>
            <w:tcW w:w="538" w:type="dxa"/>
            <w:tcBorders>
              <w:top w:val="nil"/>
              <w:left w:val="nil"/>
              <w:bottom w:val="nil"/>
              <w:right w:val="nil"/>
            </w:tcBorders>
            <w:shd w:val="clear" w:color="auto" w:fill="auto"/>
            <w:noWrap/>
            <w:vAlign w:val="bottom"/>
          </w:tcPr>
          <w:p w14:paraId="6424CB82" w14:textId="357573C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0.86</w:t>
            </w:r>
          </w:p>
        </w:tc>
        <w:tc>
          <w:tcPr>
            <w:tcW w:w="1486" w:type="dxa"/>
            <w:tcBorders>
              <w:top w:val="nil"/>
              <w:left w:val="nil"/>
              <w:bottom w:val="nil"/>
              <w:right w:val="nil"/>
            </w:tcBorders>
            <w:shd w:val="clear" w:color="auto" w:fill="auto"/>
            <w:noWrap/>
            <w:vAlign w:val="bottom"/>
          </w:tcPr>
          <w:p w14:paraId="013DB739" w14:textId="75E8AD3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1.00 (0.74,1.36)</w:t>
            </w:r>
          </w:p>
        </w:tc>
        <w:tc>
          <w:tcPr>
            <w:tcW w:w="567" w:type="dxa"/>
            <w:tcBorders>
              <w:top w:val="nil"/>
              <w:left w:val="nil"/>
              <w:bottom w:val="nil"/>
              <w:right w:val="single" w:sz="4" w:space="0" w:color="auto"/>
            </w:tcBorders>
            <w:shd w:val="clear" w:color="auto" w:fill="auto"/>
            <w:noWrap/>
            <w:vAlign w:val="bottom"/>
          </w:tcPr>
          <w:p w14:paraId="37AABBA9" w14:textId="7A4A92E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0.99</w:t>
            </w:r>
          </w:p>
        </w:tc>
        <w:tc>
          <w:tcPr>
            <w:tcW w:w="1486" w:type="dxa"/>
            <w:tcBorders>
              <w:top w:val="nil"/>
              <w:left w:val="single" w:sz="4" w:space="0" w:color="auto"/>
              <w:bottom w:val="nil"/>
              <w:right w:val="nil"/>
            </w:tcBorders>
            <w:shd w:val="clear" w:color="auto" w:fill="auto"/>
            <w:vAlign w:val="bottom"/>
          </w:tcPr>
          <w:p w14:paraId="46B1878E" w14:textId="19F2026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1.08 (0.75,1.55)</w:t>
            </w:r>
          </w:p>
        </w:tc>
        <w:tc>
          <w:tcPr>
            <w:tcW w:w="565" w:type="dxa"/>
            <w:tcBorders>
              <w:top w:val="nil"/>
              <w:left w:val="nil"/>
              <w:bottom w:val="nil"/>
              <w:right w:val="nil"/>
            </w:tcBorders>
            <w:shd w:val="clear" w:color="auto" w:fill="auto"/>
            <w:vAlign w:val="bottom"/>
          </w:tcPr>
          <w:p w14:paraId="23AA28FB" w14:textId="74521D1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0.68</w:t>
            </w:r>
          </w:p>
        </w:tc>
        <w:tc>
          <w:tcPr>
            <w:tcW w:w="1486" w:type="dxa"/>
            <w:tcBorders>
              <w:top w:val="nil"/>
              <w:left w:val="nil"/>
              <w:bottom w:val="nil"/>
              <w:right w:val="nil"/>
            </w:tcBorders>
            <w:shd w:val="clear" w:color="auto" w:fill="auto"/>
            <w:vAlign w:val="bottom"/>
          </w:tcPr>
          <w:p w14:paraId="62680FA4" w14:textId="0D3259F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0.99 (0.68,1.46)</w:t>
            </w:r>
          </w:p>
        </w:tc>
        <w:tc>
          <w:tcPr>
            <w:tcW w:w="565" w:type="dxa"/>
            <w:tcBorders>
              <w:top w:val="nil"/>
              <w:left w:val="nil"/>
              <w:bottom w:val="nil"/>
              <w:right w:val="single" w:sz="4" w:space="0" w:color="auto"/>
            </w:tcBorders>
            <w:shd w:val="clear" w:color="auto" w:fill="auto"/>
            <w:vAlign w:val="bottom"/>
          </w:tcPr>
          <w:p w14:paraId="4D2CF000" w14:textId="5FB125B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0.98</w:t>
            </w:r>
          </w:p>
        </w:tc>
        <w:tc>
          <w:tcPr>
            <w:tcW w:w="1486" w:type="dxa"/>
            <w:tcBorders>
              <w:top w:val="nil"/>
              <w:left w:val="single" w:sz="4" w:space="0" w:color="auto"/>
              <w:bottom w:val="nil"/>
              <w:right w:val="nil"/>
            </w:tcBorders>
            <w:shd w:val="clear" w:color="auto" w:fill="auto"/>
            <w:vAlign w:val="bottom"/>
          </w:tcPr>
          <w:p w14:paraId="2116E5DC" w14:textId="2A012CB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0.74 (0.41,1.33)</w:t>
            </w:r>
          </w:p>
        </w:tc>
        <w:tc>
          <w:tcPr>
            <w:tcW w:w="565" w:type="dxa"/>
            <w:tcBorders>
              <w:top w:val="nil"/>
              <w:left w:val="nil"/>
              <w:bottom w:val="nil"/>
              <w:right w:val="nil"/>
            </w:tcBorders>
            <w:shd w:val="clear" w:color="auto" w:fill="auto"/>
            <w:vAlign w:val="bottom"/>
          </w:tcPr>
          <w:p w14:paraId="067CFA5F" w14:textId="0A1DEBD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0.31</w:t>
            </w:r>
          </w:p>
        </w:tc>
        <w:tc>
          <w:tcPr>
            <w:tcW w:w="1486" w:type="dxa"/>
            <w:tcBorders>
              <w:top w:val="nil"/>
              <w:left w:val="nil"/>
              <w:bottom w:val="nil"/>
              <w:right w:val="nil"/>
            </w:tcBorders>
            <w:shd w:val="clear" w:color="auto" w:fill="auto"/>
            <w:vAlign w:val="bottom"/>
          </w:tcPr>
          <w:p w14:paraId="04426C6D" w14:textId="38EC30E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0.96 (0.56,1.65)</w:t>
            </w:r>
          </w:p>
        </w:tc>
        <w:tc>
          <w:tcPr>
            <w:tcW w:w="565" w:type="dxa"/>
            <w:tcBorders>
              <w:top w:val="nil"/>
              <w:left w:val="nil"/>
              <w:bottom w:val="nil"/>
              <w:right w:val="nil"/>
            </w:tcBorders>
            <w:shd w:val="clear" w:color="auto" w:fill="auto"/>
            <w:vAlign w:val="bottom"/>
          </w:tcPr>
          <w:p w14:paraId="3F370A52" w14:textId="581DCDE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0.89</w:t>
            </w:r>
          </w:p>
        </w:tc>
      </w:tr>
      <w:tr w:rsidR="001E1E07" w:rsidRPr="00110AC6" w14:paraId="20DF8A78" w14:textId="3D93C8B3" w:rsidTr="00490565">
        <w:trPr>
          <w:trHeight w:val="227"/>
        </w:trPr>
        <w:tc>
          <w:tcPr>
            <w:tcW w:w="1134" w:type="dxa"/>
            <w:vMerge w:val="restart"/>
            <w:tcBorders>
              <w:top w:val="nil"/>
              <w:left w:val="nil"/>
              <w:bottom w:val="nil"/>
              <w:right w:val="single" w:sz="4" w:space="0" w:color="auto"/>
            </w:tcBorders>
            <w:shd w:val="clear" w:color="auto" w:fill="auto"/>
            <w:vAlign w:val="center"/>
            <w:hideMark/>
          </w:tcPr>
          <w:p w14:paraId="459727D6"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IL-10</w:t>
            </w:r>
          </w:p>
        </w:tc>
        <w:tc>
          <w:tcPr>
            <w:tcW w:w="411" w:type="dxa"/>
            <w:tcBorders>
              <w:top w:val="nil"/>
              <w:left w:val="single" w:sz="4" w:space="0" w:color="auto"/>
              <w:bottom w:val="nil"/>
              <w:right w:val="single" w:sz="4" w:space="0" w:color="auto"/>
            </w:tcBorders>
            <w:shd w:val="clear" w:color="auto" w:fill="auto"/>
            <w:noWrap/>
            <w:vAlign w:val="bottom"/>
            <w:hideMark/>
          </w:tcPr>
          <w:p w14:paraId="52E0165B"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79C6842F" w14:textId="0A7241D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0.93 (0.72,1.21)</w:t>
            </w:r>
          </w:p>
        </w:tc>
        <w:tc>
          <w:tcPr>
            <w:tcW w:w="538" w:type="dxa"/>
            <w:tcBorders>
              <w:top w:val="nil"/>
              <w:left w:val="nil"/>
              <w:bottom w:val="nil"/>
              <w:right w:val="nil"/>
            </w:tcBorders>
            <w:shd w:val="clear" w:color="auto" w:fill="auto"/>
            <w:noWrap/>
            <w:vAlign w:val="bottom"/>
          </w:tcPr>
          <w:p w14:paraId="4FCA0B31" w14:textId="5C556E4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0.59</w:t>
            </w:r>
          </w:p>
        </w:tc>
        <w:tc>
          <w:tcPr>
            <w:tcW w:w="1486" w:type="dxa"/>
            <w:tcBorders>
              <w:top w:val="nil"/>
              <w:left w:val="nil"/>
              <w:bottom w:val="nil"/>
              <w:right w:val="nil"/>
            </w:tcBorders>
            <w:shd w:val="clear" w:color="auto" w:fill="auto"/>
            <w:noWrap/>
            <w:vAlign w:val="bottom"/>
          </w:tcPr>
          <w:p w14:paraId="59065402" w14:textId="5475C14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0.80 (0.60,1.06)</w:t>
            </w:r>
          </w:p>
        </w:tc>
        <w:tc>
          <w:tcPr>
            <w:tcW w:w="567" w:type="dxa"/>
            <w:tcBorders>
              <w:top w:val="nil"/>
              <w:left w:val="nil"/>
              <w:bottom w:val="nil"/>
              <w:right w:val="single" w:sz="4" w:space="0" w:color="auto"/>
            </w:tcBorders>
            <w:shd w:val="clear" w:color="auto" w:fill="auto"/>
            <w:noWrap/>
            <w:vAlign w:val="bottom"/>
          </w:tcPr>
          <w:p w14:paraId="62D1ACD0" w14:textId="4484FFA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0.12</w:t>
            </w:r>
          </w:p>
        </w:tc>
        <w:tc>
          <w:tcPr>
            <w:tcW w:w="1486" w:type="dxa"/>
            <w:tcBorders>
              <w:top w:val="nil"/>
              <w:left w:val="single" w:sz="4" w:space="0" w:color="auto"/>
              <w:bottom w:val="nil"/>
              <w:right w:val="nil"/>
            </w:tcBorders>
            <w:shd w:val="clear" w:color="auto" w:fill="auto"/>
            <w:vAlign w:val="bottom"/>
          </w:tcPr>
          <w:p w14:paraId="6EE9E07C" w14:textId="3D4FDC3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 (0.70,1.28)</w:t>
            </w:r>
          </w:p>
        </w:tc>
        <w:tc>
          <w:tcPr>
            <w:tcW w:w="565" w:type="dxa"/>
            <w:tcBorders>
              <w:top w:val="nil"/>
              <w:left w:val="nil"/>
              <w:bottom w:val="nil"/>
              <w:right w:val="nil"/>
            </w:tcBorders>
            <w:shd w:val="clear" w:color="auto" w:fill="auto"/>
            <w:vAlign w:val="bottom"/>
          </w:tcPr>
          <w:p w14:paraId="1D55D867" w14:textId="3BBF24A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0.74</w:t>
            </w:r>
          </w:p>
        </w:tc>
        <w:tc>
          <w:tcPr>
            <w:tcW w:w="1486" w:type="dxa"/>
            <w:tcBorders>
              <w:top w:val="nil"/>
              <w:left w:val="nil"/>
              <w:bottom w:val="nil"/>
              <w:right w:val="nil"/>
            </w:tcBorders>
            <w:shd w:val="clear" w:color="auto" w:fill="auto"/>
            <w:vAlign w:val="bottom"/>
          </w:tcPr>
          <w:p w14:paraId="2FCAC925" w14:textId="2EEF221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0.77 (0.55,1.08)</w:t>
            </w:r>
          </w:p>
        </w:tc>
        <w:tc>
          <w:tcPr>
            <w:tcW w:w="565" w:type="dxa"/>
            <w:tcBorders>
              <w:top w:val="nil"/>
              <w:left w:val="nil"/>
              <w:bottom w:val="nil"/>
              <w:right w:val="single" w:sz="4" w:space="0" w:color="auto"/>
            </w:tcBorders>
            <w:shd w:val="clear" w:color="auto" w:fill="auto"/>
            <w:vAlign w:val="bottom"/>
          </w:tcPr>
          <w:p w14:paraId="11935FDE" w14:textId="26FBC85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0.13</w:t>
            </w:r>
          </w:p>
        </w:tc>
        <w:tc>
          <w:tcPr>
            <w:tcW w:w="1486" w:type="dxa"/>
            <w:tcBorders>
              <w:top w:val="nil"/>
              <w:left w:val="single" w:sz="4" w:space="0" w:color="auto"/>
              <w:bottom w:val="nil"/>
              <w:right w:val="nil"/>
            </w:tcBorders>
            <w:shd w:val="clear" w:color="auto" w:fill="auto"/>
            <w:vAlign w:val="bottom"/>
          </w:tcPr>
          <w:p w14:paraId="58B45B39" w14:textId="244262D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0.76 (0.42,1.37)</w:t>
            </w:r>
          </w:p>
        </w:tc>
        <w:tc>
          <w:tcPr>
            <w:tcW w:w="565" w:type="dxa"/>
            <w:tcBorders>
              <w:top w:val="nil"/>
              <w:left w:val="nil"/>
              <w:bottom w:val="nil"/>
              <w:right w:val="nil"/>
            </w:tcBorders>
            <w:shd w:val="clear" w:color="auto" w:fill="auto"/>
            <w:vAlign w:val="bottom"/>
          </w:tcPr>
          <w:p w14:paraId="1A1C8AB4" w14:textId="21D7924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0.36</w:t>
            </w:r>
          </w:p>
        </w:tc>
        <w:tc>
          <w:tcPr>
            <w:tcW w:w="1486" w:type="dxa"/>
            <w:tcBorders>
              <w:top w:val="nil"/>
              <w:left w:val="nil"/>
              <w:bottom w:val="nil"/>
              <w:right w:val="nil"/>
            </w:tcBorders>
            <w:shd w:val="clear" w:color="auto" w:fill="auto"/>
            <w:vAlign w:val="bottom"/>
          </w:tcPr>
          <w:p w14:paraId="39A0FDE7" w14:textId="6613670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0.85 (0.49,1.48)</w:t>
            </w:r>
          </w:p>
        </w:tc>
        <w:tc>
          <w:tcPr>
            <w:tcW w:w="565" w:type="dxa"/>
            <w:tcBorders>
              <w:top w:val="nil"/>
              <w:left w:val="nil"/>
              <w:bottom w:val="nil"/>
              <w:right w:val="nil"/>
            </w:tcBorders>
            <w:shd w:val="clear" w:color="auto" w:fill="auto"/>
            <w:vAlign w:val="bottom"/>
          </w:tcPr>
          <w:p w14:paraId="69875DDB" w14:textId="1164BBC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0.56</w:t>
            </w:r>
          </w:p>
        </w:tc>
      </w:tr>
      <w:tr w:rsidR="001E1E07" w:rsidRPr="00110AC6" w14:paraId="6BD79EB7" w14:textId="09288ACE" w:rsidTr="00490565">
        <w:trPr>
          <w:trHeight w:val="227"/>
        </w:trPr>
        <w:tc>
          <w:tcPr>
            <w:tcW w:w="1134" w:type="dxa"/>
            <w:vMerge/>
            <w:tcBorders>
              <w:top w:val="nil"/>
              <w:left w:val="nil"/>
              <w:bottom w:val="nil"/>
              <w:right w:val="single" w:sz="4" w:space="0" w:color="auto"/>
            </w:tcBorders>
            <w:vAlign w:val="center"/>
            <w:hideMark/>
          </w:tcPr>
          <w:p w14:paraId="55FB3E84"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bottom w:val="nil"/>
              <w:right w:val="single" w:sz="4" w:space="0" w:color="auto"/>
            </w:tcBorders>
            <w:shd w:val="clear" w:color="auto" w:fill="auto"/>
            <w:noWrap/>
            <w:vAlign w:val="bottom"/>
            <w:hideMark/>
          </w:tcPr>
          <w:p w14:paraId="229A2326"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0E433071" w14:textId="6084B6A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0.94 (0.72,1.23)</w:t>
            </w:r>
          </w:p>
        </w:tc>
        <w:tc>
          <w:tcPr>
            <w:tcW w:w="538" w:type="dxa"/>
            <w:tcBorders>
              <w:top w:val="nil"/>
              <w:left w:val="nil"/>
              <w:bottom w:val="nil"/>
              <w:right w:val="nil"/>
            </w:tcBorders>
            <w:shd w:val="clear" w:color="auto" w:fill="auto"/>
            <w:noWrap/>
            <w:vAlign w:val="bottom"/>
          </w:tcPr>
          <w:p w14:paraId="42A6050A" w14:textId="5E5F298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0.65</w:t>
            </w:r>
          </w:p>
        </w:tc>
        <w:tc>
          <w:tcPr>
            <w:tcW w:w="1486" w:type="dxa"/>
            <w:tcBorders>
              <w:top w:val="nil"/>
              <w:left w:val="nil"/>
              <w:bottom w:val="nil"/>
              <w:right w:val="nil"/>
            </w:tcBorders>
            <w:shd w:val="clear" w:color="auto" w:fill="auto"/>
            <w:noWrap/>
            <w:vAlign w:val="bottom"/>
          </w:tcPr>
          <w:p w14:paraId="2981ABD1" w14:textId="03CA427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0.80 (0.60,1.08)</w:t>
            </w:r>
          </w:p>
        </w:tc>
        <w:tc>
          <w:tcPr>
            <w:tcW w:w="567" w:type="dxa"/>
            <w:tcBorders>
              <w:top w:val="nil"/>
              <w:left w:val="nil"/>
              <w:bottom w:val="nil"/>
              <w:right w:val="single" w:sz="4" w:space="0" w:color="auto"/>
            </w:tcBorders>
            <w:shd w:val="clear" w:color="auto" w:fill="auto"/>
            <w:noWrap/>
            <w:vAlign w:val="bottom"/>
          </w:tcPr>
          <w:p w14:paraId="6EA9315D" w14:textId="0163CDA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0.14</w:t>
            </w:r>
          </w:p>
        </w:tc>
        <w:tc>
          <w:tcPr>
            <w:tcW w:w="1486" w:type="dxa"/>
            <w:tcBorders>
              <w:top w:val="nil"/>
              <w:left w:val="single" w:sz="4" w:space="0" w:color="auto"/>
              <w:bottom w:val="nil"/>
              <w:right w:val="nil"/>
            </w:tcBorders>
            <w:shd w:val="clear" w:color="auto" w:fill="auto"/>
            <w:vAlign w:val="bottom"/>
          </w:tcPr>
          <w:p w14:paraId="3742DBF6" w14:textId="6CD663E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0.89 (0.65,1.23)</w:t>
            </w:r>
          </w:p>
        </w:tc>
        <w:tc>
          <w:tcPr>
            <w:tcW w:w="565" w:type="dxa"/>
            <w:tcBorders>
              <w:top w:val="nil"/>
              <w:left w:val="nil"/>
              <w:bottom w:val="nil"/>
              <w:right w:val="nil"/>
            </w:tcBorders>
            <w:shd w:val="clear" w:color="auto" w:fill="auto"/>
            <w:vAlign w:val="bottom"/>
          </w:tcPr>
          <w:p w14:paraId="1AFD3B92" w14:textId="77C2762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0.49</w:t>
            </w:r>
          </w:p>
        </w:tc>
        <w:tc>
          <w:tcPr>
            <w:tcW w:w="1486" w:type="dxa"/>
            <w:tcBorders>
              <w:top w:val="nil"/>
              <w:left w:val="nil"/>
              <w:bottom w:val="nil"/>
              <w:right w:val="nil"/>
            </w:tcBorders>
            <w:shd w:val="clear" w:color="auto" w:fill="auto"/>
            <w:vAlign w:val="bottom"/>
          </w:tcPr>
          <w:p w14:paraId="4B86A89A" w14:textId="7A3B52D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0.78 (0.55,1.10)</w:t>
            </w:r>
          </w:p>
        </w:tc>
        <w:tc>
          <w:tcPr>
            <w:tcW w:w="565" w:type="dxa"/>
            <w:tcBorders>
              <w:top w:val="nil"/>
              <w:left w:val="nil"/>
              <w:bottom w:val="nil"/>
              <w:right w:val="single" w:sz="4" w:space="0" w:color="auto"/>
            </w:tcBorders>
            <w:shd w:val="clear" w:color="auto" w:fill="auto"/>
            <w:vAlign w:val="bottom"/>
          </w:tcPr>
          <w:p w14:paraId="07FF02D3" w14:textId="50E6D80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0.16</w:t>
            </w:r>
          </w:p>
        </w:tc>
        <w:tc>
          <w:tcPr>
            <w:tcW w:w="1486" w:type="dxa"/>
            <w:tcBorders>
              <w:top w:val="nil"/>
              <w:left w:val="single" w:sz="4" w:space="0" w:color="auto"/>
              <w:bottom w:val="nil"/>
              <w:right w:val="nil"/>
            </w:tcBorders>
            <w:shd w:val="clear" w:color="auto" w:fill="auto"/>
            <w:vAlign w:val="bottom"/>
          </w:tcPr>
          <w:p w14:paraId="63EB7202" w14:textId="42F9719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0.94 (0.47,1.91)</w:t>
            </w:r>
          </w:p>
        </w:tc>
        <w:tc>
          <w:tcPr>
            <w:tcW w:w="565" w:type="dxa"/>
            <w:tcBorders>
              <w:top w:val="nil"/>
              <w:left w:val="nil"/>
              <w:bottom w:val="nil"/>
              <w:right w:val="nil"/>
            </w:tcBorders>
            <w:shd w:val="clear" w:color="auto" w:fill="auto"/>
            <w:vAlign w:val="bottom"/>
          </w:tcPr>
          <w:p w14:paraId="5A81ABFD" w14:textId="76883FF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0.87</w:t>
            </w:r>
          </w:p>
        </w:tc>
        <w:tc>
          <w:tcPr>
            <w:tcW w:w="1486" w:type="dxa"/>
            <w:tcBorders>
              <w:top w:val="nil"/>
              <w:left w:val="nil"/>
              <w:bottom w:val="nil"/>
              <w:right w:val="nil"/>
            </w:tcBorders>
            <w:shd w:val="clear" w:color="auto" w:fill="auto"/>
            <w:vAlign w:val="bottom"/>
          </w:tcPr>
          <w:p w14:paraId="63CEE053" w14:textId="6409EB5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0.83 (0.45,1.54)</w:t>
            </w:r>
          </w:p>
        </w:tc>
        <w:tc>
          <w:tcPr>
            <w:tcW w:w="565" w:type="dxa"/>
            <w:tcBorders>
              <w:top w:val="nil"/>
              <w:left w:val="nil"/>
              <w:bottom w:val="nil"/>
              <w:right w:val="nil"/>
            </w:tcBorders>
            <w:shd w:val="clear" w:color="auto" w:fill="auto"/>
            <w:vAlign w:val="bottom"/>
          </w:tcPr>
          <w:p w14:paraId="7361B80E" w14:textId="6B95A2D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0.55</w:t>
            </w:r>
          </w:p>
        </w:tc>
      </w:tr>
      <w:tr w:rsidR="001E1E07" w:rsidRPr="00110AC6" w14:paraId="50EC3166" w14:textId="06DEEC46" w:rsidTr="00490565">
        <w:trPr>
          <w:trHeight w:val="227"/>
        </w:trPr>
        <w:tc>
          <w:tcPr>
            <w:tcW w:w="1134" w:type="dxa"/>
            <w:vMerge w:val="restart"/>
            <w:tcBorders>
              <w:top w:val="nil"/>
              <w:left w:val="nil"/>
              <w:bottom w:val="nil"/>
              <w:right w:val="single" w:sz="4" w:space="0" w:color="auto"/>
            </w:tcBorders>
            <w:shd w:val="clear" w:color="auto" w:fill="auto"/>
            <w:vAlign w:val="center"/>
            <w:hideMark/>
          </w:tcPr>
          <w:p w14:paraId="33657CA3"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TNFα</w:t>
            </w:r>
          </w:p>
        </w:tc>
        <w:tc>
          <w:tcPr>
            <w:tcW w:w="411" w:type="dxa"/>
            <w:tcBorders>
              <w:top w:val="nil"/>
              <w:left w:val="single" w:sz="4" w:space="0" w:color="auto"/>
              <w:bottom w:val="nil"/>
              <w:right w:val="single" w:sz="4" w:space="0" w:color="auto"/>
            </w:tcBorders>
            <w:shd w:val="clear" w:color="auto" w:fill="auto"/>
            <w:noWrap/>
            <w:vAlign w:val="bottom"/>
            <w:hideMark/>
          </w:tcPr>
          <w:p w14:paraId="576B4C62"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4A5E3D44" w14:textId="6695348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1.07 (0.83,1.38)</w:t>
            </w:r>
          </w:p>
        </w:tc>
        <w:tc>
          <w:tcPr>
            <w:tcW w:w="538" w:type="dxa"/>
            <w:tcBorders>
              <w:top w:val="nil"/>
              <w:left w:val="nil"/>
              <w:bottom w:val="nil"/>
              <w:right w:val="nil"/>
            </w:tcBorders>
            <w:shd w:val="clear" w:color="auto" w:fill="auto"/>
            <w:noWrap/>
            <w:vAlign w:val="bottom"/>
          </w:tcPr>
          <w:p w14:paraId="1C614899" w14:textId="050DD74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0.62</w:t>
            </w:r>
          </w:p>
        </w:tc>
        <w:tc>
          <w:tcPr>
            <w:tcW w:w="1486" w:type="dxa"/>
            <w:tcBorders>
              <w:top w:val="nil"/>
              <w:left w:val="nil"/>
              <w:bottom w:val="nil"/>
              <w:right w:val="nil"/>
            </w:tcBorders>
            <w:shd w:val="clear" w:color="auto" w:fill="auto"/>
            <w:noWrap/>
            <w:vAlign w:val="bottom"/>
          </w:tcPr>
          <w:p w14:paraId="72ACDE4A" w14:textId="7F0847E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0.94 (0.72,1.23)</w:t>
            </w:r>
          </w:p>
        </w:tc>
        <w:tc>
          <w:tcPr>
            <w:tcW w:w="567" w:type="dxa"/>
            <w:tcBorders>
              <w:top w:val="nil"/>
              <w:left w:val="nil"/>
              <w:bottom w:val="nil"/>
              <w:right w:val="single" w:sz="4" w:space="0" w:color="auto"/>
            </w:tcBorders>
            <w:shd w:val="clear" w:color="auto" w:fill="auto"/>
            <w:noWrap/>
            <w:vAlign w:val="bottom"/>
          </w:tcPr>
          <w:p w14:paraId="6CD8B6DD" w14:textId="7BBC7BC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0.66</w:t>
            </w:r>
          </w:p>
        </w:tc>
        <w:tc>
          <w:tcPr>
            <w:tcW w:w="1486" w:type="dxa"/>
            <w:tcBorders>
              <w:top w:val="nil"/>
              <w:left w:val="single" w:sz="4" w:space="0" w:color="auto"/>
              <w:bottom w:val="nil"/>
              <w:right w:val="nil"/>
            </w:tcBorders>
            <w:shd w:val="clear" w:color="auto" w:fill="auto"/>
            <w:vAlign w:val="bottom"/>
          </w:tcPr>
          <w:p w14:paraId="44B9DD3A" w14:textId="08E681E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1.01 (0.74,1.39)</w:t>
            </w:r>
          </w:p>
        </w:tc>
        <w:tc>
          <w:tcPr>
            <w:tcW w:w="565" w:type="dxa"/>
            <w:tcBorders>
              <w:top w:val="nil"/>
              <w:left w:val="nil"/>
              <w:bottom w:val="nil"/>
              <w:right w:val="nil"/>
            </w:tcBorders>
            <w:shd w:val="clear" w:color="auto" w:fill="auto"/>
            <w:vAlign w:val="bottom"/>
          </w:tcPr>
          <w:p w14:paraId="2968CF1E" w14:textId="0E123C5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w:t>
            </w:r>
          </w:p>
        </w:tc>
        <w:tc>
          <w:tcPr>
            <w:tcW w:w="1486" w:type="dxa"/>
            <w:tcBorders>
              <w:top w:val="nil"/>
              <w:left w:val="nil"/>
              <w:bottom w:val="nil"/>
              <w:right w:val="nil"/>
            </w:tcBorders>
            <w:shd w:val="clear" w:color="auto" w:fill="auto"/>
            <w:vAlign w:val="bottom"/>
          </w:tcPr>
          <w:p w14:paraId="1A4BE5AB" w14:textId="6CA1524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0.96 (0.69,1.33)</w:t>
            </w:r>
          </w:p>
        </w:tc>
        <w:tc>
          <w:tcPr>
            <w:tcW w:w="565" w:type="dxa"/>
            <w:tcBorders>
              <w:top w:val="nil"/>
              <w:left w:val="nil"/>
              <w:bottom w:val="nil"/>
              <w:right w:val="single" w:sz="4" w:space="0" w:color="auto"/>
            </w:tcBorders>
            <w:shd w:val="clear" w:color="auto" w:fill="auto"/>
            <w:vAlign w:val="bottom"/>
          </w:tcPr>
          <w:p w14:paraId="6CB693CE" w14:textId="0D253F6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0.80</w:t>
            </w:r>
          </w:p>
        </w:tc>
        <w:tc>
          <w:tcPr>
            <w:tcW w:w="1486" w:type="dxa"/>
            <w:tcBorders>
              <w:top w:val="nil"/>
              <w:left w:val="single" w:sz="4" w:space="0" w:color="auto"/>
              <w:bottom w:val="nil"/>
              <w:right w:val="nil"/>
            </w:tcBorders>
            <w:shd w:val="clear" w:color="auto" w:fill="auto"/>
            <w:vAlign w:val="bottom"/>
          </w:tcPr>
          <w:p w14:paraId="67247FB4" w14:textId="2F78515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1.20 (0.77,1.86)</w:t>
            </w:r>
          </w:p>
        </w:tc>
        <w:tc>
          <w:tcPr>
            <w:tcW w:w="565" w:type="dxa"/>
            <w:tcBorders>
              <w:top w:val="nil"/>
              <w:left w:val="nil"/>
              <w:bottom w:val="nil"/>
              <w:right w:val="nil"/>
            </w:tcBorders>
            <w:shd w:val="clear" w:color="auto" w:fill="auto"/>
            <w:vAlign w:val="bottom"/>
          </w:tcPr>
          <w:p w14:paraId="7E4400A4" w14:textId="35D62CA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0.42</w:t>
            </w:r>
          </w:p>
        </w:tc>
        <w:tc>
          <w:tcPr>
            <w:tcW w:w="1486" w:type="dxa"/>
            <w:tcBorders>
              <w:top w:val="nil"/>
              <w:left w:val="nil"/>
              <w:bottom w:val="nil"/>
              <w:right w:val="nil"/>
            </w:tcBorders>
            <w:shd w:val="clear" w:color="auto" w:fill="auto"/>
            <w:vAlign w:val="bottom"/>
          </w:tcPr>
          <w:p w14:paraId="6D510395" w14:textId="747C1AF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 (0.59,1.44)</w:t>
            </w:r>
          </w:p>
        </w:tc>
        <w:tc>
          <w:tcPr>
            <w:tcW w:w="565" w:type="dxa"/>
            <w:tcBorders>
              <w:top w:val="nil"/>
              <w:left w:val="nil"/>
              <w:bottom w:val="nil"/>
              <w:right w:val="nil"/>
            </w:tcBorders>
            <w:shd w:val="clear" w:color="auto" w:fill="auto"/>
            <w:vAlign w:val="bottom"/>
          </w:tcPr>
          <w:p w14:paraId="311ADE39" w14:textId="58248D0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0.72</w:t>
            </w:r>
          </w:p>
        </w:tc>
      </w:tr>
      <w:tr w:rsidR="001E1E07" w:rsidRPr="00110AC6" w14:paraId="10F7F00B" w14:textId="6ECBEB4C" w:rsidTr="00490565">
        <w:trPr>
          <w:trHeight w:val="227"/>
        </w:trPr>
        <w:tc>
          <w:tcPr>
            <w:tcW w:w="1134" w:type="dxa"/>
            <w:vMerge/>
            <w:tcBorders>
              <w:top w:val="nil"/>
              <w:left w:val="nil"/>
              <w:right w:val="single" w:sz="4" w:space="0" w:color="auto"/>
            </w:tcBorders>
            <w:vAlign w:val="center"/>
            <w:hideMark/>
          </w:tcPr>
          <w:p w14:paraId="1988FC13"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right w:val="single" w:sz="4" w:space="0" w:color="auto"/>
            </w:tcBorders>
            <w:shd w:val="clear" w:color="auto" w:fill="auto"/>
            <w:noWrap/>
            <w:vAlign w:val="bottom"/>
            <w:hideMark/>
          </w:tcPr>
          <w:p w14:paraId="373B1DEC"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71F7C956" w14:textId="0D43A1C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1.07 (0.82,1.40)</w:t>
            </w:r>
          </w:p>
        </w:tc>
        <w:tc>
          <w:tcPr>
            <w:tcW w:w="538" w:type="dxa"/>
            <w:tcBorders>
              <w:top w:val="nil"/>
              <w:left w:val="nil"/>
              <w:bottom w:val="nil"/>
              <w:right w:val="nil"/>
            </w:tcBorders>
            <w:shd w:val="clear" w:color="auto" w:fill="auto"/>
            <w:noWrap/>
            <w:vAlign w:val="bottom"/>
          </w:tcPr>
          <w:p w14:paraId="49F3E9F1" w14:textId="76A1633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0.59</w:t>
            </w:r>
          </w:p>
        </w:tc>
        <w:tc>
          <w:tcPr>
            <w:tcW w:w="1486" w:type="dxa"/>
            <w:tcBorders>
              <w:top w:val="nil"/>
              <w:left w:val="nil"/>
              <w:bottom w:val="nil"/>
              <w:right w:val="nil"/>
            </w:tcBorders>
            <w:shd w:val="clear" w:color="auto" w:fill="auto"/>
            <w:noWrap/>
            <w:vAlign w:val="bottom"/>
          </w:tcPr>
          <w:p w14:paraId="73BC83C5" w14:textId="2869449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0.96 (0.74,1.26)</w:t>
            </w:r>
          </w:p>
        </w:tc>
        <w:tc>
          <w:tcPr>
            <w:tcW w:w="567" w:type="dxa"/>
            <w:tcBorders>
              <w:top w:val="nil"/>
              <w:left w:val="nil"/>
              <w:bottom w:val="nil"/>
              <w:right w:val="single" w:sz="4" w:space="0" w:color="auto"/>
            </w:tcBorders>
            <w:shd w:val="clear" w:color="auto" w:fill="auto"/>
            <w:noWrap/>
            <w:vAlign w:val="bottom"/>
          </w:tcPr>
          <w:p w14:paraId="2218155A" w14:textId="6978896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0.79</w:t>
            </w:r>
          </w:p>
        </w:tc>
        <w:tc>
          <w:tcPr>
            <w:tcW w:w="1486" w:type="dxa"/>
            <w:tcBorders>
              <w:top w:val="nil"/>
              <w:left w:val="single" w:sz="4" w:space="0" w:color="auto"/>
              <w:bottom w:val="nil"/>
              <w:right w:val="nil"/>
            </w:tcBorders>
            <w:shd w:val="clear" w:color="auto" w:fill="auto"/>
            <w:vAlign w:val="bottom"/>
          </w:tcPr>
          <w:p w14:paraId="53D27AD0" w14:textId="503C11A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0.99 (0.71,1.39)</w:t>
            </w:r>
          </w:p>
        </w:tc>
        <w:tc>
          <w:tcPr>
            <w:tcW w:w="565" w:type="dxa"/>
            <w:tcBorders>
              <w:top w:val="nil"/>
              <w:left w:val="nil"/>
              <w:bottom w:val="nil"/>
              <w:right w:val="nil"/>
            </w:tcBorders>
            <w:shd w:val="clear" w:color="auto" w:fill="auto"/>
            <w:vAlign w:val="bottom"/>
          </w:tcPr>
          <w:p w14:paraId="4CBE5A2C" w14:textId="2B7D25D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0.96</w:t>
            </w:r>
          </w:p>
        </w:tc>
        <w:tc>
          <w:tcPr>
            <w:tcW w:w="1486" w:type="dxa"/>
            <w:tcBorders>
              <w:top w:val="nil"/>
              <w:left w:val="nil"/>
              <w:bottom w:val="nil"/>
              <w:right w:val="nil"/>
            </w:tcBorders>
            <w:shd w:val="clear" w:color="auto" w:fill="auto"/>
            <w:vAlign w:val="bottom"/>
          </w:tcPr>
          <w:p w14:paraId="4E0495E2" w14:textId="7B2115C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0.97 (0.69,1.36)</w:t>
            </w:r>
          </w:p>
        </w:tc>
        <w:tc>
          <w:tcPr>
            <w:tcW w:w="565" w:type="dxa"/>
            <w:tcBorders>
              <w:top w:val="nil"/>
              <w:left w:val="nil"/>
              <w:bottom w:val="nil"/>
              <w:right w:val="single" w:sz="4" w:space="0" w:color="auto"/>
            </w:tcBorders>
            <w:shd w:val="clear" w:color="auto" w:fill="auto"/>
            <w:vAlign w:val="bottom"/>
          </w:tcPr>
          <w:p w14:paraId="20F6D39F" w14:textId="3F4D2C0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0.85</w:t>
            </w:r>
          </w:p>
        </w:tc>
        <w:tc>
          <w:tcPr>
            <w:tcW w:w="1486" w:type="dxa"/>
            <w:tcBorders>
              <w:top w:val="nil"/>
              <w:left w:val="single" w:sz="4" w:space="0" w:color="auto"/>
              <w:bottom w:val="nil"/>
              <w:right w:val="nil"/>
            </w:tcBorders>
            <w:shd w:val="clear" w:color="auto" w:fill="auto"/>
            <w:vAlign w:val="bottom"/>
          </w:tcPr>
          <w:p w14:paraId="633AEF13" w14:textId="0E9E5C4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1.24 (0.79,1.95)</w:t>
            </w:r>
          </w:p>
        </w:tc>
        <w:tc>
          <w:tcPr>
            <w:tcW w:w="565" w:type="dxa"/>
            <w:tcBorders>
              <w:top w:val="nil"/>
              <w:left w:val="nil"/>
              <w:bottom w:val="nil"/>
              <w:right w:val="nil"/>
            </w:tcBorders>
            <w:shd w:val="clear" w:color="auto" w:fill="auto"/>
            <w:vAlign w:val="bottom"/>
          </w:tcPr>
          <w:p w14:paraId="66F28ECE" w14:textId="6C4642C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0.36</w:t>
            </w:r>
          </w:p>
        </w:tc>
        <w:tc>
          <w:tcPr>
            <w:tcW w:w="1486" w:type="dxa"/>
            <w:tcBorders>
              <w:top w:val="nil"/>
              <w:left w:val="nil"/>
              <w:bottom w:val="nil"/>
              <w:right w:val="nil"/>
            </w:tcBorders>
            <w:shd w:val="clear" w:color="auto" w:fill="auto"/>
            <w:vAlign w:val="bottom"/>
          </w:tcPr>
          <w:p w14:paraId="119922E9" w14:textId="5E7C3D8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 (0.58,1.47)</w:t>
            </w:r>
          </w:p>
        </w:tc>
        <w:tc>
          <w:tcPr>
            <w:tcW w:w="565" w:type="dxa"/>
            <w:tcBorders>
              <w:top w:val="nil"/>
              <w:left w:val="nil"/>
              <w:bottom w:val="nil"/>
              <w:right w:val="nil"/>
            </w:tcBorders>
            <w:shd w:val="clear" w:color="auto" w:fill="auto"/>
            <w:vAlign w:val="bottom"/>
          </w:tcPr>
          <w:p w14:paraId="200EC476" w14:textId="5F516CA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0.74</w:t>
            </w:r>
          </w:p>
        </w:tc>
      </w:tr>
      <w:tr w:rsidR="001E1E07" w:rsidRPr="00110AC6" w14:paraId="5523B3DC" w14:textId="7193B476" w:rsidTr="00490565">
        <w:trPr>
          <w:trHeight w:val="227"/>
        </w:trPr>
        <w:tc>
          <w:tcPr>
            <w:tcW w:w="1134" w:type="dxa"/>
            <w:vMerge w:val="restart"/>
            <w:tcBorders>
              <w:top w:val="nil"/>
              <w:left w:val="nil"/>
              <w:bottom w:val="single" w:sz="4" w:space="0" w:color="000000"/>
              <w:right w:val="single" w:sz="4" w:space="0" w:color="auto"/>
            </w:tcBorders>
            <w:shd w:val="clear" w:color="auto" w:fill="auto"/>
            <w:vAlign w:val="center"/>
            <w:hideMark/>
          </w:tcPr>
          <w:p w14:paraId="02FBAF61"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CRP</w:t>
            </w:r>
          </w:p>
        </w:tc>
        <w:tc>
          <w:tcPr>
            <w:tcW w:w="411" w:type="dxa"/>
            <w:tcBorders>
              <w:top w:val="nil"/>
              <w:left w:val="single" w:sz="4" w:space="0" w:color="auto"/>
              <w:bottom w:val="nil"/>
              <w:right w:val="single" w:sz="4" w:space="0" w:color="auto"/>
            </w:tcBorders>
            <w:shd w:val="clear" w:color="auto" w:fill="auto"/>
            <w:noWrap/>
            <w:vAlign w:val="bottom"/>
            <w:hideMark/>
          </w:tcPr>
          <w:p w14:paraId="0C83C501"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88" w:type="dxa"/>
            <w:tcBorders>
              <w:top w:val="nil"/>
              <w:left w:val="nil"/>
              <w:bottom w:val="nil"/>
              <w:right w:val="nil"/>
            </w:tcBorders>
            <w:shd w:val="clear" w:color="auto" w:fill="auto"/>
            <w:noWrap/>
            <w:vAlign w:val="bottom"/>
          </w:tcPr>
          <w:p w14:paraId="362963A6" w14:textId="51C1881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1.24 (0.98,1.55)</w:t>
            </w:r>
          </w:p>
        </w:tc>
        <w:tc>
          <w:tcPr>
            <w:tcW w:w="538" w:type="dxa"/>
            <w:tcBorders>
              <w:top w:val="nil"/>
              <w:left w:val="nil"/>
              <w:bottom w:val="nil"/>
              <w:right w:val="nil"/>
            </w:tcBorders>
            <w:shd w:val="clear" w:color="auto" w:fill="auto"/>
            <w:noWrap/>
            <w:vAlign w:val="bottom"/>
          </w:tcPr>
          <w:p w14:paraId="6CE0AF2F" w14:textId="088E191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0.07</w:t>
            </w:r>
          </w:p>
        </w:tc>
        <w:tc>
          <w:tcPr>
            <w:tcW w:w="1486" w:type="dxa"/>
            <w:tcBorders>
              <w:top w:val="nil"/>
              <w:left w:val="nil"/>
              <w:bottom w:val="nil"/>
              <w:right w:val="nil"/>
            </w:tcBorders>
            <w:shd w:val="clear" w:color="auto" w:fill="auto"/>
            <w:noWrap/>
            <w:vAlign w:val="bottom"/>
          </w:tcPr>
          <w:p w14:paraId="6EF08251" w14:textId="4E657F8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1.18 (0.94,1.48)</w:t>
            </w:r>
          </w:p>
        </w:tc>
        <w:tc>
          <w:tcPr>
            <w:tcW w:w="567" w:type="dxa"/>
            <w:tcBorders>
              <w:top w:val="nil"/>
              <w:left w:val="nil"/>
              <w:bottom w:val="nil"/>
              <w:right w:val="single" w:sz="4" w:space="0" w:color="auto"/>
            </w:tcBorders>
            <w:shd w:val="clear" w:color="auto" w:fill="auto"/>
            <w:noWrap/>
            <w:vAlign w:val="bottom"/>
          </w:tcPr>
          <w:p w14:paraId="1BC44F52" w14:textId="26DAB87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0.16</w:t>
            </w:r>
          </w:p>
        </w:tc>
        <w:tc>
          <w:tcPr>
            <w:tcW w:w="1486" w:type="dxa"/>
            <w:tcBorders>
              <w:top w:val="nil"/>
              <w:left w:val="single" w:sz="4" w:space="0" w:color="auto"/>
              <w:bottom w:val="nil"/>
              <w:right w:val="nil"/>
            </w:tcBorders>
            <w:shd w:val="clear" w:color="auto" w:fill="auto"/>
            <w:vAlign w:val="bottom"/>
          </w:tcPr>
          <w:p w14:paraId="46D485B3" w14:textId="2FE34CD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1.21 (0.90,1.62)</w:t>
            </w:r>
          </w:p>
        </w:tc>
        <w:tc>
          <w:tcPr>
            <w:tcW w:w="565" w:type="dxa"/>
            <w:tcBorders>
              <w:top w:val="nil"/>
              <w:left w:val="nil"/>
              <w:bottom w:val="nil"/>
              <w:right w:val="nil"/>
            </w:tcBorders>
            <w:shd w:val="clear" w:color="auto" w:fill="auto"/>
            <w:vAlign w:val="bottom"/>
          </w:tcPr>
          <w:p w14:paraId="621A001D" w14:textId="1C0FFCC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0.20</w:t>
            </w:r>
          </w:p>
        </w:tc>
        <w:tc>
          <w:tcPr>
            <w:tcW w:w="1486" w:type="dxa"/>
            <w:tcBorders>
              <w:top w:val="nil"/>
              <w:left w:val="nil"/>
              <w:bottom w:val="nil"/>
              <w:right w:val="nil"/>
            </w:tcBorders>
            <w:shd w:val="clear" w:color="auto" w:fill="auto"/>
            <w:vAlign w:val="bottom"/>
          </w:tcPr>
          <w:p w14:paraId="711670DB" w14:textId="56E87EF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1.00 (0.75,1.33)</w:t>
            </w:r>
          </w:p>
        </w:tc>
        <w:tc>
          <w:tcPr>
            <w:tcW w:w="565" w:type="dxa"/>
            <w:tcBorders>
              <w:top w:val="nil"/>
              <w:left w:val="nil"/>
              <w:bottom w:val="nil"/>
              <w:right w:val="single" w:sz="4" w:space="0" w:color="auto"/>
            </w:tcBorders>
            <w:shd w:val="clear" w:color="auto" w:fill="auto"/>
            <w:vAlign w:val="bottom"/>
          </w:tcPr>
          <w:p w14:paraId="04F481EA" w14:textId="305B816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0.99</w:t>
            </w:r>
          </w:p>
        </w:tc>
        <w:tc>
          <w:tcPr>
            <w:tcW w:w="1486" w:type="dxa"/>
            <w:tcBorders>
              <w:top w:val="nil"/>
              <w:left w:val="single" w:sz="4" w:space="0" w:color="auto"/>
              <w:bottom w:val="nil"/>
              <w:right w:val="nil"/>
            </w:tcBorders>
            <w:shd w:val="clear" w:color="auto" w:fill="auto"/>
            <w:vAlign w:val="bottom"/>
          </w:tcPr>
          <w:p w14:paraId="5506E1D3" w14:textId="418024A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1.27 (0.87,1.83)</w:t>
            </w:r>
          </w:p>
        </w:tc>
        <w:tc>
          <w:tcPr>
            <w:tcW w:w="565" w:type="dxa"/>
            <w:tcBorders>
              <w:top w:val="nil"/>
              <w:left w:val="nil"/>
              <w:bottom w:val="nil"/>
              <w:right w:val="nil"/>
            </w:tcBorders>
            <w:shd w:val="clear" w:color="auto" w:fill="auto"/>
            <w:vAlign w:val="bottom"/>
          </w:tcPr>
          <w:p w14:paraId="041230DA" w14:textId="6C0C265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0.21</w:t>
            </w:r>
          </w:p>
        </w:tc>
        <w:tc>
          <w:tcPr>
            <w:tcW w:w="1486" w:type="dxa"/>
            <w:tcBorders>
              <w:top w:val="nil"/>
              <w:left w:val="nil"/>
              <w:bottom w:val="nil"/>
              <w:right w:val="nil"/>
            </w:tcBorders>
            <w:shd w:val="clear" w:color="auto" w:fill="auto"/>
            <w:vAlign w:val="bottom"/>
          </w:tcPr>
          <w:p w14:paraId="4C9D129C" w14:textId="2928A0FE"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1.56 (1.06,2.30)</w:t>
            </w:r>
          </w:p>
        </w:tc>
        <w:tc>
          <w:tcPr>
            <w:tcW w:w="565" w:type="dxa"/>
            <w:tcBorders>
              <w:top w:val="nil"/>
              <w:left w:val="nil"/>
              <w:bottom w:val="nil"/>
              <w:right w:val="nil"/>
            </w:tcBorders>
            <w:shd w:val="clear" w:color="auto" w:fill="auto"/>
            <w:vAlign w:val="bottom"/>
          </w:tcPr>
          <w:p w14:paraId="4A7F0BA7" w14:textId="16B4F6A2"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0.02</w:t>
            </w:r>
          </w:p>
        </w:tc>
      </w:tr>
      <w:tr w:rsidR="001E1E07" w:rsidRPr="00110AC6" w14:paraId="0EFE15EF" w14:textId="06EED805" w:rsidTr="00490565">
        <w:trPr>
          <w:trHeight w:val="227"/>
        </w:trPr>
        <w:tc>
          <w:tcPr>
            <w:tcW w:w="1134" w:type="dxa"/>
            <w:vMerge/>
            <w:tcBorders>
              <w:top w:val="nil"/>
              <w:left w:val="nil"/>
              <w:bottom w:val="single" w:sz="4" w:space="0" w:color="auto"/>
              <w:right w:val="single" w:sz="4" w:space="0" w:color="auto"/>
            </w:tcBorders>
            <w:vAlign w:val="center"/>
            <w:hideMark/>
          </w:tcPr>
          <w:p w14:paraId="0BEC0105"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tcBorders>
              <w:top w:val="nil"/>
              <w:left w:val="single" w:sz="4" w:space="0" w:color="auto"/>
              <w:bottom w:val="single" w:sz="4" w:space="0" w:color="auto"/>
              <w:right w:val="single" w:sz="4" w:space="0" w:color="auto"/>
            </w:tcBorders>
            <w:shd w:val="clear" w:color="auto" w:fill="auto"/>
            <w:noWrap/>
            <w:vAlign w:val="bottom"/>
            <w:hideMark/>
          </w:tcPr>
          <w:p w14:paraId="77EFD6A8"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88" w:type="dxa"/>
            <w:tcBorders>
              <w:top w:val="nil"/>
              <w:left w:val="nil"/>
              <w:bottom w:val="nil"/>
              <w:right w:val="nil"/>
            </w:tcBorders>
            <w:shd w:val="clear" w:color="auto" w:fill="auto"/>
            <w:noWrap/>
            <w:vAlign w:val="bottom"/>
          </w:tcPr>
          <w:p w14:paraId="470AF3ED" w14:textId="37666DD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1.09 (0.85,1.39)</w:t>
            </w:r>
          </w:p>
        </w:tc>
        <w:tc>
          <w:tcPr>
            <w:tcW w:w="538" w:type="dxa"/>
            <w:tcBorders>
              <w:top w:val="nil"/>
              <w:left w:val="nil"/>
              <w:bottom w:val="nil"/>
              <w:right w:val="nil"/>
            </w:tcBorders>
            <w:shd w:val="clear" w:color="auto" w:fill="auto"/>
            <w:noWrap/>
            <w:vAlign w:val="bottom"/>
          </w:tcPr>
          <w:p w14:paraId="0A3C9F8C" w14:textId="6F905B1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0.52</w:t>
            </w:r>
          </w:p>
        </w:tc>
        <w:tc>
          <w:tcPr>
            <w:tcW w:w="1486" w:type="dxa"/>
            <w:tcBorders>
              <w:top w:val="nil"/>
              <w:left w:val="nil"/>
              <w:bottom w:val="nil"/>
              <w:right w:val="nil"/>
            </w:tcBorders>
            <w:shd w:val="clear" w:color="auto" w:fill="auto"/>
            <w:noWrap/>
            <w:vAlign w:val="bottom"/>
          </w:tcPr>
          <w:p w14:paraId="2E9165B1" w14:textId="1002A17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1.20 (0.94,1.53)</w:t>
            </w:r>
          </w:p>
        </w:tc>
        <w:tc>
          <w:tcPr>
            <w:tcW w:w="567" w:type="dxa"/>
            <w:tcBorders>
              <w:top w:val="nil"/>
              <w:left w:val="nil"/>
              <w:bottom w:val="nil"/>
              <w:right w:val="single" w:sz="4" w:space="0" w:color="auto"/>
            </w:tcBorders>
            <w:shd w:val="clear" w:color="auto" w:fill="auto"/>
            <w:noWrap/>
            <w:vAlign w:val="bottom"/>
          </w:tcPr>
          <w:p w14:paraId="1AF6F412" w14:textId="4FF87F6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0.14</w:t>
            </w:r>
          </w:p>
        </w:tc>
        <w:tc>
          <w:tcPr>
            <w:tcW w:w="1486" w:type="dxa"/>
            <w:tcBorders>
              <w:top w:val="nil"/>
              <w:left w:val="single" w:sz="4" w:space="0" w:color="auto"/>
              <w:bottom w:val="nil"/>
              <w:right w:val="nil"/>
            </w:tcBorders>
            <w:shd w:val="clear" w:color="auto" w:fill="auto"/>
            <w:vAlign w:val="bottom"/>
          </w:tcPr>
          <w:p w14:paraId="378C2EE6" w14:textId="0B3DAA2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1.05 (0.76,1.45)</w:t>
            </w:r>
          </w:p>
        </w:tc>
        <w:tc>
          <w:tcPr>
            <w:tcW w:w="565" w:type="dxa"/>
            <w:tcBorders>
              <w:top w:val="nil"/>
              <w:left w:val="nil"/>
              <w:bottom w:val="nil"/>
              <w:right w:val="nil"/>
            </w:tcBorders>
            <w:shd w:val="clear" w:color="auto" w:fill="auto"/>
            <w:vAlign w:val="bottom"/>
          </w:tcPr>
          <w:p w14:paraId="17F00706" w14:textId="57B66CE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0.77</w:t>
            </w:r>
          </w:p>
        </w:tc>
        <w:tc>
          <w:tcPr>
            <w:tcW w:w="1486" w:type="dxa"/>
            <w:tcBorders>
              <w:top w:val="nil"/>
              <w:left w:val="nil"/>
              <w:bottom w:val="nil"/>
              <w:right w:val="nil"/>
            </w:tcBorders>
            <w:shd w:val="clear" w:color="auto" w:fill="auto"/>
            <w:vAlign w:val="bottom"/>
          </w:tcPr>
          <w:p w14:paraId="39A819A2" w14:textId="0C7D54C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1.03 (0.75,1.41)</w:t>
            </w:r>
          </w:p>
        </w:tc>
        <w:tc>
          <w:tcPr>
            <w:tcW w:w="565" w:type="dxa"/>
            <w:tcBorders>
              <w:top w:val="nil"/>
              <w:left w:val="nil"/>
              <w:bottom w:val="nil"/>
              <w:right w:val="single" w:sz="4" w:space="0" w:color="auto"/>
            </w:tcBorders>
            <w:shd w:val="clear" w:color="auto" w:fill="auto"/>
            <w:vAlign w:val="bottom"/>
          </w:tcPr>
          <w:p w14:paraId="00EC26B6" w14:textId="3F2A353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0.84</w:t>
            </w:r>
          </w:p>
        </w:tc>
        <w:tc>
          <w:tcPr>
            <w:tcW w:w="1486" w:type="dxa"/>
            <w:tcBorders>
              <w:top w:val="nil"/>
              <w:left w:val="single" w:sz="4" w:space="0" w:color="auto"/>
              <w:bottom w:val="nil"/>
              <w:right w:val="nil"/>
            </w:tcBorders>
            <w:shd w:val="clear" w:color="auto" w:fill="auto"/>
            <w:vAlign w:val="bottom"/>
          </w:tcPr>
          <w:p w14:paraId="270565E2" w14:textId="5148D13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1.10 (0.73,1.65)</w:t>
            </w:r>
          </w:p>
        </w:tc>
        <w:tc>
          <w:tcPr>
            <w:tcW w:w="565" w:type="dxa"/>
            <w:tcBorders>
              <w:top w:val="nil"/>
              <w:left w:val="nil"/>
              <w:bottom w:val="nil"/>
              <w:right w:val="nil"/>
            </w:tcBorders>
            <w:shd w:val="clear" w:color="auto" w:fill="auto"/>
            <w:vAlign w:val="bottom"/>
          </w:tcPr>
          <w:p w14:paraId="152246ED" w14:textId="718F922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0.65</w:t>
            </w:r>
          </w:p>
        </w:tc>
        <w:tc>
          <w:tcPr>
            <w:tcW w:w="1486" w:type="dxa"/>
            <w:tcBorders>
              <w:top w:val="nil"/>
              <w:left w:val="nil"/>
              <w:bottom w:val="nil"/>
              <w:right w:val="nil"/>
            </w:tcBorders>
            <w:shd w:val="clear" w:color="auto" w:fill="auto"/>
            <w:vAlign w:val="bottom"/>
          </w:tcPr>
          <w:p w14:paraId="662BE89C" w14:textId="2BE60A0E"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1.57 (1.04,2.38)</w:t>
            </w:r>
          </w:p>
        </w:tc>
        <w:tc>
          <w:tcPr>
            <w:tcW w:w="565" w:type="dxa"/>
            <w:tcBorders>
              <w:top w:val="nil"/>
              <w:left w:val="nil"/>
              <w:bottom w:val="nil"/>
              <w:right w:val="nil"/>
            </w:tcBorders>
            <w:shd w:val="clear" w:color="auto" w:fill="auto"/>
            <w:vAlign w:val="bottom"/>
          </w:tcPr>
          <w:p w14:paraId="13E1DCD6" w14:textId="331C7D8C"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0.03</w:t>
            </w:r>
          </w:p>
        </w:tc>
      </w:tr>
      <w:tr w:rsidR="00420B70" w:rsidRPr="00110AC6" w14:paraId="2457F5C6" w14:textId="77777777" w:rsidTr="00490565">
        <w:trPr>
          <w:trHeight w:val="227"/>
        </w:trPr>
        <w:tc>
          <w:tcPr>
            <w:tcW w:w="13928" w:type="dxa"/>
            <w:gridSpan w:val="14"/>
            <w:tcBorders>
              <w:top w:val="single" w:sz="4" w:space="0" w:color="auto"/>
            </w:tcBorders>
            <w:vAlign w:val="center"/>
          </w:tcPr>
          <w:p w14:paraId="3B3611DC" w14:textId="77777777" w:rsidR="00420B70" w:rsidRPr="00110AC6" w:rsidRDefault="00420B70" w:rsidP="00420B70">
            <w:pPr>
              <w:spacing w:after="0" w:line="240" w:lineRule="auto"/>
              <w:jc w:val="center"/>
              <w:rPr>
                <w:rFonts w:eastAsia="Times New Roman" w:cstheme="minorHAnsi"/>
                <w:color w:val="000000"/>
                <w:sz w:val="20"/>
                <w:szCs w:val="20"/>
                <w:lang w:eastAsia="en-GB"/>
              </w:rPr>
            </w:pPr>
          </w:p>
        </w:tc>
      </w:tr>
      <w:tr w:rsidR="00420B70" w:rsidRPr="00110AC6" w14:paraId="7A3F54A9" w14:textId="77777777" w:rsidTr="00490565">
        <w:trPr>
          <w:trHeight w:val="227"/>
        </w:trPr>
        <w:tc>
          <w:tcPr>
            <w:tcW w:w="13928" w:type="dxa"/>
            <w:gridSpan w:val="14"/>
            <w:vAlign w:val="center"/>
          </w:tcPr>
          <w:p w14:paraId="5362E63C" w14:textId="2E69F3A1" w:rsidR="00420B70" w:rsidRPr="00110AC6" w:rsidRDefault="00420B70" w:rsidP="00420B70">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M: Model</w:t>
            </w:r>
            <w:r w:rsidR="00110AC6">
              <w:rPr>
                <w:rFonts w:eastAsia="Times New Roman" w:cstheme="minorHAnsi"/>
                <w:color w:val="000000"/>
                <w:sz w:val="20"/>
                <w:szCs w:val="20"/>
                <w:lang w:eastAsia="en-GB"/>
              </w:rPr>
              <w:t>; OR: Odds ratio; P: P-value</w:t>
            </w:r>
          </w:p>
          <w:p w14:paraId="14277992" w14:textId="77777777" w:rsidR="00420B70" w:rsidRPr="00110AC6" w:rsidRDefault="00420B70" w:rsidP="00420B70">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Model 1: Adjusted for age and follow-up time</w:t>
            </w:r>
          </w:p>
          <w:p w14:paraId="496F8D7C" w14:textId="19B256E8" w:rsidR="00420B70" w:rsidRPr="00110AC6" w:rsidRDefault="00420B70" w:rsidP="00420B70">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 xml:space="preserve">Model 2: </w:t>
            </w:r>
            <w:r w:rsidR="007701A3">
              <w:rPr>
                <w:rFonts w:eastAsia="Times New Roman" w:cstheme="minorHAnsi"/>
                <w:color w:val="000000"/>
                <w:sz w:val="20"/>
                <w:szCs w:val="20"/>
                <w:lang w:eastAsia="en-GB"/>
              </w:rPr>
              <w:t>Additionally</w:t>
            </w:r>
            <w:r w:rsidRPr="00110AC6">
              <w:rPr>
                <w:rFonts w:eastAsia="Times New Roman" w:cstheme="minorHAnsi"/>
                <w:color w:val="000000"/>
                <w:sz w:val="20"/>
                <w:szCs w:val="20"/>
                <w:lang w:eastAsia="en-GB"/>
              </w:rPr>
              <w:t xml:space="preserve"> adjusted for BMI, smoking history, alcohol consumption and number of systems medicated</w:t>
            </w:r>
          </w:p>
          <w:p w14:paraId="7627EFE9" w14:textId="1C02831B" w:rsidR="00420B70" w:rsidRPr="00110AC6" w:rsidRDefault="007701A3" w:rsidP="00420B70">
            <w:pPr>
              <w:spacing w:after="0" w:line="240" w:lineRule="auto"/>
              <w:rPr>
                <w:rFonts w:eastAsia="Times New Roman" w:cstheme="minorHAnsi"/>
                <w:color w:val="000000"/>
                <w:sz w:val="20"/>
                <w:szCs w:val="20"/>
                <w:lang w:eastAsia="en-GB"/>
              </w:rPr>
            </w:pPr>
            <w:r>
              <w:rPr>
                <w:rFonts w:eastAsia="Times New Roman" w:cstheme="minorHAnsi"/>
                <w:color w:val="000000"/>
                <w:sz w:val="20"/>
                <w:szCs w:val="20"/>
                <w:lang w:eastAsia="en-GB"/>
              </w:rPr>
              <w:t xml:space="preserve">High depression </w:t>
            </w:r>
            <w:r w:rsidR="00420B70" w:rsidRPr="00110AC6">
              <w:rPr>
                <w:rFonts w:eastAsia="Times New Roman" w:cstheme="minorHAnsi"/>
                <w:color w:val="000000"/>
                <w:sz w:val="20"/>
                <w:szCs w:val="20"/>
                <w:lang w:eastAsia="en-GB"/>
              </w:rPr>
              <w:t>scores were those in the highest sex-spec</w:t>
            </w:r>
            <w:r>
              <w:rPr>
                <w:rFonts w:eastAsia="Times New Roman" w:cstheme="minorHAnsi"/>
                <w:color w:val="000000"/>
                <w:sz w:val="20"/>
                <w:szCs w:val="20"/>
                <w:lang w:eastAsia="en-GB"/>
              </w:rPr>
              <w:t>ific third of the distribution; p</w:t>
            </w:r>
            <w:r w:rsidR="00420B70" w:rsidRPr="00110AC6">
              <w:rPr>
                <w:rFonts w:eastAsia="Times New Roman" w:cstheme="minorHAnsi"/>
                <w:color w:val="000000"/>
                <w:sz w:val="20"/>
                <w:szCs w:val="20"/>
                <w:lang w:eastAsia="en-GB"/>
              </w:rPr>
              <w:t>oor mental health scores were those in the lowest sex-specific third</w:t>
            </w:r>
          </w:p>
          <w:p w14:paraId="441BD175" w14:textId="3D5F0BED" w:rsidR="0088561D" w:rsidRPr="00110AC6" w:rsidRDefault="0088561D" w:rsidP="00420B70">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Significant associations (p&lt;0.05) are highlighted in bold</w:t>
            </w:r>
          </w:p>
        </w:tc>
      </w:tr>
    </w:tbl>
    <w:p w14:paraId="43BA8CC2" w14:textId="77777777" w:rsidR="0056022F" w:rsidRDefault="0056022F" w:rsidP="0056022F">
      <w:pPr>
        <w:rPr>
          <w:rFonts w:ascii="Calibri" w:eastAsia="Calibri" w:hAnsi="Calibri" w:cs="Times New Roman"/>
          <w:lang w:eastAsia="en-US"/>
        </w:rPr>
      </w:pPr>
    </w:p>
    <w:p w14:paraId="3BA573E2" w14:textId="77777777" w:rsidR="00420B70" w:rsidRDefault="00420B70" w:rsidP="0056022F">
      <w:pPr>
        <w:rPr>
          <w:rFonts w:ascii="Calibri" w:eastAsia="Calibri" w:hAnsi="Calibri" w:cs="Times New Roman"/>
          <w:lang w:eastAsia="en-US"/>
        </w:rPr>
      </w:pPr>
    </w:p>
    <w:p w14:paraId="555B6E88" w14:textId="77777777" w:rsidR="00420B70" w:rsidRDefault="00420B70" w:rsidP="0056022F">
      <w:pPr>
        <w:rPr>
          <w:rFonts w:ascii="Calibri" w:eastAsia="Calibri" w:hAnsi="Calibri" w:cs="Times New Roman"/>
          <w:lang w:eastAsia="en-US"/>
        </w:rPr>
      </w:pPr>
    </w:p>
    <w:p w14:paraId="15F55DF5" w14:textId="77777777" w:rsidR="00110AC6" w:rsidRDefault="00110AC6" w:rsidP="0056022F">
      <w:pPr>
        <w:rPr>
          <w:rFonts w:ascii="Calibri" w:eastAsia="Calibri" w:hAnsi="Calibri" w:cs="Times New Roman"/>
          <w:lang w:eastAsia="en-US"/>
        </w:rPr>
      </w:pPr>
    </w:p>
    <w:p w14:paraId="2FAC318C" w14:textId="77777777" w:rsidR="00420B70" w:rsidRDefault="00420B70" w:rsidP="0056022F">
      <w:pPr>
        <w:rPr>
          <w:rFonts w:ascii="Calibri" w:eastAsia="Calibri" w:hAnsi="Calibri" w:cs="Times New Roman"/>
          <w:lang w:eastAsia="en-US"/>
        </w:rPr>
      </w:pPr>
    </w:p>
    <w:p w14:paraId="7BF58F0A" w14:textId="77777777" w:rsidR="00420B70" w:rsidRDefault="00420B70" w:rsidP="0056022F">
      <w:pPr>
        <w:rPr>
          <w:rFonts w:ascii="Calibri" w:eastAsia="Calibri" w:hAnsi="Calibri" w:cs="Times New Roman"/>
          <w:lang w:eastAsia="en-US"/>
        </w:rPr>
      </w:pPr>
    </w:p>
    <w:tbl>
      <w:tblPr>
        <w:tblW w:w="14175" w:type="dxa"/>
        <w:tblLayout w:type="fixed"/>
        <w:tblCellMar>
          <w:left w:w="68" w:type="dxa"/>
          <w:right w:w="68" w:type="dxa"/>
        </w:tblCellMar>
        <w:tblLook w:val="04A0" w:firstRow="1" w:lastRow="0" w:firstColumn="1" w:lastColumn="0" w:noHBand="0" w:noVBand="1"/>
      </w:tblPr>
      <w:tblGrid>
        <w:gridCol w:w="1134"/>
        <w:gridCol w:w="50"/>
        <w:gridCol w:w="284"/>
        <w:gridCol w:w="77"/>
        <w:gridCol w:w="1516"/>
        <w:gridCol w:w="591"/>
        <w:gridCol w:w="1451"/>
        <w:gridCol w:w="567"/>
        <w:gridCol w:w="187"/>
        <w:gridCol w:w="1373"/>
        <w:gridCol w:w="567"/>
        <w:gridCol w:w="1559"/>
        <w:gridCol w:w="567"/>
        <w:gridCol w:w="470"/>
        <w:gridCol w:w="1089"/>
        <w:gridCol w:w="567"/>
        <w:gridCol w:w="1559"/>
        <w:gridCol w:w="567"/>
      </w:tblGrid>
      <w:tr w:rsidR="0088561D" w:rsidRPr="00110AC6" w14:paraId="76EF100C" w14:textId="77777777" w:rsidTr="00282537">
        <w:trPr>
          <w:trHeight w:val="227"/>
        </w:trPr>
        <w:tc>
          <w:tcPr>
            <w:tcW w:w="14175" w:type="dxa"/>
            <w:gridSpan w:val="18"/>
            <w:tcBorders>
              <w:left w:val="nil"/>
            </w:tcBorders>
            <w:shd w:val="clear" w:color="auto" w:fill="auto"/>
            <w:vAlign w:val="center"/>
          </w:tcPr>
          <w:p w14:paraId="045CCB47" w14:textId="4FB866AB" w:rsidR="0088561D" w:rsidRPr="00110AC6" w:rsidRDefault="008710FE" w:rsidP="007701A3">
            <w:pPr>
              <w:spacing w:after="0" w:line="240" w:lineRule="auto"/>
              <w:rPr>
                <w:rFonts w:eastAsia="Times New Roman" w:cstheme="minorHAnsi"/>
                <w:b/>
                <w:bCs/>
                <w:color w:val="000000"/>
                <w:sz w:val="20"/>
                <w:szCs w:val="20"/>
                <w:lang w:eastAsia="en-GB"/>
              </w:rPr>
            </w:pPr>
            <w:bookmarkStart w:id="16" w:name="OLE_LINK1"/>
            <w:r w:rsidRPr="00110AC6">
              <w:rPr>
                <w:rFonts w:eastAsia="Times New Roman" w:cstheme="minorHAnsi"/>
                <w:b/>
                <w:bCs/>
                <w:color w:val="000000"/>
                <w:sz w:val="20"/>
                <w:szCs w:val="20"/>
                <w:lang w:eastAsia="en-GB"/>
              </w:rPr>
              <w:t>Table 3</w:t>
            </w:r>
            <w:r w:rsidR="0088561D" w:rsidRPr="00110AC6">
              <w:rPr>
                <w:rFonts w:eastAsia="Times New Roman" w:cstheme="minorHAnsi"/>
                <w:b/>
                <w:bCs/>
                <w:color w:val="000000"/>
                <w:sz w:val="20"/>
                <w:szCs w:val="20"/>
                <w:lang w:eastAsia="en-GB"/>
              </w:rPr>
              <w:t xml:space="preserve">: </w:t>
            </w:r>
            <w:r w:rsidR="007701A3">
              <w:rPr>
                <w:rFonts w:eastAsia="Times New Roman" w:cstheme="minorHAnsi"/>
                <w:b/>
                <w:bCs/>
                <w:color w:val="000000"/>
                <w:sz w:val="20"/>
                <w:szCs w:val="20"/>
                <w:lang w:eastAsia="en-GB"/>
              </w:rPr>
              <w:t>Risk</w:t>
            </w:r>
            <w:r w:rsidR="00635854" w:rsidRPr="00110AC6">
              <w:rPr>
                <w:rFonts w:eastAsia="Times New Roman" w:cstheme="minorHAnsi"/>
                <w:b/>
                <w:bCs/>
                <w:color w:val="000000"/>
                <w:sz w:val="20"/>
                <w:szCs w:val="20"/>
                <w:lang w:eastAsia="en-GB"/>
              </w:rPr>
              <w:t xml:space="preserve"> of high HAD depression </w:t>
            </w:r>
            <w:r w:rsidR="0088561D" w:rsidRPr="00110AC6">
              <w:rPr>
                <w:rFonts w:eastAsia="Times New Roman" w:cstheme="minorHAnsi"/>
                <w:b/>
                <w:bCs/>
                <w:color w:val="000000"/>
                <w:sz w:val="20"/>
                <w:szCs w:val="20"/>
                <w:lang w:eastAsia="en-GB"/>
              </w:rPr>
              <w:t>and poor SF-36 mental health scores at follow-up per standard deviation increase in biomarker from baseline to follow-up</w:t>
            </w:r>
          </w:p>
        </w:tc>
      </w:tr>
      <w:tr w:rsidR="0088561D" w:rsidRPr="00110AC6" w14:paraId="14938330" w14:textId="77777777" w:rsidTr="00282537">
        <w:trPr>
          <w:trHeight w:val="227"/>
        </w:trPr>
        <w:tc>
          <w:tcPr>
            <w:tcW w:w="1184" w:type="dxa"/>
            <w:gridSpan w:val="2"/>
            <w:tcBorders>
              <w:left w:val="nil"/>
              <w:bottom w:val="single" w:sz="4" w:space="0" w:color="000000"/>
            </w:tcBorders>
            <w:shd w:val="clear" w:color="auto" w:fill="auto"/>
            <w:vAlign w:val="center"/>
          </w:tcPr>
          <w:p w14:paraId="4C479179" w14:textId="77777777" w:rsidR="0088561D" w:rsidRPr="00110AC6" w:rsidRDefault="0088561D" w:rsidP="0088561D">
            <w:pPr>
              <w:spacing w:after="0" w:line="240" w:lineRule="auto"/>
              <w:rPr>
                <w:rFonts w:eastAsia="Times New Roman" w:cstheme="minorHAnsi"/>
                <w:b/>
                <w:bCs/>
                <w:color w:val="000000"/>
                <w:sz w:val="20"/>
                <w:szCs w:val="20"/>
                <w:lang w:eastAsia="en-GB"/>
              </w:rPr>
            </w:pPr>
          </w:p>
        </w:tc>
        <w:tc>
          <w:tcPr>
            <w:tcW w:w="284" w:type="dxa"/>
            <w:tcBorders>
              <w:bottom w:val="single" w:sz="4" w:space="0" w:color="auto"/>
            </w:tcBorders>
            <w:shd w:val="clear" w:color="auto" w:fill="auto"/>
            <w:noWrap/>
            <w:vAlign w:val="center"/>
          </w:tcPr>
          <w:p w14:paraId="70A4A532" w14:textId="77777777" w:rsidR="0088561D" w:rsidRPr="00110AC6" w:rsidRDefault="0088561D" w:rsidP="0088561D">
            <w:pPr>
              <w:spacing w:after="0" w:line="240" w:lineRule="auto"/>
              <w:jc w:val="center"/>
              <w:rPr>
                <w:rFonts w:eastAsia="Times New Roman" w:cstheme="minorHAnsi"/>
                <w:b/>
                <w:bCs/>
                <w:color w:val="000000"/>
                <w:sz w:val="20"/>
                <w:szCs w:val="20"/>
                <w:lang w:eastAsia="en-GB"/>
              </w:rPr>
            </w:pPr>
          </w:p>
        </w:tc>
        <w:tc>
          <w:tcPr>
            <w:tcW w:w="4389" w:type="dxa"/>
            <w:gridSpan w:val="6"/>
            <w:tcBorders>
              <w:bottom w:val="single" w:sz="4" w:space="0" w:color="auto"/>
            </w:tcBorders>
            <w:shd w:val="clear" w:color="auto" w:fill="auto"/>
            <w:vAlign w:val="center"/>
          </w:tcPr>
          <w:p w14:paraId="776271FC" w14:textId="77777777" w:rsidR="0088561D" w:rsidRPr="00110AC6" w:rsidRDefault="0088561D" w:rsidP="0088561D">
            <w:pPr>
              <w:spacing w:after="0" w:line="240" w:lineRule="auto"/>
              <w:jc w:val="center"/>
              <w:rPr>
                <w:rFonts w:eastAsia="Times New Roman" w:cstheme="minorHAnsi"/>
                <w:b/>
                <w:bCs/>
                <w:color w:val="000000"/>
                <w:sz w:val="20"/>
                <w:szCs w:val="20"/>
                <w:lang w:eastAsia="en-GB"/>
              </w:rPr>
            </w:pPr>
          </w:p>
        </w:tc>
        <w:tc>
          <w:tcPr>
            <w:tcW w:w="4536" w:type="dxa"/>
            <w:gridSpan w:val="5"/>
            <w:tcBorders>
              <w:bottom w:val="single" w:sz="4" w:space="0" w:color="auto"/>
            </w:tcBorders>
            <w:vAlign w:val="center"/>
          </w:tcPr>
          <w:p w14:paraId="16BBD672" w14:textId="77777777" w:rsidR="0088561D" w:rsidRPr="00110AC6" w:rsidRDefault="0088561D" w:rsidP="0088561D">
            <w:pPr>
              <w:spacing w:after="0" w:line="240" w:lineRule="auto"/>
              <w:jc w:val="center"/>
              <w:rPr>
                <w:rFonts w:eastAsia="Times New Roman" w:cstheme="minorHAnsi"/>
                <w:b/>
                <w:bCs/>
                <w:color w:val="000000"/>
                <w:sz w:val="20"/>
                <w:szCs w:val="20"/>
                <w:lang w:eastAsia="en-GB"/>
              </w:rPr>
            </w:pPr>
          </w:p>
        </w:tc>
        <w:tc>
          <w:tcPr>
            <w:tcW w:w="3782" w:type="dxa"/>
            <w:gridSpan w:val="4"/>
            <w:tcBorders>
              <w:bottom w:val="single" w:sz="4" w:space="0" w:color="auto"/>
            </w:tcBorders>
          </w:tcPr>
          <w:p w14:paraId="3F1E9DAB" w14:textId="77777777" w:rsidR="0088561D" w:rsidRPr="00110AC6" w:rsidRDefault="0088561D" w:rsidP="0088561D">
            <w:pPr>
              <w:spacing w:after="0" w:line="240" w:lineRule="auto"/>
              <w:jc w:val="center"/>
              <w:rPr>
                <w:rFonts w:eastAsia="Times New Roman" w:cstheme="minorHAnsi"/>
                <w:b/>
                <w:bCs/>
                <w:color w:val="000000"/>
                <w:sz w:val="20"/>
                <w:szCs w:val="20"/>
                <w:lang w:eastAsia="en-GB"/>
              </w:rPr>
            </w:pPr>
          </w:p>
        </w:tc>
      </w:tr>
      <w:tr w:rsidR="00282537" w:rsidRPr="00110AC6" w14:paraId="0BB4B27A" w14:textId="77777777" w:rsidTr="00282537">
        <w:trPr>
          <w:trHeight w:val="368"/>
        </w:trPr>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7A1C88A6" w14:textId="77777777" w:rsidR="00282537" w:rsidRPr="00110AC6" w:rsidRDefault="00282537" w:rsidP="0088561D">
            <w:pPr>
              <w:spacing w:after="0" w:line="240" w:lineRule="auto"/>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Biomarker</w:t>
            </w:r>
          </w:p>
        </w:tc>
        <w:tc>
          <w:tcPr>
            <w:tcW w:w="411" w:type="dxa"/>
            <w:gridSpan w:val="3"/>
            <w:vMerge w:val="restart"/>
            <w:tcBorders>
              <w:top w:val="single" w:sz="4" w:space="0" w:color="auto"/>
              <w:left w:val="single" w:sz="4" w:space="0" w:color="auto"/>
              <w:right w:val="single" w:sz="4" w:space="0" w:color="auto"/>
            </w:tcBorders>
            <w:shd w:val="clear" w:color="auto" w:fill="auto"/>
            <w:noWrap/>
            <w:vAlign w:val="center"/>
          </w:tcPr>
          <w:p w14:paraId="33B33BB2" w14:textId="1E99E57B"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M</w:t>
            </w:r>
          </w:p>
        </w:tc>
        <w:tc>
          <w:tcPr>
            <w:tcW w:w="4125" w:type="dxa"/>
            <w:gridSpan w:val="4"/>
            <w:tcBorders>
              <w:top w:val="single" w:sz="4" w:space="0" w:color="auto"/>
              <w:left w:val="single" w:sz="4" w:space="0" w:color="auto"/>
              <w:right w:val="single" w:sz="4" w:space="0" w:color="auto"/>
            </w:tcBorders>
            <w:shd w:val="clear" w:color="auto" w:fill="auto"/>
            <w:vAlign w:val="center"/>
          </w:tcPr>
          <w:p w14:paraId="7E05EB02"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 xml:space="preserve">Men and women pooled and adjusted for sex </w:t>
            </w:r>
          </w:p>
        </w:tc>
        <w:tc>
          <w:tcPr>
            <w:tcW w:w="4253" w:type="dxa"/>
            <w:gridSpan w:val="5"/>
            <w:tcBorders>
              <w:top w:val="single" w:sz="4" w:space="0" w:color="auto"/>
              <w:left w:val="single" w:sz="4" w:space="0" w:color="auto"/>
              <w:right w:val="single" w:sz="4" w:space="0" w:color="auto"/>
            </w:tcBorders>
            <w:vAlign w:val="center"/>
          </w:tcPr>
          <w:p w14:paraId="4415B9A4"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Men</w:t>
            </w:r>
          </w:p>
        </w:tc>
        <w:tc>
          <w:tcPr>
            <w:tcW w:w="4252" w:type="dxa"/>
            <w:gridSpan w:val="5"/>
            <w:tcBorders>
              <w:top w:val="single" w:sz="4" w:space="0" w:color="auto"/>
              <w:left w:val="single" w:sz="4" w:space="0" w:color="auto"/>
            </w:tcBorders>
          </w:tcPr>
          <w:p w14:paraId="107FA39F"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Women</w:t>
            </w:r>
          </w:p>
        </w:tc>
      </w:tr>
      <w:tr w:rsidR="00282537" w:rsidRPr="00110AC6" w14:paraId="76E4ED35" w14:textId="77777777" w:rsidTr="00282537">
        <w:trPr>
          <w:trHeight w:val="227"/>
        </w:trPr>
        <w:tc>
          <w:tcPr>
            <w:tcW w:w="1134" w:type="dxa"/>
            <w:vMerge/>
            <w:tcBorders>
              <w:top w:val="single" w:sz="4" w:space="0" w:color="000000"/>
              <w:left w:val="nil"/>
              <w:bottom w:val="single" w:sz="4" w:space="0" w:color="auto"/>
              <w:right w:val="single" w:sz="4" w:space="0" w:color="auto"/>
            </w:tcBorders>
            <w:shd w:val="clear" w:color="auto" w:fill="auto"/>
            <w:vAlign w:val="center"/>
            <w:hideMark/>
          </w:tcPr>
          <w:p w14:paraId="2E2FB023" w14:textId="77777777" w:rsidR="00282537" w:rsidRPr="00110AC6" w:rsidRDefault="00282537" w:rsidP="0088561D">
            <w:pPr>
              <w:spacing w:after="0" w:line="240" w:lineRule="auto"/>
              <w:rPr>
                <w:rFonts w:eastAsia="Times New Roman" w:cstheme="minorHAnsi"/>
                <w:b/>
                <w:bCs/>
                <w:color w:val="000000"/>
                <w:sz w:val="20"/>
                <w:szCs w:val="20"/>
                <w:lang w:eastAsia="en-GB"/>
              </w:rPr>
            </w:pPr>
          </w:p>
        </w:tc>
        <w:tc>
          <w:tcPr>
            <w:tcW w:w="411" w:type="dxa"/>
            <w:gridSpan w:val="3"/>
            <w:vMerge/>
            <w:tcBorders>
              <w:left w:val="single" w:sz="4" w:space="0" w:color="auto"/>
              <w:right w:val="single" w:sz="4" w:space="0" w:color="auto"/>
            </w:tcBorders>
            <w:shd w:val="clear" w:color="auto" w:fill="auto"/>
            <w:noWrap/>
            <w:vAlign w:val="center"/>
            <w:hideMark/>
          </w:tcPr>
          <w:p w14:paraId="768502EE" w14:textId="5C78BA8F" w:rsidR="00282537" w:rsidRPr="00110AC6" w:rsidRDefault="00282537" w:rsidP="0088561D">
            <w:pPr>
              <w:spacing w:after="0" w:line="240" w:lineRule="auto"/>
              <w:jc w:val="center"/>
              <w:rPr>
                <w:rFonts w:eastAsia="Times New Roman" w:cstheme="minorHAnsi"/>
                <w:b/>
                <w:bCs/>
                <w:color w:val="000000"/>
                <w:sz w:val="20"/>
                <w:szCs w:val="20"/>
                <w:lang w:eastAsia="en-GB"/>
              </w:rPr>
            </w:pPr>
          </w:p>
        </w:tc>
        <w:tc>
          <w:tcPr>
            <w:tcW w:w="2107" w:type="dxa"/>
            <w:gridSpan w:val="2"/>
            <w:tcBorders>
              <w:left w:val="single" w:sz="4" w:space="0" w:color="auto"/>
              <w:bottom w:val="nil"/>
              <w:right w:val="nil"/>
            </w:tcBorders>
            <w:shd w:val="clear" w:color="auto" w:fill="auto"/>
            <w:vAlign w:val="center"/>
            <w:hideMark/>
          </w:tcPr>
          <w:p w14:paraId="67CE6AF5"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High depression</w:t>
            </w:r>
          </w:p>
        </w:tc>
        <w:tc>
          <w:tcPr>
            <w:tcW w:w="2018" w:type="dxa"/>
            <w:gridSpan w:val="2"/>
            <w:tcBorders>
              <w:left w:val="nil"/>
              <w:bottom w:val="nil"/>
              <w:right w:val="single" w:sz="4" w:space="0" w:color="auto"/>
            </w:tcBorders>
            <w:shd w:val="clear" w:color="auto" w:fill="auto"/>
            <w:vAlign w:val="center"/>
            <w:hideMark/>
          </w:tcPr>
          <w:p w14:paraId="74EA14A3"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Poor mental health</w:t>
            </w:r>
          </w:p>
        </w:tc>
        <w:tc>
          <w:tcPr>
            <w:tcW w:w="2127" w:type="dxa"/>
            <w:gridSpan w:val="3"/>
            <w:tcBorders>
              <w:left w:val="single" w:sz="4" w:space="0" w:color="auto"/>
              <w:right w:val="nil"/>
            </w:tcBorders>
            <w:vAlign w:val="center"/>
          </w:tcPr>
          <w:p w14:paraId="5326B709"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High depression</w:t>
            </w:r>
          </w:p>
        </w:tc>
        <w:tc>
          <w:tcPr>
            <w:tcW w:w="2126" w:type="dxa"/>
            <w:gridSpan w:val="2"/>
            <w:tcBorders>
              <w:left w:val="nil"/>
              <w:right w:val="single" w:sz="4" w:space="0" w:color="auto"/>
            </w:tcBorders>
            <w:vAlign w:val="center"/>
          </w:tcPr>
          <w:p w14:paraId="0F48BDFF"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Poor mental health</w:t>
            </w:r>
          </w:p>
        </w:tc>
        <w:tc>
          <w:tcPr>
            <w:tcW w:w="2126" w:type="dxa"/>
            <w:gridSpan w:val="3"/>
            <w:tcBorders>
              <w:left w:val="single" w:sz="4" w:space="0" w:color="auto"/>
              <w:bottom w:val="nil"/>
            </w:tcBorders>
          </w:tcPr>
          <w:p w14:paraId="74AD9E6C"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High depression</w:t>
            </w:r>
          </w:p>
        </w:tc>
        <w:tc>
          <w:tcPr>
            <w:tcW w:w="2126" w:type="dxa"/>
            <w:gridSpan w:val="2"/>
            <w:tcBorders>
              <w:left w:val="nil"/>
              <w:bottom w:val="nil"/>
            </w:tcBorders>
          </w:tcPr>
          <w:p w14:paraId="43A39DAE"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Poor mental health</w:t>
            </w:r>
          </w:p>
        </w:tc>
      </w:tr>
      <w:tr w:rsidR="00282537" w:rsidRPr="00110AC6" w14:paraId="1197D28F" w14:textId="77777777" w:rsidTr="00282537">
        <w:trPr>
          <w:trHeight w:val="227"/>
        </w:trPr>
        <w:tc>
          <w:tcPr>
            <w:tcW w:w="1134" w:type="dxa"/>
            <w:vMerge/>
            <w:tcBorders>
              <w:top w:val="single" w:sz="4" w:space="0" w:color="000000"/>
              <w:left w:val="nil"/>
              <w:bottom w:val="single" w:sz="4" w:space="0" w:color="auto"/>
              <w:right w:val="single" w:sz="4" w:space="0" w:color="auto"/>
            </w:tcBorders>
            <w:vAlign w:val="center"/>
            <w:hideMark/>
          </w:tcPr>
          <w:p w14:paraId="476CF1A8" w14:textId="77777777" w:rsidR="00282537" w:rsidRPr="00110AC6" w:rsidRDefault="00282537" w:rsidP="0088561D">
            <w:pPr>
              <w:spacing w:after="0" w:line="240" w:lineRule="auto"/>
              <w:rPr>
                <w:rFonts w:eastAsia="Times New Roman" w:cstheme="minorHAnsi"/>
                <w:b/>
                <w:bCs/>
                <w:color w:val="000000"/>
                <w:sz w:val="20"/>
                <w:szCs w:val="20"/>
                <w:lang w:eastAsia="en-GB"/>
              </w:rPr>
            </w:pPr>
          </w:p>
        </w:tc>
        <w:tc>
          <w:tcPr>
            <w:tcW w:w="411" w:type="dxa"/>
            <w:gridSpan w:val="3"/>
            <w:vMerge/>
            <w:tcBorders>
              <w:left w:val="single" w:sz="4" w:space="0" w:color="auto"/>
              <w:bottom w:val="single" w:sz="4" w:space="0" w:color="auto"/>
              <w:right w:val="single" w:sz="4" w:space="0" w:color="auto"/>
            </w:tcBorders>
            <w:vAlign w:val="center"/>
            <w:hideMark/>
          </w:tcPr>
          <w:p w14:paraId="397F86FC"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p>
        </w:tc>
        <w:tc>
          <w:tcPr>
            <w:tcW w:w="1516" w:type="dxa"/>
            <w:tcBorders>
              <w:top w:val="nil"/>
              <w:left w:val="single" w:sz="4" w:space="0" w:color="auto"/>
              <w:bottom w:val="single" w:sz="4" w:space="0" w:color="auto"/>
              <w:right w:val="nil"/>
            </w:tcBorders>
            <w:shd w:val="clear" w:color="auto" w:fill="auto"/>
            <w:noWrap/>
            <w:vAlign w:val="bottom"/>
            <w:hideMark/>
          </w:tcPr>
          <w:p w14:paraId="6C6A39ED"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91" w:type="dxa"/>
            <w:tcBorders>
              <w:top w:val="nil"/>
              <w:left w:val="nil"/>
              <w:bottom w:val="single" w:sz="4" w:space="0" w:color="auto"/>
              <w:right w:val="nil"/>
            </w:tcBorders>
            <w:shd w:val="clear" w:color="auto" w:fill="auto"/>
            <w:noWrap/>
            <w:vAlign w:val="bottom"/>
            <w:hideMark/>
          </w:tcPr>
          <w:p w14:paraId="423D24C5"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451" w:type="dxa"/>
            <w:tcBorders>
              <w:top w:val="nil"/>
              <w:left w:val="nil"/>
              <w:bottom w:val="single" w:sz="4" w:space="0" w:color="auto"/>
              <w:right w:val="nil"/>
            </w:tcBorders>
            <w:shd w:val="clear" w:color="auto" w:fill="auto"/>
            <w:noWrap/>
            <w:vAlign w:val="bottom"/>
            <w:hideMark/>
          </w:tcPr>
          <w:p w14:paraId="3EB87428"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7" w:type="dxa"/>
            <w:tcBorders>
              <w:top w:val="nil"/>
              <w:left w:val="nil"/>
              <w:bottom w:val="single" w:sz="4" w:space="0" w:color="auto"/>
              <w:right w:val="single" w:sz="4" w:space="0" w:color="auto"/>
            </w:tcBorders>
            <w:shd w:val="clear" w:color="auto" w:fill="auto"/>
            <w:noWrap/>
            <w:vAlign w:val="bottom"/>
            <w:hideMark/>
          </w:tcPr>
          <w:p w14:paraId="454CED29"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560" w:type="dxa"/>
            <w:gridSpan w:val="2"/>
            <w:tcBorders>
              <w:top w:val="nil"/>
              <w:left w:val="single" w:sz="4" w:space="0" w:color="auto"/>
              <w:bottom w:val="single" w:sz="4" w:space="0" w:color="auto"/>
              <w:right w:val="nil"/>
            </w:tcBorders>
            <w:vAlign w:val="bottom"/>
          </w:tcPr>
          <w:p w14:paraId="33331470"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7" w:type="dxa"/>
            <w:tcBorders>
              <w:top w:val="nil"/>
              <w:left w:val="nil"/>
              <w:bottom w:val="single" w:sz="4" w:space="0" w:color="auto"/>
              <w:right w:val="nil"/>
            </w:tcBorders>
            <w:vAlign w:val="bottom"/>
          </w:tcPr>
          <w:p w14:paraId="49A3DEA9"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559" w:type="dxa"/>
            <w:tcBorders>
              <w:top w:val="nil"/>
              <w:left w:val="nil"/>
              <w:bottom w:val="single" w:sz="4" w:space="0" w:color="auto"/>
              <w:right w:val="nil"/>
            </w:tcBorders>
            <w:vAlign w:val="bottom"/>
          </w:tcPr>
          <w:p w14:paraId="2EA1C84C"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7" w:type="dxa"/>
            <w:tcBorders>
              <w:top w:val="nil"/>
              <w:left w:val="nil"/>
              <w:bottom w:val="single" w:sz="4" w:space="0" w:color="auto"/>
              <w:right w:val="single" w:sz="4" w:space="0" w:color="auto"/>
            </w:tcBorders>
            <w:vAlign w:val="bottom"/>
          </w:tcPr>
          <w:p w14:paraId="0F8DC95B"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559" w:type="dxa"/>
            <w:gridSpan w:val="2"/>
            <w:tcBorders>
              <w:top w:val="nil"/>
              <w:left w:val="single" w:sz="4" w:space="0" w:color="auto"/>
              <w:bottom w:val="single" w:sz="4" w:space="0" w:color="auto"/>
              <w:right w:val="nil"/>
            </w:tcBorders>
            <w:vAlign w:val="bottom"/>
          </w:tcPr>
          <w:p w14:paraId="4D724EF2"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7" w:type="dxa"/>
            <w:tcBorders>
              <w:top w:val="nil"/>
              <w:left w:val="nil"/>
              <w:bottom w:val="single" w:sz="4" w:space="0" w:color="auto"/>
              <w:right w:val="nil"/>
            </w:tcBorders>
            <w:vAlign w:val="bottom"/>
          </w:tcPr>
          <w:p w14:paraId="354B7E2B"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c>
          <w:tcPr>
            <w:tcW w:w="1559" w:type="dxa"/>
            <w:tcBorders>
              <w:top w:val="nil"/>
              <w:left w:val="nil"/>
              <w:bottom w:val="single" w:sz="4" w:space="0" w:color="auto"/>
              <w:right w:val="nil"/>
            </w:tcBorders>
            <w:vAlign w:val="bottom"/>
          </w:tcPr>
          <w:p w14:paraId="2C3412CF"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OR (95% CI)</w:t>
            </w:r>
          </w:p>
        </w:tc>
        <w:tc>
          <w:tcPr>
            <w:tcW w:w="567" w:type="dxa"/>
            <w:tcBorders>
              <w:top w:val="nil"/>
              <w:left w:val="nil"/>
              <w:bottom w:val="single" w:sz="4" w:space="0" w:color="auto"/>
              <w:right w:val="nil"/>
            </w:tcBorders>
            <w:vAlign w:val="bottom"/>
          </w:tcPr>
          <w:p w14:paraId="64C26B36" w14:textId="77777777" w:rsidR="00282537" w:rsidRPr="00110AC6" w:rsidRDefault="00282537" w:rsidP="0088561D">
            <w:pPr>
              <w:spacing w:after="0" w:line="240" w:lineRule="auto"/>
              <w:jc w:val="center"/>
              <w:rPr>
                <w:rFonts w:eastAsia="Times New Roman" w:cstheme="minorHAnsi"/>
                <w:b/>
                <w:bCs/>
                <w:color w:val="000000"/>
                <w:sz w:val="20"/>
                <w:szCs w:val="20"/>
                <w:lang w:eastAsia="en-GB"/>
              </w:rPr>
            </w:pPr>
            <w:r w:rsidRPr="00110AC6">
              <w:rPr>
                <w:rFonts w:eastAsia="Times New Roman" w:cstheme="minorHAnsi"/>
                <w:b/>
                <w:bCs/>
                <w:color w:val="000000"/>
                <w:sz w:val="20"/>
                <w:szCs w:val="20"/>
                <w:lang w:eastAsia="en-GB"/>
              </w:rPr>
              <w:t>P</w:t>
            </w:r>
          </w:p>
        </w:tc>
      </w:tr>
      <w:tr w:rsidR="00282537" w:rsidRPr="00110AC6" w14:paraId="325FDB88" w14:textId="77777777" w:rsidTr="00282537">
        <w:trPr>
          <w:trHeight w:val="227"/>
        </w:trPr>
        <w:tc>
          <w:tcPr>
            <w:tcW w:w="1134" w:type="dxa"/>
            <w:vMerge w:val="restart"/>
            <w:tcBorders>
              <w:top w:val="single" w:sz="4" w:space="0" w:color="auto"/>
              <w:right w:val="single" w:sz="4" w:space="0" w:color="auto"/>
            </w:tcBorders>
            <w:shd w:val="clear" w:color="auto" w:fill="auto"/>
            <w:vAlign w:val="center"/>
            <w:hideMark/>
          </w:tcPr>
          <w:p w14:paraId="0875668F"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Cortisol</w:t>
            </w:r>
          </w:p>
        </w:tc>
        <w:tc>
          <w:tcPr>
            <w:tcW w:w="411" w:type="dxa"/>
            <w:gridSpan w:val="3"/>
            <w:tcBorders>
              <w:top w:val="single" w:sz="4" w:space="0" w:color="auto"/>
              <w:left w:val="single" w:sz="4" w:space="0" w:color="auto"/>
              <w:right w:val="single" w:sz="4" w:space="0" w:color="auto"/>
            </w:tcBorders>
            <w:shd w:val="clear" w:color="auto" w:fill="auto"/>
            <w:noWrap/>
            <w:vAlign w:val="bottom"/>
            <w:hideMark/>
          </w:tcPr>
          <w:p w14:paraId="1AEC2EAE"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16" w:type="dxa"/>
            <w:tcBorders>
              <w:top w:val="single" w:sz="4" w:space="0" w:color="auto"/>
              <w:left w:val="single" w:sz="4" w:space="0" w:color="auto"/>
            </w:tcBorders>
            <w:shd w:val="clear" w:color="auto" w:fill="auto"/>
            <w:noWrap/>
            <w:vAlign w:val="bottom"/>
          </w:tcPr>
          <w:p w14:paraId="71C77B8F" w14:textId="381FF594"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color w:val="000000"/>
                <w:sz w:val="20"/>
                <w:szCs w:val="20"/>
              </w:rPr>
              <w:t>0.80 (0.61,1.04)</w:t>
            </w:r>
          </w:p>
        </w:tc>
        <w:tc>
          <w:tcPr>
            <w:tcW w:w="591" w:type="dxa"/>
            <w:tcBorders>
              <w:top w:val="single" w:sz="4" w:space="0" w:color="auto"/>
            </w:tcBorders>
            <w:shd w:val="clear" w:color="auto" w:fill="auto"/>
            <w:noWrap/>
            <w:vAlign w:val="bottom"/>
          </w:tcPr>
          <w:p w14:paraId="0CDC1F8D" w14:textId="322910B8"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color w:val="000000"/>
                <w:sz w:val="20"/>
                <w:szCs w:val="20"/>
              </w:rPr>
              <w:t>0.10</w:t>
            </w:r>
          </w:p>
        </w:tc>
        <w:tc>
          <w:tcPr>
            <w:tcW w:w="1451" w:type="dxa"/>
            <w:tcBorders>
              <w:top w:val="single" w:sz="4" w:space="0" w:color="auto"/>
            </w:tcBorders>
            <w:shd w:val="clear" w:color="auto" w:fill="auto"/>
            <w:noWrap/>
            <w:vAlign w:val="bottom"/>
          </w:tcPr>
          <w:p w14:paraId="73B32EC6" w14:textId="1EE8681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0.97 (0.74,1.25)</w:t>
            </w:r>
          </w:p>
        </w:tc>
        <w:tc>
          <w:tcPr>
            <w:tcW w:w="567" w:type="dxa"/>
            <w:tcBorders>
              <w:top w:val="single" w:sz="4" w:space="0" w:color="auto"/>
              <w:right w:val="single" w:sz="4" w:space="0" w:color="auto"/>
            </w:tcBorders>
            <w:shd w:val="clear" w:color="auto" w:fill="auto"/>
            <w:noWrap/>
            <w:vAlign w:val="bottom"/>
          </w:tcPr>
          <w:p w14:paraId="3C1657DE" w14:textId="54EDCB8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0.79</w:t>
            </w:r>
          </w:p>
        </w:tc>
        <w:tc>
          <w:tcPr>
            <w:tcW w:w="1560" w:type="dxa"/>
            <w:gridSpan w:val="2"/>
            <w:tcBorders>
              <w:top w:val="single" w:sz="4" w:space="0" w:color="auto"/>
              <w:left w:val="single" w:sz="4" w:space="0" w:color="auto"/>
            </w:tcBorders>
            <w:shd w:val="clear" w:color="auto" w:fill="auto"/>
            <w:vAlign w:val="bottom"/>
          </w:tcPr>
          <w:p w14:paraId="4035B5E4" w14:textId="41A55148"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0.63 (0.44,0.92)</w:t>
            </w:r>
          </w:p>
        </w:tc>
        <w:tc>
          <w:tcPr>
            <w:tcW w:w="567" w:type="dxa"/>
            <w:tcBorders>
              <w:top w:val="single" w:sz="4" w:space="0" w:color="auto"/>
            </w:tcBorders>
            <w:shd w:val="clear" w:color="auto" w:fill="auto"/>
            <w:vAlign w:val="bottom"/>
          </w:tcPr>
          <w:p w14:paraId="678FC84A" w14:textId="7E2C182F"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0.02</w:t>
            </w:r>
          </w:p>
        </w:tc>
        <w:tc>
          <w:tcPr>
            <w:tcW w:w="1559" w:type="dxa"/>
            <w:tcBorders>
              <w:top w:val="single" w:sz="4" w:space="0" w:color="auto"/>
            </w:tcBorders>
            <w:shd w:val="clear" w:color="auto" w:fill="auto"/>
            <w:vAlign w:val="bottom"/>
          </w:tcPr>
          <w:p w14:paraId="12039E45" w14:textId="7CA8CBE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1.11 (0.80,1.54)</w:t>
            </w:r>
          </w:p>
        </w:tc>
        <w:tc>
          <w:tcPr>
            <w:tcW w:w="567" w:type="dxa"/>
            <w:tcBorders>
              <w:top w:val="single" w:sz="4" w:space="0" w:color="auto"/>
              <w:right w:val="single" w:sz="4" w:space="0" w:color="auto"/>
            </w:tcBorders>
            <w:shd w:val="clear" w:color="auto" w:fill="auto"/>
            <w:vAlign w:val="bottom"/>
          </w:tcPr>
          <w:p w14:paraId="2FDB794F" w14:textId="72A2DDB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0.52</w:t>
            </w:r>
          </w:p>
        </w:tc>
        <w:tc>
          <w:tcPr>
            <w:tcW w:w="1559" w:type="dxa"/>
            <w:gridSpan w:val="2"/>
            <w:tcBorders>
              <w:top w:val="single" w:sz="4" w:space="0" w:color="auto"/>
              <w:left w:val="single" w:sz="4" w:space="0" w:color="auto"/>
            </w:tcBorders>
            <w:shd w:val="clear" w:color="auto" w:fill="auto"/>
            <w:vAlign w:val="bottom"/>
          </w:tcPr>
          <w:p w14:paraId="11C9A70A" w14:textId="6D219BD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1.11 (0.73,1.69)</w:t>
            </w:r>
          </w:p>
        </w:tc>
        <w:tc>
          <w:tcPr>
            <w:tcW w:w="567" w:type="dxa"/>
            <w:tcBorders>
              <w:top w:val="single" w:sz="4" w:space="0" w:color="auto"/>
            </w:tcBorders>
            <w:shd w:val="clear" w:color="auto" w:fill="auto"/>
            <w:vAlign w:val="bottom"/>
          </w:tcPr>
          <w:p w14:paraId="0019EE39" w14:textId="3D653F0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0.62</w:t>
            </w:r>
          </w:p>
        </w:tc>
        <w:tc>
          <w:tcPr>
            <w:tcW w:w="1559" w:type="dxa"/>
            <w:tcBorders>
              <w:top w:val="single" w:sz="4" w:space="0" w:color="auto"/>
            </w:tcBorders>
            <w:shd w:val="clear" w:color="auto" w:fill="auto"/>
            <w:vAlign w:val="bottom"/>
          </w:tcPr>
          <w:p w14:paraId="7DD4AE09" w14:textId="702FF656"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0.72 (0.46,1.14)</w:t>
            </w:r>
          </w:p>
        </w:tc>
        <w:tc>
          <w:tcPr>
            <w:tcW w:w="567" w:type="dxa"/>
            <w:tcBorders>
              <w:top w:val="single" w:sz="4" w:space="0" w:color="auto"/>
            </w:tcBorders>
            <w:shd w:val="clear" w:color="auto" w:fill="auto"/>
            <w:vAlign w:val="bottom"/>
          </w:tcPr>
          <w:p w14:paraId="63258B5A" w14:textId="7B0A38AD"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0.17</w:t>
            </w:r>
          </w:p>
        </w:tc>
      </w:tr>
      <w:tr w:rsidR="00282537" w:rsidRPr="00110AC6" w14:paraId="564D2ABC" w14:textId="77777777" w:rsidTr="00282537">
        <w:trPr>
          <w:trHeight w:val="227"/>
        </w:trPr>
        <w:tc>
          <w:tcPr>
            <w:tcW w:w="1134" w:type="dxa"/>
            <w:vMerge/>
            <w:tcBorders>
              <w:right w:val="single" w:sz="4" w:space="0" w:color="auto"/>
            </w:tcBorders>
            <w:vAlign w:val="center"/>
            <w:hideMark/>
          </w:tcPr>
          <w:p w14:paraId="2275B019"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gridSpan w:val="3"/>
            <w:tcBorders>
              <w:left w:val="single" w:sz="4" w:space="0" w:color="auto"/>
              <w:right w:val="single" w:sz="4" w:space="0" w:color="auto"/>
            </w:tcBorders>
            <w:shd w:val="clear" w:color="auto" w:fill="auto"/>
            <w:noWrap/>
            <w:vAlign w:val="bottom"/>
            <w:hideMark/>
          </w:tcPr>
          <w:p w14:paraId="17F171B2"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16" w:type="dxa"/>
            <w:tcBorders>
              <w:left w:val="single" w:sz="4" w:space="0" w:color="auto"/>
            </w:tcBorders>
            <w:shd w:val="clear" w:color="auto" w:fill="auto"/>
            <w:noWrap/>
            <w:vAlign w:val="bottom"/>
          </w:tcPr>
          <w:p w14:paraId="24A37F80" w14:textId="522D335E"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color w:val="000000"/>
                <w:sz w:val="20"/>
                <w:szCs w:val="20"/>
              </w:rPr>
              <w:t>0.82 (0.62,1.08)</w:t>
            </w:r>
          </w:p>
        </w:tc>
        <w:tc>
          <w:tcPr>
            <w:tcW w:w="591" w:type="dxa"/>
            <w:shd w:val="clear" w:color="auto" w:fill="auto"/>
            <w:noWrap/>
            <w:vAlign w:val="bottom"/>
          </w:tcPr>
          <w:p w14:paraId="2F5F1011" w14:textId="2B1873FE" w:rsidR="001E1E07" w:rsidRPr="00110AC6" w:rsidRDefault="001E1E07" w:rsidP="001E1E07">
            <w:pPr>
              <w:spacing w:after="0" w:line="240" w:lineRule="auto"/>
              <w:jc w:val="center"/>
              <w:rPr>
                <w:rFonts w:eastAsia="Times New Roman" w:cstheme="minorHAnsi"/>
                <w:b/>
                <w:bCs/>
                <w:sz w:val="20"/>
                <w:szCs w:val="20"/>
                <w:lang w:eastAsia="en-GB"/>
              </w:rPr>
            </w:pPr>
            <w:r w:rsidRPr="00110AC6">
              <w:rPr>
                <w:rFonts w:cstheme="minorHAnsi"/>
                <w:color w:val="000000"/>
                <w:sz w:val="20"/>
                <w:szCs w:val="20"/>
              </w:rPr>
              <w:t>0.16</w:t>
            </w:r>
          </w:p>
        </w:tc>
        <w:tc>
          <w:tcPr>
            <w:tcW w:w="1451" w:type="dxa"/>
            <w:shd w:val="clear" w:color="auto" w:fill="auto"/>
            <w:noWrap/>
            <w:vAlign w:val="bottom"/>
          </w:tcPr>
          <w:p w14:paraId="6CF82959" w14:textId="64269EC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0.97 (0.74,1.26)</w:t>
            </w:r>
          </w:p>
        </w:tc>
        <w:tc>
          <w:tcPr>
            <w:tcW w:w="567" w:type="dxa"/>
            <w:tcBorders>
              <w:right w:val="single" w:sz="4" w:space="0" w:color="auto"/>
            </w:tcBorders>
            <w:shd w:val="clear" w:color="auto" w:fill="auto"/>
            <w:noWrap/>
            <w:vAlign w:val="bottom"/>
          </w:tcPr>
          <w:p w14:paraId="07573EFC" w14:textId="17D8663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0.80</w:t>
            </w:r>
          </w:p>
        </w:tc>
        <w:tc>
          <w:tcPr>
            <w:tcW w:w="1560" w:type="dxa"/>
            <w:gridSpan w:val="2"/>
            <w:tcBorders>
              <w:left w:val="single" w:sz="4" w:space="0" w:color="auto"/>
            </w:tcBorders>
            <w:shd w:val="clear" w:color="auto" w:fill="auto"/>
            <w:vAlign w:val="bottom"/>
          </w:tcPr>
          <w:p w14:paraId="39180291" w14:textId="3537AE6F"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0.66 (0.45,0.97)</w:t>
            </w:r>
          </w:p>
        </w:tc>
        <w:tc>
          <w:tcPr>
            <w:tcW w:w="567" w:type="dxa"/>
            <w:shd w:val="clear" w:color="auto" w:fill="auto"/>
            <w:vAlign w:val="bottom"/>
          </w:tcPr>
          <w:p w14:paraId="69275747" w14:textId="342B977D"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0.03</w:t>
            </w:r>
          </w:p>
        </w:tc>
        <w:tc>
          <w:tcPr>
            <w:tcW w:w="1559" w:type="dxa"/>
            <w:shd w:val="clear" w:color="auto" w:fill="auto"/>
            <w:vAlign w:val="bottom"/>
          </w:tcPr>
          <w:p w14:paraId="254C407F" w14:textId="075F74F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1.10 (0.79,1.54)</w:t>
            </w:r>
          </w:p>
        </w:tc>
        <w:tc>
          <w:tcPr>
            <w:tcW w:w="567" w:type="dxa"/>
            <w:tcBorders>
              <w:right w:val="single" w:sz="4" w:space="0" w:color="auto"/>
            </w:tcBorders>
            <w:shd w:val="clear" w:color="auto" w:fill="auto"/>
            <w:vAlign w:val="bottom"/>
          </w:tcPr>
          <w:p w14:paraId="79530BB8" w14:textId="741730C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0.58</w:t>
            </w:r>
          </w:p>
        </w:tc>
        <w:tc>
          <w:tcPr>
            <w:tcW w:w="1559" w:type="dxa"/>
            <w:gridSpan w:val="2"/>
            <w:tcBorders>
              <w:left w:val="single" w:sz="4" w:space="0" w:color="auto"/>
            </w:tcBorders>
            <w:shd w:val="clear" w:color="auto" w:fill="auto"/>
            <w:vAlign w:val="bottom"/>
          </w:tcPr>
          <w:p w14:paraId="01F58BE8" w14:textId="38B6FE3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1.15 (0.74,1.78)</w:t>
            </w:r>
          </w:p>
        </w:tc>
        <w:tc>
          <w:tcPr>
            <w:tcW w:w="567" w:type="dxa"/>
            <w:shd w:val="clear" w:color="auto" w:fill="auto"/>
            <w:vAlign w:val="bottom"/>
          </w:tcPr>
          <w:p w14:paraId="4404F2B6" w14:textId="5F44299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0.54</w:t>
            </w:r>
          </w:p>
        </w:tc>
        <w:tc>
          <w:tcPr>
            <w:tcW w:w="1559" w:type="dxa"/>
            <w:shd w:val="clear" w:color="auto" w:fill="auto"/>
            <w:vAlign w:val="bottom"/>
          </w:tcPr>
          <w:p w14:paraId="0CE00923" w14:textId="54FDB332"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0.72 (0.45,1.14)</w:t>
            </w:r>
          </w:p>
        </w:tc>
        <w:tc>
          <w:tcPr>
            <w:tcW w:w="567" w:type="dxa"/>
            <w:shd w:val="clear" w:color="auto" w:fill="auto"/>
            <w:vAlign w:val="bottom"/>
          </w:tcPr>
          <w:p w14:paraId="09CB461B" w14:textId="23D0575D"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0.16</w:t>
            </w:r>
          </w:p>
        </w:tc>
      </w:tr>
      <w:tr w:rsidR="00282537" w:rsidRPr="00110AC6" w14:paraId="5F1BF075" w14:textId="77777777" w:rsidTr="00282537">
        <w:trPr>
          <w:trHeight w:val="227"/>
        </w:trPr>
        <w:tc>
          <w:tcPr>
            <w:tcW w:w="1134" w:type="dxa"/>
            <w:vMerge w:val="restart"/>
            <w:tcBorders>
              <w:right w:val="single" w:sz="4" w:space="0" w:color="auto"/>
            </w:tcBorders>
            <w:shd w:val="clear" w:color="auto" w:fill="auto"/>
            <w:vAlign w:val="center"/>
            <w:hideMark/>
          </w:tcPr>
          <w:p w14:paraId="696D5F96"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DHEAS</w:t>
            </w:r>
          </w:p>
        </w:tc>
        <w:tc>
          <w:tcPr>
            <w:tcW w:w="411" w:type="dxa"/>
            <w:gridSpan w:val="3"/>
            <w:tcBorders>
              <w:left w:val="single" w:sz="4" w:space="0" w:color="auto"/>
              <w:right w:val="single" w:sz="4" w:space="0" w:color="auto"/>
            </w:tcBorders>
            <w:shd w:val="clear" w:color="auto" w:fill="auto"/>
            <w:noWrap/>
            <w:vAlign w:val="bottom"/>
            <w:hideMark/>
          </w:tcPr>
          <w:p w14:paraId="23F8EFE9"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16" w:type="dxa"/>
            <w:tcBorders>
              <w:left w:val="single" w:sz="4" w:space="0" w:color="auto"/>
            </w:tcBorders>
            <w:shd w:val="clear" w:color="auto" w:fill="auto"/>
            <w:noWrap/>
            <w:vAlign w:val="bottom"/>
          </w:tcPr>
          <w:p w14:paraId="20187F22" w14:textId="0AB4483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0.96 (0.74,1.25)</w:t>
            </w:r>
          </w:p>
        </w:tc>
        <w:tc>
          <w:tcPr>
            <w:tcW w:w="591" w:type="dxa"/>
            <w:shd w:val="clear" w:color="auto" w:fill="auto"/>
            <w:noWrap/>
            <w:vAlign w:val="bottom"/>
          </w:tcPr>
          <w:p w14:paraId="66D20BBF" w14:textId="4143B0D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0.77</w:t>
            </w:r>
          </w:p>
        </w:tc>
        <w:tc>
          <w:tcPr>
            <w:tcW w:w="1451" w:type="dxa"/>
            <w:shd w:val="clear" w:color="auto" w:fill="auto"/>
            <w:noWrap/>
            <w:vAlign w:val="bottom"/>
          </w:tcPr>
          <w:p w14:paraId="23199AC5" w14:textId="5CE2E9F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1.07 (0.82,1.39)</w:t>
            </w:r>
          </w:p>
        </w:tc>
        <w:tc>
          <w:tcPr>
            <w:tcW w:w="567" w:type="dxa"/>
            <w:tcBorders>
              <w:right w:val="single" w:sz="4" w:space="0" w:color="auto"/>
            </w:tcBorders>
            <w:shd w:val="clear" w:color="auto" w:fill="auto"/>
            <w:noWrap/>
            <w:vAlign w:val="bottom"/>
          </w:tcPr>
          <w:p w14:paraId="28533F20" w14:textId="083575E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0.61</w:t>
            </w:r>
          </w:p>
        </w:tc>
        <w:tc>
          <w:tcPr>
            <w:tcW w:w="1560" w:type="dxa"/>
            <w:gridSpan w:val="2"/>
            <w:tcBorders>
              <w:left w:val="single" w:sz="4" w:space="0" w:color="auto"/>
            </w:tcBorders>
            <w:shd w:val="clear" w:color="auto" w:fill="auto"/>
            <w:vAlign w:val="bottom"/>
          </w:tcPr>
          <w:p w14:paraId="1CA97403" w14:textId="05F7FC7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0.99 (0.71,1.38)</w:t>
            </w:r>
          </w:p>
        </w:tc>
        <w:tc>
          <w:tcPr>
            <w:tcW w:w="567" w:type="dxa"/>
            <w:shd w:val="clear" w:color="auto" w:fill="auto"/>
            <w:vAlign w:val="bottom"/>
          </w:tcPr>
          <w:p w14:paraId="2BD45236" w14:textId="159D8F9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w:t>
            </w:r>
          </w:p>
        </w:tc>
        <w:tc>
          <w:tcPr>
            <w:tcW w:w="1559" w:type="dxa"/>
            <w:shd w:val="clear" w:color="auto" w:fill="auto"/>
            <w:vAlign w:val="bottom"/>
          </w:tcPr>
          <w:p w14:paraId="0B62A129" w14:textId="589A615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 (0.67,1.28)</w:t>
            </w:r>
          </w:p>
        </w:tc>
        <w:tc>
          <w:tcPr>
            <w:tcW w:w="567" w:type="dxa"/>
            <w:tcBorders>
              <w:right w:val="single" w:sz="4" w:space="0" w:color="auto"/>
            </w:tcBorders>
            <w:shd w:val="clear" w:color="auto" w:fill="auto"/>
            <w:vAlign w:val="bottom"/>
          </w:tcPr>
          <w:p w14:paraId="61CD5691" w14:textId="3594CCA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0.64</w:t>
            </w:r>
          </w:p>
        </w:tc>
        <w:tc>
          <w:tcPr>
            <w:tcW w:w="1559" w:type="dxa"/>
            <w:gridSpan w:val="2"/>
            <w:tcBorders>
              <w:left w:val="single" w:sz="4" w:space="0" w:color="auto"/>
            </w:tcBorders>
            <w:shd w:val="clear" w:color="auto" w:fill="auto"/>
            <w:vAlign w:val="bottom"/>
          </w:tcPr>
          <w:p w14:paraId="1D7EED1E" w14:textId="287CD7AD"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0.92 (0.61,1.39)</w:t>
            </w:r>
          </w:p>
        </w:tc>
        <w:tc>
          <w:tcPr>
            <w:tcW w:w="567" w:type="dxa"/>
            <w:shd w:val="clear" w:color="auto" w:fill="auto"/>
            <w:vAlign w:val="bottom"/>
          </w:tcPr>
          <w:p w14:paraId="295B55B7" w14:textId="5F8184A3"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0.70</w:t>
            </w:r>
          </w:p>
        </w:tc>
        <w:tc>
          <w:tcPr>
            <w:tcW w:w="1559" w:type="dxa"/>
            <w:shd w:val="clear" w:color="auto" w:fill="auto"/>
            <w:vAlign w:val="bottom"/>
          </w:tcPr>
          <w:p w14:paraId="2FF421B4" w14:textId="121FAB2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1.40 (0.89,2.22)</w:t>
            </w:r>
          </w:p>
        </w:tc>
        <w:tc>
          <w:tcPr>
            <w:tcW w:w="567" w:type="dxa"/>
            <w:shd w:val="clear" w:color="auto" w:fill="auto"/>
            <w:vAlign w:val="bottom"/>
          </w:tcPr>
          <w:p w14:paraId="43BDB029" w14:textId="63F51B3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0.15</w:t>
            </w:r>
          </w:p>
        </w:tc>
      </w:tr>
      <w:tr w:rsidR="00282537" w:rsidRPr="00110AC6" w14:paraId="1A7386C7" w14:textId="77777777" w:rsidTr="00282537">
        <w:trPr>
          <w:trHeight w:val="227"/>
        </w:trPr>
        <w:tc>
          <w:tcPr>
            <w:tcW w:w="1134" w:type="dxa"/>
            <w:vMerge/>
            <w:tcBorders>
              <w:right w:val="single" w:sz="4" w:space="0" w:color="auto"/>
            </w:tcBorders>
            <w:vAlign w:val="center"/>
            <w:hideMark/>
          </w:tcPr>
          <w:p w14:paraId="4DE490FE"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gridSpan w:val="3"/>
            <w:tcBorders>
              <w:left w:val="single" w:sz="4" w:space="0" w:color="auto"/>
              <w:right w:val="single" w:sz="4" w:space="0" w:color="auto"/>
            </w:tcBorders>
            <w:shd w:val="clear" w:color="auto" w:fill="auto"/>
            <w:noWrap/>
            <w:vAlign w:val="bottom"/>
            <w:hideMark/>
          </w:tcPr>
          <w:p w14:paraId="549B4DF8"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16" w:type="dxa"/>
            <w:tcBorders>
              <w:left w:val="single" w:sz="4" w:space="0" w:color="auto"/>
            </w:tcBorders>
            <w:shd w:val="clear" w:color="auto" w:fill="auto"/>
            <w:noWrap/>
            <w:vAlign w:val="bottom"/>
          </w:tcPr>
          <w:p w14:paraId="650AF9EF" w14:textId="4D22852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 (0.73,1.24)</w:t>
            </w:r>
          </w:p>
        </w:tc>
        <w:tc>
          <w:tcPr>
            <w:tcW w:w="591" w:type="dxa"/>
            <w:shd w:val="clear" w:color="auto" w:fill="auto"/>
            <w:noWrap/>
            <w:vAlign w:val="bottom"/>
          </w:tcPr>
          <w:p w14:paraId="712333AB" w14:textId="405AA6B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0.72</w:t>
            </w:r>
          </w:p>
        </w:tc>
        <w:tc>
          <w:tcPr>
            <w:tcW w:w="1451" w:type="dxa"/>
            <w:shd w:val="clear" w:color="auto" w:fill="auto"/>
            <w:noWrap/>
            <w:vAlign w:val="bottom"/>
          </w:tcPr>
          <w:p w14:paraId="6E820BE6" w14:textId="70B9D4B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1.06 (0.81,1.38)</w:t>
            </w:r>
          </w:p>
        </w:tc>
        <w:tc>
          <w:tcPr>
            <w:tcW w:w="567" w:type="dxa"/>
            <w:tcBorders>
              <w:right w:val="single" w:sz="4" w:space="0" w:color="auto"/>
            </w:tcBorders>
            <w:shd w:val="clear" w:color="auto" w:fill="auto"/>
            <w:noWrap/>
            <w:vAlign w:val="bottom"/>
          </w:tcPr>
          <w:p w14:paraId="0E0F5C3C" w14:textId="2422CA2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0.67</w:t>
            </w:r>
          </w:p>
        </w:tc>
        <w:tc>
          <w:tcPr>
            <w:tcW w:w="1560" w:type="dxa"/>
            <w:gridSpan w:val="2"/>
            <w:tcBorders>
              <w:left w:val="single" w:sz="4" w:space="0" w:color="auto"/>
            </w:tcBorders>
            <w:shd w:val="clear" w:color="auto" w:fill="auto"/>
            <w:vAlign w:val="bottom"/>
          </w:tcPr>
          <w:p w14:paraId="7E523000" w14:textId="65B1E0E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0.98 (0.70,1.38)</w:t>
            </w:r>
          </w:p>
        </w:tc>
        <w:tc>
          <w:tcPr>
            <w:tcW w:w="567" w:type="dxa"/>
            <w:shd w:val="clear" w:color="auto" w:fill="auto"/>
            <w:vAlign w:val="bottom"/>
          </w:tcPr>
          <w:p w14:paraId="320877C5" w14:textId="740DFA9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w:t>
            </w:r>
          </w:p>
        </w:tc>
        <w:tc>
          <w:tcPr>
            <w:tcW w:w="1559" w:type="dxa"/>
            <w:shd w:val="clear" w:color="auto" w:fill="auto"/>
            <w:vAlign w:val="bottom"/>
          </w:tcPr>
          <w:p w14:paraId="09E79F81" w14:textId="5753A30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 (0.66,1.29)</w:t>
            </w:r>
          </w:p>
        </w:tc>
        <w:tc>
          <w:tcPr>
            <w:tcW w:w="567" w:type="dxa"/>
            <w:tcBorders>
              <w:right w:val="single" w:sz="4" w:space="0" w:color="auto"/>
            </w:tcBorders>
            <w:shd w:val="clear" w:color="auto" w:fill="auto"/>
            <w:vAlign w:val="bottom"/>
          </w:tcPr>
          <w:p w14:paraId="15DED0A9" w14:textId="3EA1856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0.63</w:t>
            </w:r>
          </w:p>
        </w:tc>
        <w:tc>
          <w:tcPr>
            <w:tcW w:w="1559" w:type="dxa"/>
            <w:gridSpan w:val="2"/>
            <w:tcBorders>
              <w:left w:val="single" w:sz="4" w:space="0" w:color="auto"/>
            </w:tcBorders>
            <w:shd w:val="clear" w:color="auto" w:fill="auto"/>
            <w:vAlign w:val="bottom"/>
          </w:tcPr>
          <w:p w14:paraId="1FF7B119" w14:textId="5588908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 (0.59,1.41)</w:t>
            </w:r>
          </w:p>
        </w:tc>
        <w:tc>
          <w:tcPr>
            <w:tcW w:w="567" w:type="dxa"/>
            <w:shd w:val="clear" w:color="auto" w:fill="auto"/>
            <w:vAlign w:val="bottom"/>
          </w:tcPr>
          <w:p w14:paraId="7C51CD6B" w14:textId="731E1E8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0.69</w:t>
            </w:r>
          </w:p>
        </w:tc>
        <w:tc>
          <w:tcPr>
            <w:tcW w:w="1559" w:type="dxa"/>
            <w:shd w:val="clear" w:color="auto" w:fill="auto"/>
            <w:vAlign w:val="bottom"/>
          </w:tcPr>
          <w:p w14:paraId="69426AB2" w14:textId="6587034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1.38 (0.87,2.20)</w:t>
            </w:r>
          </w:p>
        </w:tc>
        <w:tc>
          <w:tcPr>
            <w:tcW w:w="567" w:type="dxa"/>
            <w:shd w:val="clear" w:color="auto" w:fill="auto"/>
            <w:vAlign w:val="bottom"/>
          </w:tcPr>
          <w:p w14:paraId="34040D00" w14:textId="0796996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0.17</w:t>
            </w:r>
          </w:p>
        </w:tc>
      </w:tr>
      <w:tr w:rsidR="00282537" w:rsidRPr="00110AC6" w14:paraId="0FFA0E95" w14:textId="77777777" w:rsidTr="00282537">
        <w:trPr>
          <w:trHeight w:val="227"/>
        </w:trPr>
        <w:tc>
          <w:tcPr>
            <w:tcW w:w="1134" w:type="dxa"/>
            <w:vMerge w:val="restart"/>
            <w:tcBorders>
              <w:right w:val="single" w:sz="4" w:space="0" w:color="auto"/>
            </w:tcBorders>
            <w:shd w:val="clear" w:color="auto" w:fill="auto"/>
            <w:vAlign w:val="center"/>
            <w:hideMark/>
          </w:tcPr>
          <w:p w14:paraId="5D064899" w14:textId="2318530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Cortisol:</w:t>
            </w:r>
            <w:r w:rsidRPr="00110AC6">
              <w:rPr>
                <w:rFonts w:eastAsia="Times New Roman" w:cstheme="minorHAnsi"/>
                <w:color w:val="000000"/>
                <w:sz w:val="20"/>
                <w:szCs w:val="20"/>
                <w:lang w:eastAsia="en-GB"/>
              </w:rPr>
              <w:br/>
              <w:t>DHEAS</w:t>
            </w:r>
            <w:r w:rsidR="007701A3">
              <w:rPr>
                <w:rFonts w:eastAsia="Times New Roman" w:cstheme="minorHAnsi"/>
                <w:color w:val="000000"/>
                <w:sz w:val="20"/>
                <w:szCs w:val="20"/>
                <w:lang w:eastAsia="en-GB"/>
              </w:rPr>
              <w:t xml:space="preserve"> ratio</w:t>
            </w:r>
          </w:p>
        </w:tc>
        <w:tc>
          <w:tcPr>
            <w:tcW w:w="411" w:type="dxa"/>
            <w:gridSpan w:val="3"/>
            <w:tcBorders>
              <w:left w:val="single" w:sz="4" w:space="0" w:color="auto"/>
              <w:right w:val="single" w:sz="4" w:space="0" w:color="auto"/>
            </w:tcBorders>
            <w:shd w:val="clear" w:color="auto" w:fill="auto"/>
            <w:noWrap/>
            <w:vAlign w:val="bottom"/>
            <w:hideMark/>
          </w:tcPr>
          <w:p w14:paraId="551BFA49"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16" w:type="dxa"/>
            <w:tcBorders>
              <w:left w:val="single" w:sz="4" w:space="0" w:color="auto"/>
            </w:tcBorders>
            <w:shd w:val="clear" w:color="auto" w:fill="auto"/>
            <w:noWrap/>
            <w:vAlign w:val="bottom"/>
          </w:tcPr>
          <w:p w14:paraId="2D5DA128" w14:textId="37871A7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0.98 (0.76,1.28)</w:t>
            </w:r>
          </w:p>
        </w:tc>
        <w:tc>
          <w:tcPr>
            <w:tcW w:w="591" w:type="dxa"/>
            <w:shd w:val="clear" w:color="auto" w:fill="auto"/>
            <w:noWrap/>
            <w:vAlign w:val="bottom"/>
          </w:tcPr>
          <w:p w14:paraId="7BFC3ED0" w14:textId="6C73217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0.90</w:t>
            </w:r>
          </w:p>
        </w:tc>
        <w:tc>
          <w:tcPr>
            <w:tcW w:w="1451" w:type="dxa"/>
            <w:shd w:val="clear" w:color="auto" w:fill="auto"/>
            <w:noWrap/>
            <w:vAlign w:val="bottom"/>
          </w:tcPr>
          <w:p w14:paraId="1702B61D" w14:textId="471FF46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 (0.73,1.23)</w:t>
            </w:r>
          </w:p>
        </w:tc>
        <w:tc>
          <w:tcPr>
            <w:tcW w:w="567" w:type="dxa"/>
            <w:tcBorders>
              <w:right w:val="single" w:sz="4" w:space="0" w:color="auto"/>
            </w:tcBorders>
            <w:shd w:val="clear" w:color="auto" w:fill="auto"/>
            <w:noWrap/>
            <w:vAlign w:val="bottom"/>
          </w:tcPr>
          <w:p w14:paraId="5E113673" w14:textId="2FEF811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0.67</w:t>
            </w:r>
          </w:p>
        </w:tc>
        <w:tc>
          <w:tcPr>
            <w:tcW w:w="1560" w:type="dxa"/>
            <w:gridSpan w:val="2"/>
            <w:tcBorders>
              <w:left w:val="single" w:sz="4" w:space="0" w:color="auto"/>
            </w:tcBorders>
            <w:shd w:val="clear" w:color="auto" w:fill="auto"/>
            <w:vAlign w:val="bottom"/>
          </w:tcPr>
          <w:p w14:paraId="5562B14B" w14:textId="1237096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0.88 (0.63,1.24)</w:t>
            </w:r>
          </w:p>
        </w:tc>
        <w:tc>
          <w:tcPr>
            <w:tcW w:w="567" w:type="dxa"/>
            <w:shd w:val="clear" w:color="auto" w:fill="auto"/>
            <w:vAlign w:val="bottom"/>
          </w:tcPr>
          <w:p w14:paraId="46386A14" w14:textId="6470459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0.48</w:t>
            </w:r>
          </w:p>
        </w:tc>
        <w:tc>
          <w:tcPr>
            <w:tcW w:w="1559" w:type="dxa"/>
            <w:shd w:val="clear" w:color="auto" w:fill="auto"/>
            <w:vAlign w:val="bottom"/>
          </w:tcPr>
          <w:p w14:paraId="7D4A6751" w14:textId="422A091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1.12 (0.81,1.56)</w:t>
            </w:r>
          </w:p>
        </w:tc>
        <w:tc>
          <w:tcPr>
            <w:tcW w:w="567" w:type="dxa"/>
            <w:tcBorders>
              <w:right w:val="single" w:sz="4" w:space="0" w:color="auto"/>
            </w:tcBorders>
            <w:shd w:val="clear" w:color="auto" w:fill="auto"/>
            <w:vAlign w:val="bottom"/>
          </w:tcPr>
          <w:p w14:paraId="2A6A7767" w14:textId="61ABBEC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0.49</w:t>
            </w:r>
          </w:p>
        </w:tc>
        <w:tc>
          <w:tcPr>
            <w:tcW w:w="1559" w:type="dxa"/>
            <w:gridSpan w:val="2"/>
            <w:tcBorders>
              <w:left w:val="single" w:sz="4" w:space="0" w:color="auto"/>
            </w:tcBorders>
            <w:shd w:val="clear" w:color="auto" w:fill="auto"/>
            <w:vAlign w:val="bottom"/>
          </w:tcPr>
          <w:p w14:paraId="51737053" w14:textId="14C1AE35"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1.16 (0.77,1.75)</w:t>
            </w:r>
          </w:p>
        </w:tc>
        <w:tc>
          <w:tcPr>
            <w:tcW w:w="567" w:type="dxa"/>
            <w:shd w:val="clear" w:color="auto" w:fill="auto"/>
            <w:vAlign w:val="bottom"/>
          </w:tcPr>
          <w:p w14:paraId="54A90C0C" w14:textId="6544F4A7"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0.47</w:t>
            </w:r>
          </w:p>
        </w:tc>
        <w:tc>
          <w:tcPr>
            <w:tcW w:w="1559" w:type="dxa"/>
            <w:shd w:val="clear" w:color="auto" w:fill="auto"/>
            <w:vAlign w:val="bottom"/>
          </w:tcPr>
          <w:p w14:paraId="744017C6" w14:textId="216A9CD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0.67 (0.42,1.08)</w:t>
            </w:r>
          </w:p>
        </w:tc>
        <w:tc>
          <w:tcPr>
            <w:tcW w:w="567" w:type="dxa"/>
            <w:shd w:val="clear" w:color="auto" w:fill="auto"/>
            <w:vAlign w:val="bottom"/>
          </w:tcPr>
          <w:p w14:paraId="59DD0AF4" w14:textId="16EC5DE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0.10</w:t>
            </w:r>
          </w:p>
        </w:tc>
      </w:tr>
      <w:tr w:rsidR="00282537" w:rsidRPr="00110AC6" w14:paraId="22A8B42F" w14:textId="77777777" w:rsidTr="00282537">
        <w:trPr>
          <w:trHeight w:val="227"/>
        </w:trPr>
        <w:tc>
          <w:tcPr>
            <w:tcW w:w="1134" w:type="dxa"/>
            <w:vMerge/>
            <w:tcBorders>
              <w:right w:val="single" w:sz="4" w:space="0" w:color="auto"/>
            </w:tcBorders>
            <w:vAlign w:val="center"/>
            <w:hideMark/>
          </w:tcPr>
          <w:p w14:paraId="070E18BD"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gridSpan w:val="3"/>
            <w:tcBorders>
              <w:left w:val="single" w:sz="4" w:space="0" w:color="auto"/>
              <w:right w:val="single" w:sz="4" w:space="0" w:color="auto"/>
            </w:tcBorders>
            <w:shd w:val="clear" w:color="auto" w:fill="auto"/>
            <w:noWrap/>
            <w:vAlign w:val="bottom"/>
            <w:hideMark/>
          </w:tcPr>
          <w:p w14:paraId="42D7BD63"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16" w:type="dxa"/>
            <w:tcBorders>
              <w:left w:val="single" w:sz="4" w:space="0" w:color="auto"/>
            </w:tcBorders>
            <w:shd w:val="clear" w:color="auto" w:fill="auto"/>
            <w:noWrap/>
            <w:vAlign w:val="bottom"/>
          </w:tcPr>
          <w:p w14:paraId="698957AD" w14:textId="1CACFF6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1.01 (0.77,1.31)</w:t>
            </w:r>
          </w:p>
        </w:tc>
        <w:tc>
          <w:tcPr>
            <w:tcW w:w="591" w:type="dxa"/>
            <w:shd w:val="clear" w:color="auto" w:fill="auto"/>
            <w:noWrap/>
            <w:vAlign w:val="bottom"/>
          </w:tcPr>
          <w:p w14:paraId="54F58A72" w14:textId="33CF340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w:t>
            </w:r>
          </w:p>
        </w:tc>
        <w:tc>
          <w:tcPr>
            <w:tcW w:w="1451" w:type="dxa"/>
            <w:shd w:val="clear" w:color="auto" w:fill="auto"/>
            <w:noWrap/>
            <w:vAlign w:val="bottom"/>
          </w:tcPr>
          <w:p w14:paraId="6ACD2841" w14:textId="2F0C35C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 (0.72,1.23)</w:t>
            </w:r>
          </w:p>
        </w:tc>
        <w:tc>
          <w:tcPr>
            <w:tcW w:w="567" w:type="dxa"/>
            <w:tcBorders>
              <w:right w:val="single" w:sz="4" w:space="0" w:color="auto"/>
            </w:tcBorders>
            <w:shd w:val="clear" w:color="auto" w:fill="auto"/>
            <w:noWrap/>
            <w:vAlign w:val="bottom"/>
          </w:tcPr>
          <w:p w14:paraId="5B8E3495" w14:textId="027709F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0.68</w:t>
            </w:r>
          </w:p>
        </w:tc>
        <w:tc>
          <w:tcPr>
            <w:tcW w:w="1560" w:type="dxa"/>
            <w:gridSpan w:val="2"/>
            <w:tcBorders>
              <w:left w:val="single" w:sz="4" w:space="0" w:color="auto"/>
            </w:tcBorders>
            <w:shd w:val="clear" w:color="auto" w:fill="auto"/>
            <w:vAlign w:val="bottom"/>
          </w:tcPr>
          <w:p w14:paraId="7984126A" w14:textId="2BC58B2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0.91 (0.64,1.28)</w:t>
            </w:r>
          </w:p>
        </w:tc>
        <w:tc>
          <w:tcPr>
            <w:tcW w:w="567" w:type="dxa"/>
            <w:shd w:val="clear" w:color="auto" w:fill="auto"/>
            <w:vAlign w:val="bottom"/>
          </w:tcPr>
          <w:p w14:paraId="5AC367FD" w14:textId="5477B21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0.58</w:t>
            </w:r>
          </w:p>
        </w:tc>
        <w:tc>
          <w:tcPr>
            <w:tcW w:w="1559" w:type="dxa"/>
            <w:shd w:val="clear" w:color="auto" w:fill="auto"/>
            <w:vAlign w:val="bottom"/>
          </w:tcPr>
          <w:p w14:paraId="15793BF1" w14:textId="0EF79D7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1.10 (0.79,1.54)</w:t>
            </w:r>
          </w:p>
        </w:tc>
        <w:tc>
          <w:tcPr>
            <w:tcW w:w="567" w:type="dxa"/>
            <w:tcBorders>
              <w:right w:val="single" w:sz="4" w:space="0" w:color="auto"/>
            </w:tcBorders>
            <w:shd w:val="clear" w:color="auto" w:fill="auto"/>
            <w:vAlign w:val="bottom"/>
          </w:tcPr>
          <w:p w14:paraId="66FD36A9" w14:textId="4C6146F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0.57</w:t>
            </w:r>
          </w:p>
        </w:tc>
        <w:tc>
          <w:tcPr>
            <w:tcW w:w="1559" w:type="dxa"/>
            <w:gridSpan w:val="2"/>
            <w:tcBorders>
              <w:left w:val="single" w:sz="4" w:space="0" w:color="auto"/>
            </w:tcBorders>
            <w:shd w:val="clear" w:color="auto" w:fill="auto"/>
            <w:vAlign w:val="bottom"/>
          </w:tcPr>
          <w:p w14:paraId="1B26CE62" w14:textId="4AEC0596"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1.19 (0.78,1.83)</w:t>
            </w:r>
          </w:p>
        </w:tc>
        <w:tc>
          <w:tcPr>
            <w:tcW w:w="567" w:type="dxa"/>
            <w:shd w:val="clear" w:color="auto" w:fill="auto"/>
            <w:vAlign w:val="bottom"/>
          </w:tcPr>
          <w:p w14:paraId="3AC8490A" w14:textId="5B9F2A80" w:rsidR="001E1E07" w:rsidRPr="00110AC6" w:rsidRDefault="001E1E07" w:rsidP="001E1E07">
            <w:pPr>
              <w:spacing w:after="0" w:line="240" w:lineRule="auto"/>
              <w:jc w:val="center"/>
              <w:rPr>
                <w:rFonts w:eastAsia="Times New Roman" w:cstheme="minorHAnsi"/>
                <w:b/>
                <w:bCs/>
                <w:color w:val="000000"/>
                <w:sz w:val="20"/>
                <w:szCs w:val="20"/>
                <w:lang w:eastAsia="en-GB"/>
              </w:rPr>
            </w:pPr>
            <w:r w:rsidRPr="00110AC6">
              <w:rPr>
                <w:rFonts w:cstheme="minorHAnsi"/>
                <w:color w:val="000000"/>
                <w:sz w:val="20"/>
                <w:szCs w:val="20"/>
              </w:rPr>
              <w:t>0.42</w:t>
            </w:r>
          </w:p>
        </w:tc>
        <w:tc>
          <w:tcPr>
            <w:tcW w:w="1559" w:type="dxa"/>
            <w:shd w:val="clear" w:color="auto" w:fill="auto"/>
            <w:vAlign w:val="bottom"/>
          </w:tcPr>
          <w:p w14:paraId="30A6CA64" w14:textId="042E56A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0.68 (0.42,1.10)</w:t>
            </w:r>
          </w:p>
        </w:tc>
        <w:tc>
          <w:tcPr>
            <w:tcW w:w="567" w:type="dxa"/>
            <w:shd w:val="clear" w:color="auto" w:fill="auto"/>
            <w:vAlign w:val="bottom"/>
          </w:tcPr>
          <w:p w14:paraId="09AF3C4B" w14:textId="00BE281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0.11</w:t>
            </w:r>
          </w:p>
        </w:tc>
      </w:tr>
      <w:tr w:rsidR="00282537" w:rsidRPr="00110AC6" w14:paraId="67F83208" w14:textId="77777777" w:rsidTr="00282537">
        <w:trPr>
          <w:trHeight w:val="227"/>
        </w:trPr>
        <w:tc>
          <w:tcPr>
            <w:tcW w:w="1134" w:type="dxa"/>
            <w:vMerge w:val="restart"/>
            <w:tcBorders>
              <w:right w:val="single" w:sz="4" w:space="0" w:color="auto"/>
            </w:tcBorders>
            <w:shd w:val="clear" w:color="auto" w:fill="auto"/>
            <w:vAlign w:val="center"/>
            <w:hideMark/>
          </w:tcPr>
          <w:p w14:paraId="3D15259F"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IL-1β</w:t>
            </w:r>
          </w:p>
        </w:tc>
        <w:tc>
          <w:tcPr>
            <w:tcW w:w="411" w:type="dxa"/>
            <w:gridSpan w:val="3"/>
            <w:tcBorders>
              <w:left w:val="single" w:sz="4" w:space="0" w:color="auto"/>
              <w:right w:val="single" w:sz="4" w:space="0" w:color="auto"/>
            </w:tcBorders>
            <w:shd w:val="clear" w:color="auto" w:fill="auto"/>
            <w:noWrap/>
            <w:vAlign w:val="bottom"/>
            <w:hideMark/>
          </w:tcPr>
          <w:p w14:paraId="6F512797"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16" w:type="dxa"/>
            <w:tcBorders>
              <w:left w:val="single" w:sz="4" w:space="0" w:color="auto"/>
            </w:tcBorders>
            <w:shd w:val="clear" w:color="auto" w:fill="auto"/>
            <w:noWrap/>
            <w:vAlign w:val="bottom"/>
          </w:tcPr>
          <w:p w14:paraId="1768BC1A" w14:textId="1A13FC4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0.90 (0.65,1.25)</w:t>
            </w:r>
          </w:p>
        </w:tc>
        <w:tc>
          <w:tcPr>
            <w:tcW w:w="591" w:type="dxa"/>
            <w:shd w:val="clear" w:color="auto" w:fill="auto"/>
            <w:noWrap/>
            <w:vAlign w:val="bottom"/>
          </w:tcPr>
          <w:p w14:paraId="2804E8D2" w14:textId="0BC1088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0.54</w:t>
            </w:r>
          </w:p>
        </w:tc>
        <w:tc>
          <w:tcPr>
            <w:tcW w:w="1451" w:type="dxa"/>
            <w:shd w:val="clear" w:color="auto" w:fill="auto"/>
            <w:noWrap/>
            <w:vAlign w:val="bottom"/>
          </w:tcPr>
          <w:p w14:paraId="5F647CAE" w14:textId="077204B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0.71 (0.49,1.01)</w:t>
            </w:r>
          </w:p>
        </w:tc>
        <w:tc>
          <w:tcPr>
            <w:tcW w:w="567" w:type="dxa"/>
            <w:tcBorders>
              <w:right w:val="single" w:sz="4" w:space="0" w:color="auto"/>
            </w:tcBorders>
            <w:shd w:val="clear" w:color="auto" w:fill="auto"/>
            <w:noWrap/>
            <w:vAlign w:val="bottom"/>
          </w:tcPr>
          <w:p w14:paraId="2D10087D" w14:textId="3C2CC45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0.06</w:t>
            </w:r>
          </w:p>
        </w:tc>
        <w:tc>
          <w:tcPr>
            <w:tcW w:w="1560" w:type="dxa"/>
            <w:gridSpan w:val="2"/>
            <w:tcBorders>
              <w:left w:val="single" w:sz="4" w:space="0" w:color="auto"/>
            </w:tcBorders>
            <w:shd w:val="clear" w:color="auto" w:fill="auto"/>
            <w:vAlign w:val="bottom"/>
          </w:tcPr>
          <w:p w14:paraId="5B225EC1" w14:textId="1C75924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1.14 (0.75,1.74)</w:t>
            </w:r>
          </w:p>
        </w:tc>
        <w:tc>
          <w:tcPr>
            <w:tcW w:w="567" w:type="dxa"/>
            <w:shd w:val="clear" w:color="auto" w:fill="auto"/>
            <w:vAlign w:val="bottom"/>
          </w:tcPr>
          <w:p w14:paraId="5099E68F" w14:textId="6579FE1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0.53</w:t>
            </w:r>
          </w:p>
        </w:tc>
        <w:tc>
          <w:tcPr>
            <w:tcW w:w="1559" w:type="dxa"/>
            <w:shd w:val="clear" w:color="auto" w:fill="auto"/>
            <w:vAlign w:val="bottom"/>
          </w:tcPr>
          <w:p w14:paraId="3B2ECAA0" w14:textId="1415B71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0.75 (0.49,1.15)</w:t>
            </w:r>
          </w:p>
        </w:tc>
        <w:tc>
          <w:tcPr>
            <w:tcW w:w="567" w:type="dxa"/>
            <w:tcBorders>
              <w:right w:val="single" w:sz="4" w:space="0" w:color="auto"/>
            </w:tcBorders>
            <w:shd w:val="clear" w:color="auto" w:fill="auto"/>
            <w:vAlign w:val="bottom"/>
          </w:tcPr>
          <w:p w14:paraId="0D202B54" w14:textId="201C9A3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0.19</w:t>
            </w:r>
          </w:p>
        </w:tc>
        <w:tc>
          <w:tcPr>
            <w:tcW w:w="1559" w:type="dxa"/>
            <w:gridSpan w:val="2"/>
            <w:tcBorders>
              <w:left w:val="single" w:sz="4" w:space="0" w:color="auto"/>
            </w:tcBorders>
            <w:shd w:val="clear" w:color="auto" w:fill="auto"/>
            <w:vAlign w:val="bottom"/>
          </w:tcPr>
          <w:p w14:paraId="262AE8C5" w14:textId="0454C25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0.57 (0.29,1.10)</w:t>
            </w:r>
          </w:p>
        </w:tc>
        <w:tc>
          <w:tcPr>
            <w:tcW w:w="567" w:type="dxa"/>
            <w:shd w:val="clear" w:color="auto" w:fill="auto"/>
            <w:vAlign w:val="bottom"/>
          </w:tcPr>
          <w:p w14:paraId="57308A55" w14:textId="42B04A5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0.09</w:t>
            </w:r>
          </w:p>
        </w:tc>
        <w:tc>
          <w:tcPr>
            <w:tcW w:w="1559" w:type="dxa"/>
            <w:shd w:val="clear" w:color="auto" w:fill="auto"/>
            <w:vAlign w:val="bottom"/>
          </w:tcPr>
          <w:p w14:paraId="7C37C4A1" w14:textId="0020B11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0.60 (0.30,1.20)</w:t>
            </w:r>
          </w:p>
        </w:tc>
        <w:tc>
          <w:tcPr>
            <w:tcW w:w="567" w:type="dxa"/>
            <w:shd w:val="clear" w:color="auto" w:fill="auto"/>
            <w:vAlign w:val="bottom"/>
          </w:tcPr>
          <w:p w14:paraId="027F47F5" w14:textId="01359B4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0.15</w:t>
            </w:r>
          </w:p>
        </w:tc>
      </w:tr>
      <w:tr w:rsidR="00282537" w:rsidRPr="00110AC6" w14:paraId="79D6A6E3" w14:textId="77777777" w:rsidTr="00282537">
        <w:trPr>
          <w:trHeight w:val="227"/>
        </w:trPr>
        <w:tc>
          <w:tcPr>
            <w:tcW w:w="1134" w:type="dxa"/>
            <w:vMerge/>
            <w:tcBorders>
              <w:right w:val="single" w:sz="4" w:space="0" w:color="auto"/>
            </w:tcBorders>
            <w:vAlign w:val="center"/>
            <w:hideMark/>
          </w:tcPr>
          <w:p w14:paraId="37A4474F"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gridSpan w:val="3"/>
            <w:tcBorders>
              <w:left w:val="single" w:sz="4" w:space="0" w:color="auto"/>
              <w:right w:val="single" w:sz="4" w:space="0" w:color="auto"/>
            </w:tcBorders>
            <w:shd w:val="clear" w:color="auto" w:fill="auto"/>
            <w:noWrap/>
            <w:vAlign w:val="bottom"/>
            <w:hideMark/>
          </w:tcPr>
          <w:p w14:paraId="3450697B"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16" w:type="dxa"/>
            <w:tcBorders>
              <w:left w:val="single" w:sz="4" w:space="0" w:color="auto"/>
            </w:tcBorders>
            <w:shd w:val="clear" w:color="auto" w:fill="auto"/>
            <w:noWrap/>
            <w:vAlign w:val="bottom"/>
          </w:tcPr>
          <w:p w14:paraId="0BEB6DFA" w14:textId="00923B2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0.87 (0.62,1.22)</w:t>
            </w:r>
          </w:p>
        </w:tc>
        <w:tc>
          <w:tcPr>
            <w:tcW w:w="591" w:type="dxa"/>
            <w:shd w:val="clear" w:color="auto" w:fill="auto"/>
            <w:noWrap/>
            <w:vAlign w:val="bottom"/>
          </w:tcPr>
          <w:p w14:paraId="61E6BE93" w14:textId="04F2FE0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0.41</w:t>
            </w:r>
          </w:p>
        </w:tc>
        <w:tc>
          <w:tcPr>
            <w:tcW w:w="1451" w:type="dxa"/>
            <w:shd w:val="clear" w:color="auto" w:fill="auto"/>
            <w:noWrap/>
            <w:vAlign w:val="bottom"/>
          </w:tcPr>
          <w:p w14:paraId="6C29F46D" w14:textId="7908F31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0.70 (0.49,1.01)</w:t>
            </w:r>
          </w:p>
        </w:tc>
        <w:tc>
          <w:tcPr>
            <w:tcW w:w="567" w:type="dxa"/>
            <w:tcBorders>
              <w:right w:val="single" w:sz="4" w:space="0" w:color="auto"/>
            </w:tcBorders>
            <w:shd w:val="clear" w:color="auto" w:fill="auto"/>
            <w:noWrap/>
            <w:vAlign w:val="bottom"/>
          </w:tcPr>
          <w:p w14:paraId="2092F070" w14:textId="6762BD4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0.06</w:t>
            </w:r>
          </w:p>
        </w:tc>
        <w:tc>
          <w:tcPr>
            <w:tcW w:w="1560" w:type="dxa"/>
            <w:gridSpan w:val="2"/>
            <w:tcBorders>
              <w:left w:val="single" w:sz="4" w:space="0" w:color="auto"/>
            </w:tcBorders>
            <w:shd w:val="clear" w:color="auto" w:fill="auto"/>
            <w:vAlign w:val="bottom"/>
          </w:tcPr>
          <w:p w14:paraId="401EAF76" w14:textId="5204D23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1.13 (0.73,1.76)</w:t>
            </w:r>
          </w:p>
        </w:tc>
        <w:tc>
          <w:tcPr>
            <w:tcW w:w="567" w:type="dxa"/>
            <w:shd w:val="clear" w:color="auto" w:fill="auto"/>
            <w:vAlign w:val="bottom"/>
          </w:tcPr>
          <w:p w14:paraId="743E133D" w14:textId="1E017E5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0.58</w:t>
            </w:r>
          </w:p>
        </w:tc>
        <w:tc>
          <w:tcPr>
            <w:tcW w:w="1559" w:type="dxa"/>
            <w:shd w:val="clear" w:color="auto" w:fill="auto"/>
            <w:vAlign w:val="bottom"/>
          </w:tcPr>
          <w:p w14:paraId="0C74EF0B" w14:textId="3A59B5B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0.77 (0.50,1.20)</w:t>
            </w:r>
          </w:p>
        </w:tc>
        <w:tc>
          <w:tcPr>
            <w:tcW w:w="567" w:type="dxa"/>
            <w:tcBorders>
              <w:right w:val="single" w:sz="4" w:space="0" w:color="auto"/>
            </w:tcBorders>
            <w:shd w:val="clear" w:color="auto" w:fill="auto"/>
            <w:vAlign w:val="bottom"/>
          </w:tcPr>
          <w:p w14:paraId="7D03316A" w14:textId="1E9BFD1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0.26</w:t>
            </w:r>
          </w:p>
        </w:tc>
        <w:tc>
          <w:tcPr>
            <w:tcW w:w="1559" w:type="dxa"/>
            <w:gridSpan w:val="2"/>
            <w:tcBorders>
              <w:left w:val="single" w:sz="4" w:space="0" w:color="auto"/>
            </w:tcBorders>
            <w:shd w:val="clear" w:color="auto" w:fill="auto"/>
            <w:vAlign w:val="bottom"/>
          </w:tcPr>
          <w:p w14:paraId="7E8BA717" w14:textId="614991F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0.53 (0.26,1.08)</w:t>
            </w:r>
          </w:p>
        </w:tc>
        <w:tc>
          <w:tcPr>
            <w:tcW w:w="567" w:type="dxa"/>
            <w:shd w:val="clear" w:color="auto" w:fill="auto"/>
            <w:vAlign w:val="bottom"/>
          </w:tcPr>
          <w:p w14:paraId="4E9619A9" w14:textId="5E7130B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0.08</w:t>
            </w:r>
          </w:p>
        </w:tc>
        <w:tc>
          <w:tcPr>
            <w:tcW w:w="1559" w:type="dxa"/>
            <w:shd w:val="clear" w:color="auto" w:fill="auto"/>
            <w:vAlign w:val="bottom"/>
          </w:tcPr>
          <w:p w14:paraId="6F634F6B" w14:textId="37674FC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0.57 (0.28,1.15)</w:t>
            </w:r>
          </w:p>
        </w:tc>
        <w:tc>
          <w:tcPr>
            <w:tcW w:w="567" w:type="dxa"/>
            <w:shd w:val="clear" w:color="auto" w:fill="auto"/>
            <w:vAlign w:val="bottom"/>
          </w:tcPr>
          <w:p w14:paraId="4FEAB2B5" w14:textId="116C309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0.12</w:t>
            </w:r>
          </w:p>
        </w:tc>
      </w:tr>
      <w:tr w:rsidR="00282537" w:rsidRPr="00110AC6" w14:paraId="56A40222" w14:textId="77777777" w:rsidTr="00282537">
        <w:trPr>
          <w:trHeight w:val="227"/>
        </w:trPr>
        <w:tc>
          <w:tcPr>
            <w:tcW w:w="1134" w:type="dxa"/>
            <w:vMerge w:val="restart"/>
            <w:tcBorders>
              <w:right w:val="single" w:sz="4" w:space="0" w:color="auto"/>
            </w:tcBorders>
            <w:shd w:val="clear" w:color="auto" w:fill="auto"/>
            <w:vAlign w:val="center"/>
            <w:hideMark/>
          </w:tcPr>
          <w:p w14:paraId="3ACD4A33"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IL-6</w:t>
            </w:r>
          </w:p>
        </w:tc>
        <w:tc>
          <w:tcPr>
            <w:tcW w:w="411" w:type="dxa"/>
            <w:gridSpan w:val="3"/>
            <w:tcBorders>
              <w:left w:val="single" w:sz="4" w:space="0" w:color="auto"/>
              <w:right w:val="single" w:sz="4" w:space="0" w:color="auto"/>
            </w:tcBorders>
            <w:shd w:val="clear" w:color="auto" w:fill="auto"/>
            <w:noWrap/>
            <w:vAlign w:val="bottom"/>
            <w:hideMark/>
          </w:tcPr>
          <w:p w14:paraId="70A46A8E"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16" w:type="dxa"/>
            <w:tcBorders>
              <w:left w:val="single" w:sz="4" w:space="0" w:color="auto"/>
            </w:tcBorders>
            <w:shd w:val="clear" w:color="auto" w:fill="auto"/>
            <w:noWrap/>
            <w:vAlign w:val="bottom"/>
          </w:tcPr>
          <w:p w14:paraId="6E98B63B" w14:textId="7E915D5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1.05 (0.75,1.46)</w:t>
            </w:r>
          </w:p>
        </w:tc>
        <w:tc>
          <w:tcPr>
            <w:tcW w:w="591" w:type="dxa"/>
            <w:shd w:val="clear" w:color="auto" w:fill="auto"/>
            <w:noWrap/>
            <w:vAlign w:val="bottom"/>
          </w:tcPr>
          <w:p w14:paraId="7393DDF5" w14:textId="29B67A7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0.77</w:t>
            </w:r>
          </w:p>
        </w:tc>
        <w:tc>
          <w:tcPr>
            <w:tcW w:w="1451" w:type="dxa"/>
            <w:shd w:val="clear" w:color="auto" w:fill="auto"/>
            <w:noWrap/>
            <w:vAlign w:val="bottom"/>
          </w:tcPr>
          <w:p w14:paraId="0AB6E8D5" w14:textId="5885195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1.05 (0.75,1.48)</w:t>
            </w:r>
          </w:p>
        </w:tc>
        <w:tc>
          <w:tcPr>
            <w:tcW w:w="567" w:type="dxa"/>
            <w:tcBorders>
              <w:right w:val="single" w:sz="4" w:space="0" w:color="auto"/>
            </w:tcBorders>
            <w:shd w:val="clear" w:color="auto" w:fill="auto"/>
            <w:noWrap/>
            <w:vAlign w:val="bottom"/>
          </w:tcPr>
          <w:p w14:paraId="260EEB5A" w14:textId="052A375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0.76</w:t>
            </w:r>
          </w:p>
        </w:tc>
        <w:tc>
          <w:tcPr>
            <w:tcW w:w="1560" w:type="dxa"/>
            <w:gridSpan w:val="2"/>
            <w:tcBorders>
              <w:left w:val="single" w:sz="4" w:space="0" w:color="auto"/>
            </w:tcBorders>
            <w:shd w:val="clear" w:color="auto" w:fill="auto"/>
            <w:vAlign w:val="bottom"/>
          </w:tcPr>
          <w:p w14:paraId="2567A979" w14:textId="3F98B29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0.97 (0.64,1.47)</w:t>
            </w:r>
          </w:p>
        </w:tc>
        <w:tc>
          <w:tcPr>
            <w:tcW w:w="567" w:type="dxa"/>
            <w:shd w:val="clear" w:color="auto" w:fill="auto"/>
            <w:vAlign w:val="bottom"/>
          </w:tcPr>
          <w:p w14:paraId="14DD4F44" w14:textId="6007D2A5"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0.89</w:t>
            </w:r>
          </w:p>
        </w:tc>
        <w:tc>
          <w:tcPr>
            <w:tcW w:w="1559" w:type="dxa"/>
            <w:shd w:val="clear" w:color="auto" w:fill="auto"/>
            <w:vAlign w:val="bottom"/>
          </w:tcPr>
          <w:p w14:paraId="0936A20C" w14:textId="2728FFF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0.83 (0.55,1.25)</w:t>
            </w:r>
          </w:p>
        </w:tc>
        <w:tc>
          <w:tcPr>
            <w:tcW w:w="567" w:type="dxa"/>
            <w:tcBorders>
              <w:right w:val="single" w:sz="4" w:space="0" w:color="auto"/>
            </w:tcBorders>
            <w:shd w:val="clear" w:color="auto" w:fill="auto"/>
            <w:vAlign w:val="bottom"/>
          </w:tcPr>
          <w:p w14:paraId="0FF35EA2" w14:textId="6AEFD85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0.37</w:t>
            </w:r>
          </w:p>
        </w:tc>
        <w:tc>
          <w:tcPr>
            <w:tcW w:w="1559" w:type="dxa"/>
            <w:gridSpan w:val="2"/>
            <w:tcBorders>
              <w:left w:val="single" w:sz="4" w:space="0" w:color="auto"/>
            </w:tcBorders>
            <w:shd w:val="clear" w:color="auto" w:fill="auto"/>
            <w:vAlign w:val="bottom"/>
          </w:tcPr>
          <w:p w14:paraId="06823024" w14:textId="0E4BF50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1.19 (0.68,2.08)</w:t>
            </w:r>
          </w:p>
        </w:tc>
        <w:tc>
          <w:tcPr>
            <w:tcW w:w="567" w:type="dxa"/>
            <w:shd w:val="clear" w:color="auto" w:fill="auto"/>
            <w:vAlign w:val="bottom"/>
          </w:tcPr>
          <w:p w14:paraId="4B7D8CE6" w14:textId="1304AD0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0.54</w:t>
            </w:r>
          </w:p>
        </w:tc>
        <w:tc>
          <w:tcPr>
            <w:tcW w:w="1559" w:type="dxa"/>
            <w:shd w:val="clear" w:color="auto" w:fill="auto"/>
            <w:vAlign w:val="bottom"/>
          </w:tcPr>
          <w:p w14:paraId="2A9339C2" w14:textId="356F571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2.02 (0.99,4.12)</w:t>
            </w:r>
          </w:p>
        </w:tc>
        <w:tc>
          <w:tcPr>
            <w:tcW w:w="567" w:type="dxa"/>
            <w:shd w:val="clear" w:color="auto" w:fill="auto"/>
            <w:vAlign w:val="bottom"/>
          </w:tcPr>
          <w:p w14:paraId="6D1B9806" w14:textId="0B6DBE6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0.05</w:t>
            </w:r>
          </w:p>
        </w:tc>
      </w:tr>
      <w:tr w:rsidR="00282537" w:rsidRPr="00110AC6" w14:paraId="3D6453F1" w14:textId="77777777" w:rsidTr="00282537">
        <w:trPr>
          <w:trHeight w:val="227"/>
        </w:trPr>
        <w:tc>
          <w:tcPr>
            <w:tcW w:w="1134" w:type="dxa"/>
            <w:vMerge/>
            <w:tcBorders>
              <w:right w:val="single" w:sz="4" w:space="0" w:color="auto"/>
            </w:tcBorders>
            <w:vAlign w:val="center"/>
            <w:hideMark/>
          </w:tcPr>
          <w:p w14:paraId="6CF2B82D"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gridSpan w:val="3"/>
            <w:tcBorders>
              <w:left w:val="single" w:sz="4" w:space="0" w:color="auto"/>
              <w:right w:val="single" w:sz="4" w:space="0" w:color="auto"/>
            </w:tcBorders>
            <w:shd w:val="clear" w:color="auto" w:fill="auto"/>
            <w:noWrap/>
            <w:vAlign w:val="bottom"/>
            <w:hideMark/>
          </w:tcPr>
          <w:p w14:paraId="369090C8"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16" w:type="dxa"/>
            <w:tcBorders>
              <w:left w:val="single" w:sz="4" w:space="0" w:color="auto"/>
            </w:tcBorders>
            <w:shd w:val="clear" w:color="auto" w:fill="auto"/>
            <w:noWrap/>
            <w:vAlign w:val="bottom"/>
          </w:tcPr>
          <w:p w14:paraId="630F1B00" w14:textId="0C2DC76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1.07 (0.75,1.51)</w:t>
            </w:r>
          </w:p>
        </w:tc>
        <w:tc>
          <w:tcPr>
            <w:tcW w:w="591" w:type="dxa"/>
            <w:shd w:val="clear" w:color="auto" w:fill="auto"/>
            <w:noWrap/>
            <w:vAlign w:val="bottom"/>
          </w:tcPr>
          <w:p w14:paraId="558BC0BD" w14:textId="5347F31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0.72</w:t>
            </w:r>
          </w:p>
        </w:tc>
        <w:tc>
          <w:tcPr>
            <w:tcW w:w="1451" w:type="dxa"/>
            <w:shd w:val="clear" w:color="auto" w:fill="auto"/>
            <w:noWrap/>
            <w:vAlign w:val="bottom"/>
          </w:tcPr>
          <w:p w14:paraId="6D6E0885" w14:textId="0A4695E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1.08 (0.77,1.51)</w:t>
            </w:r>
          </w:p>
        </w:tc>
        <w:tc>
          <w:tcPr>
            <w:tcW w:w="567" w:type="dxa"/>
            <w:tcBorders>
              <w:right w:val="single" w:sz="4" w:space="0" w:color="auto"/>
            </w:tcBorders>
            <w:shd w:val="clear" w:color="auto" w:fill="auto"/>
            <w:noWrap/>
            <w:vAlign w:val="bottom"/>
          </w:tcPr>
          <w:p w14:paraId="3149CBCE" w14:textId="50F2584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0.67</w:t>
            </w:r>
          </w:p>
        </w:tc>
        <w:tc>
          <w:tcPr>
            <w:tcW w:w="1560" w:type="dxa"/>
            <w:gridSpan w:val="2"/>
            <w:tcBorders>
              <w:left w:val="single" w:sz="4" w:space="0" w:color="auto"/>
            </w:tcBorders>
            <w:shd w:val="clear" w:color="auto" w:fill="auto"/>
            <w:vAlign w:val="bottom"/>
          </w:tcPr>
          <w:p w14:paraId="771C707B" w14:textId="7C31519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0.92 (0.59,1.43)</w:t>
            </w:r>
          </w:p>
        </w:tc>
        <w:tc>
          <w:tcPr>
            <w:tcW w:w="567" w:type="dxa"/>
            <w:shd w:val="clear" w:color="auto" w:fill="auto"/>
            <w:vAlign w:val="bottom"/>
          </w:tcPr>
          <w:p w14:paraId="191405F0" w14:textId="06E0494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0.70</w:t>
            </w:r>
          </w:p>
        </w:tc>
        <w:tc>
          <w:tcPr>
            <w:tcW w:w="1559" w:type="dxa"/>
            <w:shd w:val="clear" w:color="auto" w:fill="auto"/>
            <w:vAlign w:val="bottom"/>
          </w:tcPr>
          <w:p w14:paraId="3034875A" w14:textId="18138DB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0.85 (0.55,1.30)</w:t>
            </w:r>
          </w:p>
        </w:tc>
        <w:tc>
          <w:tcPr>
            <w:tcW w:w="567" w:type="dxa"/>
            <w:tcBorders>
              <w:right w:val="single" w:sz="4" w:space="0" w:color="auto"/>
            </w:tcBorders>
            <w:shd w:val="clear" w:color="auto" w:fill="auto"/>
            <w:vAlign w:val="bottom"/>
          </w:tcPr>
          <w:p w14:paraId="6A396641" w14:textId="4131461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0.46</w:t>
            </w:r>
          </w:p>
        </w:tc>
        <w:tc>
          <w:tcPr>
            <w:tcW w:w="1559" w:type="dxa"/>
            <w:gridSpan w:val="2"/>
            <w:tcBorders>
              <w:left w:val="single" w:sz="4" w:space="0" w:color="auto"/>
            </w:tcBorders>
            <w:shd w:val="clear" w:color="auto" w:fill="auto"/>
            <w:vAlign w:val="bottom"/>
          </w:tcPr>
          <w:p w14:paraId="3714AE4B" w14:textId="1A5B475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1.32 (0.70,2.47)</w:t>
            </w:r>
          </w:p>
        </w:tc>
        <w:tc>
          <w:tcPr>
            <w:tcW w:w="567" w:type="dxa"/>
            <w:shd w:val="clear" w:color="auto" w:fill="auto"/>
            <w:vAlign w:val="bottom"/>
          </w:tcPr>
          <w:p w14:paraId="2F6F558E" w14:textId="3ACD6E3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0.39</w:t>
            </w:r>
          </w:p>
        </w:tc>
        <w:tc>
          <w:tcPr>
            <w:tcW w:w="1559" w:type="dxa"/>
            <w:shd w:val="clear" w:color="auto" w:fill="auto"/>
            <w:vAlign w:val="bottom"/>
          </w:tcPr>
          <w:p w14:paraId="5D31E80C" w14:textId="7608F223"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2.31 (1.06,5.05)</w:t>
            </w:r>
          </w:p>
        </w:tc>
        <w:tc>
          <w:tcPr>
            <w:tcW w:w="567" w:type="dxa"/>
            <w:shd w:val="clear" w:color="auto" w:fill="auto"/>
            <w:vAlign w:val="bottom"/>
          </w:tcPr>
          <w:p w14:paraId="5EA00ECA" w14:textId="503E2C97" w:rsidR="001E1E07" w:rsidRPr="00110AC6" w:rsidRDefault="001E1E07" w:rsidP="001E1E07">
            <w:pPr>
              <w:spacing w:after="0" w:line="240" w:lineRule="auto"/>
              <w:jc w:val="center"/>
              <w:rPr>
                <w:rFonts w:eastAsia="Times New Roman" w:cstheme="minorHAnsi"/>
                <w:b/>
                <w:color w:val="000000"/>
                <w:sz w:val="20"/>
                <w:szCs w:val="20"/>
                <w:lang w:eastAsia="en-GB"/>
              </w:rPr>
            </w:pPr>
            <w:r w:rsidRPr="00110AC6">
              <w:rPr>
                <w:rFonts w:cstheme="minorHAnsi"/>
                <w:b/>
                <w:color w:val="000000"/>
                <w:sz w:val="20"/>
                <w:szCs w:val="20"/>
              </w:rPr>
              <w:t>0.04</w:t>
            </w:r>
          </w:p>
        </w:tc>
      </w:tr>
      <w:tr w:rsidR="00282537" w:rsidRPr="00110AC6" w14:paraId="35E12561" w14:textId="77777777" w:rsidTr="00282537">
        <w:trPr>
          <w:trHeight w:val="227"/>
        </w:trPr>
        <w:tc>
          <w:tcPr>
            <w:tcW w:w="1134" w:type="dxa"/>
            <w:vMerge w:val="restart"/>
            <w:tcBorders>
              <w:right w:val="single" w:sz="4" w:space="0" w:color="auto"/>
            </w:tcBorders>
            <w:shd w:val="clear" w:color="auto" w:fill="auto"/>
            <w:vAlign w:val="center"/>
            <w:hideMark/>
          </w:tcPr>
          <w:p w14:paraId="693BACE9"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TNFα</w:t>
            </w:r>
          </w:p>
        </w:tc>
        <w:tc>
          <w:tcPr>
            <w:tcW w:w="411" w:type="dxa"/>
            <w:gridSpan w:val="3"/>
            <w:tcBorders>
              <w:left w:val="single" w:sz="4" w:space="0" w:color="auto"/>
              <w:right w:val="single" w:sz="4" w:space="0" w:color="auto"/>
            </w:tcBorders>
            <w:shd w:val="clear" w:color="auto" w:fill="auto"/>
            <w:noWrap/>
            <w:vAlign w:val="bottom"/>
            <w:hideMark/>
          </w:tcPr>
          <w:p w14:paraId="31654881"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16" w:type="dxa"/>
            <w:tcBorders>
              <w:left w:val="single" w:sz="4" w:space="0" w:color="auto"/>
            </w:tcBorders>
            <w:shd w:val="clear" w:color="auto" w:fill="auto"/>
            <w:noWrap/>
            <w:vAlign w:val="bottom"/>
          </w:tcPr>
          <w:p w14:paraId="159B38E2" w14:textId="7C416AB4"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0.76 (0.51,1.14)</w:t>
            </w:r>
          </w:p>
        </w:tc>
        <w:tc>
          <w:tcPr>
            <w:tcW w:w="591" w:type="dxa"/>
            <w:shd w:val="clear" w:color="auto" w:fill="auto"/>
            <w:noWrap/>
            <w:vAlign w:val="bottom"/>
          </w:tcPr>
          <w:p w14:paraId="7EE1FC88" w14:textId="74A7710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0.19</w:t>
            </w:r>
          </w:p>
        </w:tc>
        <w:tc>
          <w:tcPr>
            <w:tcW w:w="1451" w:type="dxa"/>
            <w:shd w:val="clear" w:color="auto" w:fill="auto"/>
            <w:noWrap/>
            <w:vAlign w:val="bottom"/>
          </w:tcPr>
          <w:p w14:paraId="3EA1E3B8" w14:textId="56A7FA4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0.81 (0.54,1.20)</w:t>
            </w:r>
          </w:p>
        </w:tc>
        <w:tc>
          <w:tcPr>
            <w:tcW w:w="567" w:type="dxa"/>
            <w:tcBorders>
              <w:right w:val="single" w:sz="4" w:space="0" w:color="auto"/>
            </w:tcBorders>
            <w:shd w:val="clear" w:color="auto" w:fill="auto"/>
            <w:noWrap/>
            <w:vAlign w:val="bottom"/>
          </w:tcPr>
          <w:p w14:paraId="63A9DC7D" w14:textId="63D53F0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0.30</w:t>
            </w:r>
          </w:p>
        </w:tc>
        <w:tc>
          <w:tcPr>
            <w:tcW w:w="1560" w:type="dxa"/>
            <w:gridSpan w:val="2"/>
            <w:tcBorders>
              <w:left w:val="single" w:sz="4" w:space="0" w:color="auto"/>
            </w:tcBorders>
            <w:shd w:val="clear" w:color="auto" w:fill="auto"/>
            <w:vAlign w:val="bottom"/>
          </w:tcPr>
          <w:p w14:paraId="067C8EAA" w14:textId="7FD0ECA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0.75 (0.46,1.21)</w:t>
            </w:r>
          </w:p>
        </w:tc>
        <w:tc>
          <w:tcPr>
            <w:tcW w:w="567" w:type="dxa"/>
            <w:shd w:val="clear" w:color="auto" w:fill="auto"/>
            <w:vAlign w:val="bottom"/>
          </w:tcPr>
          <w:p w14:paraId="7379CEC5" w14:textId="0D12C91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0.24</w:t>
            </w:r>
          </w:p>
        </w:tc>
        <w:tc>
          <w:tcPr>
            <w:tcW w:w="1559" w:type="dxa"/>
            <w:shd w:val="clear" w:color="auto" w:fill="auto"/>
            <w:vAlign w:val="bottom"/>
          </w:tcPr>
          <w:p w14:paraId="22FE528E" w14:textId="24B825E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0.66 (0.40,1.08)</w:t>
            </w:r>
          </w:p>
        </w:tc>
        <w:tc>
          <w:tcPr>
            <w:tcW w:w="567" w:type="dxa"/>
            <w:tcBorders>
              <w:right w:val="single" w:sz="4" w:space="0" w:color="auto"/>
            </w:tcBorders>
            <w:shd w:val="clear" w:color="auto" w:fill="auto"/>
            <w:vAlign w:val="bottom"/>
          </w:tcPr>
          <w:p w14:paraId="11B1D626" w14:textId="6568498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0.10</w:t>
            </w:r>
          </w:p>
        </w:tc>
        <w:tc>
          <w:tcPr>
            <w:tcW w:w="1559" w:type="dxa"/>
            <w:gridSpan w:val="2"/>
            <w:tcBorders>
              <w:left w:val="single" w:sz="4" w:space="0" w:color="auto"/>
            </w:tcBorders>
            <w:shd w:val="clear" w:color="auto" w:fill="auto"/>
            <w:vAlign w:val="bottom"/>
          </w:tcPr>
          <w:p w14:paraId="6E712AFF" w14:textId="140527D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0.86 (0.41,1.80)</w:t>
            </w:r>
          </w:p>
        </w:tc>
        <w:tc>
          <w:tcPr>
            <w:tcW w:w="567" w:type="dxa"/>
            <w:shd w:val="clear" w:color="auto" w:fill="auto"/>
            <w:vAlign w:val="bottom"/>
          </w:tcPr>
          <w:p w14:paraId="068B6583" w14:textId="24D597B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0.69</w:t>
            </w:r>
          </w:p>
        </w:tc>
        <w:tc>
          <w:tcPr>
            <w:tcW w:w="1559" w:type="dxa"/>
            <w:shd w:val="clear" w:color="auto" w:fill="auto"/>
            <w:vAlign w:val="bottom"/>
          </w:tcPr>
          <w:p w14:paraId="2CC20338" w14:textId="312A9EC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1.30 (0.59,2.84)</w:t>
            </w:r>
          </w:p>
        </w:tc>
        <w:tc>
          <w:tcPr>
            <w:tcW w:w="567" w:type="dxa"/>
            <w:shd w:val="clear" w:color="auto" w:fill="auto"/>
            <w:vAlign w:val="bottom"/>
          </w:tcPr>
          <w:p w14:paraId="2A0250C3" w14:textId="4B18FFF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0.51</w:t>
            </w:r>
          </w:p>
        </w:tc>
      </w:tr>
      <w:tr w:rsidR="00282537" w:rsidRPr="00110AC6" w14:paraId="0D85B291" w14:textId="77777777" w:rsidTr="00282537">
        <w:trPr>
          <w:trHeight w:val="227"/>
        </w:trPr>
        <w:tc>
          <w:tcPr>
            <w:tcW w:w="1134" w:type="dxa"/>
            <w:vMerge/>
            <w:tcBorders>
              <w:right w:val="single" w:sz="4" w:space="0" w:color="auto"/>
            </w:tcBorders>
            <w:vAlign w:val="center"/>
            <w:hideMark/>
          </w:tcPr>
          <w:p w14:paraId="1963BA3B"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gridSpan w:val="3"/>
            <w:tcBorders>
              <w:left w:val="single" w:sz="4" w:space="0" w:color="auto"/>
              <w:right w:val="single" w:sz="4" w:space="0" w:color="auto"/>
            </w:tcBorders>
            <w:shd w:val="clear" w:color="auto" w:fill="auto"/>
            <w:noWrap/>
            <w:vAlign w:val="bottom"/>
            <w:hideMark/>
          </w:tcPr>
          <w:p w14:paraId="21EC218F"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16" w:type="dxa"/>
            <w:tcBorders>
              <w:left w:val="single" w:sz="4" w:space="0" w:color="auto"/>
            </w:tcBorders>
            <w:shd w:val="clear" w:color="auto" w:fill="auto"/>
            <w:noWrap/>
            <w:vAlign w:val="bottom"/>
          </w:tcPr>
          <w:p w14:paraId="7AD0204B" w14:textId="1920AD3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0.81 (0.54,1.22)</w:t>
            </w:r>
          </w:p>
        </w:tc>
        <w:tc>
          <w:tcPr>
            <w:tcW w:w="591" w:type="dxa"/>
            <w:shd w:val="clear" w:color="auto" w:fill="auto"/>
            <w:noWrap/>
            <w:vAlign w:val="bottom"/>
          </w:tcPr>
          <w:p w14:paraId="1D73EA0A" w14:textId="15A265A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0.31</w:t>
            </w:r>
          </w:p>
        </w:tc>
        <w:tc>
          <w:tcPr>
            <w:tcW w:w="1451" w:type="dxa"/>
            <w:shd w:val="clear" w:color="auto" w:fill="auto"/>
            <w:noWrap/>
            <w:vAlign w:val="bottom"/>
          </w:tcPr>
          <w:p w14:paraId="02E640CD" w14:textId="1221D05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0.81 (0.54,1.22)</w:t>
            </w:r>
          </w:p>
        </w:tc>
        <w:tc>
          <w:tcPr>
            <w:tcW w:w="567" w:type="dxa"/>
            <w:tcBorders>
              <w:right w:val="single" w:sz="4" w:space="0" w:color="auto"/>
            </w:tcBorders>
            <w:shd w:val="clear" w:color="auto" w:fill="auto"/>
            <w:noWrap/>
            <w:vAlign w:val="bottom"/>
          </w:tcPr>
          <w:p w14:paraId="5650B0AB" w14:textId="3642874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0.32</w:t>
            </w:r>
          </w:p>
        </w:tc>
        <w:tc>
          <w:tcPr>
            <w:tcW w:w="1560" w:type="dxa"/>
            <w:gridSpan w:val="2"/>
            <w:tcBorders>
              <w:left w:val="single" w:sz="4" w:space="0" w:color="auto"/>
            </w:tcBorders>
            <w:shd w:val="clear" w:color="auto" w:fill="auto"/>
            <w:vAlign w:val="bottom"/>
          </w:tcPr>
          <w:p w14:paraId="709672CD" w14:textId="314D6BD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0.82 (0.50,1.36)</w:t>
            </w:r>
          </w:p>
        </w:tc>
        <w:tc>
          <w:tcPr>
            <w:tcW w:w="567" w:type="dxa"/>
            <w:shd w:val="clear" w:color="auto" w:fill="auto"/>
            <w:vAlign w:val="bottom"/>
          </w:tcPr>
          <w:p w14:paraId="56BF1BC8" w14:textId="022DF86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0.44</w:t>
            </w:r>
          </w:p>
        </w:tc>
        <w:tc>
          <w:tcPr>
            <w:tcW w:w="1559" w:type="dxa"/>
            <w:shd w:val="clear" w:color="auto" w:fill="auto"/>
            <w:vAlign w:val="bottom"/>
          </w:tcPr>
          <w:p w14:paraId="7C99A47D" w14:textId="389F929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0.68 (0.40,1.14)</w:t>
            </w:r>
          </w:p>
        </w:tc>
        <w:tc>
          <w:tcPr>
            <w:tcW w:w="567" w:type="dxa"/>
            <w:tcBorders>
              <w:right w:val="single" w:sz="4" w:space="0" w:color="auto"/>
            </w:tcBorders>
            <w:shd w:val="clear" w:color="auto" w:fill="auto"/>
            <w:vAlign w:val="bottom"/>
          </w:tcPr>
          <w:p w14:paraId="2D4851A3" w14:textId="5CC65D8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0.14</w:t>
            </w:r>
          </w:p>
        </w:tc>
        <w:tc>
          <w:tcPr>
            <w:tcW w:w="1559" w:type="dxa"/>
            <w:gridSpan w:val="2"/>
            <w:tcBorders>
              <w:left w:val="single" w:sz="4" w:space="0" w:color="auto"/>
            </w:tcBorders>
            <w:shd w:val="clear" w:color="auto" w:fill="auto"/>
            <w:vAlign w:val="bottom"/>
          </w:tcPr>
          <w:p w14:paraId="4A70A85D" w14:textId="40FFE6C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0.83 (0.38,1.84)</w:t>
            </w:r>
          </w:p>
        </w:tc>
        <w:tc>
          <w:tcPr>
            <w:tcW w:w="567" w:type="dxa"/>
            <w:shd w:val="clear" w:color="auto" w:fill="auto"/>
            <w:vAlign w:val="bottom"/>
          </w:tcPr>
          <w:p w14:paraId="5EF7E2EE" w14:textId="34444F9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0.65</w:t>
            </w:r>
          </w:p>
        </w:tc>
        <w:tc>
          <w:tcPr>
            <w:tcW w:w="1559" w:type="dxa"/>
            <w:shd w:val="clear" w:color="auto" w:fill="auto"/>
            <w:vAlign w:val="bottom"/>
          </w:tcPr>
          <w:p w14:paraId="66C9BAEC" w14:textId="3BAED0D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1.53 (0.64,3.65)</w:t>
            </w:r>
          </w:p>
        </w:tc>
        <w:tc>
          <w:tcPr>
            <w:tcW w:w="567" w:type="dxa"/>
            <w:shd w:val="clear" w:color="auto" w:fill="auto"/>
            <w:vAlign w:val="bottom"/>
          </w:tcPr>
          <w:p w14:paraId="6414D03D" w14:textId="3C8D9DCB"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0.34</w:t>
            </w:r>
          </w:p>
        </w:tc>
      </w:tr>
      <w:tr w:rsidR="00282537" w:rsidRPr="00110AC6" w14:paraId="25734216" w14:textId="77777777" w:rsidTr="00282537">
        <w:trPr>
          <w:trHeight w:val="227"/>
        </w:trPr>
        <w:tc>
          <w:tcPr>
            <w:tcW w:w="1134" w:type="dxa"/>
            <w:tcBorders>
              <w:right w:val="single" w:sz="4" w:space="0" w:color="auto"/>
            </w:tcBorders>
            <w:shd w:val="clear" w:color="auto" w:fill="auto"/>
            <w:vAlign w:val="center"/>
            <w:hideMark/>
          </w:tcPr>
          <w:p w14:paraId="5D20288F" w14:textId="77777777" w:rsidR="001E1E07" w:rsidRPr="00110AC6" w:rsidRDefault="001E1E07" w:rsidP="001E1E07">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CRP</w:t>
            </w:r>
          </w:p>
        </w:tc>
        <w:tc>
          <w:tcPr>
            <w:tcW w:w="411" w:type="dxa"/>
            <w:gridSpan w:val="3"/>
            <w:tcBorders>
              <w:left w:val="single" w:sz="4" w:space="0" w:color="auto"/>
              <w:right w:val="single" w:sz="4" w:space="0" w:color="auto"/>
            </w:tcBorders>
            <w:shd w:val="clear" w:color="auto" w:fill="auto"/>
            <w:noWrap/>
            <w:vAlign w:val="bottom"/>
            <w:hideMark/>
          </w:tcPr>
          <w:p w14:paraId="35C0E585"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1</w:t>
            </w:r>
          </w:p>
        </w:tc>
        <w:tc>
          <w:tcPr>
            <w:tcW w:w="1516" w:type="dxa"/>
            <w:tcBorders>
              <w:left w:val="single" w:sz="4" w:space="0" w:color="auto"/>
            </w:tcBorders>
            <w:shd w:val="clear" w:color="auto" w:fill="auto"/>
            <w:noWrap/>
            <w:vAlign w:val="bottom"/>
          </w:tcPr>
          <w:p w14:paraId="4431E48D" w14:textId="1FEB539C"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1.01 (0.77,1.31)</w:t>
            </w:r>
          </w:p>
        </w:tc>
        <w:tc>
          <w:tcPr>
            <w:tcW w:w="591" w:type="dxa"/>
            <w:shd w:val="clear" w:color="auto" w:fill="auto"/>
            <w:noWrap/>
            <w:vAlign w:val="bottom"/>
          </w:tcPr>
          <w:p w14:paraId="4919C8C4" w14:textId="21F3398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0.96</w:t>
            </w:r>
          </w:p>
        </w:tc>
        <w:tc>
          <w:tcPr>
            <w:tcW w:w="1451" w:type="dxa"/>
            <w:shd w:val="clear" w:color="auto" w:fill="auto"/>
            <w:noWrap/>
            <w:vAlign w:val="bottom"/>
          </w:tcPr>
          <w:p w14:paraId="7D37F558" w14:textId="0AF1B55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1.04 (0.80,1.36)</w:t>
            </w:r>
          </w:p>
        </w:tc>
        <w:tc>
          <w:tcPr>
            <w:tcW w:w="567" w:type="dxa"/>
            <w:tcBorders>
              <w:right w:val="single" w:sz="4" w:space="0" w:color="auto"/>
            </w:tcBorders>
            <w:shd w:val="clear" w:color="auto" w:fill="auto"/>
            <w:noWrap/>
            <w:vAlign w:val="bottom"/>
          </w:tcPr>
          <w:p w14:paraId="66CC319E" w14:textId="75C5F21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0.76</w:t>
            </w:r>
          </w:p>
        </w:tc>
        <w:tc>
          <w:tcPr>
            <w:tcW w:w="1560" w:type="dxa"/>
            <w:gridSpan w:val="2"/>
            <w:tcBorders>
              <w:left w:val="single" w:sz="4" w:space="0" w:color="auto"/>
            </w:tcBorders>
            <w:shd w:val="clear" w:color="auto" w:fill="auto"/>
            <w:vAlign w:val="bottom"/>
          </w:tcPr>
          <w:p w14:paraId="429875F5" w14:textId="45E62EE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1.23 (0.87,1.73)</w:t>
            </w:r>
          </w:p>
        </w:tc>
        <w:tc>
          <w:tcPr>
            <w:tcW w:w="567" w:type="dxa"/>
            <w:shd w:val="clear" w:color="auto" w:fill="auto"/>
            <w:vAlign w:val="bottom"/>
          </w:tcPr>
          <w:p w14:paraId="6DF1FFA2" w14:textId="2AA160C1"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0.23</w:t>
            </w:r>
          </w:p>
        </w:tc>
        <w:tc>
          <w:tcPr>
            <w:tcW w:w="1559" w:type="dxa"/>
            <w:shd w:val="clear" w:color="auto" w:fill="auto"/>
            <w:vAlign w:val="bottom"/>
          </w:tcPr>
          <w:p w14:paraId="77E8DC90" w14:textId="0C099EF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1.03 (0.74,1.43)</w:t>
            </w:r>
          </w:p>
        </w:tc>
        <w:tc>
          <w:tcPr>
            <w:tcW w:w="567" w:type="dxa"/>
            <w:tcBorders>
              <w:right w:val="single" w:sz="4" w:space="0" w:color="auto"/>
            </w:tcBorders>
            <w:shd w:val="clear" w:color="auto" w:fill="auto"/>
            <w:vAlign w:val="bottom"/>
          </w:tcPr>
          <w:p w14:paraId="3B62841D" w14:textId="6824FF56"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0.86</w:t>
            </w:r>
          </w:p>
        </w:tc>
        <w:tc>
          <w:tcPr>
            <w:tcW w:w="1559" w:type="dxa"/>
            <w:gridSpan w:val="2"/>
            <w:tcBorders>
              <w:left w:val="single" w:sz="4" w:space="0" w:color="auto"/>
            </w:tcBorders>
            <w:shd w:val="clear" w:color="auto" w:fill="auto"/>
            <w:vAlign w:val="bottom"/>
          </w:tcPr>
          <w:p w14:paraId="4D73137E" w14:textId="6E64859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0.72 (0.46,1.11)</w:t>
            </w:r>
          </w:p>
        </w:tc>
        <w:tc>
          <w:tcPr>
            <w:tcW w:w="567" w:type="dxa"/>
            <w:shd w:val="clear" w:color="auto" w:fill="auto"/>
            <w:vAlign w:val="bottom"/>
          </w:tcPr>
          <w:p w14:paraId="52BFA323" w14:textId="2166F683"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0.14</w:t>
            </w:r>
          </w:p>
        </w:tc>
        <w:tc>
          <w:tcPr>
            <w:tcW w:w="1559" w:type="dxa"/>
            <w:shd w:val="clear" w:color="auto" w:fill="auto"/>
            <w:vAlign w:val="bottom"/>
          </w:tcPr>
          <w:p w14:paraId="1CE251CE" w14:textId="060BB9A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1.08 (0.68,1.71)</w:t>
            </w:r>
          </w:p>
        </w:tc>
        <w:tc>
          <w:tcPr>
            <w:tcW w:w="567" w:type="dxa"/>
            <w:shd w:val="clear" w:color="auto" w:fill="auto"/>
            <w:vAlign w:val="bottom"/>
          </w:tcPr>
          <w:p w14:paraId="31690861" w14:textId="0ADE5978"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0.74</w:t>
            </w:r>
          </w:p>
        </w:tc>
      </w:tr>
      <w:tr w:rsidR="00282537" w:rsidRPr="00110AC6" w14:paraId="4115FDEA" w14:textId="77777777" w:rsidTr="00282537">
        <w:trPr>
          <w:trHeight w:val="227"/>
        </w:trPr>
        <w:tc>
          <w:tcPr>
            <w:tcW w:w="1134" w:type="dxa"/>
            <w:tcBorders>
              <w:right w:val="single" w:sz="4" w:space="0" w:color="auto"/>
            </w:tcBorders>
            <w:vAlign w:val="center"/>
            <w:hideMark/>
          </w:tcPr>
          <w:p w14:paraId="51BB1F75" w14:textId="77777777" w:rsidR="001E1E07" w:rsidRPr="00110AC6" w:rsidRDefault="001E1E07" w:rsidP="001E1E07">
            <w:pPr>
              <w:spacing w:after="0" w:line="240" w:lineRule="auto"/>
              <w:rPr>
                <w:rFonts w:eastAsia="Times New Roman" w:cstheme="minorHAnsi"/>
                <w:color w:val="000000"/>
                <w:sz w:val="20"/>
                <w:szCs w:val="20"/>
                <w:lang w:eastAsia="en-GB"/>
              </w:rPr>
            </w:pPr>
          </w:p>
        </w:tc>
        <w:tc>
          <w:tcPr>
            <w:tcW w:w="411" w:type="dxa"/>
            <w:gridSpan w:val="3"/>
            <w:tcBorders>
              <w:left w:val="single" w:sz="4" w:space="0" w:color="auto"/>
              <w:right w:val="single" w:sz="4" w:space="0" w:color="auto"/>
            </w:tcBorders>
            <w:shd w:val="clear" w:color="auto" w:fill="auto"/>
            <w:noWrap/>
            <w:vAlign w:val="bottom"/>
            <w:hideMark/>
          </w:tcPr>
          <w:p w14:paraId="12B2A0B3" w14:textId="7777777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eastAsia="Times New Roman" w:cstheme="minorHAnsi"/>
                <w:color w:val="000000"/>
                <w:sz w:val="20"/>
                <w:szCs w:val="20"/>
                <w:lang w:eastAsia="en-GB"/>
              </w:rPr>
              <w:t>2</w:t>
            </w:r>
          </w:p>
        </w:tc>
        <w:tc>
          <w:tcPr>
            <w:tcW w:w="1516" w:type="dxa"/>
            <w:tcBorders>
              <w:left w:val="single" w:sz="4" w:space="0" w:color="auto"/>
              <w:bottom w:val="single" w:sz="4" w:space="0" w:color="auto"/>
            </w:tcBorders>
            <w:shd w:val="clear" w:color="auto" w:fill="auto"/>
            <w:noWrap/>
            <w:vAlign w:val="bottom"/>
          </w:tcPr>
          <w:p w14:paraId="69CBBAA8" w14:textId="0F1B189A"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0.95 (0.72,1.24)</w:t>
            </w:r>
          </w:p>
        </w:tc>
        <w:tc>
          <w:tcPr>
            <w:tcW w:w="591" w:type="dxa"/>
            <w:tcBorders>
              <w:bottom w:val="single" w:sz="4" w:space="0" w:color="auto"/>
            </w:tcBorders>
            <w:shd w:val="clear" w:color="auto" w:fill="auto"/>
            <w:noWrap/>
            <w:vAlign w:val="bottom"/>
          </w:tcPr>
          <w:p w14:paraId="47C4B1BF" w14:textId="1D8B94C7"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0.69</w:t>
            </w:r>
          </w:p>
        </w:tc>
        <w:tc>
          <w:tcPr>
            <w:tcW w:w="1451" w:type="dxa"/>
            <w:tcBorders>
              <w:bottom w:val="single" w:sz="4" w:space="0" w:color="auto"/>
            </w:tcBorders>
            <w:shd w:val="clear" w:color="auto" w:fill="auto"/>
            <w:noWrap/>
            <w:vAlign w:val="bottom"/>
          </w:tcPr>
          <w:p w14:paraId="5FE3C9BF" w14:textId="0ED75F0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1.05 (0.80,1.37)</w:t>
            </w:r>
          </w:p>
        </w:tc>
        <w:tc>
          <w:tcPr>
            <w:tcW w:w="567" w:type="dxa"/>
            <w:tcBorders>
              <w:bottom w:val="single" w:sz="4" w:space="0" w:color="auto"/>
              <w:right w:val="single" w:sz="4" w:space="0" w:color="auto"/>
            </w:tcBorders>
            <w:shd w:val="clear" w:color="auto" w:fill="auto"/>
            <w:noWrap/>
            <w:vAlign w:val="bottom"/>
          </w:tcPr>
          <w:p w14:paraId="40BF8AAA" w14:textId="7766378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0.74</w:t>
            </w:r>
          </w:p>
        </w:tc>
        <w:tc>
          <w:tcPr>
            <w:tcW w:w="1560" w:type="dxa"/>
            <w:gridSpan w:val="2"/>
            <w:tcBorders>
              <w:left w:val="single" w:sz="4" w:space="0" w:color="auto"/>
              <w:bottom w:val="single" w:sz="4" w:space="0" w:color="auto"/>
            </w:tcBorders>
            <w:shd w:val="clear" w:color="auto" w:fill="auto"/>
            <w:vAlign w:val="bottom"/>
          </w:tcPr>
          <w:p w14:paraId="0F377347" w14:textId="276C6280"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1.10 (0.77,1.57)</w:t>
            </w:r>
          </w:p>
        </w:tc>
        <w:tc>
          <w:tcPr>
            <w:tcW w:w="567" w:type="dxa"/>
            <w:tcBorders>
              <w:bottom w:val="single" w:sz="4" w:space="0" w:color="auto"/>
            </w:tcBorders>
            <w:shd w:val="clear" w:color="auto" w:fill="auto"/>
            <w:vAlign w:val="bottom"/>
          </w:tcPr>
          <w:p w14:paraId="5D4E2443" w14:textId="040B8E1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0.59</w:t>
            </w:r>
          </w:p>
        </w:tc>
        <w:tc>
          <w:tcPr>
            <w:tcW w:w="1559" w:type="dxa"/>
            <w:tcBorders>
              <w:bottom w:val="single" w:sz="4" w:space="0" w:color="auto"/>
            </w:tcBorders>
            <w:shd w:val="clear" w:color="auto" w:fill="auto"/>
            <w:vAlign w:val="bottom"/>
          </w:tcPr>
          <w:p w14:paraId="19D20465" w14:textId="4A579832"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1.05 (0.74,1.48)</w:t>
            </w:r>
          </w:p>
        </w:tc>
        <w:tc>
          <w:tcPr>
            <w:tcW w:w="567" w:type="dxa"/>
            <w:tcBorders>
              <w:bottom w:val="single" w:sz="4" w:space="0" w:color="auto"/>
              <w:right w:val="single" w:sz="4" w:space="0" w:color="auto"/>
            </w:tcBorders>
            <w:shd w:val="clear" w:color="auto" w:fill="auto"/>
            <w:vAlign w:val="bottom"/>
          </w:tcPr>
          <w:p w14:paraId="28FF594E" w14:textId="6CD9182E"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0.80</w:t>
            </w:r>
          </w:p>
        </w:tc>
        <w:tc>
          <w:tcPr>
            <w:tcW w:w="1559" w:type="dxa"/>
            <w:gridSpan w:val="2"/>
            <w:tcBorders>
              <w:left w:val="single" w:sz="4" w:space="0" w:color="auto"/>
              <w:bottom w:val="single" w:sz="4" w:space="0" w:color="auto"/>
            </w:tcBorders>
            <w:shd w:val="clear" w:color="auto" w:fill="auto"/>
            <w:vAlign w:val="bottom"/>
          </w:tcPr>
          <w:p w14:paraId="6711CB2B" w14:textId="6873C88D"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0.68 (0.42,1.08)</w:t>
            </w:r>
          </w:p>
        </w:tc>
        <w:tc>
          <w:tcPr>
            <w:tcW w:w="567" w:type="dxa"/>
            <w:tcBorders>
              <w:bottom w:val="single" w:sz="4" w:space="0" w:color="auto"/>
            </w:tcBorders>
            <w:shd w:val="clear" w:color="auto" w:fill="auto"/>
            <w:vAlign w:val="bottom"/>
          </w:tcPr>
          <w:p w14:paraId="30AC158D" w14:textId="06CA38A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0.10</w:t>
            </w:r>
          </w:p>
        </w:tc>
        <w:tc>
          <w:tcPr>
            <w:tcW w:w="1559" w:type="dxa"/>
            <w:tcBorders>
              <w:bottom w:val="single" w:sz="4" w:space="0" w:color="auto"/>
            </w:tcBorders>
            <w:shd w:val="clear" w:color="auto" w:fill="auto"/>
            <w:vAlign w:val="bottom"/>
          </w:tcPr>
          <w:p w14:paraId="54C38F66" w14:textId="39A092CF"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1.11 (0.69,1.77)</w:t>
            </w:r>
          </w:p>
        </w:tc>
        <w:tc>
          <w:tcPr>
            <w:tcW w:w="567" w:type="dxa"/>
            <w:tcBorders>
              <w:bottom w:val="single" w:sz="4" w:space="0" w:color="auto"/>
            </w:tcBorders>
            <w:shd w:val="clear" w:color="auto" w:fill="auto"/>
            <w:vAlign w:val="bottom"/>
          </w:tcPr>
          <w:p w14:paraId="6D611957" w14:textId="602CE909" w:rsidR="001E1E07" w:rsidRPr="00110AC6" w:rsidRDefault="001E1E07" w:rsidP="001E1E07">
            <w:pPr>
              <w:spacing w:after="0" w:line="240" w:lineRule="auto"/>
              <w:jc w:val="center"/>
              <w:rPr>
                <w:rFonts w:eastAsia="Times New Roman" w:cstheme="minorHAnsi"/>
                <w:color w:val="000000"/>
                <w:sz w:val="20"/>
                <w:szCs w:val="20"/>
                <w:lang w:eastAsia="en-GB"/>
              </w:rPr>
            </w:pPr>
            <w:r w:rsidRPr="00110AC6">
              <w:rPr>
                <w:rFonts w:cstheme="minorHAnsi"/>
                <w:color w:val="000000"/>
                <w:sz w:val="20"/>
                <w:szCs w:val="20"/>
              </w:rPr>
              <w:t>0.68</w:t>
            </w:r>
          </w:p>
        </w:tc>
      </w:tr>
      <w:tr w:rsidR="0088561D" w:rsidRPr="00110AC6" w14:paraId="31A2FA67" w14:textId="77777777" w:rsidTr="00282537">
        <w:trPr>
          <w:trHeight w:val="227"/>
        </w:trPr>
        <w:tc>
          <w:tcPr>
            <w:tcW w:w="14175" w:type="dxa"/>
            <w:gridSpan w:val="18"/>
            <w:tcBorders>
              <w:top w:val="single" w:sz="4" w:space="0" w:color="auto"/>
            </w:tcBorders>
            <w:vAlign w:val="center"/>
          </w:tcPr>
          <w:p w14:paraId="03BAD5A6" w14:textId="77777777" w:rsidR="0088561D" w:rsidRPr="00110AC6" w:rsidRDefault="0088561D" w:rsidP="0088561D">
            <w:pPr>
              <w:spacing w:after="0" w:line="240" w:lineRule="auto"/>
              <w:jc w:val="center"/>
              <w:rPr>
                <w:rFonts w:eastAsia="Times New Roman" w:cstheme="minorHAnsi"/>
                <w:color w:val="000000"/>
                <w:sz w:val="20"/>
                <w:szCs w:val="20"/>
                <w:lang w:eastAsia="en-GB"/>
              </w:rPr>
            </w:pPr>
          </w:p>
        </w:tc>
      </w:tr>
      <w:tr w:rsidR="0088561D" w:rsidRPr="00110AC6" w14:paraId="5AE3EC03" w14:textId="77777777" w:rsidTr="00282537">
        <w:trPr>
          <w:trHeight w:val="227"/>
        </w:trPr>
        <w:tc>
          <w:tcPr>
            <w:tcW w:w="14175" w:type="dxa"/>
            <w:gridSpan w:val="18"/>
            <w:vAlign w:val="center"/>
          </w:tcPr>
          <w:p w14:paraId="408B0539" w14:textId="5EAA8A18" w:rsidR="0088561D" w:rsidRPr="00110AC6" w:rsidRDefault="00110AC6" w:rsidP="0088561D">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M: Model</w:t>
            </w:r>
            <w:r>
              <w:rPr>
                <w:rFonts w:eastAsia="Times New Roman" w:cstheme="minorHAnsi"/>
                <w:color w:val="000000"/>
                <w:sz w:val="20"/>
                <w:szCs w:val="20"/>
                <w:lang w:eastAsia="en-GB"/>
              </w:rPr>
              <w:t>; OR: Odds ratio; P: P-value</w:t>
            </w:r>
          </w:p>
          <w:p w14:paraId="305424B0" w14:textId="77777777" w:rsidR="0088561D" w:rsidRPr="00110AC6" w:rsidRDefault="0088561D" w:rsidP="0088561D">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Model 1: Adjusted for age</w:t>
            </w:r>
          </w:p>
          <w:p w14:paraId="27104AA2" w14:textId="77777777" w:rsidR="0088561D" w:rsidRPr="00110AC6" w:rsidRDefault="0088561D" w:rsidP="0088561D">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Model 2: Also adjusted for BMI, smoking history, alcohol consumption and number of systems medicated</w:t>
            </w:r>
          </w:p>
          <w:p w14:paraId="370BE266" w14:textId="14123945" w:rsidR="0088561D" w:rsidRPr="00110AC6" w:rsidRDefault="0088561D" w:rsidP="0088561D">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High depression scores were those in the highest sex-spec</w:t>
            </w:r>
            <w:r w:rsidR="00490565">
              <w:rPr>
                <w:rFonts w:eastAsia="Times New Roman" w:cstheme="minorHAnsi"/>
                <w:color w:val="000000"/>
                <w:sz w:val="20"/>
                <w:szCs w:val="20"/>
                <w:lang w:eastAsia="en-GB"/>
              </w:rPr>
              <w:t>ific third of the distribution; p</w:t>
            </w:r>
            <w:r w:rsidRPr="00110AC6">
              <w:rPr>
                <w:rFonts w:eastAsia="Times New Roman" w:cstheme="minorHAnsi"/>
                <w:color w:val="000000"/>
                <w:sz w:val="20"/>
                <w:szCs w:val="20"/>
                <w:lang w:eastAsia="en-GB"/>
              </w:rPr>
              <w:t>oor mental health scores were those i</w:t>
            </w:r>
            <w:r w:rsidR="00B03C0F">
              <w:rPr>
                <w:rFonts w:eastAsia="Times New Roman" w:cstheme="minorHAnsi"/>
                <w:color w:val="000000"/>
                <w:sz w:val="20"/>
                <w:szCs w:val="20"/>
                <w:lang w:eastAsia="en-GB"/>
              </w:rPr>
              <w:t>n the lowest sex-specific third</w:t>
            </w:r>
          </w:p>
          <w:p w14:paraId="5DF929B6" w14:textId="77777777" w:rsidR="0088561D" w:rsidRPr="00110AC6" w:rsidRDefault="0088561D" w:rsidP="0088561D">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Conditional changes in biomarkers were derived using a residual change approach and were independent of baseline values</w:t>
            </w:r>
          </w:p>
          <w:p w14:paraId="64F9B6BA" w14:textId="3AC20FF9" w:rsidR="0088561D" w:rsidRPr="00110AC6" w:rsidRDefault="0088561D" w:rsidP="0088561D">
            <w:pPr>
              <w:spacing w:after="0" w:line="240" w:lineRule="auto"/>
              <w:rPr>
                <w:rFonts w:eastAsia="Times New Roman" w:cstheme="minorHAnsi"/>
                <w:color w:val="000000"/>
                <w:sz w:val="20"/>
                <w:szCs w:val="20"/>
                <w:lang w:eastAsia="en-GB"/>
              </w:rPr>
            </w:pPr>
            <w:r w:rsidRPr="00110AC6">
              <w:rPr>
                <w:rFonts w:eastAsia="Times New Roman" w:cstheme="minorHAnsi"/>
                <w:color w:val="000000"/>
                <w:sz w:val="20"/>
                <w:szCs w:val="20"/>
                <w:lang w:eastAsia="en-GB"/>
              </w:rPr>
              <w:t>Odds ratios greater than one: longitudinal increases in biomarker were related to increased risk of outcome at follow-up</w:t>
            </w:r>
          </w:p>
        </w:tc>
      </w:tr>
      <w:bookmarkEnd w:id="16"/>
    </w:tbl>
    <w:p w14:paraId="6BE8E96A" w14:textId="77777777" w:rsidR="00635854" w:rsidRDefault="00635854" w:rsidP="0056022F">
      <w:pPr>
        <w:rPr>
          <w:rFonts w:ascii="Calibri" w:eastAsia="Calibri" w:hAnsi="Calibri" w:cs="Times New Roman"/>
          <w:lang w:eastAsia="en-US"/>
        </w:rPr>
        <w:sectPr w:rsidR="00635854" w:rsidSect="00E46704">
          <w:pgSz w:w="16838" w:h="11906" w:orient="landscape"/>
          <w:pgMar w:top="1440" w:right="1440" w:bottom="1440" w:left="1440" w:header="708" w:footer="708" w:gutter="0"/>
          <w:cols w:space="708"/>
          <w:docGrid w:linePitch="360"/>
        </w:sectPr>
      </w:pPr>
    </w:p>
    <w:tbl>
      <w:tblPr>
        <w:tblW w:w="9012" w:type="dxa"/>
        <w:tblLook w:val="04A0" w:firstRow="1" w:lastRow="0" w:firstColumn="1" w:lastColumn="0" w:noHBand="0" w:noVBand="1"/>
      </w:tblPr>
      <w:tblGrid>
        <w:gridCol w:w="1985"/>
        <w:gridCol w:w="841"/>
        <w:gridCol w:w="1019"/>
        <w:gridCol w:w="1976"/>
        <w:gridCol w:w="732"/>
        <w:gridCol w:w="671"/>
        <w:gridCol w:w="1140"/>
        <w:gridCol w:w="648"/>
      </w:tblGrid>
      <w:tr w:rsidR="004854C7" w:rsidRPr="004854C7" w14:paraId="2C084A72" w14:textId="77777777" w:rsidTr="004854C7">
        <w:trPr>
          <w:trHeight w:val="260"/>
        </w:trPr>
        <w:tc>
          <w:tcPr>
            <w:tcW w:w="8364" w:type="dxa"/>
            <w:gridSpan w:val="7"/>
            <w:tcBorders>
              <w:top w:val="nil"/>
              <w:left w:val="nil"/>
              <w:bottom w:val="nil"/>
              <w:right w:val="nil"/>
            </w:tcBorders>
            <w:shd w:val="clear" w:color="auto" w:fill="auto"/>
            <w:noWrap/>
            <w:vAlign w:val="bottom"/>
            <w:hideMark/>
          </w:tcPr>
          <w:p w14:paraId="72A90DEB" w14:textId="77777777" w:rsidR="004854C7" w:rsidRPr="004854C7" w:rsidRDefault="004854C7" w:rsidP="004854C7">
            <w:pPr>
              <w:spacing w:after="0" w:line="240" w:lineRule="auto"/>
              <w:rPr>
                <w:rFonts w:ascii="Calibri" w:eastAsia="Times New Roman" w:hAnsi="Calibri" w:cs="Calibri"/>
                <w:b/>
                <w:bCs/>
                <w:color w:val="000000"/>
                <w:sz w:val="20"/>
                <w:szCs w:val="20"/>
                <w:lang w:eastAsia="en-GB"/>
              </w:rPr>
            </w:pPr>
            <w:r w:rsidRPr="004854C7">
              <w:rPr>
                <w:rFonts w:ascii="Calibri" w:eastAsia="Times New Roman" w:hAnsi="Calibri" w:cs="Calibri"/>
                <w:b/>
                <w:bCs/>
                <w:color w:val="000000"/>
                <w:sz w:val="20"/>
                <w:szCs w:val="20"/>
                <w:lang w:eastAsia="en-GB"/>
              </w:rPr>
              <w:t>Supplementary Table 1: Spearman correlations between biomarkers at baseline among men and women</w:t>
            </w:r>
          </w:p>
        </w:tc>
        <w:tc>
          <w:tcPr>
            <w:tcW w:w="648" w:type="dxa"/>
            <w:tcBorders>
              <w:top w:val="nil"/>
              <w:left w:val="nil"/>
              <w:bottom w:val="nil"/>
              <w:right w:val="nil"/>
            </w:tcBorders>
            <w:shd w:val="clear" w:color="auto" w:fill="auto"/>
            <w:noWrap/>
            <w:vAlign w:val="bottom"/>
            <w:hideMark/>
          </w:tcPr>
          <w:p w14:paraId="5A87EFD3" w14:textId="77777777" w:rsidR="004854C7" w:rsidRPr="004854C7" w:rsidRDefault="004854C7" w:rsidP="004854C7">
            <w:pPr>
              <w:spacing w:after="0" w:line="240" w:lineRule="auto"/>
              <w:rPr>
                <w:rFonts w:ascii="Calibri" w:eastAsia="Times New Roman" w:hAnsi="Calibri" w:cs="Calibri"/>
                <w:b/>
                <w:bCs/>
                <w:color w:val="000000"/>
                <w:sz w:val="20"/>
                <w:szCs w:val="20"/>
                <w:lang w:eastAsia="en-GB"/>
              </w:rPr>
            </w:pPr>
          </w:p>
        </w:tc>
      </w:tr>
      <w:tr w:rsidR="004854C7" w:rsidRPr="004854C7" w14:paraId="5C558CC3" w14:textId="77777777" w:rsidTr="008F5BC4">
        <w:trPr>
          <w:trHeight w:val="260"/>
        </w:trPr>
        <w:tc>
          <w:tcPr>
            <w:tcW w:w="1985" w:type="dxa"/>
            <w:tcBorders>
              <w:top w:val="nil"/>
              <w:left w:val="nil"/>
              <w:bottom w:val="single" w:sz="4" w:space="0" w:color="auto"/>
              <w:right w:val="nil"/>
            </w:tcBorders>
            <w:shd w:val="clear" w:color="auto" w:fill="auto"/>
            <w:noWrap/>
            <w:vAlign w:val="bottom"/>
            <w:hideMark/>
          </w:tcPr>
          <w:p w14:paraId="0BB3FD6F"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841" w:type="dxa"/>
            <w:tcBorders>
              <w:top w:val="nil"/>
              <w:left w:val="nil"/>
              <w:bottom w:val="single" w:sz="4" w:space="0" w:color="auto"/>
              <w:right w:val="nil"/>
            </w:tcBorders>
            <w:shd w:val="clear" w:color="auto" w:fill="auto"/>
            <w:noWrap/>
            <w:vAlign w:val="bottom"/>
            <w:hideMark/>
          </w:tcPr>
          <w:p w14:paraId="130E441F"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1019" w:type="dxa"/>
            <w:tcBorders>
              <w:top w:val="nil"/>
              <w:left w:val="nil"/>
              <w:bottom w:val="single" w:sz="4" w:space="0" w:color="auto"/>
              <w:right w:val="nil"/>
            </w:tcBorders>
            <w:shd w:val="clear" w:color="auto" w:fill="auto"/>
            <w:noWrap/>
            <w:vAlign w:val="bottom"/>
            <w:hideMark/>
          </w:tcPr>
          <w:p w14:paraId="255826F7"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1976" w:type="dxa"/>
            <w:tcBorders>
              <w:top w:val="nil"/>
              <w:left w:val="nil"/>
              <w:bottom w:val="single" w:sz="4" w:space="0" w:color="auto"/>
              <w:right w:val="nil"/>
            </w:tcBorders>
            <w:shd w:val="clear" w:color="auto" w:fill="auto"/>
            <w:noWrap/>
            <w:vAlign w:val="bottom"/>
            <w:hideMark/>
          </w:tcPr>
          <w:p w14:paraId="41DB9311"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732" w:type="dxa"/>
            <w:tcBorders>
              <w:top w:val="nil"/>
              <w:left w:val="nil"/>
              <w:bottom w:val="single" w:sz="4" w:space="0" w:color="auto"/>
              <w:right w:val="nil"/>
            </w:tcBorders>
            <w:shd w:val="clear" w:color="auto" w:fill="auto"/>
            <w:noWrap/>
            <w:vAlign w:val="bottom"/>
            <w:hideMark/>
          </w:tcPr>
          <w:p w14:paraId="1FA5DC01"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671" w:type="dxa"/>
            <w:tcBorders>
              <w:top w:val="nil"/>
              <w:left w:val="nil"/>
              <w:bottom w:val="single" w:sz="4" w:space="0" w:color="auto"/>
              <w:right w:val="nil"/>
            </w:tcBorders>
            <w:shd w:val="clear" w:color="auto" w:fill="auto"/>
            <w:noWrap/>
            <w:vAlign w:val="bottom"/>
            <w:hideMark/>
          </w:tcPr>
          <w:p w14:paraId="38F5CA43"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single" w:sz="4" w:space="0" w:color="auto"/>
              <w:right w:val="nil"/>
            </w:tcBorders>
            <w:shd w:val="clear" w:color="auto" w:fill="auto"/>
            <w:noWrap/>
            <w:vAlign w:val="bottom"/>
            <w:hideMark/>
          </w:tcPr>
          <w:p w14:paraId="485D3326"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648" w:type="dxa"/>
            <w:tcBorders>
              <w:top w:val="nil"/>
              <w:left w:val="nil"/>
              <w:bottom w:val="single" w:sz="4" w:space="0" w:color="auto"/>
              <w:right w:val="nil"/>
            </w:tcBorders>
            <w:shd w:val="clear" w:color="auto" w:fill="auto"/>
            <w:noWrap/>
            <w:vAlign w:val="bottom"/>
            <w:hideMark/>
          </w:tcPr>
          <w:p w14:paraId="3A80053B"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r>
      <w:tr w:rsidR="004854C7" w:rsidRPr="004854C7" w14:paraId="08EE536B" w14:textId="77777777" w:rsidTr="004854C7">
        <w:trPr>
          <w:trHeight w:val="260"/>
        </w:trPr>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905F6FF" w14:textId="77777777" w:rsidR="004854C7" w:rsidRPr="004854C7" w:rsidRDefault="004854C7" w:rsidP="004854C7">
            <w:pPr>
              <w:spacing w:after="0" w:line="240" w:lineRule="auto"/>
              <w:rPr>
                <w:rFonts w:ascii="Calibri" w:eastAsia="Times New Roman" w:hAnsi="Calibri" w:cs="Calibri"/>
                <w:b/>
                <w:bCs/>
                <w:color w:val="000000"/>
                <w:sz w:val="20"/>
                <w:szCs w:val="20"/>
                <w:lang w:eastAsia="en-GB"/>
              </w:rPr>
            </w:pPr>
            <w:r w:rsidRPr="004854C7">
              <w:rPr>
                <w:rFonts w:ascii="Calibri" w:eastAsia="Times New Roman" w:hAnsi="Calibri" w:cs="Calibri"/>
                <w:b/>
                <w:bCs/>
                <w:color w:val="000000"/>
                <w:sz w:val="20"/>
                <w:szCs w:val="20"/>
                <w:lang w:eastAsia="en-GB"/>
              </w:rPr>
              <w:t>Men</w:t>
            </w:r>
          </w:p>
        </w:tc>
        <w:tc>
          <w:tcPr>
            <w:tcW w:w="841" w:type="dxa"/>
            <w:tcBorders>
              <w:top w:val="single" w:sz="4" w:space="0" w:color="auto"/>
              <w:left w:val="nil"/>
              <w:bottom w:val="single" w:sz="4" w:space="0" w:color="auto"/>
              <w:right w:val="nil"/>
            </w:tcBorders>
            <w:shd w:val="clear" w:color="auto" w:fill="auto"/>
            <w:noWrap/>
            <w:vAlign w:val="bottom"/>
            <w:hideMark/>
          </w:tcPr>
          <w:p w14:paraId="54E16C87"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Cortisol</w:t>
            </w:r>
          </w:p>
        </w:tc>
        <w:tc>
          <w:tcPr>
            <w:tcW w:w="1019" w:type="dxa"/>
            <w:tcBorders>
              <w:top w:val="single" w:sz="4" w:space="0" w:color="auto"/>
              <w:left w:val="nil"/>
              <w:bottom w:val="single" w:sz="4" w:space="0" w:color="auto"/>
              <w:right w:val="nil"/>
            </w:tcBorders>
            <w:shd w:val="clear" w:color="auto" w:fill="auto"/>
            <w:noWrap/>
            <w:vAlign w:val="bottom"/>
            <w:hideMark/>
          </w:tcPr>
          <w:p w14:paraId="670D535A"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DHEAS</w:t>
            </w:r>
          </w:p>
        </w:tc>
        <w:tc>
          <w:tcPr>
            <w:tcW w:w="1976" w:type="dxa"/>
            <w:tcBorders>
              <w:top w:val="single" w:sz="4" w:space="0" w:color="auto"/>
              <w:left w:val="nil"/>
              <w:bottom w:val="single" w:sz="4" w:space="0" w:color="auto"/>
              <w:right w:val="nil"/>
            </w:tcBorders>
            <w:shd w:val="clear" w:color="auto" w:fill="auto"/>
            <w:noWrap/>
            <w:vAlign w:val="bottom"/>
            <w:hideMark/>
          </w:tcPr>
          <w:p w14:paraId="05439B82"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Cortisol:DHEAS ratio</w:t>
            </w:r>
          </w:p>
        </w:tc>
        <w:tc>
          <w:tcPr>
            <w:tcW w:w="732" w:type="dxa"/>
            <w:tcBorders>
              <w:top w:val="single" w:sz="4" w:space="0" w:color="auto"/>
              <w:left w:val="nil"/>
              <w:bottom w:val="single" w:sz="4" w:space="0" w:color="auto"/>
              <w:right w:val="nil"/>
            </w:tcBorders>
            <w:shd w:val="clear" w:color="auto" w:fill="auto"/>
            <w:noWrap/>
            <w:vAlign w:val="bottom"/>
            <w:hideMark/>
          </w:tcPr>
          <w:p w14:paraId="0DB18EB7"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IL-1β</w:t>
            </w:r>
          </w:p>
        </w:tc>
        <w:tc>
          <w:tcPr>
            <w:tcW w:w="671" w:type="dxa"/>
            <w:tcBorders>
              <w:top w:val="single" w:sz="4" w:space="0" w:color="auto"/>
              <w:left w:val="nil"/>
              <w:bottom w:val="single" w:sz="4" w:space="0" w:color="auto"/>
              <w:right w:val="nil"/>
            </w:tcBorders>
            <w:shd w:val="clear" w:color="auto" w:fill="auto"/>
            <w:noWrap/>
            <w:vAlign w:val="bottom"/>
            <w:hideMark/>
          </w:tcPr>
          <w:p w14:paraId="6FBCB6B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IL-6</w:t>
            </w:r>
          </w:p>
        </w:tc>
        <w:tc>
          <w:tcPr>
            <w:tcW w:w="1140" w:type="dxa"/>
            <w:tcBorders>
              <w:top w:val="single" w:sz="4" w:space="0" w:color="auto"/>
              <w:left w:val="nil"/>
              <w:bottom w:val="single" w:sz="4" w:space="0" w:color="auto"/>
              <w:right w:val="nil"/>
            </w:tcBorders>
            <w:shd w:val="clear" w:color="auto" w:fill="auto"/>
            <w:noWrap/>
            <w:vAlign w:val="bottom"/>
            <w:hideMark/>
          </w:tcPr>
          <w:p w14:paraId="35BA0862"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IL-10</w:t>
            </w:r>
          </w:p>
        </w:tc>
        <w:tc>
          <w:tcPr>
            <w:tcW w:w="648" w:type="dxa"/>
            <w:tcBorders>
              <w:top w:val="single" w:sz="4" w:space="0" w:color="auto"/>
              <w:left w:val="nil"/>
              <w:bottom w:val="single" w:sz="4" w:space="0" w:color="auto"/>
              <w:right w:val="nil"/>
            </w:tcBorders>
            <w:shd w:val="clear" w:color="auto" w:fill="auto"/>
            <w:noWrap/>
            <w:vAlign w:val="bottom"/>
            <w:hideMark/>
          </w:tcPr>
          <w:p w14:paraId="3CE06E25"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TNFα</w:t>
            </w:r>
          </w:p>
        </w:tc>
      </w:tr>
      <w:tr w:rsidR="004854C7" w:rsidRPr="004854C7" w14:paraId="52E677A7"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3A02D868"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DHEAS</w:t>
            </w:r>
          </w:p>
        </w:tc>
        <w:tc>
          <w:tcPr>
            <w:tcW w:w="841" w:type="dxa"/>
            <w:tcBorders>
              <w:top w:val="nil"/>
              <w:left w:val="nil"/>
              <w:bottom w:val="nil"/>
              <w:right w:val="nil"/>
            </w:tcBorders>
            <w:shd w:val="clear" w:color="auto" w:fill="auto"/>
            <w:noWrap/>
            <w:vAlign w:val="bottom"/>
            <w:hideMark/>
          </w:tcPr>
          <w:p w14:paraId="1A34F1E3"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0.15</w:t>
            </w:r>
          </w:p>
        </w:tc>
        <w:tc>
          <w:tcPr>
            <w:tcW w:w="1019" w:type="dxa"/>
            <w:tcBorders>
              <w:top w:val="nil"/>
              <w:left w:val="nil"/>
              <w:bottom w:val="nil"/>
              <w:right w:val="nil"/>
            </w:tcBorders>
            <w:shd w:val="clear" w:color="auto" w:fill="auto"/>
            <w:noWrap/>
            <w:vAlign w:val="bottom"/>
            <w:hideMark/>
          </w:tcPr>
          <w:p w14:paraId="7C305EB6"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66AE76BC"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732" w:type="dxa"/>
            <w:tcBorders>
              <w:top w:val="nil"/>
              <w:left w:val="nil"/>
              <w:bottom w:val="nil"/>
              <w:right w:val="nil"/>
            </w:tcBorders>
            <w:shd w:val="clear" w:color="auto" w:fill="auto"/>
            <w:noWrap/>
            <w:vAlign w:val="bottom"/>
            <w:hideMark/>
          </w:tcPr>
          <w:p w14:paraId="4E0DE5A2"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71" w:type="dxa"/>
            <w:tcBorders>
              <w:top w:val="nil"/>
              <w:left w:val="nil"/>
              <w:bottom w:val="nil"/>
              <w:right w:val="nil"/>
            </w:tcBorders>
            <w:shd w:val="clear" w:color="auto" w:fill="auto"/>
            <w:noWrap/>
            <w:vAlign w:val="bottom"/>
            <w:hideMark/>
          </w:tcPr>
          <w:p w14:paraId="062F61CE"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2C7C92A"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257D4C57"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3C12C1D5"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6E891789"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Cortisol:DHEAS ratio</w:t>
            </w:r>
          </w:p>
        </w:tc>
        <w:tc>
          <w:tcPr>
            <w:tcW w:w="841" w:type="dxa"/>
            <w:tcBorders>
              <w:top w:val="nil"/>
              <w:left w:val="nil"/>
              <w:bottom w:val="nil"/>
              <w:right w:val="nil"/>
            </w:tcBorders>
            <w:shd w:val="clear" w:color="auto" w:fill="auto"/>
            <w:noWrap/>
            <w:vAlign w:val="bottom"/>
            <w:hideMark/>
          </w:tcPr>
          <w:p w14:paraId="1C58C2C1"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0.58</w:t>
            </w:r>
          </w:p>
        </w:tc>
        <w:tc>
          <w:tcPr>
            <w:tcW w:w="1019" w:type="dxa"/>
            <w:tcBorders>
              <w:top w:val="nil"/>
              <w:left w:val="nil"/>
              <w:bottom w:val="nil"/>
              <w:right w:val="nil"/>
            </w:tcBorders>
            <w:shd w:val="clear" w:color="auto" w:fill="auto"/>
            <w:noWrap/>
            <w:vAlign w:val="bottom"/>
            <w:hideMark/>
          </w:tcPr>
          <w:p w14:paraId="143433D1"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-0.66</w:t>
            </w:r>
          </w:p>
        </w:tc>
        <w:tc>
          <w:tcPr>
            <w:tcW w:w="1976" w:type="dxa"/>
            <w:tcBorders>
              <w:top w:val="nil"/>
              <w:left w:val="nil"/>
              <w:bottom w:val="nil"/>
              <w:right w:val="nil"/>
            </w:tcBorders>
            <w:shd w:val="clear" w:color="auto" w:fill="auto"/>
            <w:noWrap/>
            <w:vAlign w:val="bottom"/>
            <w:hideMark/>
          </w:tcPr>
          <w:p w14:paraId="31B49A4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732" w:type="dxa"/>
            <w:tcBorders>
              <w:top w:val="nil"/>
              <w:left w:val="nil"/>
              <w:bottom w:val="nil"/>
              <w:right w:val="nil"/>
            </w:tcBorders>
            <w:shd w:val="clear" w:color="auto" w:fill="auto"/>
            <w:noWrap/>
            <w:vAlign w:val="bottom"/>
            <w:hideMark/>
          </w:tcPr>
          <w:p w14:paraId="788EE529"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71" w:type="dxa"/>
            <w:tcBorders>
              <w:top w:val="nil"/>
              <w:left w:val="nil"/>
              <w:bottom w:val="nil"/>
              <w:right w:val="nil"/>
            </w:tcBorders>
            <w:shd w:val="clear" w:color="auto" w:fill="auto"/>
            <w:noWrap/>
            <w:vAlign w:val="bottom"/>
            <w:hideMark/>
          </w:tcPr>
          <w:p w14:paraId="1CFA5A85"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B6F6746"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0BD9C2CC"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315BBE8D"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36A2EB49"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IL-1β</w:t>
            </w:r>
          </w:p>
        </w:tc>
        <w:tc>
          <w:tcPr>
            <w:tcW w:w="841" w:type="dxa"/>
            <w:tcBorders>
              <w:top w:val="nil"/>
              <w:left w:val="nil"/>
              <w:bottom w:val="nil"/>
              <w:right w:val="nil"/>
            </w:tcBorders>
            <w:shd w:val="clear" w:color="auto" w:fill="auto"/>
            <w:noWrap/>
            <w:vAlign w:val="bottom"/>
            <w:hideMark/>
          </w:tcPr>
          <w:p w14:paraId="2329205F"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0.26</w:t>
            </w:r>
          </w:p>
        </w:tc>
        <w:tc>
          <w:tcPr>
            <w:tcW w:w="1019" w:type="dxa"/>
            <w:tcBorders>
              <w:top w:val="nil"/>
              <w:left w:val="nil"/>
              <w:bottom w:val="nil"/>
              <w:right w:val="nil"/>
            </w:tcBorders>
            <w:shd w:val="clear" w:color="auto" w:fill="auto"/>
            <w:noWrap/>
            <w:vAlign w:val="bottom"/>
            <w:hideMark/>
          </w:tcPr>
          <w:p w14:paraId="7BCB8F9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0.03</w:t>
            </w:r>
          </w:p>
        </w:tc>
        <w:tc>
          <w:tcPr>
            <w:tcW w:w="1976" w:type="dxa"/>
            <w:tcBorders>
              <w:top w:val="nil"/>
              <w:left w:val="nil"/>
              <w:bottom w:val="nil"/>
              <w:right w:val="nil"/>
            </w:tcBorders>
            <w:shd w:val="clear" w:color="auto" w:fill="auto"/>
            <w:noWrap/>
            <w:vAlign w:val="bottom"/>
            <w:hideMark/>
          </w:tcPr>
          <w:p w14:paraId="4B514F3A"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0.18</w:t>
            </w:r>
          </w:p>
        </w:tc>
        <w:tc>
          <w:tcPr>
            <w:tcW w:w="732" w:type="dxa"/>
            <w:tcBorders>
              <w:top w:val="nil"/>
              <w:left w:val="nil"/>
              <w:bottom w:val="nil"/>
              <w:right w:val="nil"/>
            </w:tcBorders>
            <w:shd w:val="clear" w:color="auto" w:fill="auto"/>
            <w:noWrap/>
            <w:vAlign w:val="bottom"/>
            <w:hideMark/>
          </w:tcPr>
          <w:p w14:paraId="09595225"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671" w:type="dxa"/>
            <w:tcBorders>
              <w:top w:val="nil"/>
              <w:left w:val="nil"/>
              <w:bottom w:val="nil"/>
              <w:right w:val="nil"/>
            </w:tcBorders>
            <w:shd w:val="clear" w:color="auto" w:fill="auto"/>
            <w:noWrap/>
            <w:vAlign w:val="bottom"/>
            <w:hideMark/>
          </w:tcPr>
          <w:p w14:paraId="42B10266"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BB5DC4C"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2AD10FE6"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10A7E4EA"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27A9F274"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IL-6</w:t>
            </w:r>
          </w:p>
        </w:tc>
        <w:tc>
          <w:tcPr>
            <w:tcW w:w="841" w:type="dxa"/>
            <w:tcBorders>
              <w:top w:val="nil"/>
              <w:left w:val="nil"/>
              <w:bottom w:val="nil"/>
              <w:right w:val="nil"/>
            </w:tcBorders>
            <w:shd w:val="clear" w:color="auto" w:fill="auto"/>
            <w:noWrap/>
            <w:vAlign w:val="bottom"/>
            <w:hideMark/>
          </w:tcPr>
          <w:p w14:paraId="3DC70DB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-0.29</w:t>
            </w:r>
          </w:p>
        </w:tc>
        <w:tc>
          <w:tcPr>
            <w:tcW w:w="1019" w:type="dxa"/>
            <w:tcBorders>
              <w:top w:val="nil"/>
              <w:left w:val="nil"/>
              <w:bottom w:val="nil"/>
              <w:right w:val="nil"/>
            </w:tcBorders>
            <w:shd w:val="clear" w:color="auto" w:fill="auto"/>
            <w:noWrap/>
            <w:vAlign w:val="bottom"/>
            <w:hideMark/>
          </w:tcPr>
          <w:p w14:paraId="186589C2"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-0.04</w:t>
            </w:r>
          </w:p>
        </w:tc>
        <w:tc>
          <w:tcPr>
            <w:tcW w:w="1976" w:type="dxa"/>
            <w:tcBorders>
              <w:top w:val="nil"/>
              <w:left w:val="nil"/>
              <w:bottom w:val="nil"/>
              <w:right w:val="nil"/>
            </w:tcBorders>
            <w:shd w:val="clear" w:color="auto" w:fill="auto"/>
            <w:noWrap/>
            <w:vAlign w:val="bottom"/>
            <w:hideMark/>
          </w:tcPr>
          <w:p w14:paraId="0A62A960"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-0.18</w:t>
            </w:r>
          </w:p>
        </w:tc>
        <w:tc>
          <w:tcPr>
            <w:tcW w:w="732" w:type="dxa"/>
            <w:tcBorders>
              <w:top w:val="nil"/>
              <w:left w:val="nil"/>
              <w:bottom w:val="nil"/>
              <w:right w:val="nil"/>
            </w:tcBorders>
            <w:shd w:val="clear" w:color="auto" w:fill="auto"/>
            <w:noWrap/>
            <w:vAlign w:val="bottom"/>
            <w:hideMark/>
          </w:tcPr>
          <w:p w14:paraId="06088FCF"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-0.09</w:t>
            </w:r>
          </w:p>
        </w:tc>
        <w:tc>
          <w:tcPr>
            <w:tcW w:w="671" w:type="dxa"/>
            <w:tcBorders>
              <w:top w:val="nil"/>
              <w:left w:val="nil"/>
              <w:bottom w:val="nil"/>
              <w:right w:val="nil"/>
            </w:tcBorders>
            <w:shd w:val="clear" w:color="auto" w:fill="auto"/>
            <w:noWrap/>
            <w:vAlign w:val="bottom"/>
            <w:hideMark/>
          </w:tcPr>
          <w:p w14:paraId="1181BA10"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1140" w:type="dxa"/>
            <w:tcBorders>
              <w:top w:val="nil"/>
              <w:left w:val="nil"/>
              <w:bottom w:val="nil"/>
              <w:right w:val="nil"/>
            </w:tcBorders>
            <w:shd w:val="clear" w:color="auto" w:fill="auto"/>
            <w:noWrap/>
            <w:vAlign w:val="bottom"/>
            <w:hideMark/>
          </w:tcPr>
          <w:p w14:paraId="38CBC4B1"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7C457BB6"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26C7E19A"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140598C9"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IL-10</w:t>
            </w:r>
          </w:p>
        </w:tc>
        <w:tc>
          <w:tcPr>
            <w:tcW w:w="841" w:type="dxa"/>
            <w:tcBorders>
              <w:top w:val="nil"/>
              <w:left w:val="nil"/>
              <w:bottom w:val="nil"/>
              <w:right w:val="nil"/>
            </w:tcBorders>
            <w:shd w:val="clear" w:color="auto" w:fill="auto"/>
            <w:noWrap/>
            <w:vAlign w:val="bottom"/>
            <w:hideMark/>
          </w:tcPr>
          <w:p w14:paraId="35C31E3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0.05</w:t>
            </w:r>
          </w:p>
        </w:tc>
        <w:tc>
          <w:tcPr>
            <w:tcW w:w="1019" w:type="dxa"/>
            <w:tcBorders>
              <w:top w:val="nil"/>
              <w:left w:val="nil"/>
              <w:bottom w:val="nil"/>
              <w:right w:val="nil"/>
            </w:tcBorders>
            <w:shd w:val="clear" w:color="auto" w:fill="auto"/>
            <w:noWrap/>
            <w:vAlign w:val="bottom"/>
            <w:hideMark/>
          </w:tcPr>
          <w:p w14:paraId="196A79C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0.17</w:t>
            </w:r>
          </w:p>
        </w:tc>
        <w:tc>
          <w:tcPr>
            <w:tcW w:w="1976" w:type="dxa"/>
            <w:tcBorders>
              <w:top w:val="nil"/>
              <w:left w:val="nil"/>
              <w:bottom w:val="nil"/>
              <w:right w:val="nil"/>
            </w:tcBorders>
            <w:shd w:val="clear" w:color="auto" w:fill="auto"/>
            <w:noWrap/>
            <w:vAlign w:val="bottom"/>
            <w:hideMark/>
          </w:tcPr>
          <w:p w14:paraId="24CF56D6"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-0.08</w:t>
            </w:r>
          </w:p>
        </w:tc>
        <w:tc>
          <w:tcPr>
            <w:tcW w:w="732" w:type="dxa"/>
            <w:tcBorders>
              <w:top w:val="nil"/>
              <w:left w:val="nil"/>
              <w:bottom w:val="nil"/>
              <w:right w:val="nil"/>
            </w:tcBorders>
            <w:shd w:val="clear" w:color="auto" w:fill="auto"/>
            <w:noWrap/>
            <w:vAlign w:val="bottom"/>
            <w:hideMark/>
          </w:tcPr>
          <w:p w14:paraId="41430D69"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-0.13</w:t>
            </w:r>
          </w:p>
        </w:tc>
        <w:tc>
          <w:tcPr>
            <w:tcW w:w="671" w:type="dxa"/>
            <w:tcBorders>
              <w:top w:val="nil"/>
              <w:left w:val="nil"/>
              <w:bottom w:val="nil"/>
              <w:right w:val="nil"/>
            </w:tcBorders>
            <w:shd w:val="clear" w:color="auto" w:fill="auto"/>
            <w:noWrap/>
            <w:vAlign w:val="bottom"/>
            <w:hideMark/>
          </w:tcPr>
          <w:p w14:paraId="44663B6D"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0.17</w:t>
            </w:r>
          </w:p>
        </w:tc>
        <w:tc>
          <w:tcPr>
            <w:tcW w:w="1140" w:type="dxa"/>
            <w:tcBorders>
              <w:top w:val="nil"/>
              <w:left w:val="nil"/>
              <w:bottom w:val="nil"/>
              <w:right w:val="nil"/>
            </w:tcBorders>
            <w:shd w:val="clear" w:color="auto" w:fill="auto"/>
            <w:noWrap/>
            <w:vAlign w:val="bottom"/>
            <w:hideMark/>
          </w:tcPr>
          <w:p w14:paraId="2102ACFA"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648" w:type="dxa"/>
            <w:tcBorders>
              <w:top w:val="nil"/>
              <w:left w:val="nil"/>
              <w:bottom w:val="nil"/>
              <w:right w:val="nil"/>
            </w:tcBorders>
            <w:shd w:val="clear" w:color="auto" w:fill="auto"/>
            <w:noWrap/>
            <w:vAlign w:val="bottom"/>
            <w:hideMark/>
          </w:tcPr>
          <w:p w14:paraId="7EB2A744"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6B68E2AA"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5D269B33"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TNFα</w:t>
            </w:r>
          </w:p>
        </w:tc>
        <w:tc>
          <w:tcPr>
            <w:tcW w:w="841" w:type="dxa"/>
            <w:tcBorders>
              <w:top w:val="nil"/>
              <w:left w:val="nil"/>
              <w:bottom w:val="nil"/>
              <w:right w:val="nil"/>
            </w:tcBorders>
            <w:shd w:val="clear" w:color="auto" w:fill="auto"/>
            <w:noWrap/>
            <w:vAlign w:val="bottom"/>
            <w:hideMark/>
          </w:tcPr>
          <w:p w14:paraId="2D1CCD98"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0.11</w:t>
            </w:r>
          </w:p>
        </w:tc>
        <w:tc>
          <w:tcPr>
            <w:tcW w:w="1019" w:type="dxa"/>
            <w:tcBorders>
              <w:top w:val="nil"/>
              <w:left w:val="nil"/>
              <w:bottom w:val="nil"/>
              <w:right w:val="nil"/>
            </w:tcBorders>
            <w:shd w:val="clear" w:color="auto" w:fill="auto"/>
            <w:noWrap/>
            <w:vAlign w:val="bottom"/>
            <w:hideMark/>
          </w:tcPr>
          <w:p w14:paraId="4508006F"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0.11</w:t>
            </w:r>
          </w:p>
        </w:tc>
        <w:tc>
          <w:tcPr>
            <w:tcW w:w="1976" w:type="dxa"/>
            <w:tcBorders>
              <w:top w:val="nil"/>
              <w:left w:val="nil"/>
              <w:bottom w:val="nil"/>
              <w:right w:val="nil"/>
            </w:tcBorders>
            <w:shd w:val="clear" w:color="auto" w:fill="auto"/>
            <w:noWrap/>
            <w:vAlign w:val="bottom"/>
            <w:hideMark/>
          </w:tcPr>
          <w:p w14:paraId="5F056F59"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0.02</w:t>
            </w:r>
          </w:p>
        </w:tc>
        <w:tc>
          <w:tcPr>
            <w:tcW w:w="732" w:type="dxa"/>
            <w:tcBorders>
              <w:top w:val="nil"/>
              <w:left w:val="nil"/>
              <w:bottom w:val="nil"/>
              <w:right w:val="nil"/>
            </w:tcBorders>
            <w:shd w:val="clear" w:color="auto" w:fill="auto"/>
            <w:noWrap/>
            <w:vAlign w:val="bottom"/>
            <w:hideMark/>
          </w:tcPr>
          <w:p w14:paraId="6E8D9F0B"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0.50</w:t>
            </w:r>
          </w:p>
        </w:tc>
        <w:tc>
          <w:tcPr>
            <w:tcW w:w="671" w:type="dxa"/>
            <w:tcBorders>
              <w:top w:val="nil"/>
              <w:left w:val="nil"/>
              <w:bottom w:val="nil"/>
              <w:right w:val="nil"/>
            </w:tcBorders>
            <w:shd w:val="clear" w:color="auto" w:fill="auto"/>
            <w:noWrap/>
            <w:vAlign w:val="bottom"/>
            <w:hideMark/>
          </w:tcPr>
          <w:p w14:paraId="4A1B508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0.06</w:t>
            </w:r>
          </w:p>
        </w:tc>
        <w:tc>
          <w:tcPr>
            <w:tcW w:w="1140" w:type="dxa"/>
            <w:tcBorders>
              <w:top w:val="nil"/>
              <w:left w:val="nil"/>
              <w:bottom w:val="nil"/>
              <w:right w:val="nil"/>
            </w:tcBorders>
            <w:shd w:val="clear" w:color="auto" w:fill="auto"/>
            <w:noWrap/>
            <w:vAlign w:val="bottom"/>
            <w:hideMark/>
          </w:tcPr>
          <w:p w14:paraId="14EDE5E6"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0.47</w:t>
            </w:r>
          </w:p>
        </w:tc>
        <w:tc>
          <w:tcPr>
            <w:tcW w:w="648" w:type="dxa"/>
            <w:tcBorders>
              <w:top w:val="nil"/>
              <w:left w:val="nil"/>
              <w:bottom w:val="nil"/>
              <w:right w:val="nil"/>
            </w:tcBorders>
            <w:shd w:val="clear" w:color="auto" w:fill="auto"/>
            <w:noWrap/>
            <w:vAlign w:val="bottom"/>
            <w:hideMark/>
          </w:tcPr>
          <w:p w14:paraId="059976A2"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r>
      <w:tr w:rsidR="004854C7" w:rsidRPr="004854C7" w14:paraId="73DA0F4C" w14:textId="77777777" w:rsidTr="008F5BC4">
        <w:trPr>
          <w:trHeight w:val="260"/>
        </w:trPr>
        <w:tc>
          <w:tcPr>
            <w:tcW w:w="1985" w:type="dxa"/>
            <w:tcBorders>
              <w:top w:val="nil"/>
              <w:left w:val="nil"/>
              <w:bottom w:val="single" w:sz="4" w:space="0" w:color="auto"/>
              <w:right w:val="single" w:sz="4" w:space="0" w:color="auto"/>
            </w:tcBorders>
            <w:shd w:val="clear" w:color="auto" w:fill="auto"/>
            <w:noWrap/>
            <w:vAlign w:val="bottom"/>
            <w:hideMark/>
          </w:tcPr>
          <w:p w14:paraId="31CC8E57"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CRP</w:t>
            </w:r>
          </w:p>
        </w:tc>
        <w:tc>
          <w:tcPr>
            <w:tcW w:w="841" w:type="dxa"/>
            <w:tcBorders>
              <w:top w:val="nil"/>
              <w:left w:val="nil"/>
              <w:bottom w:val="single" w:sz="4" w:space="0" w:color="auto"/>
              <w:right w:val="nil"/>
            </w:tcBorders>
            <w:shd w:val="clear" w:color="auto" w:fill="auto"/>
            <w:noWrap/>
            <w:vAlign w:val="bottom"/>
            <w:hideMark/>
          </w:tcPr>
          <w:p w14:paraId="0F7D7FBE"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0.02</w:t>
            </w:r>
          </w:p>
        </w:tc>
        <w:tc>
          <w:tcPr>
            <w:tcW w:w="1019" w:type="dxa"/>
            <w:tcBorders>
              <w:top w:val="nil"/>
              <w:left w:val="nil"/>
              <w:bottom w:val="single" w:sz="4" w:space="0" w:color="auto"/>
              <w:right w:val="nil"/>
            </w:tcBorders>
            <w:shd w:val="clear" w:color="auto" w:fill="auto"/>
            <w:noWrap/>
            <w:vAlign w:val="bottom"/>
            <w:hideMark/>
          </w:tcPr>
          <w:p w14:paraId="5C9A5139"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0.10</w:t>
            </w:r>
          </w:p>
        </w:tc>
        <w:tc>
          <w:tcPr>
            <w:tcW w:w="1976" w:type="dxa"/>
            <w:tcBorders>
              <w:top w:val="nil"/>
              <w:left w:val="nil"/>
              <w:bottom w:val="single" w:sz="4" w:space="0" w:color="auto"/>
              <w:right w:val="nil"/>
            </w:tcBorders>
            <w:shd w:val="clear" w:color="auto" w:fill="auto"/>
            <w:noWrap/>
            <w:vAlign w:val="bottom"/>
            <w:hideMark/>
          </w:tcPr>
          <w:p w14:paraId="272AD033"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-0.02</w:t>
            </w:r>
          </w:p>
        </w:tc>
        <w:tc>
          <w:tcPr>
            <w:tcW w:w="732" w:type="dxa"/>
            <w:tcBorders>
              <w:top w:val="nil"/>
              <w:left w:val="nil"/>
              <w:bottom w:val="single" w:sz="4" w:space="0" w:color="auto"/>
              <w:right w:val="nil"/>
            </w:tcBorders>
            <w:shd w:val="clear" w:color="auto" w:fill="auto"/>
            <w:noWrap/>
            <w:vAlign w:val="bottom"/>
            <w:hideMark/>
          </w:tcPr>
          <w:p w14:paraId="3081FBD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0.02</w:t>
            </w:r>
          </w:p>
        </w:tc>
        <w:tc>
          <w:tcPr>
            <w:tcW w:w="671" w:type="dxa"/>
            <w:tcBorders>
              <w:top w:val="nil"/>
              <w:left w:val="nil"/>
              <w:bottom w:val="single" w:sz="4" w:space="0" w:color="auto"/>
              <w:right w:val="nil"/>
            </w:tcBorders>
            <w:shd w:val="clear" w:color="auto" w:fill="auto"/>
            <w:noWrap/>
            <w:vAlign w:val="bottom"/>
            <w:hideMark/>
          </w:tcPr>
          <w:p w14:paraId="05A7FDC5"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0.13</w:t>
            </w:r>
          </w:p>
        </w:tc>
        <w:tc>
          <w:tcPr>
            <w:tcW w:w="1140" w:type="dxa"/>
            <w:tcBorders>
              <w:top w:val="nil"/>
              <w:left w:val="nil"/>
              <w:bottom w:val="single" w:sz="4" w:space="0" w:color="auto"/>
              <w:right w:val="nil"/>
            </w:tcBorders>
            <w:shd w:val="clear" w:color="auto" w:fill="auto"/>
            <w:noWrap/>
            <w:vAlign w:val="bottom"/>
            <w:hideMark/>
          </w:tcPr>
          <w:p w14:paraId="18BF0FB0"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0.09</w:t>
            </w:r>
          </w:p>
        </w:tc>
        <w:tc>
          <w:tcPr>
            <w:tcW w:w="648" w:type="dxa"/>
            <w:tcBorders>
              <w:top w:val="nil"/>
              <w:left w:val="nil"/>
              <w:bottom w:val="single" w:sz="4" w:space="0" w:color="auto"/>
              <w:right w:val="nil"/>
            </w:tcBorders>
            <w:shd w:val="clear" w:color="auto" w:fill="auto"/>
            <w:noWrap/>
            <w:vAlign w:val="bottom"/>
            <w:hideMark/>
          </w:tcPr>
          <w:p w14:paraId="74C9915A"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0.04</w:t>
            </w:r>
          </w:p>
        </w:tc>
      </w:tr>
      <w:tr w:rsidR="004854C7" w:rsidRPr="004854C7" w14:paraId="492A7A22" w14:textId="77777777" w:rsidTr="008F5BC4">
        <w:trPr>
          <w:trHeight w:val="260"/>
        </w:trPr>
        <w:tc>
          <w:tcPr>
            <w:tcW w:w="1985" w:type="dxa"/>
            <w:tcBorders>
              <w:top w:val="single" w:sz="4" w:space="0" w:color="auto"/>
              <w:left w:val="nil"/>
              <w:bottom w:val="nil"/>
              <w:right w:val="nil"/>
            </w:tcBorders>
            <w:shd w:val="clear" w:color="auto" w:fill="auto"/>
            <w:noWrap/>
            <w:vAlign w:val="bottom"/>
            <w:hideMark/>
          </w:tcPr>
          <w:p w14:paraId="0F89BC2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841" w:type="dxa"/>
            <w:tcBorders>
              <w:top w:val="single" w:sz="4" w:space="0" w:color="auto"/>
              <w:left w:val="nil"/>
              <w:bottom w:val="nil"/>
              <w:right w:val="nil"/>
            </w:tcBorders>
            <w:shd w:val="clear" w:color="auto" w:fill="auto"/>
            <w:noWrap/>
            <w:vAlign w:val="bottom"/>
            <w:hideMark/>
          </w:tcPr>
          <w:p w14:paraId="3203695A"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1019" w:type="dxa"/>
            <w:tcBorders>
              <w:top w:val="single" w:sz="4" w:space="0" w:color="auto"/>
              <w:left w:val="nil"/>
              <w:bottom w:val="nil"/>
              <w:right w:val="nil"/>
            </w:tcBorders>
            <w:shd w:val="clear" w:color="auto" w:fill="auto"/>
            <w:noWrap/>
            <w:vAlign w:val="bottom"/>
            <w:hideMark/>
          </w:tcPr>
          <w:p w14:paraId="47ED64FB"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976" w:type="dxa"/>
            <w:tcBorders>
              <w:top w:val="single" w:sz="4" w:space="0" w:color="auto"/>
              <w:left w:val="nil"/>
              <w:bottom w:val="nil"/>
              <w:right w:val="nil"/>
            </w:tcBorders>
            <w:shd w:val="clear" w:color="auto" w:fill="auto"/>
            <w:noWrap/>
            <w:vAlign w:val="bottom"/>
            <w:hideMark/>
          </w:tcPr>
          <w:p w14:paraId="7947CF5E"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732" w:type="dxa"/>
            <w:tcBorders>
              <w:top w:val="single" w:sz="4" w:space="0" w:color="auto"/>
              <w:left w:val="nil"/>
              <w:bottom w:val="nil"/>
              <w:right w:val="nil"/>
            </w:tcBorders>
            <w:shd w:val="clear" w:color="auto" w:fill="auto"/>
            <w:noWrap/>
            <w:vAlign w:val="bottom"/>
            <w:hideMark/>
          </w:tcPr>
          <w:p w14:paraId="52EB2F5A"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71" w:type="dxa"/>
            <w:tcBorders>
              <w:top w:val="single" w:sz="4" w:space="0" w:color="auto"/>
              <w:left w:val="nil"/>
              <w:bottom w:val="nil"/>
              <w:right w:val="nil"/>
            </w:tcBorders>
            <w:shd w:val="clear" w:color="auto" w:fill="auto"/>
            <w:noWrap/>
            <w:vAlign w:val="bottom"/>
            <w:hideMark/>
          </w:tcPr>
          <w:p w14:paraId="2384603F"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140" w:type="dxa"/>
            <w:tcBorders>
              <w:top w:val="single" w:sz="4" w:space="0" w:color="auto"/>
              <w:left w:val="nil"/>
              <w:bottom w:val="nil"/>
              <w:right w:val="nil"/>
            </w:tcBorders>
            <w:shd w:val="clear" w:color="auto" w:fill="auto"/>
            <w:noWrap/>
            <w:vAlign w:val="bottom"/>
            <w:hideMark/>
          </w:tcPr>
          <w:p w14:paraId="286D0E7B"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single" w:sz="4" w:space="0" w:color="auto"/>
              <w:left w:val="nil"/>
              <w:bottom w:val="nil"/>
              <w:right w:val="nil"/>
            </w:tcBorders>
            <w:shd w:val="clear" w:color="auto" w:fill="auto"/>
            <w:noWrap/>
            <w:vAlign w:val="bottom"/>
            <w:hideMark/>
          </w:tcPr>
          <w:p w14:paraId="7AD143FF"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72F950FC" w14:textId="77777777" w:rsidTr="004854C7">
        <w:trPr>
          <w:trHeight w:val="260"/>
        </w:trPr>
        <w:tc>
          <w:tcPr>
            <w:tcW w:w="1985" w:type="dxa"/>
            <w:tcBorders>
              <w:top w:val="nil"/>
              <w:left w:val="nil"/>
              <w:bottom w:val="nil"/>
              <w:right w:val="nil"/>
            </w:tcBorders>
            <w:shd w:val="clear" w:color="auto" w:fill="auto"/>
            <w:noWrap/>
            <w:vAlign w:val="bottom"/>
            <w:hideMark/>
          </w:tcPr>
          <w:p w14:paraId="7D9C44C9"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841" w:type="dxa"/>
            <w:tcBorders>
              <w:top w:val="nil"/>
              <w:left w:val="nil"/>
              <w:bottom w:val="nil"/>
              <w:right w:val="nil"/>
            </w:tcBorders>
            <w:shd w:val="clear" w:color="auto" w:fill="auto"/>
            <w:noWrap/>
            <w:vAlign w:val="bottom"/>
            <w:hideMark/>
          </w:tcPr>
          <w:p w14:paraId="6F07DC6F"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1019" w:type="dxa"/>
            <w:tcBorders>
              <w:top w:val="nil"/>
              <w:left w:val="nil"/>
              <w:bottom w:val="nil"/>
              <w:right w:val="nil"/>
            </w:tcBorders>
            <w:shd w:val="clear" w:color="auto" w:fill="auto"/>
            <w:noWrap/>
            <w:vAlign w:val="bottom"/>
            <w:hideMark/>
          </w:tcPr>
          <w:p w14:paraId="1BA093A0"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1976" w:type="dxa"/>
            <w:tcBorders>
              <w:top w:val="nil"/>
              <w:left w:val="nil"/>
              <w:bottom w:val="nil"/>
              <w:right w:val="nil"/>
            </w:tcBorders>
            <w:shd w:val="clear" w:color="auto" w:fill="auto"/>
            <w:noWrap/>
            <w:vAlign w:val="bottom"/>
            <w:hideMark/>
          </w:tcPr>
          <w:p w14:paraId="7A4C19FE"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732" w:type="dxa"/>
            <w:tcBorders>
              <w:top w:val="nil"/>
              <w:left w:val="nil"/>
              <w:bottom w:val="nil"/>
              <w:right w:val="nil"/>
            </w:tcBorders>
            <w:shd w:val="clear" w:color="auto" w:fill="auto"/>
            <w:noWrap/>
            <w:vAlign w:val="bottom"/>
            <w:hideMark/>
          </w:tcPr>
          <w:p w14:paraId="548E204E"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671" w:type="dxa"/>
            <w:tcBorders>
              <w:top w:val="nil"/>
              <w:left w:val="nil"/>
              <w:bottom w:val="nil"/>
              <w:right w:val="nil"/>
            </w:tcBorders>
            <w:shd w:val="clear" w:color="auto" w:fill="auto"/>
            <w:noWrap/>
            <w:vAlign w:val="bottom"/>
            <w:hideMark/>
          </w:tcPr>
          <w:p w14:paraId="6B7A3410"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A2C40F3"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1EC47CED" w14:textId="77777777" w:rsidR="004854C7" w:rsidRPr="004854C7" w:rsidRDefault="004854C7" w:rsidP="004854C7">
            <w:pPr>
              <w:spacing w:after="0" w:line="240" w:lineRule="auto"/>
              <w:rPr>
                <w:rFonts w:ascii="Times New Roman" w:eastAsia="Times New Roman" w:hAnsi="Times New Roman" w:cs="Times New Roman"/>
                <w:sz w:val="20"/>
                <w:szCs w:val="20"/>
                <w:lang w:eastAsia="en-GB"/>
              </w:rPr>
            </w:pPr>
          </w:p>
        </w:tc>
      </w:tr>
      <w:tr w:rsidR="004854C7" w:rsidRPr="004854C7" w14:paraId="0044417B" w14:textId="77777777" w:rsidTr="004854C7">
        <w:trPr>
          <w:trHeight w:val="260"/>
        </w:trPr>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1A4B8EC" w14:textId="77777777" w:rsidR="004854C7" w:rsidRPr="004854C7" w:rsidRDefault="004854C7" w:rsidP="004854C7">
            <w:pPr>
              <w:spacing w:after="0" w:line="240" w:lineRule="auto"/>
              <w:rPr>
                <w:rFonts w:ascii="Calibri" w:eastAsia="Times New Roman" w:hAnsi="Calibri" w:cs="Calibri"/>
                <w:b/>
                <w:bCs/>
                <w:color w:val="000000"/>
                <w:sz w:val="20"/>
                <w:szCs w:val="20"/>
                <w:lang w:eastAsia="en-GB"/>
              </w:rPr>
            </w:pPr>
            <w:r w:rsidRPr="004854C7">
              <w:rPr>
                <w:rFonts w:ascii="Calibri" w:eastAsia="Times New Roman" w:hAnsi="Calibri" w:cs="Calibri"/>
                <w:b/>
                <w:bCs/>
                <w:color w:val="000000"/>
                <w:sz w:val="20"/>
                <w:szCs w:val="20"/>
                <w:lang w:eastAsia="en-GB"/>
              </w:rPr>
              <w:t>Women</w:t>
            </w:r>
          </w:p>
        </w:tc>
        <w:tc>
          <w:tcPr>
            <w:tcW w:w="841" w:type="dxa"/>
            <w:tcBorders>
              <w:top w:val="single" w:sz="4" w:space="0" w:color="auto"/>
              <w:left w:val="nil"/>
              <w:bottom w:val="single" w:sz="4" w:space="0" w:color="auto"/>
              <w:right w:val="nil"/>
            </w:tcBorders>
            <w:shd w:val="clear" w:color="auto" w:fill="auto"/>
            <w:noWrap/>
            <w:vAlign w:val="bottom"/>
            <w:hideMark/>
          </w:tcPr>
          <w:p w14:paraId="07572CCD"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Cortisol</w:t>
            </w:r>
          </w:p>
        </w:tc>
        <w:tc>
          <w:tcPr>
            <w:tcW w:w="1019" w:type="dxa"/>
            <w:tcBorders>
              <w:top w:val="single" w:sz="4" w:space="0" w:color="auto"/>
              <w:left w:val="nil"/>
              <w:bottom w:val="single" w:sz="4" w:space="0" w:color="auto"/>
              <w:right w:val="nil"/>
            </w:tcBorders>
            <w:shd w:val="clear" w:color="auto" w:fill="auto"/>
            <w:noWrap/>
            <w:vAlign w:val="bottom"/>
            <w:hideMark/>
          </w:tcPr>
          <w:p w14:paraId="365E59A3"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DHEAS</w:t>
            </w:r>
          </w:p>
        </w:tc>
        <w:tc>
          <w:tcPr>
            <w:tcW w:w="1976" w:type="dxa"/>
            <w:tcBorders>
              <w:top w:val="single" w:sz="4" w:space="0" w:color="auto"/>
              <w:left w:val="nil"/>
              <w:bottom w:val="single" w:sz="4" w:space="0" w:color="auto"/>
              <w:right w:val="nil"/>
            </w:tcBorders>
            <w:shd w:val="clear" w:color="auto" w:fill="auto"/>
            <w:noWrap/>
            <w:vAlign w:val="bottom"/>
            <w:hideMark/>
          </w:tcPr>
          <w:p w14:paraId="5CA19FA6"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Cortisol:DHEAS ratio</w:t>
            </w:r>
          </w:p>
        </w:tc>
        <w:tc>
          <w:tcPr>
            <w:tcW w:w="732" w:type="dxa"/>
            <w:tcBorders>
              <w:top w:val="single" w:sz="4" w:space="0" w:color="auto"/>
              <w:left w:val="nil"/>
              <w:bottom w:val="single" w:sz="4" w:space="0" w:color="auto"/>
              <w:right w:val="nil"/>
            </w:tcBorders>
            <w:shd w:val="clear" w:color="auto" w:fill="auto"/>
            <w:noWrap/>
            <w:vAlign w:val="bottom"/>
            <w:hideMark/>
          </w:tcPr>
          <w:p w14:paraId="3F76908D"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IL-1β</w:t>
            </w:r>
          </w:p>
        </w:tc>
        <w:tc>
          <w:tcPr>
            <w:tcW w:w="671" w:type="dxa"/>
            <w:tcBorders>
              <w:top w:val="single" w:sz="4" w:space="0" w:color="auto"/>
              <w:left w:val="nil"/>
              <w:bottom w:val="single" w:sz="4" w:space="0" w:color="auto"/>
              <w:right w:val="nil"/>
            </w:tcBorders>
            <w:shd w:val="clear" w:color="auto" w:fill="auto"/>
            <w:noWrap/>
            <w:vAlign w:val="bottom"/>
            <w:hideMark/>
          </w:tcPr>
          <w:p w14:paraId="4294449E"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IL-6</w:t>
            </w:r>
          </w:p>
        </w:tc>
        <w:tc>
          <w:tcPr>
            <w:tcW w:w="1140" w:type="dxa"/>
            <w:tcBorders>
              <w:top w:val="single" w:sz="4" w:space="0" w:color="auto"/>
              <w:left w:val="nil"/>
              <w:bottom w:val="single" w:sz="4" w:space="0" w:color="auto"/>
              <w:right w:val="nil"/>
            </w:tcBorders>
            <w:shd w:val="clear" w:color="auto" w:fill="auto"/>
            <w:noWrap/>
            <w:vAlign w:val="bottom"/>
            <w:hideMark/>
          </w:tcPr>
          <w:p w14:paraId="4D19419B"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IL-10</w:t>
            </w:r>
          </w:p>
        </w:tc>
        <w:tc>
          <w:tcPr>
            <w:tcW w:w="648" w:type="dxa"/>
            <w:tcBorders>
              <w:top w:val="single" w:sz="4" w:space="0" w:color="auto"/>
              <w:left w:val="nil"/>
              <w:bottom w:val="single" w:sz="4" w:space="0" w:color="auto"/>
              <w:right w:val="nil"/>
            </w:tcBorders>
            <w:shd w:val="clear" w:color="auto" w:fill="auto"/>
            <w:noWrap/>
            <w:vAlign w:val="bottom"/>
            <w:hideMark/>
          </w:tcPr>
          <w:p w14:paraId="5CF6B9D6"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TNFα</w:t>
            </w:r>
          </w:p>
        </w:tc>
      </w:tr>
      <w:tr w:rsidR="004854C7" w:rsidRPr="004854C7" w14:paraId="04F031E3"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5590AD07"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DHEAS</w:t>
            </w:r>
          </w:p>
        </w:tc>
        <w:tc>
          <w:tcPr>
            <w:tcW w:w="841" w:type="dxa"/>
            <w:tcBorders>
              <w:top w:val="nil"/>
              <w:left w:val="nil"/>
              <w:bottom w:val="nil"/>
              <w:right w:val="nil"/>
            </w:tcBorders>
            <w:shd w:val="clear" w:color="auto" w:fill="auto"/>
            <w:noWrap/>
            <w:vAlign w:val="bottom"/>
            <w:hideMark/>
          </w:tcPr>
          <w:p w14:paraId="2A4AB8DE"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-0.06</w:t>
            </w:r>
          </w:p>
        </w:tc>
        <w:tc>
          <w:tcPr>
            <w:tcW w:w="1019" w:type="dxa"/>
            <w:tcBorders>
              <w:top w:val="nil"/>
              <w:left w:val="nil"/>
              <w:bottom w:val="nil"/>
              <w:right w:val="nil"/>
            </w:tcBorders>
            <w:shd w:val="clear" w:color="auto" w:fill="auto"/>
            <w:noWrap/>
            <w:vAlign w:val="bottom"/>
            <w:hideMark/>
          </w:tcPr>
          <w:p w14:paraId="0FA2DDEA"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7628157F"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732" w:type="dxa"/>
            <w:tcBorders>
              <w:top w:val="nil"/>
              <w:left w:val="nil"/>
              <w:bottom w:val="nil"/>
              <w:right w:val="nil"/>
            </w:tcBorders>
            <w:shd w:val="clear" w:color="auto" w:fill="auto"/>
            <w:noWrap/>
            <w:vAlign w:val="bottom"/>
            <w:hideMark/>
          </w:tcPr>
          <w:p w14:paraId="7ACDB1E1"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71" w:type="dxa"/>
            <w:tcBorders>
              <w:top w:val="nil"/>
              <w:left w:val="nil"/>
              <w:bottom w:val="nil"/>
              <w:right w:val="nil"/>
            </w:tcBorders>
            <w:shd w:val="clear" w:color="auto" w:fill="auto"/>
            <w:noWrap/>
            <w:vAlign w:val="bottom"/>
            <w:hideMark/>
          </w:tcPr>
          <w:p w14:paraId="402DF19C"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D9AC4AA"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7577832C"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71BF8606"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0DB69188"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Cortisol:DHEAS ratio</w:t>
            </w:r>
          </w:p>
        </w:tc>
        <w:tc>
          <w:tcPr>
            <w:tcW w:w="841" w:type="dxa"/>
            <w:tcBorders>
              <w:top w:val="nil"/>
              <w:left w:val="nil"/>
              <w:bottom w:val="nil"/>
              <w:right w:val="nil"/>
            </w:tcBorders>
            <w:shd w:val="clear" w:color="auto" w:fill="auto"/>
            <w:noWrap/>
            <w:vAlign w:val="bottom"/>
            <w:hideMark/>
          </w:tcPr>
          <w:p w14:paraId="2FF9CD7F"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0.52</w:t>
            </w:r>
          </w:p>
        </w:tc>
        <w:tc>
          <w:tcPr>
            <w:tcW w:w="1019" w:type="dxa"/>
            <w:tcBorders>
              <w:top w:val="nil"/>
              <w:left w:val="nil"/>
              <w:bottom w:val="nil"/>
              <w:right w:val="nil"/>
            </w:tcBorders>
            <w:shd w:val="clear" w:color="auto" w:fill="auto"/>
            <w:noWrap/>
            <w:vAlign w:val="bottom"/>
            <w:hideMark/>
          </w:tcPr>
          <w:p w14:paraId="1D4D58BB"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-0.86</w:t>
            </w:r>
          </w:p>
        </w:tc>
        <w:tc>
          <w:tcPr>
            <w:tcW w:w="1976" w:type="dxa"/>
            <w:tcBorders>
              <w:top w:val="nil"/>
              <w:left w:val="nil"/>
              <w:bottom w:val="nil"/>
              <w:right w:val="nil"/>
            </w:tcBorders>
            <w:shd w:val="clear" w:color="auto" w:fill="auto"/>
            <w:noWrap/>
            <w:vAlign w:val="bottom"/>
            <w:hideMark/>
          </w:tcPr>
          <w:p w14:paraId="3B51BE5F"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732" w:type="dxa"/>
            <w:tcBorders>
              <w:top w:val="nil"/>
              <w:left w:val="nil"/>
              <w:bottom w:val="nil"/>
              <w:right w:val="nil"/>
            </w:tcBorders>
            <w:shd w:val="clear" w:color="auto" w:fill="auto"/>
            <w:noWrap/>
            <w:vAlign w:val="bottom"/>
            <w:hideMark/>
          </w:tcPr>
          <w:p w14:paraId="4A012471"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71" w:type="dxa"/>
            <w:tcBorders>
              <w:top w:val="nil"/>
              <w:left w:val="nil"/>
              <w:bottom w:val="nil"/>
              <w:right w:val="nil"/>
            </w:tcBorders>
            <w:shd w:val="clear" w:color="auto" w:fill="auto"/>
            <w:noWrap/>
            <w:vAlign w:val="bottom"/>
            <w:hideMark/>
          </w:tcPr>
          <w:p w14:paraId="28DFEC67"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17CEDBB"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20B8EF42"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3FDB781D"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5B858638"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IL-1β</w:t>
            </w:r>
          </w:p>
        </w:tc>
        <w:tc>
          <w:tcPr>
            <w:tcW w:w="841" w:type="dxa"/>
            <w:tcBorders>
              <w:top w:val="nil"/>
              <w:left w:val="nil"/>
              <w:bottom w:val="nil"/>
              <w:right w:val="nil"/>
            </w:tcBorders>
            <w:shd w:val="clear" w:color="auto" w:fill="auto"/>
            <w:noWrap/>
            <w:vAlign w:val="bottom"/>
            <w:hideMark/>
          </w:tcPr>
          <w:p w14:paraId="2C7AFDDE"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-0.11</w:t>
            </w:r>
          </w:p>
        </w:tc>
        <w:tc>
          <w:tcPr>
            <w:tcW w:w="1019" w:type="dxa"/>
            <w:tcBorders>
              <w:top w:val="nil"/>
              <w:left w:val="nil"/>
              <w:bottom w:val="nil"/>
              <w:right w:val="nil"/>
            </w:tcBorders>
            <w:shd w:val="clear" w:color="auto" w:fill="auto"/>
            <w:noWrap/>
            <w:vAlign w:val="bottom"/>
            <w:hideMark/>
          </w:tcPr>
          <w:p w14:paraId="0569FA3B"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0.01</w:t>
            </w:r>
          </w:p>
        </w:tc>
        <w:tc>
          <w:tcPr>
            <w:tcW w:w="1976" w:type="dxa"/>
            <w:tcBorders>
              <w:top w:val="nil"/>
              <w:left w:val="nil"/>
              <w:bottom w:val="nil"/>
              <w:right w:val="nil"/>
            </w:tcBorders>
            <w:shd w:val="clear" w:color="auto" w:fill="auto"/>
            <w:noWrap/>
            <w:vAlign w:val="bottom"/>
            <w:hideMark/>
          </w:tcPr>
          <w:p w14:paraId="4DB14EF9"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-0.07</w:t>
            </w:r>
          </w:p>
        </w:tc>
        <w:tc>
          <w:tcPr>
            <w:tcW w:w="732" w:type="dxa"/>
            <w:tcBorders>
              <w:top w:val="nil"/>
              <w:left w:val="nil"/>
              <w:bottom w:val="nil"/>
              <w:right w:val="nil"/>
            </w:tcBorders>
            <w:shd w:val="clear" w:color="auto" w:fill="auto"/>
            <w:noWrap/>
            <w:vAlign w:val="bottom"/>
            <w:hideMark/>
          </w:tcPr>
          <w:p w14:paraId="262F805F"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671" w:type="dxa"/>
            <w:tcBorders>
              <w:top w:val="nil"/>
              <w:left w:val="nil"/>
              <w:bottom w:val="nil"/>
              <w:right w:val="nil"/>
            </w:tcBorders>
            <w:shd w:val="clear" w:color="auto" w:fill="auto"/>
            <w:noWrap/>
            <w:vAlign w:val="bottom"/>
            <w:hideMark/>
          </w:tcPr>
          <w:p w14:paraId="075C9528"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D2CE71"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03466D4B"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35D117AE"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619BCE45"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IL-6</w:t>
            </w:r>
          </w:p>
        </w:tc>
        <w:tc>
          <w:tcPr>
            <w:tcW w:w="841" w:type="dxa"/>
            <w:tcBorders>
              <w:top w:val="nil"/>
              <w:left w:val="nil"/>
              <w:bottom w:val="nil"/>
              <w:right w:val="nil"/>
            </w:tcBorders>
            <w:shd w:val="clear" w:color="auto" w:fill="auto"/>
            <w:noWrap/>
            <w:vAlign w:val="bottom"/>
            <w:hideMark/>
          </w:tcPr>
          <w:p w14:paraId="314526D3"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0.05</w:t>
            </w:r>
          </w:p>
        </w:tc>
        <w:tc>
          <w:tcPr>
            <w:tcW w:w="1019" w:type="dxa"/>
            <w:tcBorders>
              <w:top w:val="nil"/>
              <w:left w:val="nil"/>
              <w:bottom w:val="nil"/>
              <w:right w:val="nil"/>
            </w:tcBorders>
            <w:shd w:val="clear" w:color="auto" w:fill="auto"/>
            <w:noWrap/>
            <w:vAlign w:val="bottom"/>
            <w:hideMark/>
          </w:tcPr>
          <w:p w14:paraId="44EF4CD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-0.17</w:t>
            </w:r>
          </w:p>
        </w:tc>
        <w:tc>
          <w:tcPr>
            <w:tcW w:w="1976" w:type="dxa"/>
            <w:tcBorders>
              <w:top w:val="nil"/>
              <w:left w:val="nil"/>
              <w:bottom w:val="nil"/>
              <w:right w:val="nil"/>
            </w:tcBorders>
            <w:shd w:val="clear" w:color="auto" w:fill="auto"/>
            <w:noWrap/>
            <w:vAlign w:val="bottom"/>
            <w:hideMark/>
          </w:tcPr>
          <w:p w14:paraId="2B64767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0.22</w:t>
            </w:r>
          </w:p>
        </w:tc>
        <w:tc>
          <w:tcPr>
            <w:tcW w:w="732" w:type="dxa"/>
            <w:tcBorders>
              <w:top w:val="nil"/>
              <w:left w:val="nil"/>
              <w:bottom w:val="nil"/>
              <w:right w:val="nil"/>
            </w:tcBorders>
            <w:shd w:val="clear" w:color="auto" w:fill="auto"/>
            <w:noWrap/>
            <w:vAlign w:val="bottom"/>
            <w:hideMark/>
          </w:tcPr>
          <w:p w14:paraId="48211482"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0.05</w:t>
            </w:r>
          </w:p>
        </w:tc>
        <w:tc>
          <w:tcPr>
            <w:tcW w:w="671" w:type="dxa"/>
            <w:tcBorders>
              <w:top w:val="nil"/>
              <w:left w:val="nil"/>
              <w:bottom w:val="nil"/>
              <w:right w:val="nil"/>
            </w:tcBorders>
            <w:shd w:val="clear" w:color="auto" w:fill="auto"/>
            <w:noWrap/>
            <w:vAlign w:val="bottom"/>
            <w:hideMark/>
          </w:tcPr>
          <w:p w14:paraId="381CAD4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1140" w:type="dxa"/>
            <w:tcBorders>
              <w:top w:val="nil"/>
              <w:left w:val="nil"/>
              <w:bottom w:val="nil"/>
              <w:right w:val="nil"/>
            </w:tcBorders>
            <w:shd w:val="clear" w:color="auto" w:fill="auto"/>
            <w:noWrap/>
            <w:vAlign w:val="bottom"/>
            <w:hideMark/>
          </w:tcPr>
          <w:p w14:paraId="3F310FEE"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c>
          <w:tcPr>
            <w:tcW w:w="648" w:type="dxa"/>
            <w:tcBorders>
              <w:top w:val="nil"/>
              <w:left w:val="nil"/>
              <w:bottom w:val="nil"/>
              <w:right w:val="nil"/>
            </w:tcBorders>
            <w:shd w:val="clear" w:color="auto" w:fill="auto"/>
            <w:noWrap/>
            <w:vAlign w:val="bottom"/>
            <w:hideMark/>
          </w:tcPr>
          <w:p w14:paraId="583CF6B3"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1380085F"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31864235"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IL-10</w:t>
            </w:r>
          </w:p>
        </w:tc>
        <w:tc>
          <w:tcPr>
            <w:tcW w:w="841" w:type="dxa"/>
            <w:tcBorders>
              <w:top w:val="nil"/>
              <w:left w:val="nil"/>
              <w:bottom w:val="nil"/>
              <w:right w:val="nil"/>
            </w:tcBorders>
            <w:shd w:val="clear" w:color="auto" w:fill="auto"/>
            <w:noWrap/>
            <w:vAlign w:val="bottom"/>
            <w:hideMark/>
          </w:tcPr>
          <w:p w14:paraId="06A6B67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-0.17</w:t>
            </w:r>
          </w:p>
        </w:tc>
        <w:tc>
          <w:tcPr>
            <w:tcW w:w="1019" w:type="dxa"/>
            <w:tcBorders>
              <w:top w:val="nil"/>
              <w:left w:val="nil"/>
              <w:bottom w:val="nil"/>
              <w:right w:val="nil"/>
            </w:tcBorders>
            <w:shd w:val="clear" w:color="auto" w:fill="auto"/>
            <w:noWrap/>
            <w:vAlign w:val="bottom"/>
            <w:hideMark/>
          </w:tcPr>
          <w:p w14:paraId="44B3749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0.17</w:t>
            </w:r>
          </w:p>
        </w:tc>
        <w:tc>
          <w:tcPr>
            <w:tcW w:w="1976" w:type="dxa"/>
            <w:tcBorders>
              <w:top w:val="nil"/>
              <w:left w:val="nil"/>
              <w:bottom w:val="nil"/>
              <w:right w:val="nil"/>
            </w:tcBorders>
            <w:shd w:val="clear" w:color="auto" w:fill="auto"/>
            <w:noWrap/>
            <w:vAlign w:val="bottom"/>
            <w:hideMark/>
          </w:tcPr>
          <w:p w14:paraId="338D5C0A"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-0.24</w:t>
            </w:r>
          </w:p>
        </w:tc>
        <w:tc>
          <w:tcPr>
            <w:tcW w:w="732" w:type="dxa"/>
            <w:tcBorders>
              <w:top w:val="nil"/>
              <w:left w:val="nil"/>
              <w:bottom w:val="nil"/>
              <w:right w:val="nil"/>
            </w:tcBorders>
            <w:shd w:val="clear" w:color="auto" w:fill="auto"/>
            <w:noWrap/>
            <w:vAlign w:val="bottom"/>
            <w:hideMark/>
          </w:tcPr>
          <w:p w14:paraId="5110BD87"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0.27</w:t>
            </w:r>
          </w:p>
        </w:tc>
        <w:tc>
          <w:tcPr>
            <w:tcW w:w="671" w:type="dxa"/>
            <w:tcBorders>
              <w:top w:val="nil"/>
              <w:left w:val="nil"/>
              <w:bottom w:val="nil"/>
              <w:right w:val="nil"/>
            </w:tcBorders>
            <w:shd w:val="clear" w:color="auto" w:fill="auto"/>
            <w:noWrap/>
            <w:vAlign w:val="bottom"/>
            <w:hideMark/>
          </w:tcPr>
          <w:p w14:paraId="0A43D257"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0.08</w:t>
            </w:r>
          </w:p>
        </w:tc>
        <w:tc>
          <w:tcPr>
            <w:tcW w:w="1140" w:type="dxa"/>
            <w:tcBorders>
              <w:top w:val="nil"/>
              <w:left w:val="nil"/>
              <w:bottom w:val="nil"/>
              <w:right w:val="nil"/>
            </w:tcBorders>
            <w:shd w:val="clear" w:color="auto" w:fill="auto"/>
            <w:noWrap/>
            <w:vAlign w:val="bottom"/>
            <w:hideMark/>
          </w:tcPr>
          <w:p w14:paraId="66E91577"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c>
          <w:tcPr>
            <w:tcW w:w="648" w:type="dxa"/>
            <w:tcBorders>
              <w:top w:val="nil"/>
              <w:left w:val="nil"/>
              <w:bottom w:val="nil"/>
              <w:right w:val="nil"/>
            </w:tcBorders>
            <w:shd w:val="clear" w:color="auto" w:fill="auto"/>
            <w:noWrap/>
            <w:vAlign w:val="bottom"/>
            <w:hideMark/>
          </w:tcPr>
          <w:p w14:paraId="16E96979" w14:textId="77777777" w:rsidR="004854C7" w:rsidRPr="004854C7" w:rsidRDefault="004854C7" w:rsidP="004854C7">
            <w:pPr>
              <w:spacing w:after="0" w:line="240" w:lineRule="auto"/>
              <w:jc w:val="center"/>
              <w:rPr>
                <w:rFonts w:ascii="Times New Roman" w:eastAsia="Times New Roman" w:hAnsi="Times New Roman" w:cs="Times New Roman"/>
                <w:sz w:val="20"/>
                <w:szCs w:val="20"/>
                <w:lang w:eastAsia="en-GB"/>
              </w:rPr>
            </w:pPr>
          </w:p>
        </w:tc>
      </w:tr>
      <w:tr w:rsidR="004854C7" w:rsidRPr="004854C7" w14:paraId="0B051561" w14:textId="77777777" w:rsidTr="004854C7">
        <w:trPr>
          <w:trHeight w:val="260"/>
        </w:trPr>
        <w:tc>
          <w:tcPr>
            <w:tcW w:w="1985" w:type="dxa"/>
            <w:tcBorders>
              <w:top w:val="nil"/>
              <w:left w:val="nil"/>
              <w:bottom w:val="nil"/>
              <w:right w:val="single" w:sz="4" w:space="0" w:color="auto"/>
            </w:tcBorders>
            <w:shd w:val="clear" w:color="auto" w:fill="auto"/>
            <w:noWrap/>
            <w:vAlign w:val="bottom"/>
            <w:hideMark/>
          </w:tcPr>
          <w:p w14:paraId="31CDEDF1"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TNFα</w:t>
            </w:r>
          </w:p>
        </w:tc>
        <w:tc>
          <w:tcPr>
            <w:tcW w:w="841" w:type="dxa"/>
            <w:tcBorders>
              <w:top w:val="nil"/>
              <w:left w:val="nil"/>
              <w:bottom w:val="nil"/>
              <w:right w:val="nil"/>
            </w:tcBorders>
            <w:shd w:val="clear" w:color="auto" w:fill="auto"/>
            <w:noWrap/>
            <w:vAlign w:val="bottom"/>
            <w:hideMark/>
          </w:tcPr>
          <w:p w14:paraId="442E10B1"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-0.01</w:t>
            </w:r>
          </w:p>
        </w:tc>
        <w:tc>
          <w:tcPr>
            <w:tcW w:w="1019" w:type="dxa"/>
            <w:tcBorders>
              <w:top w:val="nil"/>
              <w:left w:val="nil"/>
              <w:bottom w:val="nil"/>
              <w:right w:val="nil"/>
            </w:tcBorders>
            <w:shd w:val="clear" w:color="auto" w:fill="auto"/>
            <w:noWrap/>
            <w:vAlign w:val="bottom"/>
            <w:hideMark/>
          </w:tcPr>
          <w:p w14:paraId="36431D7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0.00</w:t>
            </w:r>
          </w:p>
        </w:tc>
        <w:tc>
          <w:tcPr>
            <w:tcW w:w="1976" w:type="dxa"/>
            <w:tcBorders>
              <w:top w:val="nil"/>
              <w:left w:val="nil"/>
              <w:bottom w:val="nil"/>
              <w:right w:val="nil"/>
            </w:tcBorders>
            <w:shd w:val="clear" w:color="auto" w:fill="auto"/>
            <w:noWrap/>
            <w:vAlign w:val="bottom"/>
            <w:hideMark/>
          </w:tcPr>
          <w:p w14:paraId="47CEE6F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-0.04</w:t>
            </w:r>
          </w:p>
        </w:tc>
        <w:tc>
          <w:tcPr>
            <w:tcW w:w="732" w:type="dxa"/>
            <w:tcBorders>
              <w:top w:val="nil"/>
              <w:left w:val="nil"/>
              <w:bottom w:val="nil"/>
              <w:right w:val="nil"/>
            </w:tcBorders>
            <w:shd w:val="clear" w:color="auto" w:fill="auto"/>
            <w:noWrap/>
            <w:vAlign w:val="bottom"/>
            <w:hideMark/>
          </w:tcPr>
          <w:p w14:paraId="677EEE5D"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0.46</w:t>
            </w:r>
          </w:p>
        </w:tc>
        <w:tc>
          <w:tcPr>
            <w:tcW w:w="671" w:type="dxa"/>
            <w:tcBorders>
              <w:top w:val="nil"/>
              <w:left w:val="nil"/>
              <w:bottom w:val="nil"/>
              <w:right w:val="nil"/>
            </w:tcBorders>
            <w:shd w:val="clear" w:color="auto" w:fill="auto"/>
            <w:noWrap/>
            <w:vAlign w:val="bottom"/>
            <w:hideMark/>
          </w:tcPr>
          <w:p w14:paraId="0B8B49D1"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0.16</w:t>
            </w:r>
          </w:p>
        </w:tc>
        <w:tc>
          <w:tcPr>
            <w:tcW w:w="1140" w:type="dxa"/>
            <w:tcBorders>
              <w:top w:val="nil"/>
              <w:left w:val="nil"/>
              <w:bottom w:val="nil"/>
              <w:right w:val="nil"/>
            </w:tcBorders>
            <w:shd w:val="clear" w:color="auto" w:fill="auto"/>
            <w:noWrap/>
            <w:vAlign w:val="bottom"/>
            <w:hideMark/>
          </w:tcPr>
          <w:p w14:paraId="799B9D35"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0.16</w:t>
            </w:r>
          </w:p>
        </w:tc>
        <w:tc>
          <w:tcPr>
            <w:tcW w:w="648" w:type="dxa"/>
            <w:tcBorders>
              <w:top w:val="nil"/>
              <w:left w:val="nil"/>
              <w:bottom w:val="nil"/>
              <w:right w:val="nil"/>
            </w:tcBorders>
            <w:shd w:val="clear" w:color="auto" w:fill="auto"/>
            <w:noWrap/>
            <w:vAlign w:val="bottom"/>
            <w:hideMark/>
          </w:tcPr>
          <w:p w14:paraId="61EAE2A1"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p>
        </w:tc>
      </w:tr>
      <w:tr w:rsidR="004854C7" w:rsidRPr="004854C7" w14:paraId="5C4C5059" w14:textId="77777777" w:rsidTr="008F5BC4">
        <w:trPr>
          <w:trHeight w:val="260"/>
        </w:trPr>
        <w:tc>
          <w:tcPr>
            <w:tcW w:w="1985" w:type="dxa"/>
            <w:tcBorders>
              <w:top w:val="nil"/>
              <w:left w:val="nil"/>
              <w:bottom w:val="single" w:sz="4" w:space="0" w:color="auto"/>
              <w:right w:val="single" w:sz="4" w:space="0" w:color="auto"/>
            </w:tcBorders>
            <w:shd w:val="clear" w:color="auto" w:fill="auto"/>
            <w:noWrap/>
            <w:vAlign w:val="bottom"/>
            <w:hideMark/>
          </w:tcPr>
          <w:p w14:paraId="5D11EA60" w14:textId="77777777" w:rsidR="004854C7" w:rsidRPr="004854C7" w:rsidRDefault="004854C7" w:rsidP="004854C7">
            <w:pPr>
              <w:spacing w:after="0" w:line="240" w:lineRule="auto"/>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CRP</w:t>
            </w:r>
          </w:p>
        </w:tc>
        <w:tc>
          <w:tcPr>
            <w:tcW w:w="841" w:type="dxa"/>
            <w:tcBorders>
              <w:top w:val="nil"/>
              <w:left w:val="nil"/>
              <w:bottom w:val="single" w:sz="4" w:space="0" w:color="auto"/>
              <w:right w:val="nil"/>
            </w:tcBorders>
            <w:shd w:val="clear" w:color="auto" w:fill="auto"/>
            <w:noWrap/>
            <w:vAlign w:val="bottom"/>
            <w:hideMark/>
          </w:tcPr>
          <w:p w14:paraId="1359514D"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0.05</w:t>
            </w:r>
          </w:p>
        </w:tc>
        <w:tc>
          <w:tcPr>
            <w:tcW w:w="1019" w:type="dxa"/>
            <w:tcBorders>
              <w:top w:val="nil"/>
              <w:left w:val="nil"/>
              <w:bottom w:val="single" w:sz="4" w:space="0" w:color="auto"/>
              <w:right w:val="nil"/>
            </w:tcBorders>
            <w:shd w:val="clear" w:color="auto" w:fill="auto"/>
            <w:noWrap/>
            <w:vAlign w:val="bottom"/>
            <w:hideMark/>
          </w:tcPr>
          <w:p w14:paraId="6490A414"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0.06</w:t>
            </w:r>
          </w:p>
        </w:tc>
        <w:tc>
          <w:tcPr>
            <w:tcW w:w="1976" w:type="dxa"/>
            <w:tcBorders>
              <w:top w:val="nil"/>
              <w:left w:val="nil"/>
              <w:bottom w:val="single" w:sz="4" w:space="0" w:color="auto"/>
              <w:right w:val="nil"/>
            </w:tcBorders>
            <w:shd w:val="clear" w:color="auto" w:fill="auto"/>
            <w:noWrap/>
            <w:vAlign w:val="bottom"/>
            <w:hideMark/>
          </w:tcPr>
          <w:p w14:paraId="1BF37A72"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-0.01</w:t>
            </w:r>
          </w:p>
        </w:tc>
        <w:tc>
          <w:tcPr>
            <w:tcW w:w="732" w:type="dxa"/>
            <w:tcBorders>
              <w:top w:val="nil"/>
              <w:left w:val="nil"/>
              <w:bottom w:val="single" w:sz="4" w:space="0" w:color="auto"/>
              <w:right w:val="nil"/>
            </w:tcBorders>
            <w:shd w:val="clear" w:color="auto" w:fill="auto"/>
            <w:noWrap/>
            <w:vAlign w:val="bottom"/>
            <w:hideMark/>
          </w:tcPr>
          <w:p w14:paraId="66AD1F75"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0.00</w:t>
            </w:r>
          </w:p>
        </w:tc>
        <w:tc>
          <w:tcPr>
            <w:tcW w:w="671" w:type="dxa"/>
            <w:tcBorders>
              <w:top w:val="nil"/>
              <w:left w:val="nil"/>
              <w:bottom w:val="single" w:sz="4" w:space="0" w:color="auto"/>
              <w:right w:val="nil"/>
            </w:tcBorders>
            <w:shd w:val="clear" w:color="auto" w:fill="auto"/>
            <w:noWrap/>
            <w:vAlign w:val="bottom"/>
            <w:hideMark/>
          </w:tcPr>
          <w:p w14:paraId="1A9CC69D"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0.36</w:t>
            </w:r>
          </w:p>
        </w:tc>
        <w:tc>
          <w:tcPr>
            <w:tcW w:w="1140" w:type="dxa"/>
            <w:tcBorders>
              <w:top w:val="nil"/>
              <w:left w:val="nil"/>
              <w:bottom w:val="single" w:sz="4" w:space="0" w:color="auto"/>
              <w:right w:val="nil"/>
            </w:tcBorders>
            <w:shd w:val="clear" w:color="auto" w:fill="auto"/>
            <w:noWrap/>
            <w:vAlign w:val="bottom"/>
            <w:hideMark/>
          </w:tcPr>
          <w:p w14:paraId="0B7C3939"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-0.05</w:t>
            </w:r>
          </w:p>
        </w:tc>
        <w:tc>
          <w:tcPr>
            <w:tcW w:w="648" w:type="dxa"/>
            <w:tcBorders>
              <w:top w:val="nil"/>
              <w:left w:val="nil"/>
              <w:bottom w:val="single" w:sz="4" w:space="0" w:color="auto"/>
              <w:right w:val="nil"/>
            </w:tcBorders>
            <w:shd w:val="clear" w:color="auto" w:fill="auto"/>
            <w:noWrap/>
            <w:vAlign w:val="bottom"/>
            <w:hideMark/>
          </w:tcPr>
          <w:p w14:paraId="37ABFE6C" w14:textId="77777777" w:rsidR="004854C7" w:rsidRPr="004854C7" w:rsidRDefault="004854C7" w:rsidP="004854C7">
            <w:pPr>
              <w:spacing w:after="0" w:line="240" w:lineRule="auto"/>
              <w:jc w:val="center"/>
              <w:rPr>
                <w:rFonts w:ascii="Calibri" w:eastAsia="Times New Roman" w:hAnsi="Calibri" w:cs="Calibri"/>
                <w:color w:val="000000"/>
                <w:sz w:val="20"/>
                <w:szCs w:val="20"/>
                <w:lang w:eastAsia="en-GB"/>
              </w:rPr>
            </w:pPr>
            <w:r w:rsidRPr="004854C7">
              <w:rPr>
                <w:rFonts w:ascii="Calibri" w:eastAsia="Times New Roman" w:hAnsi="Calibri" w:cs="Calibri"/>
                <w:color w:val="000000"/>
                <w:sz w:val="20"/>
                <w:szCs w:val="20"/>
                <w:lang w:eastAsia="en-GB"/>
              </w:rPr>
              <w:t>-0.10</w:t>
            </w:r>
          </w:p>
        </w:tc>
      </w:tr>
    </w:tbl>
    <w:p w14:paraId="16F84B4A" w14:textId="77777777" w:rsidR="004854C7" w:rsidRDefault="004854C7" w:rsidP="00E623E8"/>
    <w:p w14:paraId="2F0F67E3" w14:textId="77777777" w:rsidR="004854C7" w:rsidRDefault="004854C7" w:rsidP="00E623E8"/>
    <w:sectPr w:rsidR="004854C7" w:rsidSect="006358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7F14" w14:textId="77777777" w:rsidR="00CB361A" w:rsidRDefault="00CB361A" w:rsidP="00F21FF5">
      <w:pPr>
        <w:spacing w:after="0" w:line="240" w:lineRule="auto"/>
      </w:pPr>
      <w:r>
        <w:separator/>
      </w:r>
    </w:p>
  </w:endnote>
  <w:endnote w:type="continuationSeparator" w:id="0">
    <w:p w14:paraId="72F3D742" w14:textId="77777777" w:rsidR="00CB361A" w:rsidRDefault="00CB361A" w:rsidP="00F2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085633"/>
      <w:docPartObj>
        <w:docPartGallery w:val="Page Numbers (Bottom of Page)"/>
        <w:docPartUnique/>
      </w:docPartObj>
    </w:sdtPr>
    <w:sdtEndPr>
      <w:rPr>
        <w:color w:val="7F7F7F" w:themeColor="background1" w:themeShade="7F"/>
        <w:spacing w:val="60"/>
      </w:rPr>
    </w:sdtEndPr>
    <w:sdtContent>
      <w:p w14:paraId="2C6C087D" w14:textId="501C0E3E" w:rsidR="00CB361A" w:rsidRDefault="00CB361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42DE">
          <w:rPr>
            <w:noProof/>
          </w:rPr>
          <w:t>1</w:t>
        </w:r>
        <w:r>
          <w:rPr>
            <w:noProof/>
          </w:rPr>
          <w:fldChar w:fldCharType="end"/>
        </w:r>
        <w:r>
          <w:t xml:space="preserve"> | </w:t>
        </w:r>
        <w:r>
          <w:rPr>
            <w:color w:val="7F7F7F" w:themeColor="background1" w:themeShade="7F"/>
            <w:spacing w:val="60"/>
          </w:rPr>
          <w:t>Page</w:t>
        </w:r>
      </w:p>
    </w:sdtContent>
  </w:sdt>
  <w:p w14:paraId="1575D296" w14:textId="77777777" w:rsidR="00CB361A" w:rsidRDefault="00CB36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9ED25" w14:textId="77777777" w:rsidR="00CB361A" w:rsidRDefault="00CB361A" w:rsidP="00F21FF5">
      <w:pPr>
        <w:spacing w:after="0" w:line="240" w:lineRule="auto"/>
      </w:pPr>
      <w:r>
        <w:separator/>
      </w:r>
    </w:p>
  </w:footnote>
  <w:footnote w:type="continuationSeparator" w:id="0">
    <w:p w14:paraId="01EDCEE1" w14:textId="77777777" w:rsidR="00CB361A" w:rsidRDefault="00CB361A" w:rsidP="00F21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2D92"/>
    <w:multiLevelType w:val="hybridMultilevel"/>
    <w:tmpl w:val="D756A2EE"/>
    <w:lvl w:ilvl="0" w:tplc="40567268">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259F1"/>
    <w:multiLevelType w:val="hybridMultilevel"/>
    <w:tmpl w:val="63C63586"/>
    <w:lvl w:ilvl="0" w:tplc="40567268">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7E66F8"/>
    <w:multiLevelType w:val="hybridMultilevel"/>
    <w:tmpl w:val="2728B6B0"/>
    <w:lvl w:ilvl="0" w:tplc="40567268">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8B7676"/>
    <w:multiLevelType w:val="hybridMultilevel"/>
    <w:tmpl w:val="A968716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B54C2"/>
    <w:multiLevelType w:val="hybridMultilevel"/>
    <w:tmpl w:val="90F0E9AC"/>
    <w:lvl w:ilvl="0" w:tplc="93B4FF9A">
      <w:start w:val="1"/>
      <w:numFmt w:val="bullet"/>
      <w:lvlText w:val=""/>
      <w:lvlJc w:val="left"/>
      <w:pPr>
        <w:ind w:left="360" w:hanging="360"/>
      </w:pPr>
      <w:rPr>
        <w:rFonts w:ascii="Wingdings" w:hAnsi="Wingdings" w:hint="default"/>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E07AE9"/>
    <w:multiLevelType w:val="hybridMultilevel"/>
    <w:tmpl w:val="0F3E35C8"/>
    <w:lvl w:ilvl="0" w:tplc="93B4FF9A">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B05E0"/>
    <w:multiLevelType w:val="hybridMultilevel"/>
    <w:tmpl w:val="1F12682A"/>
    <w:lvl w:ilvl="0" w:tplc="40567268">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A6696"/>
    <w:multiLevelType w:val="hybridMultilevel"/>
    <w:tmpl w:val="2D2C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13AD9"/>
    <w:multiLevelType w:val="hybridMultilevel"/>
    <w:tmpl w:val="90D6EE8C"/>
    <w:lvl w:ilvl="0" w:tplc="FE22245E">
      <w:start w:val="1"/>
      <w:numFmt w:val="decimal"/>
      <w:lvlText w:val="%1)"/>
      <w:lvlJc w:val="left"/>
      <w:pPr>
        <w:ind w:left="1080" w:hanging="360"/>
      </w:pPr>
      <w:rPr>
        <w:rFonts w:hint="default"/>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8C129E"/>
    <w:multiLevelType w:val="hybridMultilevel"/>
    <w:tmpl w:val="BB3682BC"/>
    <w:lvl w:ilvl="0" w:tplc="FE22245E">
      <w:start w:val="1"/>
      <w:numFmt w:val="decimal"/>
      <w:lvlText w:val="%1)"/>
      <w:lvlJc w:val="left"/>
      <w:pPr>
        <w:ind w:left="1080" w:hanging="360"/>
      </w:pPr>
      <w:rPr>
        <w:rFonts w:hint="default"/>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FE7B98"/>
    <w:multiLevelType w:val="hybridMultilevel"/>
    <w:tmpl w:val="7FCE6D5A"/>
    <w:lvl w:ilvl="0" w:tplc="40567268">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70864"/>
    <w:multiLevelType w:val="hybridMultilevel"/>
    <w:tmpl w:val="3ACE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DF0DC9"/>
    <w:multiLevelType w:val="hybridMultilevel"/>
    <w:tmpl w:val="2DEC0C2C"/>
    <w:lvl w:ilvl="0" w:tplc="40567268">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B7657B"/>
    <w:multiLevelType w:val="hybridMultilevel"/>
    <w:tmpl w:val="C52A79D2"/>
    <w:lvl w:ilvl="0" w:tplc="40567268">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32C58"/>
    <w:multiLevelType w:val="hybridMultilevel"/>
    <w:tmpl w:val="D7709C3E"/>
    <w:lvl w:ilvl="0" w:tplc="93B4FF9A">
      <w:start w:val="1"/>
      <w:numFmt w:val="bullet"/>
      <w:lvlText w:val=""/>
      <w:lvlJc w:val="left"/>
      <w:pPr>
        <w:ind w:left="1080" w:hanging="360"/>
      </w:pPr>
      <w:rPr>
        <w:rFonts w:ascii="Wingdings" w:hAnsi="Wingdings"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1A2AB5"/>
    <w:multiLevelType w:val="hybridMultilevel"/>
    <w:tmpl w:val="5A968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B179F"/>
    <w:multiLevelType w:val="hybridMultilevel"/>
    <w:tmpl w:val="B4BAD516"/>
    <w:lvl w:ilvl="0" w:tplc="40567268">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AF126B2"/>
    <w:multiLevelType w:val="hybridMultilevel"/>
    <w:tmpl w:val="49B87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8F96C40"/>
    <w:multiLevelType w:val="hybridMultilevel"/>
    <w:tmpl w:val="3C3E7528"/>
    <w:lvl w:ilvl="0" w:tplc="FE22245E">
      <w:start w:val="1"/>
      <w:numFmt w:val="decimal"/>
      <w:lvlText w:val="%1)"/>
      <w:lvlJc w:val="left"/>
      <w:pPr>
        <w:ind w:left="720" w:hanging="360"/>
      </w:pPr>
      <w:rPr>
        <w:rFonts w:hint="default"/>
        <w:sz w:val="24"/>
        <w:u w:color="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02F6A"/>
    <w:multiLevelType w:val="hybridMultilevel"/>
    <w:tmpl w:val="4EB4A9F0"/>
    <w:lvl w:ilvl="0" w:tplc="40567268">
      <w:start w:val="1"/>
      <w:numFmt w:val="bullet"/>
      <w:lvlText w:val=""/>
      <w:lvlJc w:val="left"/>
      <w:pPr>
        <w:ind w:left="360" w:hanging="360"/>
      </w:pPr>
      <w:rPr>
        <w:rFonts w:ascii="Wingdings" w:hAnsi="Wingdings" w:hint="default"/>
        <w:sz w:val="24"/>
      </w:rPr>
    </w:lvl>
    <w:lvl w:ilvl="1" w:tplc="93B4FF9A">
      <w:start w:val="1"/>
      <w:numFmt w:val="bullet"/>
      <w:lvlText w:val=""/>
      <w:lvlJc w:val="left"/>
      <w:pPr>
        <w:ind w:left="1080" w:hanging="360"/>
      </w:pPr>
      <w:rPr>
        <w:rFonts w:ascii="Wingdings" w:hAnsi="Wingdings" w:hint="default"/>
        <w:sz w:val="2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0A1B9D"/>
    <w:multiLevelType w:val="hybridMultilevel"/>
    <w:tmpl w:val="205E22CC"/>
    <w:lvl w:ilvl="0" w:tplc="FE22245E">
      <w:start w:val="1"/>
      <w:numFmt w:val="decimal"/>
      <w:lvlText w:val="%1)"/>
      <w:lvlJc w:val="left"/>
      <w:pPr>
        <w:ind w:left="720" w:hanging="360"/>
      </w:pPr>
      <w:rPr>
        <w:rFonts w:hint="default"/>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15"/>
  </w:num>
  <w:num w:numId="5">
    <w:abstractNumId w:val="14"/>
  </w:num>
  <w:num w:numId="6">
    <w:abstractNumId w:val="1"/>
  </w:num>
  <w:num w:numId="7">
    <w:abstractNumId w:val="4"/>
  </w:num>
  <w:num w:numId="8">
    <w:abstractNumId w:val="19"/>
  </w:num>
  <w:num w:numId="9">
    <w:abstractNumId w:val="13"/>
  </w:num>
  <w:num w:numId="10">
    <w:abstractNumId w:val="6"/>
  </w:num>
  <w:num w:numId="11">
    <w:abstractNumId w:val="5"/>
  </w:num>
  <w:num w:numId="12">
    <w:abstractNumId w:val="12"/>
  </w:num>
  <w:num w:numId="13">
    <w:abstractNumId w:val="2"/>
  </w:num>
  <w:num w:numId="14">
    <w:abstractNumId w:val="3"/>
  </w:num>
  <w:num w:numId="15">
    <w:abstractNumId w:val="0"/>
  </w:num>
  <w:num w:numId="16">
    <w:abstractNumId w:val="16"/>
  </w:num>
  <w:num w:numId="17">
    <w:abstractNumId w:val="17"/>
  </w:num>
  <w:num w:numId="18">
    <w:abstractNumId w:val="10"/>
  </w:num>
  <w:num w:numId="19">
    <w:abstractNumId w:val="18"/>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A0"/>
    <w:rsid w:val="00030097"/>
    <w:rsid w:val="000570FE"/>
    <w:rsid w:val="00057294"/>
    <w:rsid w:val="00057A3E"/>
    <w:rsid w:val="000724D5"/>
    <w:rsid w:val="00073049"/>
    <w:rsid w:val="00075F02"/>
    <w:rsid w:val="00084F42"/>
    <w:rsid w:val="00092594"/>
    <w:rsid w:val="00097E75"/>
    <w:rsid w:val="000A18E9"/>
    <w:rsid w:val="000A57A1"/>
    <w:rsid w:val="000B091F"/>
    <w:rsid w:val="000B69DA"/>
    <w:rsid w:val="000D5A56"/>
    <w:rsid w:val="000E02F6"/>
    <w:rsid w:val="000E0E47"/>
    <w:rsid w:val="000E6453"/>
    <w:rsid w:val="000F64EC"/>
    <w:rsid w:val="00110AC6"/>
    <w:rsid w:val="001157F6"/>
    <w:rsid w:val="00126E92"/>
    <w:rsid w:val="001408D7"/>
    <w:rsid w:val="001409FE"/>
    <w:rsid w:val="001441B3"/>
    <w:rsid w:val="001476A8"/>
    <w:rsid w:val="001476F0"/>
    <w:rsid w:val="0015018D"/>
    <w:rsid w:val="00152FB3"/>
    <w:rsid w:val="00160378"/>
    <w:rsid w:val="00160CD1"/>
    <w:rsid w:val="00162119"/>
    <w:rsid w:val="001672D7"/>
    <w:rsid w:val="00171FAA"/>
    <w:rsid w:val="00175ABA"/>
    <w:rsid w:val="0018162D"/>
    <w:rsid w:val="00183A08"/>
    <w:rsid w:val="001903F3"/>
    <w:rsid w:val="00195FDE"/>
    <w:rsid w:val="001A08DA"/>
    <w:rsid w:val="001A0C85"/>
    <w:rsid w:val="001A216C"/>
    <w:rsid w:val="001A45EA"/>
    <w:rsid w:val="001A6C5C"/>
    <w:rsid w:val="001C3553"/>
    <w:rsid w:val="001C46CE"/>
    <w:rsid w:val="001D2B61"/>
    <w:rsid w:val="001E1E07"/>
    <w:rsid w:val="001E4F55"/>
    <w:rsid w:val="001E7953"/>
    <w:rsid w:val="001F0CB7"/>
    <w:rsid w:val="001F0FB4"/>
    <w:rsid w:val="001F1FDC"/>
    <w:rsid w:val="002205C5"/>
    <w:rsid w:val="002229F4"/>
    <w:rsid w:val="0022376C"/>
    <w:rsid w:val="00223CE6"/>
    <w:rsid w:val="00224640"/>
    <w:rsid w:val="00225E30"/>
    <w:rsid w:val="00227403"/>
    <w:rsid w:val="00230C52"/>
    <w:rsid w:val="00235DE0"/>
    <w:rsid w:val="002537E1"/>
    <w:rsid w:val="00257D58"/>
    <w:rsid w:val="002612E5"/>
    <w:rsid w:val="002612F2"/>
    <w:rsid w:val="00263A82"/>
    <w:rsid w:val="0026522B"/>
    <w:rsid w:val="00276294"/>
    <w:rsid w:val="00276D34"/>
    <w:rsid w:val="00282537"/>
    <w:rsid w:val="00287020"/>
    <w:rsid w:val="0029280D"/>
    <w:rsid w:val="00295DD4"/>
    <w:rsid w:val="00296910"/>
    <w:rsid w:val="002971ED"/>
    <w:rsid w:val="002A1093"/>
    <w:rsid w:val="002A2BAB"/>
    <w:rsid w:val="002A307A"/>
    <w:rsid w:val="002A551E"/>
    <w:rsid w:val="002C4085"/>
    <w:rsid w:val="002C6722"/>
    <w:rsid w:val="002C7E09"/>
    <w:rsid w:val="002E4C24"/>
    <w:rsid w:val="002F014E"/>
    <w:rsid w:val="002F02D5"/>
    <w:rsid w:val="002F6E47"/>
    <w:rsid w:val="00305AAF"/>
    <w:rsid w:val="003079B4"/>
    <w:rsid w:val="00311030"/>
    <w:rsid w:val="00314052"/>
    <w:rsid w:val="00320253"/>
    <w:rsid w:val="003213AB"/>
    <w:rsid w:val="00323C6F"/>
    <w:rsid w:val="00333A28"/>
    <w:rsid w:val="00333CD0"/>
    <w:rsid w:val="00335A01"/>
    <w:rsid w:val="00341779"/>
    <w:rsid w:val="00345A04"/>
    <w:rsid w:val="003602B1"/>
    <w:rsid w:val="00363EAB"/>
    <w:rsid w:val="003718DE"/>
    <w:rsid w:val="00376363"/>
    <w:rsid w:val="0038209D"/>
    <w:rsid w:val="00390775"/>
    <w:rsid w:val="0039555B"/>
    <w:rsid w:val="00396683"/>
    <w:rsid w:val="00397A69"/>
    <w:rsid w:val="003A4B0F"/>
    <w:rsid w:val="003A6168"/>
    <w:rsid w:val="003B18F9"/>
    <w:rsid w:val="003B589B"/>
    <w:rsid w:val="003B6C85"/>
    <w:rsid w:val="003C5B1C"/>
    <w:rsid w:val="003D090A"/>
    <w:rsid w:val="003D35A2"/>
    <w:rsid w:val="003D6DC0"/>
    <w:rsid w:val="003E10C0"/>
    <w:rsid w:val="003E138C"/>
    <w:rsid w:val="003E1A57"/>
    <w:rsid w:val="003E2674"/>
    <w:rsid w:val="003F33E9"/>
    <w:rsid w:val="003F4EC2"/>
    <w:rsid w:val="00405ECC"/>
    <w:rsid w:val="00413451"/>
    <w:rsid w:val="00420B70"/>
    <w:rsid w:val="004216F6"/>
    <w:rsid w:val="004271CA"/>
    <w:rsid w:val="0044089E"/>
    <w:rsid w:val="00441921"/>
    <w:rsid w:val="004504FB"/>
    <w:rsid w:val="004560F1"/>
    <w:rsid w:val="00467872"/>
    <w:rsid w:val="0047711E"/>
    <w:rsid w:val="004811FC"/>
    <w:rsid w:val="004854C7"/>
    <w:rsid w:val="00490565"/>
    <w:rsid w:val="00493624"/>
    <w:rsid w:val="004978B4"/>
    <w:rsid w:val="004A4FF9"/>
    <w:rsid w:val="004B446B"/>
    <w:rsid w:val="004B675E"/>
    <w:rsid w:val="004C07F4"/>
    <w:rsid w:val="004C4699"/>
    <w:rsid w:val="004C6879"/>
    <w:rsid w:val="004E0883"/>
    <w:rsid w:val="004E1420"/>
    <w:rsid w:val="004E4480"/>
    <w:rsid w:val="004E4592"/>
    <w:rsid w:val="004F36E7"/>
    <w:rsid w:val="00503144"/>
    <w:rsid w:val="00516307"/>
    <w:rsid w:val="005179AB"/>
    <w:rsid w:val="0052145E"/>
    <w:rsid w:val="00523F2A"/>
    <w:rsid w:val="005305FE"/>
    <w:rsid w:val="00531511"/>
    <w:rsid w:val="00531D3C"/>
    <w:rsid w:val="00533BF1"/>
    <w:rsid w:val="00540F03"/>
    <w:rsid w:val="00546176"/>
    <w:rsid w:val="00547D91"/>
    <w:rsid w:val="00547D94"/>
    <w:rsid w:val="005523F8"/>
    <w:rsid w:val="00554557"/>
    <w:rsid w:val="0055670C"/>
    <w:rsid w:val="0056022F"/>
    <w:rsid w:val="005606EC"/>
    <w:rsid w:val="005637C2"/>
    <w:rsid w:val="00566234"/>
    <w:rsid w:val="005679F3"/>
    <w:rsid w:val="00571224"/>
    <w:rsid w:val="00576D5A"/>
    <w:rsid w:val="00580AB5"/>
    <w:rsid w:val="00593168"/>
    <w:rsid w:val="005A2291"/>
    <w:rsid w:val="005B33E2"/>
    <w:rsid w:val="005B54A4"/>
    <w:rsid w:val="005C43AC"/>
    <w:rsid w:val="005C5EBC"/>
    <w:rsid w:val="005C74E1"/>
    <w:rsid w:val="005D00C7"/>
    <w:rsid w:val="005E4AC8"/>
    <w:rsid w:val="005F2832"/>
    <w:rsid w:val="005F3592"/>
    <w:rsid w:val="005F5D01"/>
    <w:rsid w:val="00605237"/>
    <w:rsid w:val="00611E6C"/>
    <w:rsid w:val="0061756C"/>
    <w:rsid w:val="00626FAF"/>
    <w:rsid w:val="006318B3"/>
    <w:rsid w:val="00635854"/>
    <w:rsid w:val="006532D5"/>
    <w:rsid w:val="00657D11"/>
    <w:rsid w:val="00664563"/>
    <w:rsid w:val="00664638"/>
    <w:rsid w:val="00667D09"/>
    <w:rsid w:val="0067198A"/>
    <w:rsid w:val="006728B3"/>
    <w:rsid w:val="00673567"/>
    <w:rsid w:val="006805DD"/>
    <w:rsid w:val="006841D6"/>
    <w:rsid w:val="00691419"/>
    <w:rsid w:val="006A28BE"/>
    <w:rsid w:val="006A31D3"/>
    <w:rsid w:val="006A34EF"/>
    <w:rsid w:val="006B7182"/>
    <w:rsid w:val="006C59E9"/>
    <w:rsid w:val="006D469F"/>
    <w:rsid w:val="006D5212"/>
    <w:rsid w:val="006D5D54"/>
    <w:rsid w:val="006D6A6A"/>
    <w:rsid w:val="006E5F66"/>
    <w:rsid w:val="006F0923"/>
    <w:rsid w:val="006F142F"/>
    <w:rsid w:val="006F18E5"/>
    <w:rsid w:val="0071047B"/>
    <w:rsid w:val="007251E6"/>
    <w:rsid w:val="00732E8C"/>
    <w:rsid w:val="007347EA"/>
    <w:rsid w:val="0074174E"/>
    <w:rsid w:val="007430F5"/>
    <w:rsid w:val="00750B51"/>
    <w:rsid w:val="00751740"/>
    <w:rsid w:val="00752E36"/>
    <w:rsid w:val="0075301C"/>
    <w:rsid w:val="0075341D"/>
    <w:rsid w:val="007544E9"/>
    <w:rsid w:val="0076164E"/>
    <w:rsid w:val="00765208"/>
    <w:rsid w:val="007701A3"/>
    <w:rsid w:val="00774392"/>
    <w:rsid w:val="00775FDF"/>
    <w:rsid w:val="00781E9C"/>
    <w:rsid w:val="00793CFF"/>
    <w:rsid w:val="007A18C7"/>
    <w:rsid w:val="007A1BA4"/>
    <w:rsid w:val="007A3C04"/>
    <w:rsid w:val="007A4164"/>
    <w:rsid w:val="007A5B92"/>
    <w:rsid w:val="007B14ED"/>
    <w:rsid w:val="007B5646"/>
    <w:rsid w:val="007B76C3"/>
    <w:rsid w:val="007C28E8"/>
    <w:rsid w:val="007E13E5"/>
    <w:rsid w:val="007E18A5"/>
    <w:rsid w:val="007E5E0D"/>
    <w:rsid w:val="007F580D"/>
    <w:rsid w:val="00800CDD"/>
    <w:rsid w:val="00810762"/>
    <w:rsid w:val="00812A92"/>
    <w:rsid w:val="00815A1E"/>
    <w:rsid w:val="008207EF"/>
    <w:rsid w:val="00825876"/>
    <w:rsid w:val="00837BEC"/>
    <w:rsid w:val="00843038"/>
    <w:rsid w:val="00843192"/>
    <w:rsid w:val="00844047"/>
    <w:rsid w:val="00847DF8"/>
    <w:rsid w:val="00856B07"/>
    <w:rsid w:val="00862F59"/>
    <w:rsid w:val="00864EA2"/>
    <w:rsid w:val="008710FE"/>
    <w:rsid w:val="008728AD"/>
    <w:rsid w:val="0088561D"/>
    <w:rsid w:val="008904C4"/>
    <w:rsid w:val="00890B19"/>
    <w:rsid w:val="008922F2"/>
    <w:rsid w:val="008A2FC5"/>
    <w:rsid w:val="008A707E"/>
    <w:rsid w:val="008B1ECF"/>
    <w:rsid w:val="008C2096"/>
    <w:rsid w:val="008D1DBA"/>
    <w:rsid w:val="008E2466"/>
    <w:rsid w:val="008E7BD3"/>
    <w:rsid w:val="008F0C8A"/>
    <w:rsid w:val="008F5BC4"/>
    <w:rsid w:val="00901AC0"/>
    <w:rsid w:val="00905AEA"/>
    <w:rsid w:val="00907D40"/>
    <w:rsid w:val="00910F28"/>
    <w:rsid w:val="00915443"/>
    <w:rsid w:val="00945949"/>
    <w:rsid w:val="00953710"/>
    <w:rsid w:val="00955D8C"/>
    <w:rsid w:val="00964B72"/>
    <w:rsid w:val="00965EF0"/>
    <w:rsid w:val="009757C4"/>
    <w:rsid w:val="00983CC3"/>
    <w:rsid w:val="00985CA8"/>
    <w:rsid w:val="00994602"/>
    <w:rsid w:val="00994743"/>
    <w:rsid w:val="00997A98"/>
    <w:rsid w:val="009A315F"/>
    <w:rsid w:val="009D241E"/>
    <w:rsid w:val="009D4E92"/>
    <w:rsid w:val="009D5B2E"/>
    <w:rsid w:val="009E35F8"/>
    <w:rsid w:val="009E62B8"/>
    <w:rsid w:val="009E7FD2"/>
    <w:rsid w:val="009F3E93"/>
    <w:rsid w:val="009F5014"/>
    <w:rsid w:val="00A04033"/>
    <w:rsid w:val="00A16F2F"/>
    <w:rsid w:val="00A17A0F"/>
    <w:rsid w:val="00A17BAC"/>
    <w:rsid w:val="00A226A8"/>
    <w:rsid w:val="00A23D7C"/>
    <w:rsid w:val="00A23EA6"/>
    <w:rsid w:val="00A24717"/>
    <w:rsid w:val="00A2486C"/>
    <w:rsid w:val="00A25361"/>
    <w:rsid w:val="00A27047"/>
    <w:rsid w:val="00A30AFB"/>
    <w:rsid w:val="00A32C7F"/>
    <w:rsid w:val="00A362F8"/>
    <w:rsid w:val="00A42AAE"/>
    <w:rsid w:val="00A5371D"/>
    <w:rsid w:val="00A61D2D"/>
    <w:rsid w:val="00A62B90"/>
    <w:rsid w:val="00A65623"/>
    <w:rsid w:val="00A66549"/>
    <w:rsid w:val="00A74C08"/>
    <w:rsid w:val="00A85E15"/>
    <w:rsid w:val="00A958E3"/>
    <w:rsid w:val="00AA0C7A"/>
    <w:rsid w:val="00AA2A85"/>
    <w:rsid w:val="00AB3B40"/>
    <w:rsid w:val="00AB5C1E"/>
    <w:rsid w:val="00AC3FE8"/>
    <w:rsid w:val="00AD0E9E"/>
    <w:rsid w:val="00AD0FA5"/>
    <w:rsid w:val="00AD18AB"/>
    <w:rsid w:val="00AD1FC4"/>
    <w:rsid w:val="00AD37F1"/>
    <w:rsid w:val="00AD58AF"/>
    <w:rsid w:val="00AD66D7"/>
    <w:rsid w:val="00AE3DCB"/>
    <w:rsid w:val="00AF65D1"/>
    <w:rsid w:val="00AF66BC"/>
    <w:rsid w:val="00B02EFF"/>
    <w:rsid w:val="00B03C0F"/>
    <w:rsid w:val="00B12798"/>
    <w:rsid w:val="00B15985"/>
    <w:rsid w:val="00B26BEB"/>
    <w:rsid w:val="00B272FB"/>
    <w:rsid w:val="00B305A0"/>
    <w:rsid w:val="00B36693"/>
    <w:rsid w:val="00B37915"/>
    <w:rsid w:val="00B42F56"/>
    <w:rsid w:val="00B548D5"/>
    <w:rsid w:val="00B55E2F"/>
    <w:rsid w:val="00B57D3D"/>
    <w:rsid w:val="00B6195F"/>
    <w:rsid w:val="00B638E4"/>
    <w:rsid w:val="00B76CBA"/>
    <w:rsid w:val="00B85124"/>
    <w:rsid w:val="00B86823"/>
    <w:rsid w:val="00B9671F"/>
    <w:rsid w:val="00BA7D11"/>
    <w:rsid w:val="00BB78A5"/>
    <w:rsid w:val="00BC0934"/>
    <w:rsid w:val="00BC2283"/>
    <w:rsid w:val="00BC2646"/>
    <w:rsid w:val="00BC4B13"/>
    <w:rsid w:val="00BC6624"/>
    <w:rsid w:val="00BD2DD0"/>
    <w:rsid w:val="00BD5A24"/>
    <w:rsid w:val="00BD71A1"/>
    <w:rsid w:val="00BE1DF7"/>
    <w:rsid w:val="00BE26CD"/>
    <w:rsid w:val="00BF0C47"/>
    <w:rsid w:val="00BF482F"/>
    <w:rsid w:val="00C07182"/>
    <w:rsid w:val="00C10DD3"/>
    <w:rsid w:val="00C2614F"/>
    <w:rsid w:val="00C31BAA"/>
    <w:rsid w:val="00C36AFE"/>
    <w:rsid w:val="00C37EE5"/>
    <w:rsid w:val="00C44D74"/>
    <w:rsid w:val="00C45123"/>
    <w:rsid w:val="00C625A7"/>
    <w:rsid w:val="00C66F9B"/>
    <w:rsid w:val="00C75843"/>
    <w:rsid w:val="00C7631B"/>
    <w:rsid w:val="00C802CE"/>
    <w:rsid w:val="00C82543"/>
    <w:rsid w:val="00CA4C42"/>
    <w:rsid w:val="00CB0000"/>
    <w:rsid w:val="00CB361A"/>
    <w:rsid w:val="00CB37D8"/>
    <w:rsid w:val="00CB5C44"/>
    <w:rsid w:val="00CB62FB"/>
    <w:rsid w:val="00CD01FB"/>
    <w:rsid w:val="00CE06A7"/>
    <w:rsid w:val="00CE4BC2"/>
    <w:rsid w:val="00CF0798"/>
    <w:rsid w:val="00CF0B0F"/>
    <w:rsid w:val="00CF3829"/>
    <w:rsid w:val="00D013F6"/>
    <w:rsid w:val="00D02C51"/>
    <w:rsid w:val="00D156D7"/>
    <w:rsid w:val="00D16683"/>
    <w:rsid w:val="00D174D0"/>
    <w:rsid w:val="00D44A57"/>
    <w:rsid w:val="00D5146A"/>
    <w:rsid w:val="00D51C4D"/>
    <w:rsid w:val="00D60CEF"/>
    <w:rsid w:val="00D6123C"/>
    <w:rsid w:val="00D664C1"/>
    <w:rsid w:val="00D7334B"/>
    <w:rsid w:val="00D80F78"/>
    <w:rsid w:val="00D85A65"/>
    <w:rsid w:val="00D872E3"/>
    <w:rsid w:val="00D975D2"/>
    <w:rsid w:val="00D9797B"/>
    <w:rsid w:val="00DA01C8"/>
    <w:rsid w:val="00DA0CA6"/>
    <w:rsid w:val="00DD5574"/>
    <w:rsid w:val="00DE4222"/>
    <w:rsid w:val="00DE4546"/>
    <w:rsid w:val="00DF58D0"/>
    <w:rsid w:val="00E0033C"/>
    <w:rsid w:val="00E03FEC"/>
    <w:rsid w:val="00E13684"/>
    <w:rsid w:val="00E20747"/>
    <w:rsid w:val="00E264D6"/>
    <w:rsid w:val="00E31C8D"/>
    <w:rsid w:val="00E342DE"/>
    <w:rsid w:val="00E345A4"/>
    <w:rsid w:val="00E41393"/>
    <w:rsid w:val="00E416FE"/>
    <w:rsid w:val="00E46704"/>
    <w:rsid w:val="00E54691"/>
    <w:rsid w:val="00E54D38"/>
    <w:rsid w:val="00E60221"/>
    <w:rsid w:val="00E623E8"/>
    <w:rsid w:val="00E65BEC"/>
    <w:rsid w:val="00E71B54"/>
    <w:rsid w:val="00E73722"/>
    <w:rsid w:val="00E81781"/>
    <w:rsid w:val="00E842E7"/>
    <w:rsid w:val="00E93868"/>
    <w:rsid w:val="00E96201"/>
    <w:rsid w:val="00EA4E93"/>
    <w:rsid w:val="00EB5B64"/>
    <w:rsid w:val="00EB69F7"/>
    <w:rsid w:val="00EC3090"/>
    <w:rsid w:val="00EC3E7D"/>
    <w:rsid w:val="00ED0C41"/>
    <w:rsid w:val="00ED2A0F"/>
    <w:rsid w:val="00EE01EB"/>
    <w:rsid w:val="00F03A75"/>
    <w:rsid w:val="00F103C2"/>
    <w:rsid w:val="00F21FF5"/>
    <w:rsid w:val="00F312A6"/>
    <w:rsid w:val="00F32918"/>
    <w:rsid w:val="00F33179"/>
    <w:rsid w:val="00F33F3F"/>
    <w:rsid w:val="00F469F6"/>
    <w:rsid w:val="00F50BA7"/>
    <w:rsid w:val="00F55FD4"/>
    <w:rsid w:val="00F66A81"/>
    <w:rsid w:val="00F7397C"/>
    <w:rsid w:val="00F821F7"/>
    <w:rsid w:val="00F82883"/>
    <w:rsid w:val="00F94832"/>
    <w:rsid w:val="00FA5905"/>
    <w:rsid w:val="00FA65E3"/>
    <w:rsid w:val="00FB1463"/>
    <w:rsid w:val="00FB2348"/>
    <w:rsid w:val="00FB605A"/>
    <w:rsid w:val="00FD64C8"/>
    <w:rsid w:val="00FD6956"/>
    <w:rsid w:val="00FE1DAE"/>
    <w:rsid w:val="00FF17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247331"/>
  <w15:chartTrackingRefBased/>
  <w15:docId w15:val="{5BA1A617-D57B-4410-BE53-C959EA61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443"/>
    <w:pPr>
      <w:ind w:left="720"/>
      <w:contextualSpacing/>
    </w:pPr>
  </w:style>
  <w:style w:type="paragraph" w:styleId="Header">
    <w:name w:val="header"/>
    <w:basedOn w:val="Normal"/>
    <w:link w:val="HeaderChar"/>
    <w:uiPriority w:val="99"/>
    <w:unhideWhenUsed/>
    <w:rsid w:val="00F21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FF5"/>
  </w:style>
  <w:style w:type="paragraph" w:styleId="Footer">
    <w:name w:val="footer"/>
    <w:basedOn w:val="Normal"/>
    <w:link w:val="FooterChar"/>
    <w:uiPriority w:val="99"/>
    <w:unhideWhenUsed/>
    <w:rsid w:val="00F21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FF5"/>
  </w:style>
  <w:style w:type="paragraph" w:styleId="BalloonText">
    <w:name w:val="Balloon Text"/>
    <w:basedOn w:val="Normal"/>
    <w:link w:val="BalloonTextChar"/>
    <w:uiPriority w:val="99"/>
    <w:semiHidden/>
    <w:unhideWhenUsed/>
    <w:rsid w:val="007E13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13E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2486C"/>
    <w:rPr>
      <w:sz w:val="16"/>
      <w:szCs w:val="16"/>
    </w:rPr>
  </w:style>
  <w:style w:type="paragraph" w:styleId="CommentText">
    <w:name w:val="annotation text"/>
    <w:basedOn w:val="Normal"/>
    <w:link w:val="CommentTextChar"/>
    <w:uiPriority w:val="99"/>
    <w:unhideWhenUsed/>
    <w:rsid w:val="00A2486C"/>
    <w:pPr>
      <w:spacing w:line="240" w:lineRule="auto"/>
    </w:pPr>
    <w:rPr>
      <w:sz w:val="20"/>
      <w:szCs w:val="20"/>
    </w:rPr>
  </w:style>
  <w:style w:type="character" w:customStyle="1" w:styleId="CommentTextChar">
    <w:name w:val="Comment Text Char"/>
    <w:basedOn w:val="DefaultParagraphFont"/>
    <w:link w:val="CommentText"/>
    <w:uiPriority w:val="99"/>
    <w:rsid w:val="00A2486C"/>
    <w:rPr>
      <w:sz w:val="20"/>
      <w:szCs w:val="20"/>
    </w:rPr>
  </w:style>
  <w:style w:type="paragraph" w:styleId="CommentSubject">
    <w:name w:val="annotation subject"/>
    <w:basedOn w:val="CommentText"/>
    <w:next w:val="CommentText"/>
    <w:link w:val="CommentSubjectChar"/>
    <w:uiPriority w:val="99"/>
    <w:semiHidden/>
    <w:unhideWhenUsed/>
    <w:rsid w:val="00A2486C"/>
    <w:rPr>
      <w:b/>
      <w:bCs/>
    </w:rPr>
  </w:style>
  <w:style w:type="character" w:customStyle="1" w:styleId="CommentSubjectChar">
    <w:name w:val="Comment Subject Char"/>
    <w:basedOn w:val="CommentTextChar"/>
    <w:link w:val="CommentSubject"/>
    <w:uiPriority w:val="99"/>
    <w:semiHidden/>
    <w:rsid w:val="00A2486C"/>
    <w:rPr>
      <w:b/>
      <w:bCs/>
      <w:sz w:val="20"/>
      <w:szCs w:val="20"/>
    </w:rPr>
  </w:style>
  <w:style w:type="paragraph" w:styleId="Revision">
    <w:name w:val="Revision"/>
    <w:hidden/>
    <w:uiPriority w:val="99"/>
    <w:semiHidden/>
    <w:rsid w:val="00A2486C"/>
    <w:pPr>
      <w:spacing w:after="0" w:line="240" w:lineRule="auto"/>
    </w:pPr>
  </w:style>
  <w:style w:type="character" w:styleId="Hyperlink">
    <w:name w:val="Hyperlink"/>
    <w:basedOn w:val="DefaultParagraphFont"/>
    <w:uiPriority w:val="99"/>
    <w:unhideWhenUsed/>
    <w:rsid w:val="00B36693"/>
    <w:rPr>
      <w:color w:val="0563C1" w:themeColor="hyperlink"/>
      <w:u w:val="single"/>
    </w:rPr>
  </w:style>
  <w:style w:type="numbering" w:customStyle="1" w:styleId="NoList1">
    <w:name w:val="No List1"/>
    <w:next w:val="NoList"/>
    <w:uiPriority w:val="99"/>
    <w:semiHidden/>
    <w:unhideWhenUsed/>
    <w:rsid w:val="0056022F"/>
  </w:style>
  <w:style w:type="character" w:styleId="FollowedHyperlink">
    <w:name w:val="FollowedHyperlink"/>
    <w:basedOn w:val="DefaultParagraphFont"/>
    <w:uiPriority w:val="99"/>
    <w:semiHidden/>
    <w:unhideWhenUsed/>
    <w:rsid w:val="00227403"/>
    <w:rPr>
      <w:color w:val="954F72" w:themeColor="followedHyperlink"/>
      <w:u w:val="single"/>
    </w:rPr>
  </w:style>
  <w:style w:type="paragraph" w:styleId="NormalWeb">
    <w:name w:val="Normal (Web)"/>
    <w:basedOn w:val="Normal"/>
    <w:uiPriority w:val="99"/>
    <w:semiHidden/>
    <w:unhideWhenUsed/>
    <w:rsid w:val="004419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402298">
      <w:bodyDiv w:val="1"/>
      <w:marLeft w:val="0"/>
      <w:marRight w:val="0"/>
      <w:marTop w:val="0"/>
      <w:marBottom w:val="0"/>
      <w:divBdr>
        <w:top w:val="none" w:sz="0" w:space="0" w:color="auto"/>
        <w:left w:val="none" w:sz="0" w:space="0" w:color="auto"/>
        <w:bottom w:val="none" w:sz="0" w:space="0" w:color="auto"/>
        <w:right w:val="none" w:sz="0" w:space="0" w:color="auto"/>
      </w:divBdr>
    </w:div>
    <w:div w:id="738983969">
      <w:bodyDiv w:val="1"/>
      <w:marLeft w:val="0"/>
      <w:marRight w:val="0"/>
      <w:marTop w:val="0"/>
      <w:marBottom w:val="0"/>
      <w:divBdr>
        <w:top w:val="none" w:sz="0" w:space="0" w:color="auto"/>
        <w:left w:val="none" w:sz="0" w:space="0" w:color="auto"/>
        <w:bottom w:val="none" w:sz="0" w:space="0" w:color="auto"/>
        <w:right w:val="none" w:sz="0" w:space="0" w:color="auto"/>
      </w:divBdr>
    </w:div>
    <w:div w:id="931284965">
      <w:bodyDiv w:val="1"/>
      <w:marLeft w:val="0"/>
      <w:marRight w:val="0"/>
      <w:marTop w:val="0"/>
      <w:marBottom w:val="0"/>
      <w:divBdr>
        <w:top w:val="none" w:sz="0" w:space="0" w:color="auto"/>
        <w:left w:val="none" w:sz="0" w:space="0" w:color="auto"/>
        <w:bottom w:val="none" w:sz="0" w:space="0" w:color="auto"/>
        <w:right w:val="none" w:sz="0" w:space="0" w:color="auto"/>
      </w:divBdr>
    </w:div>
    <w:div w:id="1074549580">
      <w:bodyDiv w:val="1"/>
      <w:marLeft w:val="0"/>
      <w:marRight w:val="0"/>
      <w:marTop w:val="0"/>
      <w:marBottom w:val="0"/>
      <w:divBdr>
        <w:top w:val="none" w:sz="0" w:space="0" w:color="auto"/>
        <w:left w:val="none" w:sz="0" w:space="0" w:color="auto"/>
        <w:bottom w:val="none" w:sz="0" w:space="0" w:color="auto"/>
        <w:right w:val="none" w:sz="0" w:space="0" w:color="auto"/>
      </w:divBdr>
    </w:div>
    <w:div w:id="1736470514">
      <w:bodyDiv w:val="1"/>
      <w:marLeft w:val="0"/>
      <w:marRight w:val="0"/>
      <w:marTop w:val="0"/>
      <w:marBottom w:val="0"/>
      <w:divBdr>
        <w:top w:val="none" w:sz="0" w:space="0" w:color="auto"/>
        <w:left w:val="none" w:sz="0" w:space="0" w:color="auto"/>
        <w:bottom w:val="none" w:sz="0" w:space="0" w:color="auto"/>
        <w:right w:val="none" w:sz="0" w:space="0" w:color="auto"/>
      </w:divBdr>
    </w:div>
    <w:div w:id="19622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C9B3F-E8D1-4365-B11A-C26160BF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7074</Words>
  <Characters>40323</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Ruihua Hou</dc:creator>
  <cp:keywords/>
  <dc:description/>
  <cp:lastModifiedBy>Karen Drake</cp:lastModifiedBy>
  <cp:revision>2</cp:revision>
  <cp:lastPrinted>2022-01-04T10:06:00Z</cp:lastPrinted>
  <dcterms:created xsi:type="dcterms:W3CDTF">2022-01-04T10:20:00Z</dcterms:created>
  <dcterms:modified xsi:type="dcterms:W3CDTF">2022-01-04T10:20:00Z</dcterms:modified>
</cp:coreProperties>
</file>