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6AA33" w14:textId="77777777" w:rsidR="00B15128" w:rsidRDefault="00B15128" w:rsidP="00B15128">
      <w:pPr>
        <w:jc w:val="center"/>
      </w:pPr>
      <w:bookmarkStart w:id="0" w:name="_GoBack"/>
      <w:bookmarkEnd w:id="0"/>
      <w:r>
        <w:t xml:space="preserve">Target Journal: </w:t>
      </w:r>
      <w:r w:rsidRPr="00C84D9D">
        <w:rPr>
          <w:i/>
          <w:iCs/>
        </w:rPr>
        <w:t>Aging Clinical and Experimental Research</w:t>
      </w:r>
    </w:p>
    <w:p w14:paraId="1BBC6695" w14:textId="77777777" w:rsidR="00B15128" w:rsidRPr="00C84D9D" w:rsidRDefault="00B15128" w:rsidP="00B15128">
      <w:pPr>
        <w:rPr>
          <w:b/>
          <w:bCs/>
        </w:rPr>
      </w:pPr>
      <w:r w:rsidRPr="00C84D9D">
        <w:rPr>
          <w:b/>
          <w:bCs/>
        </w:rPr>
        <w:t>Title page</w:t>
      </w:r>
    </w:p>
    <w:p w14:paraId="25B825F1" w14:textId="77777777" w:rsidR="00B15128" w:rsidRDefault="00B15128" w:rsidP="00B15128">
      <w:r w:rsidRPr="00C84D9D">
        <w:rPr>
          <w:b/>
          <w:bCs/>
        </w:rPr>
        <w:t>Type of paper</w:t>
      </w:r>
      <w:r>
        <w:t>: Editorial</w:t>
      </w:r>
    </w:p>
    <w:p w14:paraId="249450CA" w14:textId="77777777" w:rsidR="00B15128" w:rsidRDefault="00B15128" w:rsidP="00B15128">
      <w:r w:rsidRPr="00C84D9D">
        <w:rPr>
          <w:b/>
          <w:bCs/>
        </w:rPr>
        <w:t>Title</w:t>
      </w:r>
      <w:r>
        <w:t xml:space="preserve">: Attributes and definitions of locomotor capacity in older people: A World Health Organisation (WHO) Locomotor Capacity Working Group Meeting Report </w:t>
      </w:r>
    </w:p>
    <w:p w14:paraId="68EC1EBC" w14:textId="77777777" w:rsidR="00B15128" w:rsidRPr="00C84D9D" w:rsidRDefault="00B15128" w:rsidP="00B15128">
      <w:pPr>
        <w:rPr>
          <w:b/>
          <w:bCs/>
        </w:rPr>
      </w:pPr>
      <w:r w:rsidRPr="00C84D9D">
        <w:rPr>
          <w:b/>
          <w:bCs/>
        </w:rPr>
        <w:t>Author information</w:t>
      </w:r>
    </w:p>
    <w:p w14:paraId="45640BD5" w14:textId="0B5291FB" w:rsidR="00B15128" w:rsidRDefault="00B15128" w:rsidP="00B15128">
      <w:r>
        <w:t>Nicola Veronese</w:t>
      </w:r>
      <w:r w:rsidRPr="00C84D9D">
        <w:rPr>
          <w:vertAlign w:val="superscript"/>
        </w:rPr>
        <w:t>1</w:t>
      </w:r>
      <w:r>
        <w:rPr>
          <w:rFonts w:cstheme="minorHAnsi"/>
          <w:vertAlign w:val="superscript"/>
        </w:rPr>
        <w:t>†</w:t>
      </w:r>
      <w:r>
        <w:t>, Germain Honvo</w:t>
      </w:r>
      <w:r w:rsidRPr="00C84D9D">
        <w:rPr>
          <w:vertAlign w:val="superscript"/>
        </w:rPr>
        <w:t>3,4</w:t>
      </w:r>
      <w:r>
        <w:rPr>
          <w:rFonts w:cstheme="minorHAnsi"/>
          <w:vertAlign w:val="superscript"/>
        </w:rPr>
        <w:t>†</w:t>
      </w:r>
      <w:r>
        <w:t>, Jotheeswaran Amuthavalli Thiyagarajan</w:t>
      </w:r>
      <w:r w:rsidRPr="00C84D9D">
        <w:rPr>
          <w:vertAlign w:val="superscript"/>
        </w:rPr>
        <w:t>2</w:t>
      </w:r>
      <w:r>
        <w:t>, René Rizzoli</w:t>
      </w:r>
      <w:r w:rsidRPr="00C84D9D">
        <w:rPr>
          <w:vertAlign w:val="superscript"/>
        </w:rPr>
        <w:t>3,5</w:t>
      </w:r>
      <w:r>
        <w:t>, Cyrus Cooper</w:t>
      </w:r>
      <w:r w:rsidRPr="00C84D9D">
        <w:rPr>
          <w:vertAlign w:val="superscript"/>
        </w:rPr>
        <w:t>3,6</w:t>
      </w:r>
      <w:r>
        <w:t>, Olivier Bruyère</w:t>
      </w:r>
      <w:r w:rsidRPr="00C84D9D">
        <w:rPr>
          <w:vertAlign w:val="superscript"/>
        </w:rPr>
        <w:t>3,</w:t>
      </w:r>
      <w:proofErr w:type="gramStart"/>
      <w:r w:rsidRPr="00C84D9D">
        <w:rPr>
          <w:vertAlign w:val="superscript"/>
        </w:rPr>
        <w:t>4</w:t>
      </w:r>
      <w:r>
        <w:t xml:space="preserve"> ,</w:t>
      </w:r>
      <w:proofErr w:type="gramEnd"/>
      <w:r>
        <w:t xml:space="preserve"> Christopher Mikton</w:t>
      </w:r>
      <w:r w:rsidRPr="00F7226A">
        <w:rPr>
          <w:vertAlign w:val="superscript"/>
        </w:rPr>
        <w:t>7</w:t>
      </w:r>
      <w:r>
        <w:t>, Yuka Sumi</w:t>
      </w:r>
      <w:r w:rsidRPr="00534A8A">
        <w:rPr>
          <w:vertAlign w:val="superscript"/>
        </w:rPr>
        <w:t>2</w:t>
      </w:r>
      <w:r>
        <w:t>,</w:t>
      </w:r>
      <w:r w:rsidR="00691959" w:rsidRPr="00691959">
        <w:t xml:space="preserve"> </w:t>
      </w:r>
      <w:r w:rsidR="00691959">
        <w:t>Theresa Diaz</w:t>
      </w:r>
      <w:r w:rsidR="00691959" w:rsidRPr="00534A8A">
        <w:rPr>
          <w:vertAlign w:val="superscript"/>
        </w:rPr>
        <w:t>8</w:t>
      </w:r>
      <w:r>
        <w:t>, Jean-Yves Reginster</w:t>
      </w:r>
      <w:r w:rsidRPr="00C84D9D">
        <w:rPr>
          <w:vertAlign w:val="superscript"/>
        </w:rPr>
        <w:t>3,4</w:t>
      </w:r>
      <w:r>
        <w:rPr>
          <w:rFonts w:cstheme="minorHAnsi"/>
          <w:vertAlign w:val="superscript"/>
        </w:rPr>
        <w:t>‡</w:t>
      </w:r>
      <w:r w:rsidR="00C81333">
        <w:t xml:space="preserve"> </w:t>
      </w:r>
      <w:r>
        <w:t xml:space="preserve">and </w:t>
      </w:r>
      <w:r w:rsidR="00691959">
        <w:t>Anshu Banerjee</w:t>
      </w:r>
      <w:r w:rsidR="00691959" w:rsidRPr="00534A8A">
        <w:rPr>
          <w:vertAlign w:val="superscript"/>
        </w:rPr>
        <w:t>2,8</w:t>
      </w:r>
      <w:r w:rsidR="00691959">
        <w:rPr>
          <w:rFonts w:cstheme="minorHAnsi"/>
          <w:vertAlign w:val="superscript"/>
        </w:rPr>
        <w:t xml:space="preserve"> </w:t>
      </w:r>
      <w:r>
        <w:rPr>
          <w:rFonts w:cstheme="minorHAnsi"/>
          <w:vertAlign w:val="superscript"/>
        </w:rPr>
        <w:t>‡</w:t>
      </w:r>
      <w:r>
        <w:t>, on behalf of the members of the WHO Collaborating Center Working Group on Locomotor Capacity (full list of co-authors at the end of the manuscript)</w:t>
      </w:r>
    </w:p>
    <w:p w14:paraId="70A312DD" w14:textId="52754A2F" w:rsidR="00B15128" w:rsidRDefault="00B15128" w:rsidP="00B15128">
      <w:r>
        <w:rPr>
          <w:rFonts w:cstheme="minorHAnsi"/>
        </w:rPr>
        <w:t>†</w:t>
      </w:r>
      <w:r>
        <w:t xml:space="preserve">Joint first authorship </w:t>
      </w:r>
    </w:p>
    <w:p w14:paraId="12ADD782" w14:textId="2011ED8A" w:rsidR="00B15128" w:rsidRDefault="00B15128" w:rsidP="00B15128">
      <w:r>
        <w:rPr>
          <w:rFonts w:cstheme="minorHAnsi"/>
        </w:rPr>
        <w:t>‡</w:t>
      </w:r>
      <w:r>
        <w:t xml:space="preserve">Joint last authorship </w:t>
      </w:r>
    </w:p>
    <w:p w14:paraId="2A26B5AF" w14:textId="77777777" w:rsidR="00B15128" w:rsidRDefault="00B15128" w:rsidP="00B15128">
      <w:r w:rsidRPr="00C84D9D">
        <w:rPr>
          <w:vertAlign w:val="superscript"/>
        </w:rPr>
        <w:t>1</w:t>
      </w:r>
      <w:r>
        <w:t xml:space="preserve"> Geriatric Unit, Department of Medicine, University of Palermo, Palermo, Italy</w:t>
      </w:r>
    </w:p>
    <w:p w14:paraId="2A14C31B" w14:textId="77777777" w:rsidR="00B15128" w:rsidRDefault="00B15128" w:rsidP="00B15128">
      <w:r w:rsidRPr="00C84D9D">
        <w:rPr>
          <w:vertAlign w:val="superscript"/>
        </w:rPr>
        <w:t>2</w:t>
      </w:r>
      <w:r>
        <w:t xml:space="preserve"> Ageing and Health Unit, Department of Maternal, Newborn, Child and Adolescent Health &amp; Ageing, WHO HQ, Geneva, Switzerland.</w:t>
      </w:r>
    </w:p>
    <w:p w14:paraId="798DB60D" w14:textId="77777777" w:rsidR="00B15128" w:rsidRDefault="00B15128" w:rsidP="00B15128">
      <w:r w:rsidRPr="00C84D9D">
        <w:rPr>
          <w:vertAlign w:val="superscript"/>
        </w:rPr>
        <w:t>3</w:t>
      </w:r>
      <w:r>
        <w:t xml:space="preserve"> World Health Organization Collaborating Centre for Public Health Aspects of Musculoskeletal Health and Aging, Liege, Belgium.</w:t>
      </w:r>
    </w:p>
    <w:p w14:paraId="4C8E095B" w14:textId="77777777" w:rsidR="00B15128" w:rsidRDefault="00B15128" w:rsidP="00B15128">
      <w:r w:rsidRPr="00C84D9D">
        <w:rPr>
          <w:vertAlign w:val="superscript"/>
        </w:rPr>
        <w:t>4</w:t>
      </w:r>
      <w:r>
        <w:t xml:space="preserve"> Division of Public Health, Epidemiology and Health Economics, University of Liège, Liège, Belgium.</w:t>
      </w:r>
    </w:p>
    <w:p w14:paraId="0009D2FC" w14:textId="77777777" w:rsidR="00B15128" w:rsidRDefault="00B15128" w:rsidP="00B15128">
      <w:r w:rsidRPr="00C84D9D">
        <w:rPr>
          <w:vertAlign w:val="superscript"/>
        </w:rPr>
        <w:t>5</w:t>
      </w:r>
      <w:r>
        <w:t xml:space="preserve"> Division of Bone Diseases, Geneva University Hospitals and Faculty of Medicine, University of Geneva, Geneva, Switzerland.</w:t>
      </w:r>
    </w:p>
    <w:p w14:paraId="13EFC8BE" w14:textId="77777777" w:rsidR="00B15128" w:rsidRDefault="00B15128" w:rsidP="00B15128">
      <w:r w:rsidRPr="00C84D9D">
        <w:rPr>
          <w:vertAlign w:val="superscript"/>
        </w:rPr>
        <w:t>6</w:t>
      </w:r>
      <w:r>
        <w:t xml:space="preserve"> MRC Life course Epidemiology Unit, University of Southampton, Southampton General Hospital, Southampton, Hampshire, UK.</w:t>
      </w:r>
    </w:p>
    <w:p w14:paraId="70F4E788" w14:textId="77777777" w:rsidR="00B15128" w:rsidRDefault="00B15128" w:rsidP="00B15128">
      <w:r w:rsidRPr="00F7226A">
        <w:rPr>
          <w:vertAlign w:val="superscript"/>
        </w:rPr>
        <w:t>7</w:t>
      </w:r>
      <w:r>
        <w:t xml:space="preserve">Demographic Change and Healthy Aging unit, Social Determinants of Health, World Health Organization, Switzerland. </w:t>
      </w:r>
    </w:p>
    <w:p w14:paraId="7063CCAC" w14:textId="7687EC6B" w:rsidR="00884FAC" w:rsidRPr="00F7226A" w:rsidRDefault="00B15128" w:rsidP="00B15128">
      <w:r w:rsidRPr="00534A8A">
        <w:rPr>
          <w:vertAlign w:val="superscript"/>
        </w:rPr>
        <w:t>8</w:t>
      </w:r>
      <w:r>
        <w:t xml:space="preserve">Epidemiology, Monitoring and Evaluation Unit, Maternal, Newborn, Child, Adolescent Health and Ageing, </w:t>
      </w:r>
      <w:r w:rsidRPr="00534A8A">
        <w:t>World Health Organization, Switzerland.</w:t>
      </w:r>
    </w:p>
    <w:p w14:paraId="3E5AD617" w14:textId="77777777" w:rsidR="00B15128" w:rsidRPr="00C84D9D" w:rsidRDefault="00B15128" w:rsidP="00B15128">
      <w:pPr>
        <w:spacing w:after="0"/>
        <w:rPr>
          <w:b/>
          <w:bCs/>
        </w:rPr>
      </w:pPr>
      <w:r w:rsidRPr="00C84D9D">
        <w:rPr>
          <w:b/>
          <w:bCs/>
        </w:rPr>
        <w:t>Corresponding author</w:t>
      </w:r>
    </w:p>
    <w:p w14:paraId="3DD40028" w14:textId="77777777" w:rsidR="00B15128" w:rsidRDefault="00B15128" w:rsidP="00B15128">
      <w:pPr>
        <w:spacing w:before="120" w:after="0"/>
      </w:pPr>
      <w:r>
        <w:t>Dr Nicola Veronese (</w:t>
      </w:r>
      <w:hyperlink r:id="rId6" w:history="1">
        <w:r w:rsidRPr="00C86494">
          <w:rPr>
            <w:rStyle w:val="Hyperlink"/>
          </w:rPr>
          <w:t>nicola.veronese@unipa.it</w:t>
        </w:r>
      </w:hyperlink>
      <w:r>
        <w:t>)</w:t>
      </w:r>
    </w:p>
    <w:p w14:paraId="0916C32B" w14:textId="77777777" w:rsidR="00B15128" w:rsidRPr="00C84D9D" w:rsidRDefault="00B15128" w:rsidP="00B15128">
      <w:pPr>
        <w:spacing w:before="360" w:after="0" w:line="360" w:lineRule="auto"/>
      </w:pPr>
      <w:r w:rsidRPr="00C84D9D">
        <w:rPr>
          <w:b/>
          <w:bCs/>
        </w:rPr>
        <w:t>16-digit ORCID of the author(s)</w:t>
      </w:r>
    </w:p>
    <w:p w14:paraId="494A0AC8" w14:textId="77777777" w:rsidR="00B15128" w:rsidRPr="009C6C21" w:rsidRDefault="00B15128" w:rsidP="00B15128">
      <w:pPr>
        <w:spacing w:after="0" w:line="360" w:lineRule="auto"/>
        <w:rPr>
          <w:lang w:val="fr-BE"/>
        </w:rPr>
      </w:pPr>
      <w:r w:rsidRPr="009C6C21">
        <w:rPr>
          <w:lang w:val="fr-BE"/>
        </w:rPr>
        <w:t xml:space="preserve">Nicola </w:t>
      </w:r>
      <w:proofErr w:type="gramStart"/>
      <w:r w:rsidRPr="009C6C21">
        <w:rPr>
          <w:lang w:val="fr-BE"/>
        </w:rPr>
        <w:t>Veronese:</w:t>
      </w:r>
      <w:proofErr w:type="gramEnd"/>
      <w:r w:rsidRPr="009C6C21">
        <w:rPr>
          <w:lang w:val="fr-BE"/>
        </w:rPr>
        <w:t xml:space="preserve"> 0000-0002-9328-289X</w:t>
      </w:r>
    </w:p>
    <w:p w14:paraId="388C8368" w14:textId="77777777" w:rsidR="00B15128" w:rsidRPr="00E25589" w:rsidRDefault="00B15128" w:rsidP="00B15128">
      <w:pPr>
        <w:spacing w:after="0" w:line="360" w:lineRule="auto"/>
        <w:rPr>
          <w:lang w:val="fr-BE"/>
        </w:rPr>
      </w:pPr>
      <w:r w:rsidRPr="00493484">
        <w:rPr>
          <w:lang w:val="fr-BE"/>
        </w:rPr>
        <w:t>Jean-Yves Reginster</w:t>
      </w:r>
      <w:r>
        <w:rPr>
          <w:lang w:val="fr-BE"/>
        </w:rPr>
        <w:t xml:space="preserve"> </w:t>
      </w:r>
      <w:r w:rsidRPr="00493484">
        <w:rPr>
          <w:lang w:val="fr-BE"/>
        </w:rPr>
        <w:t>:</w:t>
      </w:r>
      <w:r w:rsidRPr="00E25589">
        <w:rPr>
          <w:lang w:val="fr-BE"/>
        </w:rPr>
        <w:t xml:space="preserve"> 0000-0001-6290-752X</w:t>
      </w:r>
    </w:p>
    <w:p w14:paraId="019A0414" w14:textId="77777777" w:rsidR="00B15128" w:rsidRPr="00E25589" w:rsidRDefault="00B15128" w:rsidP="00B15128">
      <w:pPr>
        <w:spacing w:after="0" w:line="360" w:lineRule="auto"/>
        <w:rPr>
          <w:lang w:val="fr-BE"/>
        </w:rPr>
      </w:pPr>
      <w:r w:rsidRPr="00E25589">
        <w:rPr>
          <w:lang w:val="fr-BE"/>
        </w:rPr>
        <w:t>René Rizzoli : 0000-0002-1537-422X</w:t>
      </w:r>
    </w:p>
    <w:p w14:paraId="0C9B17D6" w14:textId="77777777" w:rsidR="00B15128" w:rsidRPr="00E25589" w:rsidRDefault="00B15128" w:rsidP="00B15128">
      <w:pPr>
        <w:spacing w:after="0" w:line="360" w:lineRule="auto"/>
      </w:pPr>
      <w:r w:rsidRPr="00E25589">
        <w:lastRenderedPageBreak/>
        <w:t>Cyrus Cooper: 0000-0003-3510-0709</w:t>
      </w:r>
    </w:p>
    <w:p w14:paraId="34EE126F" w14:textId="77777777" w:rsidR="00B15128" w:rsidRDefault="00B15128" w:rsidP="00B15128">
      <w:pPr>
        <w:spacing w:after="0" w:line="360" w:lineRule="auto"/>
      </w:pPr>
      <w:r w:rsidRPr="00B250BF">
        <w:t>Olivier Bruyère</w:t>
      </w:r>
      <w:r>
        <w:t xml:space="preserve">: </w:t>
      </w:r>
      <w:r w:rsidRPr="00E25589">
        <w:t>0000-0003-4269-9393</w:t>
      </w:r>
    </w:p>
    <w:p w14:paraId="2C45F951" w14:textId="77777777" w:rsidR="00B15128" w:rsidRDefault="00B15128" w:rsidP="00B15128">
      <w:pPr>
        <w:spacing w:after="0" w:line="360" w:lineRule="auto"/>
      </w:pPr>
      <w:proofErr w:type="spellStart"/>
      <w:r>
        <w:t>Germain</w:t>
      </w:r>
      <w:proofErr w:type="spellEnd"/>
      <w:r>
        <w:t xml:space="preserve"> Honvo: 0000-0002-6992-6712</w:t>
      </w:r>
    </w:p>
    <w:p w14:paraId="5784BFDE" w14:textId="77777777" w:rsidR="00B15128" w:rsidRPr="00C84D9D" w:rsidRDefault="00B15128" w:rsidP="00B15128">
      <w:pPr>
        <w:spacing w:before="240" w:after="0" w:line="360" w:lineRule="auto"/>
        <w:rPr>
          <w:b/>
          <w:bCs/>
        </w:rPr>
      </w:pPr>
      <w:r w:rsidRPr="00C84D9D">
        <w:rPr>
          <w:b/>
          <w:bCs/>
        </w:rPr>
        <w:t>Keywords</w:t>
      </w:r>
    </w:p>
    <w:p w14:paraId="1AC18576" w14:textId="77777777" w:rsidR="00B15128" w:rsidRDefault="00B15128" w:rsidP="00B15128">
      <w:r>
        <w:t>Locomotor capacity; Older people; Attributes; conceptual definition.</w:t>
      </w:r>
    </w:p>
    <w:p w14:paraId="0D29C33B" w14:textId="77777777" w:rsidR="00B15128" w:rsidRPr="00C84D9D" w:rsidRDefault="00B15128" w:rsidP="00B15128">
      <w:pPr>
        <w:rPr>
          <w:b/>
          <w:bCs/>
        </w:rPr>
      </w:pPr>
      <w:r w:rsidRPr="00C84D9D">
        <w:rPr>
          <w:b/>
          <w:bCs/>
        </w:rPr>
        <w:t>Competing Interests</w:t>
      </w:r>
    </w:p>
    <w:p w14:paraId="16336D3A" w14:textId="77777777" w:rsidR="00B15128" w:rsidRDefault="00B15128" w:rsidP="00B15128">
      <w:r>
        <w:t>None declared</w:t>
      </w:r>
    </w:p>
    <w:p w14:paraId="3998EB96" w14:textId="77777777" w:rsidR="00B15128" w:rsidRDefault="00B15128" w:rsidP="00B15128">
      <w:pPr>
        <w:spacing w:after="0" w:line="240" w:lineRule="auto"/>
        <w:jc w:val="both"/>
        <w:rPr>
          <w:rFonts w:ascii="Times New Roman" w:eastAsia="Times New Roman" w:hAnsi="Times New Roman" w:cs="Times New Roman"/>
          <w:color w:val="0E101A"/>
          <w:sz w:val="24"/>
          <w:szCs w:val="24"/>
          <w:lang w:eastAsia="en-GB"/>
        </w:rPr>
      </w:pPr>
    </w:p>
    <w:p w14:paraId="1060871A" w14:textId="77777777" w:rsidR="00B15128" w:rsidRDefault="00B15128" w:rsidP="00B15128">
      <w:pPr>
        <w:spacing w:after="0" w:line="240" w:lineRule="auto"/>
        <w:jc w:val="both"/>
        <w:rPr>
          <w:rFonts w:ascii="Times New Roman" w:eastAsia="Times New Roman" w:hAnsi="Times New Roman" w:cs="Times New Roman"/>
          <w:color w:val="0E101A"/>
          <w:sz w:val="24"/>
          <w:szCs w:val="24"/>
          <w:lang w:eastAsia="en-GB"/>
        </w:rPr>
      </w:pPr>
    </w:p>
    <w:p w14:paraId="7F04CB89" w14:textId="1EADE615"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The United Nations (UN) has proclaimed 2021–2030 the Decade of Healthy Ageing, with the World Health Organization (WHO) leading international action to improve the lives of older people, their families, and communities. The Decade brings together a variety of stakeholders for ten years of concerted action to a) change how we think, feel and act towards age and ageing; b) develop communities in ways that foster the abilities of older people; c) deliver person-centred, integrated care and primary health services that are responsive to older people; and d) provide older people access to long-term care when they need it [1, 2].</w:t>
      </w:r>
    </w:p>
    <w:p w14:paraId="1CF1F434" w14:textId="77777777" w:rsidR="00B15128" w:rsidRPr="00B15128" w:rsidRDefault="00B15128" w:rsidP="00B15128">
      <w:pPr>
        <w:spacing w:after="0" w:line="240" w:lineRule="auto"/>
        <w:jc w:val="both"/>
        <w:rPr>
          <w:rFonts w:eastAsia="Times New Roman" w:cstheme="minorHAnsi"/>
          <w:color w:val="0E101A"/>
          <w:sz w:val="24"/>
          <w:szCs w:val="24"/>
          <w:lang w:eastAsia="en-GB"/>
        </w:rPr>
      </w:pPr>
    </w:p>
    <w:p w14:paraId="760152F5" w14:textId="09323853"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Healthy ageing [3] is defined by the World Health Organization (WHO) as "the process of developing and maintaining the functional ability that enables wellbeing in older age" [4, 5]. Functional ability comprises the health-related attributes that enable people to be and to do what they have reason to value. It is made up of the intrinsic capacity of the individual, relevant environmental characteristics, and the interactions between the individual and these characteristics. Intrinsic capacity is the composite of all the physical and mental capacities of an individual. To assess the impact of its actions at the national, regional, and global levels, the WHO proposed intrinsic capacity and functional ability as outcome indicators of healthy ageing. WHO's Integrated care for older people (‎</w:t>
      </w:r>
      <w:proofErr w:type="gramStart"/>
      <w:r w:rsidRPr="00B15128">
        <w:rPr>
          <w:rFonts w:eastAsia="Times New Roman" w:cstheme="minorHAnsi"/>
          <w:color w:val="0E101A"/>
          <w:sz w:val="24"/>
          <w:szCs w:val="24"/>
          <w:lang w:eastAsia="en-GB"/>
        </w:rPr>
        <w:t>ICOPE)‎</w:t>
      </w:r>
      <w:proofErr w:type="gramEnd"/>
      <w:r w:rsidRPr="00B15128">
        <w:rPr>
          <w:rFonts w:eastAsia="Times New Roman" w:cstheme="minorHAnsi"/>
          <w:color w:val="0E101A"/>
          <w:sz w:val="24"/>
          <w:szCs w:val="24"/>
          <w:lang w:eastAsia="en-GB"/>
        </w:rPr>
        <w:t xml:space="preserve"> framework suggests locomotor capacity as one of the domains of intrinsic physical capacity [6].</w:t>
      </w:r>
    </w:p>
    <w:p w14:paraId="66A77BED" w14:textId="77777777" w:rsidR="00B15128" w:rsidRPr="00B15128" w:rsidRDefault="00B15128" w:rsidP="00B15128">
      <w:pPr>
        <w:spacing w:after="0" w:line="240" w:lineRule="auto"/>
        <w:jc w:val="both"/>
        <w:rPr>
          <w:rFonts w:eastAsia="Times New Roman" w:cstheme="minorHAnsi"/>
          <w:color w:val="0E101A"/>
          <w:sz w:val="24"/>
          <w:szCs w:val="24"/>
          <w:lang w:eastAsia="en-GB"/>
        </w:rPr>
      </w:pPr>
    </w:p>
    <w:p w14:paraId="2BD87B83" w14:textId="424A20A5"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Locomotor capacity is broadly described as a person's bodily capacity or physical capacity to move from one place to another [2, 7]. Four main characteristics proposed in a recent publication include a function of joints, bones, reflexes and muscle strength [2]. Other attributes (such as balance, endurance, muscle power) of the musculoskeletal system are also crucial in assessing locomotor capacity in older persons. While there is some clarity on the structure of intrinsic capacity and its subdomains, clear and consensual conceptual and operational definitions of locomotor capacity are still lacking. </w:t>
      </w:r>
    </w:p>
    <w:p w14:paraId="30D322D9" w14:textId="77777777" w:rsidR="00B15128" w:rsidRPr="00B15128" w:rsidRDefault="00B15128" w:rsidP="00B15128">
      <w:pPr>
        <w:spacing w:after="0" w:line="240" w:lineRule="auto"/>
        <w:jc w:val="both"/>
        <w:rPr>
          <w:rFonts w:eastAsia="Times New Roman" w:cstheme="minorHAnsi"/>
          <w:color w:val="0E101A"/>
          <w:sz w:val="24"/>
          <w:szCs w:val="24"/>
          <w:lang w:eastAsia="en-GB"/>
        </w:rPr>
      </w:pPr>
    </w:p>
    <w:p w14:paraId="2B0729D5" w14:textId="2EECAE8F"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To close these gaps, the WHO Collaborating Center for Public Health Aspects of Musculoskeletal Health and Aging (Liège, Belgium), in collaboration with the WHO Ageing and Health Unit, held a virtual Working Group meeting (see </w:t>
      </w:r>
      <w:r w:rsidRPr="00B15128">
        <w:rPr>
          <w:rFonts w:eastAsia="Times New Roman" w:cstheme="minorHAnsi"/>
          <w:b/>
          <w:bCs/>
          <w:color w:val="0E101A"/>
          <w:sz w:val="24"/>
          <w:szCs w:val="24"/>
          <w:lang w:eastAsia="en-GB"/>
        </w:rPr>
        <w:t>Annex 1</w:t>
      </w:r>
      <w:r w:rsidRPr="00B15128">
        <w:rPr>
          <w:rFonts w:eastAsia="Times New Roman" w:cstheme="minorHAnsi"/>
          <w:color w:val="0E101A"/>
          <w:sz w:val="24"/>
          <w:szCs w:val="24"/>
          <w:lang w:eastAsia="en-GB"/>
        </w:rPr>
        <w:t xml:space="preserve"> for the participants), convening experts from around the world, to discuss the conceptual and operational definitions of locomotor capacity. </w:t>
      </w:r>
      <w:r w:rsidRPr="00B15128">
        <w:rPr>
          <w:rFonts w:eastAsia="Times New Roman" w:cstheme="minorHAnsi"/>
          <w:color w:val="0E101A"/>
          <w:sz w:val="24"/>
          <w:szCs w:val="24"/>
          <w:lang w:eastAsia="en-GB"/>
        </w:rPr>
        <w:lastRenderedPageBreak/>
        <w:t>The purpose of this Working Group was to provide WHO with clear conceptual and operational definitions of locomotor capacity, to enable the monitoring and evaluation of the impact of public health actions taken at the national, regional, and global levels to improve the lives of older people, their families, and communities, within the framework of the UNs' Decade of Healthy Ageing initiative.</w:t>
      </w:r>
    </w:p>
    <w:p w14:paraId="48F1619D" w14:textId="77777777" w:rsidR="00B15128" w:rsidRPr="00B15128" w:rsidRDefault="00B15128" w:rsidP="00B15128">
      <w:pPr>
        <w:spacing w:after="0" w:line="240" w:lineRule="auto"/>
        <w:jc w:val="both"/>
        <w:rPr>
          <w:rFonts w:eastAsia="Times New Roman" w:cstheme="minorHAnsi"/>
          <w:color w:val="0E101A"/>
          <w:sz w:val="24"/>
          <w:szCs w:val="24"/>
          <w:lang w:eastAsia="en-GB"/>
        </w:rPr>
      </w:pPr>
    </w:p>
    <w:p w14:paraId="4CDC90AB" w14:textId="77777777"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Briefly, the most important points discussed by the experts during this initial Working Group were:</w:t>
      </w:r>
    </w:p>
    <w:p w14:paraId="44A6C41E" w14:textId="742E5BE2" w:rsidR="00B15128" w:rsidRPr="00B15128" w:rsidRDefault="00B15128" w:rsidP="00B15128">
      <w:pPr>
        <w:numPr>
          <w:ilvl w:val="0"/>
          <w:numId w:val="1"/>
        </w:num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u w:val="single"/>
          <w:lang w:eastAsia="en-GB"/>
        </w:rPr>
        <w:t>Potential issues</w:t>
      </w:r>
      <w:r w:rsidRPr="00B15128">
        <w:rPr>
          <w:rFonts w:eastAsia="Times New Roman" w:cstheme="minorHAnsi"/>
          <w:color w:val="0E101A"/>
          <w:sz w:val="24"/>
          <w:szCs w:val="24"/>
          <w:lang w:eastAsia="en-GB"/>
        </w:rPr>
        <w:t xml:space="preserve">: Locomotor capacity is often described as a person's bodily capacity or physical capacity to move from one place to another. Although this implies the evaluation of mechanisms involved in the movement, there are three main issues with the current description discussed in the meeting: a) movement of a person from one location to another would imply moving inside the home and from home to different locations in </w:t>
      </w:r>
      <w:r w:rsidR="00A04715">
        <w:rPr>
          <w:rFonts w:eastAsia="Times New Roman" w:cstheme="minorHAnsi"/>
          <w:color w:val="0E101A"/>
          <w:sz w:val="24"/>
          <w:szCs w:val="24"/>
          <w:lang w:eastAsia="en-GB"/>
        </w:rPr>
        <w:t xml:space="preserve">the </w:t>
      </w:r>
      <w:r w:rsidRPr="00B15128">
        <w:rPr>
          <w:rFonts w:eastAsia="Times New Roman" w:cstheme="minorHAnsi"/>
          <w:color w:val="0E101A"/>
          <w:sz w:val="24"/>
          <w:szCs w:val="24"/>
          <w:lang w:eastAsia="en-GB"/>
        </w:rPr>
        <w:t>community (e.g. park); this overlaps with the ability to be mobile, which is the domain of functional ability, b) the description does not specify all the necessary attributes that should be considered for measurement, and c) it did not clearly state whether it is a function of the body or a function of a person in the environment as the term bodily capacity was not clearly described.   </w:t>
      </w:r>
    </w:p>
    <w:p w14:paraId="4CBE7E20" w14:textId="77777777" w:rsidR="00B15128" w:rsidRPr="00B15128" w:rsidRDefault="00B15128" w:rsidP="00B15128">
      <w:pPr>
        <w:numPr>
          <w:ilvl w:val="0"/>
          <w:numId w:val="1"/>
        </w:num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u w:val="single"/>
          <w:lang w:eastAsia="en-GB"/>
        </w:rPr>
        <w:t>Mobility vs Locomotor capacity:</w:t>
      </w:r>
      <w:r w:rsidRPr="00B15128">
        <w:rPr>
          <w:rFonts w:eastAsia="Times New Roman" w:cstheme="minorHAnsi"/>
          <w:color w:val="0E101A"/>
          <w:sz w:val="24"/>
          <w:szCs w:val="24"/>
          <w:lang w:eastAsia="en-GB"/>
        </w:rPr>
        <w:t> Differently, mobility is a domain of functional ability that captures how a potential (locomotor capacity) is actualized in real life when interacting with the environment. Locomotor capacity is a domain of intrinsic capacity and mainly relates to the individual's body function, whereas mobility reflects the interaction between an individual and his environment.</w:t>
      </w:r>
    </w:p>
    <w:p w14:paraId="42F9798D" w14:textId="1685F15E" w:rsidR="00B15128" w:rsidRPr="00B15128" w:rsidRDefault="00B15128" w:rsidP="00B15128">
      <w:pPr>
        <w:numPr>
          <w:ilvl w:val="0"/>
          <w:numId w:val="1"/>
        </w:num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u w:val="single"/>
          <w:lang w:eastAsia="en-GB"/>
        </w:rPr>
        <w:t>Defining mobility</w:t>
      </w:r>
      <w:r w:rsidRPr="00B15128">
        <w:rPr>
          <w:rFonts w:eastAsia="Times New Roman" w:cstheme="minorHAnsi"/>
          <w:i/>
          <w:iCs/>
          <w:color w:val="0E101A"/>
          <w:sz w:val="24"/>
          <w:szCs w:val="24"/>
          <w:lang w:eastAsia="en-GB"/>
        </w:rPr>
        <w:t>:</w:t>
      </w:r>
      <w:r w:rsidRPr="00B15128">
        <w:rPr>
          <w:rFonts w:eastAsia="Times New Roman" w:cstheme="minorHAnsi"/>
          <w:color w:val="0E101A"/>
          <w:sz w:val="24"/>
          <w:szCs w:val="24"/>
          <w:lang w:eastAsia="en-GB"/>
        </w:rPr>
        <w:t xml:space="preserve"> It is essential to define mobility better before defining the concept of locomotor capacity. Both concepts have some aspects in common. For instance, in some WHO documents, gait speed is a measure of locomotor capacity, but, for example, asking older persons </w:t>
      </w:r>
      <w:r w:rsidR="00A04715">
        <w:rPr>
          <w:rFonts w:eastAsia="Times New Roman" w:cstheme="minorHAnsi"/>
          <w:color w:val="0E101A"/>
          <w:sz w:val="24"/>
          <w:szCs w:val="24"/>
          <w:lang w:eastAsia="en-GB"/>
        </w:rPr>
        <w:t xml:space="preserve">whether they </w:t>
      </w:r>
      <w:r w:rsidRPr="00B15128">
        <w:rPr>
          <w:rFonts w:eastAsia="Times New Roman" w:cstheme="minorHAnsi"/>
          <w:color w:val="0E101A"/>
          <w:sz w:val="24"/>
          <w:szCs w:val="24"/>
          <w:lang w:eastAsia="en-GB"/>
        </w:rPr>
        <w:t>can walk 100m is considered a measure of mobility. The WHO representatives emphasize that another Working group on mobility is currently working on the conceptual and operational definitions of the ability to be mobile.  </w:t>
      </w:r>
    </w:p>
    <w:p w14:paraId="77B8ED96" w14:textId="77777777" w:rsidR="00B15128" w:rsidRPr="00B15128" w:rsidRDefault="00B15128" w:rsidP="00B15128">
      <w:pPr>
        <w:numPr>
          <w:ilvl w:val="0"/>
          <w:numId w:val="1"/>
        </w:num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u w:val="single"/>
          <w:lang w:eastAsia="en-GB"/>
        </w:rPr>
        <w:t>Attributes of Locomotor Capacity</w:t>
      </w:r>
      <w:r w:rsidRPr="00B15128">
        <w:rPr>
          <w:rFonts w:eastAsia="Times New Roman" w:cstheme="minorHAnsi"/>
          <w:color w:val="0E101A"/>
          <w:sz w:val="24"/>
          <w:szCs w:val="24"/>
          <w:lang w:eastAsia="en-GB"/>
        </w:rPr>
        <w:t>: Experts agreed that locomotor capacity could be defined using at least the following attributes: endurance, balance, muscle strength, muscle function, muscle power and joint function of the body. </w:t>
      </w:r>
    </w:p>
    <w:p w14:paraId="0C7F8BC1" w14:textId="4021BFE7" w:rsidR="00B15128" w:rsidRPr="00B15128" w:rsidRDefault="00B15128" w:rsidP="00B15128">
      <w:pPr>
        <w:numPr>
          <w:ilvl w:val="0"/>
          <w:numId w:val="1"/>
        </w:num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u w:val="single"/>
          <w:lang w:eastAsia="en-GB"/>
        </w:rPr>
        <w:t>Assessment of Locomotor Capacity</w:t>
      </w:r>
      <w:r w:rsidRPr="00B15128">
        <w:rPr>
          <w:rFonts w:eastAsia="Times New Roman" w:cstheme="minorHAnsi"/>
          <w:color w:val="0E101A"/>
          <w:sz w:val="24"/>
          <w:szCs w:val="24"/>
          <w:lang w:eastAsia="en-GB"/>
        </w:rPr>
        <w:t>: Experts suggested that the term 'capacity' refers to the highest possible level of functioning in a given domain at a given moment in time. Consequently, an assessment tool would require a test that puts the particular locomotor aspect under stress. In this regard, some discussion emerged regarding whether locomotor capacity could be captured by performance-based tests or reported directly by older people.</w:t>
      </w:r>
    </w:p>
    <w:p w14:paraId="69CBE924" w14:textId="77777777" w:rsidR="00B15128" w:rsidRPr="00B15128" w:rsidRDefault="00B15128" w:rsidP="00B15128">
      <w:pPr>
        <w:spacing w:after="0" w:line="240" w:lineRule="auto"/>
        <w:ind w:left="720"/>
        <w:jc w:val="both"/>
        <w:rPr>
          <w:rFonts w:eastAsia="Times New Roman" w:cstheme="minorHAnsi"/>
          <w:color w:val="0E101A"/>
          <w:sz w:val="24"/>
          <w:szCs w:val="24"/>
          <w:lang w:eastAsia="en-GB"/>
        </w:rPr>
      </w:pPr>
    </w:p>
    <w:p w14:paraId="1421331F" w14:textId="77777777" w:rsidR="00B15128" w:rsidRPr="00B15128" w:rsidRDefault="00B15128" w:rsidP="00B15128">
      <w:pPr>
        <w:spacing w:after="0" w:line="240" w:lineRule="auto"/>
        <w:jc w:val="both"/>
        <w:rPr>
          <w:rFonts w:eastAsia="Times New Roman" w:cstheme="minorHAnsi"/>
          <w:color w:val="0E101A"/>
          <w:sz w:val="24"/>
          <w:szCs w:val="24"/>
          <w:lang w:eastAsia="en-GB"/>
        </w:rPr>
      </w:pPr>
      <w:r w:rsidRPr="00B15128">
        <w:rPr>
          <w:rFonts w:eastAsia="Times New Roman" w:cstheme="minorHAnsi"/>
          <w:color w:val="0E101A"/>
          <w:sz w:val="24"/>
          <w:szCs w:val="24"/>
          <w:lang w:eastAsia="en-GB"/>
        </w:rPr>
        <w:t>In conclusion, based on the discussion above, the Working Group proposed a conceptual working definition that defines </w:t>
      </w:r>
      <w:r w:rsidRPr="00B15128">
        <w:rPr>
          <w:rFonts w:eastAsia="Times New Roman" w:cstheme="minorHAnsi"/>
          <w:i/>
          <w:iCs/>
          <w:color w:val="0E101A"/>
          <w:sz w:val="24"/>
          <w:szCs w:val="24"/>
          <w:lang w:eastAsia="en-GB"/>
        </w:rPr>
        <w:t>locomotor capacity</w:t>
      </w:r>
      <w:r w:rsidRPr="00B15128">
        <w:rPr>
          <w:rFonts w:eastAsia="Times New Roman" w:cstheme="minorHAnsi"/>
          <w:color w:val="0E101A"/>
          <w:sz w:val="24"/>
          <w:szCs w:val="24"/>
          <w:lang w:eastAsia="en-GB"/>
        </w:rPr>
        <w:t> as "a state (static or dynamic over time) of the musculoskeletal system that encompasses endurance, balance, muscle strength, muscle function, muscle power and a joint function of the body". A systematic review of measures of locomotor capacity will be undertaken in the coming months to develop operational definitions for monitoring and evaluation of public health actions focusing on older persons. Further meetings and works are planned to elaborate the operational definition of locomotor capacity.</w:t>
      </w:r>
    </w:p>
    <w:p w14:paraId="058C9CC2" w14:textId="0D73749C" w:rsidR="00E169DE" w:rsidRDefault="00E169DE"/>
    <w:p w14:paraId="2D05CE94" w14:textId="7E88AAB5" w:rsidR="00B15128" w:rsidRPr="00B15128" w:rsidRDefault="009659E2" w:rsidP="00B15128">
      <w:pPr>
        <w:spacing w:after="200" w:line="276" w:lineRule="auto"/>
        <w:rPr>
          <w:b/>
          <w:bCs/>
        </w:rPr>
      </w:pPr>
      <w:r>
        <w:rPr>
          <w:b/>
          <w:bCs/>
        </w:rPr>
        <w:t>D</w:t>
      </w:r>
      <w:r w:rsidR="00B15128" w:rsidRPr="00B15128">
        <w:rPr>
          <w:b/>
          <w:bCs/>
        </w:rPr>
        <w:t>isclaimer</w:t>
      </w:r>
    </w:p>
    <w:p w14:paraId="52D2C40E" w14:textId="77777777" w:rsidR="00B15128" w:rsidRPr="00B15128" w:rsidRDefault="00B15128" w:rsidP="00B15128">
      <w:pPr>
        <w:spacing w:after="200" w:line="276" w:lineRule="auto"/>
      </w:pPr>
      <w:r w:rsidRPr="00B15128">
        <w:t>The authors alone are responsible for the views expressed in this article and they do not necessarily represent the views, decisions, or policies of the institutions with which they are affiliated.</w:t>
      </w:r>
    </w:p>
    <w:p w14:paraId="7AB82114" w14:textId="77777777" w:rsidR="00B15128" w:rsidRPr="00B15128" w:rsidRDefault="00B15128" w:rsidP="00B15128">
      <w:pPr>
        <w:spacing w:after="200" w:line="276" w:lineRule="auto"/>
        <w:rPr>
          <w:b/>
          <w:bCs/>
        </w:rPr>
      </w:pPr>
    </w:p>
    <w:p w14:paraId="04D9EDDC" w14:textId="77777777" w:rsidR="00B15128" w:rsidRPr="00B15128" w:rsidRDefault="00B15128" w:rsidP="00B15128">
      <w:pPr>
        <w:spacing w:after="200" w:line="276" w:lineRule="auto"/>
      </w:pPr>
      <w:r w:rsidRPr="00B15128">
        <w:rPr>
          <w:b/>
          <w:bCs/>
        </w:rPr>
        <w:t>Conflict of interest:</w:t>
      </w:r>
      <w:r w:rsidRPr="00B15128">
        <w:t xml:space="preserve"> None </w:t>
      </w:r>
      <w:r w:rsidRPr="00B15128">
        <w:t> </w:t>
      </w:r>
    </w:p>
    <w:p w14:paraId="4A45B66A" w14:textId="77777777" w:rsidR="00B15128" w:rsidRPr="00B15128" w:rsidRDefault="00B15128" w:rsidP="00B15128">
      <w:pPr>
        <w:spacing w:after="200" w:line="276" w:lineRule="auto"/>
        <w:rPr>
          <w:b/>
          <w:bCs/>
        </w:rPr>
      </w:pPr>
      <w:r w:rsidRPr="00B15128">
        <w:rPr>
          <w:b/>
          <w:bCs/>
        </w:rPr>
        <w:t>References</w:t>
      </w:r>
    </w:p>
    <w:p w14:paraId="6F73D267"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b/>
          <w:bCs/>
        </w:rPr>
        <w:fldChar w:fldCharType="begin" w:fldLock="1"/>
      </w:r>
      <w:r w:rsidRPr="00B15128">
        <w:rPr>
          <w:b/>
          <w:bCs/>
        </w:rPr>
        <w:instrText xml:space="preserve">ADDIN Mendeley Bibliography CSL_BIBLIOGRAPHY </w:instrText>
      </w:r>
      <w:r w:rsidRPr="00B15128">
        <w:rPr>
          <w:b/>
          <w:bCs/>
        </w:rPr>
        <w:fldChar w:fldCharType="separate"/>
      </w:r>
      <w:r w:rsidRPr="00B15128">
        <w:rPr>
          <w:rFonts w:ascii="Calibri" w:hAnsi="Calibri" w:cs="Calibri"/>
          <w:noProof/>
          <w:szCs w:val="24"/>
        </w:rPr>
        <w:t xml:space="preserve">1. </w:t>
      </w:r>
      <w:r w:rsidRPr="00B15128">
        <w:rPr>
          <w:rFonts w:ascii="Calibri" w:hAnsi="Calibri" w:cs="Calibri"/>
          <w:noProof/>
          <w:szCs w:val="24"/>
        </w:rPr>
        <w:tab/>
        <w:t>Decade of Healthy Ageing (2021) What is the UN Decade of Healthy Ageing? https://www.decadeofhealthyageing.org/about/about-us/what-is-the-decade. Accessed 7 Dec 2021</w:t>
      </w:r>
    </w:p>
    <w:p w14:paraId="495BA7B6"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rFonts w:ascii="Calibri" w:hAnsi="Calibri" w:cs="Calibri"/>
          <w:noProof/>
          <w:szCs w:val="24"/>
        </w:rPr>
        <w:t xml:space="preserve">2. </w:t>
      </w:r>
      <w:r w:rsidRPr="00B15128">
        <w:rPr>
          <w:rFonts w:ascii="Calibri" w:hAnsi="Calibri" w:cs="Calibri"/>
          <w:noProof/>
          <w:szCs w:val="24"/>
        </w:rPr>
        <w:tab/>
        <w:t>World Health Organization (2020) Decade of healthy ageing: Baseline report. World Health Organization, Geneva, Switzerland</w:t>
      </w:r>
    </w:p>
    <w:p w14:paraId="5C3DD957"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rFonts w:ascii="Calibri" w:hAnsi="Calibri" w:cs="Calibri"/>
          <w:noProof/>
          <w:szCs w:val="24"/>
        </w:rPr>
        <w:t xml:space="preserve">3. </w:t>
      </w:r>
      <w:r w:rsidRPr="00B15128">
        <w:rPr>
          <w:rFonts w:ascii="Calibri" w:hAnsi="Calibri" w:cs="Calibri"/>
          <w:noProof/>
          <w:szCs w:val="24"/>
        </w:rPr>
        <w:tab/>
        <w:t>Woolford SJ, Sohan O, Dennison EM, Cooper C, Patel HP (2020) Approaches to the diagnosis and prevention of frailty. Aging Clin Exp Res 32:1629–1637</w:t>
      </w:r>
    </w:p>
    <w:p w14:paraId="4BC7D1D8"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rFonts w:ascii="Calibri" w:hAnsi="Calibri" w:cs="Calibri"/>
          <w:noProof/>
          <w:szCs w:val="24"/>
        </w:rPr>
        <w:t xml:space="preserve">4. </w:t>
      </w:r>
      <w:r w:rsidRPr="00B15128">
        <w:rPr>
          <w:rFonts w:ascii="Calibri" w:hAnsi="Calibri" w:cs="Calibri"/>
          <w:noProof/>
          <w:szCs w:val="24"/>
        </w:rPr>
        <w:tab/>
        <w:t>World Health Organization (2015) World report on ageing and health. World Health Organization, Geneva, Switzerland</w:t>
      </w:r>
    </w:p>
    <w:p w14:paraId="4BCA333E"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rFonts w:ascii="Calibri" w:hAnsi="Calibri" w:cs="Calibri"/>
          <w:noProof/>
          <w:szCs w:val="24"/>
        </w:rPr>
        <w:t xml:space="preserve">5. </w:t>
      </w:r>
      <w:r w:rsidRPr="00B15128">
        <w:rPr>
          <w:rFonts w:ascii="Calibri" w:hAnsi="Calibri" w:cs="Calibri"/>
          <w:noProof/>
          <w:szCs w:val="24"/>
        </w:rPr>
        <w:tab/>
        <w:t>Monaco A, Palmer K, Marengoni A, Maggi S, Hassan TA, Donde S (2020) Integrated care for the management of ageing-related non-communicable diseases: current gaps and future directions. Aging Clin Exp Res 32:1353–1358</w:t>
      </w:r>
    </w:p>
    <w:p w14:paraId="271CC151"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szCs w:val="24"/>
        </w:rPr>
      </w:pPr>
      <w:r w:rsidRPr="00B15128">
        <w:rPr>
          <w:rFonts w:ascii="Calibri" w:hAnsi="Calibri" w:cs="Calibri"/>
          <w:noProof/>
          <w:szCs w:val="24"/>
        </w:rPr>
        <w:t xml:space="preserve">6. </w:t>
      </w:r>
      <w:r w:rsidRPr="00B15128">
        <w:rPr>
          <w:rFonts w:ascii="Calibri" w:hAnsi="Calibri" w:cs="Calibri"/>
          <w:noProof/>
          <w:szCs w:val="24"/>
        </w:rPr>
        <w:tab/>
        <w:t>Cesari M, De Carvalho IA, Thiyagarajan JA, Cooper C, Martin FC, Reginster JY, Vellas B, Beard JR (2018) Evidence for the domains supporting the construct of intrinsic capacity. Journals Gerontol - Ser A Biol Sci Med Sci 73:1653–1660</w:t>
      </w:r>
    </w:p>
    <w:p w14:paraId="15311A91" w14:textId="77777777" w:rsidR="00B15128" w:rsidRPr="00B15128" w:rsidRDefault="00B15128" w:rsidP="00B15128">
      <w:pPr>
        <w:widowControl w:val="0"/>
        <w:autoSpaceDE w:val="0"/>
        <w:autoSpaceDN w:val="0"/>
        <w:adjustRightInd w:val="0"/>
        <w:spacing w:after="200" w:line="240" w:lineRule="auto"/>
        <w:ind w:left="640" w:hanging="640"/>
        <w:rPr>
          <w:rFonts w:ascii="Calibri" w:hAnsi="Calibri" w:cs="Calibri"/>
          <w:noProof/>
        </w:rPr>
      </w:pPr>
      <w:r w:rsidRPr="00B15128">
        <w:rPr>
          <w:rFonts w:ascii="Calibri" w:hAnsi="Calibri" w:cs="Calibri"/>
          <w:noProof/>
          <w:szCs w:val="24"/>
        </w:rPr>
        <w:t xml:space="preserve">7. </w:t>
      </w:r>
      <w:r w:rsidRPr="00B15128">
        <w:rPr>
          <w:rFonts w:ascii="Calibri" w:hAnsi="Calibri" w:cs="Calibri"/>
          <w:noProof/>
          <w:szCs w:val="24"/>
        </w:rPr>
        <w:tab/>
        <w:t>World Health Organization (WHO) (2019) Integrated care for older people (‎ICOPE)‎: guidance for person-centred assessment and pathways in primary care. World Heal Organ Licence: CC BY-NC-SA 3.0 IGO</w:t>
      </w:r>
    </w:p>
    <w:p w14:paraId="17D4F3DC" w14:textId="77777777" w:rsidR="00B15128" w:rsidRPr="00B15128" w:rsidRDefault="00B15128" w:rsidP="00B15128">
      <w:pPr>
        <w:spacing w:after="200" w:line="276" w:lineRule="auto"/>
        <w:rPr>
          <w:b/>
          <w:bCs/>
        </w:rPr>
      </w:pPr>
      <w:r w:rsidRPr="00B15128">
        <w:rPr>
          <w:b/>
          <w:bCs/>
        </w:rPr>
        <w:fldChar w:fldCharType="end"/>
      </w:r>
    </w:p>
    <w:p w14:paraId="5F9C07D3" w14:textId="5785B809" w:rsidR="00B15128" w:rsidRDefault="00B15128" w:rsidP="00B15128">
      <w:pPr>
        <w:spacing w:after="200" w:line="276" w:lineRule="auto"/>
      </w:pPr>
    </w:p>
    <w:p w14:paraId="3FF22915" w14:textId="481ECF1D" w:rsidR="00884FAC" w:rsidRDefault="00884FAC" w:rsidP="00B15128">
      <w:pPr>
        <w:spacing w:after="200" w:line="276" w:lineRule="auto"/>
      </w:pPr>
    </w:p>
    <w:p w14:paraId="60FC661F" w14:textId="4DE6A441" w:rsidR="00884FAC" w:rsidRDefault="00884FAC" w:rsidP="00B15128">
      <w:pPr>
        <w:spacing w:after="200" w:line="276" w:lineRule="auto"/>
      </w:pPr>
    </w:p>
    <w:p w14:paraId="24382828" w14:textId="77777777" w:rsidR="00884FAC" w:rsidRPr="00B15128" w:rsidRDefault="00884FAC" w:rsidP="00B15128">
      <w:pPr>
        <w:spacing w:after="200" w:line="276" w:lineRule="auto"/>
      </w:pPr>
    </w:p>
    <w:p w14:paraId="7FE51FBC" w14:textId="77777777" w:rsidR="00B15128" w:rsidRPr="00B15128" w:rsidRDefault="00B15128" w:rsidP="00B15128">
      <w:pPr>
        <w:spacing w:after="200" w:line="276" w:lineRule="auto"/>
      </w:pPr>
      <w:r w:rsidRPr="00B15128">
        <w:t xml:space="preserve"> </w:t>
      </w:r>
    </w:p>
    <w:p w14:paraId="13FF79B1" w14:textId="77777777" w:rsidR="00B15128" w:rsidRPr="00B15128" w:rsidRDefault="00B15128" w:rsidP="00B15128">
      <w:pPr>
        <w:spacing w:after="200" w:line="276" w:lineRule="auto"/>
        <w:rPr>
          <w:i/>
          <w:iCs/>
          <w:u w:val="single"/>
        </w:rPr>
      </w:pPr>
      <w:r w:rsidRPr="00B15128">
        <w:rPr>
          <w:i/>
          <w:iCs/>
          <w:u w:val="single"/>
        </w:rPr>
        <w:t>Invited Experts and Co-authors (name, academic affiliation, country)</w:t>
      </w:r>
    </w:p>
    <w:p w14:paraId="4AEC41A8" w14:textId="77777777" w:rsidR="00B15128" w:rsidRPr="00B15128" w:rsidRDefault="00B15128" w:rsidP="00884FAC">
      <w:pPr>
        <w:pStyle w:val="ListParagraph"/>
        <w:numPr>
          <w:ilvl w:val="0"/>
          <w:numId w:val="2"/>
        </w:numPr>
        <w:spacing w:after="0" w:line="240" w:lineRule="auto"/>
        <w:jc w:val="both"/>
      </w:pPr>
      <w:r w:rsidRPr="00B15128">
        <w:t>Al-Daghri Nasser, College of Science and Chair for Biomarkers of Chronic Diseases, King Saud University, Riyadh, Saudi Arabia.</w:t>
      </w:r>
    </w:p>
    <w:p w14:paraId="649FB95F" w14:textId="77777777" w:rsidR="00B15128" w:rsidRPr="00B15128" w:rsidRDefault="00B15128" w:rsidP="00B15128">
      <w:pPr>
        <w:spacing w:after="0" w:line="240" w:lineRule="auto"/>
        <w:jc w:val="both"/>
      </w:pPr>
    </w:p>
    <w:p w14:paraId="5E976E91" w14:textId="77777777" w:rsidR="00B15128" w:rsidRPr="00B15128" w:rsidRDefault="00B15128" w:rsidP="00884FAC">
      <w:pPr>
        <w:pStyle w:val="ListParagraph"/>
        <w:numPr>
          <w:ilvl w:val="0"/>
          <w:numId w:val="2"/>
        </w:numPr>
        <w:spacing w:after="0" w:line="240" w:lineRule="auto"/>
        <w:jc w:val="both"/>
      </w:pPr>
      <w:r w:rsidRPr="00B15128">
        <w:t xml:space="preserve">Andrieu Sandrine, Clinical epidemiology and public health department, </w:t>
      </w:r>
      <w:proofErr w:type="spellStart"/>
      <w:r w:rsidRPr="00B15128">
        <w:t>Gerontopôle</w:t>
      </w:r>
      <w:proofErr w:type="spellEnd"/>
      <w:r w:rsidRPr="00B15128">
        <w:t>, Toulouse University Hospital, France</w:t>
      </w:r>
    </w:p>
    <w:p w14:paraId="72799095" w14:textId="77777777" w:rsidR="00B15128" w:rsidRPr="00B15128" w:rsidRDefault="00B15128" w:rsidP="00B15128">
      <w:pPr>
        <w:spacing w:after="0" w:line="240" w:lineRule="auto"/>
        <w:jc w:val="both"/>
      </w:pPr>
    </w:p>
    <w:p w14:paraId="3CAC9126" w14:textId="77777777" w:rsidR="00B15128" w:rsidRPr="00B15128" w:rsidRDefault="00B15128" w:rsidP="00884FAC">
      <w:pPr>
        <w:pStyle w:val="ListParagraph"/>
        <w:numPr>
          <w:ilvl w:val="0"/>
          <w:numId w:val="2"/>
        </w:numPr>
        <w:spacing w:after="200" w:line="276" w:lineRule="auto"/>
        <w:jc w:val="both"/>
      </w:pPr>
      <w:proofErr w:type="spellStart"/>
      <w:r w:rsidRPr="00B15128">
        <w:t>Annweiler</w:t>
      </w:r>
      <w:proofErr w:type="spellEnd"/>
      <w:r w:rsidRPr="00B15128">
        <w:t xml:space="preserve"> </w:t>
      </w:r>
      <w:proofErr w:type="spellStart"/>
      <w:r w:rsidRPr="00B15128">
        <w:t>Cédric</w:t>
      </w:r>
      <w:proofErr w:type="spellEnd"/>
      <w:r w:rsidRPr="00B15128">
        <w:t>, Department of Geriatric Medicine, University of Angers, France</w:t>
      </w:r>
    </w:p>
    <w:p w14:paraId="434943BC" w14:textId="77777777" w:rsidR="00B15128" w:rsidRPr="00884FAC" w:rsidRDefault="00B15128" w:rsidP="00884FAC">
      <w:pPr>
        <w:pStyle w:val="ListParagraph"/>
        <w:numPr>
          <w:ilvl w:val="0"/>
          <w:numId w:val="2"/>
        </w:numPr>
        <w:spacing w:after="200" w:line="276" w:lineRule="auto"/>
        <w:jc w:val="both"/>
        <w:rPr>
          <w:lang w:val="fr-FR"/>
        </w:rPr>
      </w:pPr>
      <w:r w:rsidRPr="00884FAC">
        <w:rPr>
          <w:lang w:val="fr-FR"/>
        </w:rPr>
        <w:t xml:space="preserve">Aubertin-Leheudre Mylène, </w:t>
      </w:r>
      <w:proofErr w:type="spellStart"/>
      <w:r w:rsidRPr="00884FAC">
        <w:rPr>
          <w:lang w:val="fr-FR"/>
        </w:rPr>
        <w:t>Exercise</w:t>
      </w:r>
      <w:proofErr w:type="spellEnd"/>
      <w:r w:rsidRPr="00884FAC">
        <w:rPr>
          <w:lang w:val="fr-FR"/>
        </w:rPr>
        <w:t xml:space="preserve"> sciences </w:t>
      </w:r>
      <w:proofErr w:type="spellStart"/>
      <w:r w:rsidRPr="00884FAC">
        <w:rPr>
          <w:lang w:val="fr-FR"/>
        </w:rPr>
        <w:t>department</w:t>
      </w:r>
      <w:proofErr w:type="spellEnd"/>
      <w:r w:rsidRPr="00884FAC">
        <w:rPr>
          <w:lang w:val="fr-FR"/>
        </w:rPr>
        <w:t>, Université du Québec à Montréal (UQAM), Canada</w:t>
      </w:r>
    </w:p>
    <w:p w14:paraId="6CB85078" w14:textId="77777777" w:rsidR="00B15128" w:rsidRPr="00B15128" w:rsidRDefault="00B15128" w:rsidP="00884FAC">
      <w:pPr>
        <w:pStyle w:val="ListParagraph"/>
        <w:numPr>
          <w:ilvl w:val="0"/>
          <w:numId w:val="2"/>
        </w:numPr>
        <w:spacing w:after="200" w:line="276" w:lineRule="auto"/>
        <w:jc w:val="both"/>
      </w:pPr>
      <w:r w:rsidRPr="00B15128">
        <w:t>Bautmans Ivan, Gerontology and Frailty in Ageing research departments, Vrije Universiteit Brussel (VUB), Belgium</w:t>
      </w:r>
    </w:p>
    <w:p w14:paraId="75F40F3D" w14:textId="77777777" w:rsidR="00B15128" w:rsidRPr="00B15128" w:rsidRDefault="00B15128" w:rsidP="00884FAC">
      <w:pPr>
        <w:pStyle w:val="ListParagraph"/>
        <w:numPr>
          <w:ilvl w:val="0"/>
          <w:numId w:val="2"/>
        </w:numPr>
        <w:spacing w:after="200" w:line="276" w:lineRule="auto"/>
        <w:jc w:val="both"/>
      </w:pPr>
      <w:r w:rsidRPr="00B15128">
        <w:t>Beaudart Charlotte, Department of Health Services Research, Maastricht University, Maastricht, The Netherlands; WHO Collaborating Center for Public Health Aspects of Musculoskeletal Health and Ageing, University of Liège, Belgium</w:t>
      </w:r>
    </w:p>
    <w:p w14:paraId="2EF99CE9" w14:textId="77777777" w:rsidR="00B15128" w:rsidRPr="00B15128" w:rsidRDefault="00B15128" w:rsidP="00884FAC">
      <w:pPr>
        <w:pStyle w:val="ListParagraph"/>
        <w:numPr>
          <w:ilvl w:val="0"/>
          <w:numId w:val="2"/>
        </w:numPr>
        <w:spacing w:after="200" w:line="276" w:lineRule="auto"/>
        <w:jc w:val="both"/>
      </w:pPr>
      <w:r w:rsidRPr="00B15128">
        <w:t>Becker Clemens, Digital Geriatric Medicine, University of Heidelberg, Germany</w:t>
      </w:r>
    </w:p>
    <w:p w14:paraId="390552F6" w14:textId="77777777" w:rsidR="00B15128" w:rsidRPr="00B15128" w:rsidRDefault="00B15128" w:rsidP="00884FAC">
      <w:pPr>
        <w:pStyle w:val="ListParagraph"/>
        <w:numPr>
          <w:ilvl w:val="0"/>
          <w:numId w:val="2"/>
        </w:numPr>
        <w:spacing w:after="200" w:line="276" w:lineRule="auto"/>
        <w:jc w:val="both"/>
      </w:pPr>
      <w:r w:rsidRPr="00B15128">
        <w:t>Bruyère Olivier, WHO Collaborating Center for Public Health Aspects of Musculoskeletal Health and Ageing, University of Liège, Belgium</w:t>
      </w:r>
    </w:p>
    <w:p w14:paraId="1C4C89AD" w14:textId="77777777" w:rsidR="00B15128" w:rsidRPr="00B15128" w:rsidRDefault="00B15128" w:rsidP="00884FAC">
      <w:pPr>
        <w:pStyle w:val="ListParagraph"/>
        <w:numPr>
          <w:ilvl w:val="0"/>
          <w:numId w:val="2"/>
        </w:numPr>
        <w:spacing w:after="200" w:line="276" w:lineRule="auto"/>
        <w:jc w:val="both"/>
      </w:pPr>
      <w:r w:rsidRPr="00B15128">
        <w:t>Buckinx Fanny, WHO Collaborating Center for Public Health Aspects of Musculoskeletal Health and Ageing, University of Liège, Belgium</w:t>
      </w:r>
    </w:p>
    <w:p w14:paraId="3F4A7150"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Campusano Claudia, Universidad de los Andes, Chile </w:t>
      </w:r>
    </w:p>
    <w:p w14:paraId="25E9DE22"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Cesari Matteo, </w:t>
      </w:r>
      <w:proofErr w:type="spellStart"/>
      <w:r w:rsidRPr="00884FAC">
        <w:rPr>
          <w:lang w:val="es-419"/>
        </w:rPr>
        <w:t>Geriatric</w:t>
      </w:r>
      <w:proofErr w:type="spellEnd"/>
      <w:r w:rsidRPr="00884FAC">
        <w:rPr>
          <w:lang w:val="es-419"/>
        </w:rPr>
        <w:t xml:space="preserve"> </w:t>
      </w:r>
      <w:proofErr w:type="spellStart"/>
      <w:r w:rsidRPr="00884FAC">
        <w:rPr>
          <w:lang w:val="es-419"/>
        </w:rPr>
        <w:t>Fellowship</w:t>
      </w:r>
      <w:proofErr w:type="spellEnd"/>
      <w:r w:rsidRPr="00884FAC">
        <w:rPr>
          <w:lang w:val="es-419"/>
        </w:rPr>
        <w:t xml:space="preserve"> </w:t>
      </w:r>
      <w:proofErr w:type="spellStart"/>
      <w:r w:rsidRPr="00884FAC">
        <w:rPr>
          <w:lang w:val="es-419"/>
        </w:rPr>
        <w:t>Program</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of </w:t>
      </w:r>
      <w:proofErr w:type="spellStart"/>
      <w:r w:rsidRPr="00884FAC">
        <w:rPr>
          <w:lang w:val="es-419"/>
        </w:rPr>
        <w:t>Milan</w:t>
      </w:r>
      <w:proofErr w:type="spellEnd"/>
      <w:r w:rsidRPr="00884FAC">
        <w:rPr>
          <w:lang w:val="es-419"/>
        </w:rPr>
        <w:t xml:space="preserve">, </w:t>
      </w:r>
      <w:proofErr w:type="spellStart"/>
      <w:r w:rsidRPr="00884FAC">
        <w:rPr>
          <w:lang w:val="es-419"/>
        </w:rPr>
        <w:t>Italy</w:t>
      </w:r>
      <w:proofErr w:type="spellEnd"/>
    </w:p>
    <w:p w14:paraId="17FB908D"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Chandran </w:t>
      </w:r>
      <w:proofErr w:type="spellStart"/>
      <w:r w:rsidRPr="00884FAC">
        <w:rPr>
          <w:lang w:val="es-419"/>
        </w:rPr>
        <w:t>Manju</w:t>
      </w:r>
      <w:proofErr w:type="spellEnd"/>
      <w:r w:rsidRPr="00884FAC">
        <w:rPr>
          <w:lang w:val="es-419"/>
        </w:rPr>
        <w:t xml:space="preserve">, Osteoporosis and </w:t>
      </w:r>
      <w:proofErr w:type="spellStart"/>
      <w:r w:rsidRPr="00884FAC">
        <w:rPr>
          <w:lang w:val="es-419"/>
        </w:rPr>
        <w:t>Bone</w:t>
      </w:r>
      <w:proofErr w:type="spellEnd"/>
      <w:r w:rsidRPr="00884FAC">
        <w:rPr>
          <w:lang w:val="es-419"/>
        </w:rPr>
        <w:t xml:space="preserve"> </w:t>
      </w:r>
      <w:proofErr w:type="spellStart"/>
      <w:r w:rsidRPr="00884FAC">
        <w:rPr>
          <w:lang w:val="es-419"/>
        </w:rPr>
        <w:t>Metabolism</w:t>
      </w:r>
      <w:proofErr w:type="spellEnd"/>
      <w:r w:rsidRPr="00884FAC">
        <w:rPr>
          <w:lang w:val="es-419"/>
        </w:rPr>
        <w:t xml:space="preserve"> </w:t>
      </w:r>
      <w:proofErr w:type="spellStart"/>
      <w:r w:rsidRPr="00884FAC">
        <w:rPr>
          <w:lang w:val="es-419"/>
        </w:rPr>
        <w:t>Unit</w:t>
      </w:r>
      <w:proofErr w:type="spellEnd"/>
      <w:r w:rsidRPr="00884FAC">
        <w:rPr>
          <w:lang w:val="es-419"/>
        </w:rPr>
        <w:t xml:space="preserve">, </w:t>
      </w:r>
      <w:proofErr w:type="spellStart"/>
      <w:r w:rsidRPr="00884FAC">
        <w:rPr>
          <w:lang w:val="es-419"/>
        </w:rPr>
        <w:t>Singapore</w:t>
      </w:r>
      <w:proofErr w:type="spellEnd"/>
      <w:r w:rsidRPr="00884FAC">
        <w:rPr>
          <w:lang w:val="es-419"/>
        </w:rPr>
        <w:t xml:space="preserve"> General Hospital, </w:t>
      </w:r>
      <w:proofErr w:type="spellStart"/>
      <w:r w:rsidRPr="00884FAC">
        <w:rPr>
          <w:lang w:val="es-419"/>
        </w:rPr>
        <w:t>Singapore</w:t>
      </w:r>
      <w:proofErr w:type="spellEnd"/>
    </w:p>
    <w:p w14:paraId="28E52EAA" w14:textId="77777777" w:rsidR="00B15128" w:rsidRPr="00884FAC" w:rsidRDefault="00B15128" w:rsidP="00884FAC">
      <w:pPr>
        <w:pStyle w:val="ListParagraph"/>
        <w:numPr>
          <w:ilvl w:val="0"/>
          <w:numId w:val="2"/>
        </w:numPr>
        <w:spacing w:after="200" w:line="276" w:lineRule="auto"/>
        <w:jc w:val="both"/>
        <w:rPr>
          <w:lang w:val="es-419"/>
        </w:rPr>
      </w:pPr>
      <w:proofErr w:type="spellStart"/>
      <w:r w:rsidRPr="00884FAC">
        <w:rPr>
          <w:lang w:val="es-419"/>
        </w:rPr>
        <w:t>Cherubini</w:t>
      </w:r>
      <w:proofErr w:type="spellEnd"/>
      <w:r w:rsidRPr="00884FAC">
        <w:rPr>
          <w:lang w:val="es-419"/>
        </w:rPr>
        <w:t xml:space="preserve"> Antonio, </w:t>
      </w:r>
      <w:proofErr w:type="spellStart"/>
      <w:r w:rsidRPr="00884FAC">
        <w:rPr>
          <w:lang w:val="es-419"/>
        </w:rPr>
        <w:t>Geriatria</w:t>
      </w:r>
      <w:proofErr w:type="spellEnd"/>
      <w:r w:rsidRPr="00884FAC">
        <w:rPr>
          <w:lang w:val="es-419"/>
        </w:rPr>
        <w:t xml:space="preserve">, </w:t>
      </w:r>
      <w:proofErr w:type="spellStart"/>
      <w:r w:rsidRPr="00884FAC">
        <w:rPr>
          <w:lang w:val="es-419"/>
        </w:rPr>
        <w:t>Accettazione</w:t>
      </w:r>
      <w:proofErr w:type="spellEnd"/>
      <w:r w:rsidRPr="00884FAC">
        <w:rPr>
          <w:lang w:val="es-419"/>
        </w:rPr>
        <w:t xml:space="preserve"> </w:t>
      </w:r>
      <w:proofErr w:type="spellStart"/>
      <w:r w:rsidRPr="00884FAC">
        <w:rPr>
          <w:lang w:val="es-419"/>
        </w:rPr>
        <w:t>geriatrica</w:t>
      </w:r>
      <w:proofErr w:type="spellEnd"/>
      <w:r w:rsidRPr="00884FAC">
        <w:rPr>
          <w:lang w:val="es-419"/>
        </w:rPr>
        <w:t xml:space="preserve"> e Centro di </w:t>
      </w:r>
      <w:proofErr w:type="spellStart"/>
      <w:r w:rsidRPr="00884FAC">
        <w:rPr>
          <w:lang w:val="es-419"/>
        </w:rPr>
        <w:t>ricerca</w:t>
      </w:r>
      <w:proofErr w:type="spellEnd"/>
      <w:r w:rsidRPr="00884FAC">
        <w:rPr>
          <w:lang w:val="es-419"/>
        </w:rPr>
        <w:t xml:space="preserve"> per </w:t>
      </w:r>
      <w:proofErr w:type="spellStart"/>
      <w:r w:rsidRPr="00884FAC">
        <w:rPr>
          <w:lang w:val="es-419"/>
        </w:rPr>
        <w:t>l’invecchiamento</w:t>
      </w:r>
      <w:proofErr w:type="spellEnd"/>
      <w:r w:rsidRPr="00884FAC">
        <w:rPr>
          <w:lang w:val="es-419"/>
        </w:rPr>
        <w:t xml:space="preserve">, IRCCS INRCA, Ancona, </w:t>
      </w:r>
      <w:proofErr w:type="spellStart"/>
      <w:r w:rsidRPr="00884FAC">
        <w:rPr>
          <w:lang w:val="es-419"/>
        </w:rPr>
        <w:t>Italy</w:t>
      </w:r>
      <w:proofErr w:type="spellEnd"/>
      <w:r w:rsidRPr="00884FAC">
        <w:rPr>
          <w:lang w:val="es-419"/>
        </w:rPr>
        <w:t>,</w:t>
      </w:r>
    </w:p>
    <w:p w14:paraId="7B3C077F"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Clark Patricia, </w:t>
      </w:r>
      <w:proofErr w:type="spellStart"/>
      <w:r w:rsidRPr="00884FAC">
        <w:rPr>
          <w:lang w:val="es-419"/>
        </w:rPr>
        <w:t>Clinical</w:t>
      </w:r>
      <w:proofErr w:type="spellEnd"/>
      <w:r w:rsidRPr="00884FAC">
        <w:rPr>
          <w:lang w:val="es-419"/>
        </w:rPr>
        <w:t xml:space="preserve"> </w:t>
      </w:r>
      <w:proofErr w:type="spellStart"/>
      <w:r w:rsidRPr="00884FAC">
        <w:rPr>
          <w:lang w:val="es-419"/>
        </w:rPr>
        <w:t>Epidemiology</w:t>
      </w:r>
      <w:proofErr w:type="spellEnd"/>
      <w:r w:rsidRPr="00884FAC">
        <w:rPr>
          <w:lang w:val="es-419"/>
        </w:rPr>
        <w:t xml:space="preserve"> </w:t>
      </w:r>
      <w:proofErr w:type="spellStart"/>
      <w:r w:rsidRPr="00884FAC">
        <w:rPr>
          <w:lang w:val="es-419"/>
        </w:rPr>
        <w:t>Research</w:t>
      </w:r>
      <w:proofErr w:type="spellEnd"/>
      <w:r w:rsidRPr="00884FAC">
        <w:rPr>
          <w:lang w:val="es-419"/>
        </w:rPr>
        <w:t xml:space="preserve"> </w:t>
      </w:r>
      <w:proofErr w:type="spellStart"/>
      <w:r w:rsidRPr="00884FAC">
        <w:rPr>
          <w:lang w:val="es-419"/>
        </w:rPr>
        <w:t>Unit</w:t>
      </w:r>
      <w:proofErr w:type="spellEnd"/>
      <w:r w:rsidRPr="00884FAC">
        <w:rPr>
          <w:lang w:val="es-419"/>
        </w:rPr>
        <w:t xml:space="preserve">, </w:t>
      </w:r>
      <w:proofErr w:type="spellStart"/>
      <w:r w:rsidRPr="00884FAC">
        <w:rPr>
          <w:lang w:val="es-419"/>
        </w:rPr>
        <w:t>National</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of México UNAM, </w:t>
      </w:r>
      <w:proofErr w:type="spellStart"/>
      <w:r w:rsidRPr="00884FAC">
        <w:rPr>
          <w:lang w:val="es-419"/>
        </w:rPr>
        <w:t>Mexico</w:t>
      </w:r>
      <w:proofErr w:type="spellEnd"/>
    </w:p>
    <w:p w14:paraId="48F887E0" w14:textId="77777777" w:rsidR="00B15128" w:rsidRPr="00B15128" w:rsidRDefault="00B15128" w:rsidP="00884FAC">
      <w:pPr>
        <w:pStyle w:val="ListParagraph"/>
        <w:numPr>
          <w:ilvl w:val="0"/>
          <w:numId w:val="2"/>
        </w:numPr>
        <w:spacing w:after="200" w:line="276" w:lineRule="auto"/>
        <w:jc w:val="both"/>
      </w:pPr>
      <w:r w:rsidRPr="00B15128">
        <w:t>Cooper Cyrus, MRC Lifecourse Epidemiology Unit, University of Southampton, UK</w:t>
      </w:r>
    </w:p>
    <w:p w14:paraId="01817638" w14:textId="77777777" w:rsidR="00B15128" w:rsidRPr="00B15128" w:rsidRDefault="00B15128" w:rsidP="00884FAC">
      <w:pPr>
        <w:pStyle w:val="ListParagraph"/>
        <w:numPr>
          <w:ilvl w:val="0"/>
          <w:numId w:val="2"/>
        </w:numPr>
        <w:spacing w:after="200" w:line="276" w:lineRule="auto"/>
        <w:jc w:val="both"/>
      </w:pPr>
      <w:r w:rsidRPr="00B15128">
        <w:t xml:space="preserve">Cruz-Jentoft Alfonso, Geriatric Department, Hospital </w:t>
      </w:r>
      <w:proofErr w:type="spellStart"/>
      <w:r w:rsidRPr="00B15128">
        <w:t>Universitario</w:t>
      </w:r>
      <w:proofErr w:type="spellEnd"/>
      <w:r w:rsidRPr="00B15128">
        <w:t xml:space="preserve"> Ramón y </w:t>
      </w:r>
      <w:proofErr w:type="spellStart"/>
      <w:r w:rsidRPr="00B15128">
        <w:t>Cajal</w:t>
      </w:r>
      <w:proofErr w:type="spellEnd"/>
      <w:r w:rsidRPr="00B15128">
        <w:t>, Madrid, Spain</w:t>
      </w:r>
    </w:p>
    <w:p w14:paraId="5EA0EDA7" w14:textId="77777777" w:rsidR="00B15128" w:rsidRPr="00B15128" w:rsidRDefault="00B15128" w:rsidP="00884FAC">
      <w:pPr>
        <w:pStyle w:val="ListParagraph"/>
        <w:numPr>
          <w:ilvl w:val="0"/>
          <w:numId w:val="2"/>
        </w:numPr>
        <w:spacing w:after="200" w:line="276" w:lineRule="auto"/>
        <w:jc w:val="both"/>
      </w:pPr>
      <w:r w:rsidRPr="00B15128">
        <w:t>Dennison Elaine, MRC Lifecourse Epidemiology Unit, University of Southampton, UK</w:t>
      </w:r>
    </w:p>
    <w:p w14:paraId="5EC9F90F" w14:textId="77777777" w:rsidR="00B15128" w:rsidRPr="00B15128" w:rsidRDefault="00B15128" w:rsidP="00884FAC">
      <w:pPr>
        <w:pStyle w:val="ListParagraph"/>
        <w:numPr>
          <w:ilvl w:val="0"/>
          <w:numId w:val="2"/>
        </w:numPr>
        <w:spacing w:after="200" w:line="276" w:lineRule="auto"/>
        <w:jc w:val="both"/>
      </w:pPr>
      <w:proofErr w:type="spellStart"/>
      <w:r w:rsidRPr="00B15128">
        <w:t>Fouasson</w:t>
      </w:r>
      <w:proofErr w:type="spellEnd"/>
      <w:r w:rsidRPr="00B15128">
        <w:t xml:space="preserve"> </w:t>
      </w:r>
      <w:proofErr w:type="spellStart"/>
      <w:r w:rsidRPr="00B15128">
        <w:t>Chailloux</w:t>
      </w:r>
      <w:proofErr w:type="spellEnd"/>
      <w:r w:rsidRPr="00B15128">
        <w:t xml:space="preserve"> Alban, "Regenerative Medicine and Skeleton" research centre, University Hospital of Nantes, France</w:t>
      </w:r>
    </w:p>
    <w:p w14:paraId="05648E24" w14:textId="77777777" w:rsidR="00B15128" w:rsidRPr="00B15128" w:rsidRDefault="00B15128" w:rsidP="00884FAC">
      <w:pPr>
        <w:pStyle w:val="ListParagraph"/>
        <w:numPr>
          <w:ilvl w:val="0"/>
          <w:numId w:val="2"/>
        </w:numPr>
        <w:spacing w:after="200" w:line="276" w:lineRule="auto"/>
        <w:jc w:val="both"/>
      </w:pPr>
      <w:r w:rsidRPr="00B15128">
        <w:t xml:space="preserve">Fuggle Nick, MRC Lifecourse Epidemiology </w:t>
      </w:r>
      <w:proofErr w:type="spellStart"/>
      <w:r w:rsidRPr="00B15128">
        <w:t>Center</w:t>
      </w:r>
      <w:proofErr w:type="spellEnd"/>
      <w:r w:rsidRPr="00B15128">
        <w:t>, University of Southampton, UK</w:t>
      </w:r>
    </w:p>
    <w:p w14:paraId="7DADBECF" w14:textId="77777777" w:rsidR="00B15128" w:rsidRPr="00B15128" w:rsidRDefault="00B15128" w:rsidP="00884FAC">
      <w:pPr>
        <w:pStyle w:val="ListParagraph"/>
        <w:numPr>
          <w:ilvl w:val="0"/>
          <w:numId w:val="2"/>
        </w:numPr>
        <w:spacing w:after="200" w:line="276" w:lineRule="auto"/>
        <w:jc w:val="both"/>
      </w:pPr>
      <w:proofErr w:type="spellStart"/>
      <w:r w:rsidRPr="00B15128">
        <w:t>Gichu</w:t>
      </w:r>
      <w:proofErr w:type="spellEnd"/>
      <w:r w:rsidRPr="00B15128">
        <w:t xml:space="preserve"> </w:t>
      </w:r>
      <w:proofErr w:type="spellStart"/>
      <w:r w:rsidRPr="00B15128">
        <w:t>Muthoni</w:t>
      </w:r>
      <w:proofErr w:type="spellEnd"/>
      <w:r w:rsidRPr="00B15128">
        <w:t>, Ministry of Health Kenya, Division of Geriatric Medicine, Kenya</w:t>
      </w:r>
    </w:p>
    <w:p w14:paraId="0D7E1333" w14:textId="77777777" w:rsidR="00B15128" w:rsidRPr="00B15128" w:rsidRDefault="00B15128" w:rsidP="00884FAC">
      <w:pPr>
        <w:pStyle w:val="ListParagraph"/>
        <w:numPr>
          <w:ilvl w:val="0"/>
          <w:numId w:val="2"/>
        </w:numPr>
        <w:spacing w:after="200" w:line="276" w:lineRule="auto"/>
        <w:jc w:val="both"/>
      </w:pPr>
      <w:proofErr w:type="spellStart"/>
      <w:r w:rsidRPr="00B15128">
        <w:t>Gielen</w:t>
      </w:r>
      <w:proofErr w:type="spellEnd"/>
      <w:r w:rsidRPr="00B15128">
        <w:t xml:space="preserve"> Evelien, Unit of Gerontology and Geriatrics, Department of Public Health and Primary Care, KU Leuven, Belgium</w:t>
      </w:r>
    </w:p>
    <w:p w14:paraId="38B332B7" w14:textId="77777777" w:rsidR="00B15128" w:rsidRPr="00B15128" w:rsidRDefault="00B15128" w:rsidP="00884FAC">
      <w:pPr>
        <w:pStyle w:val="ListParagraph"/>
        <w:numPr>
          <w:ilvl w:val="0"/>
          <w:numId w:val="2"/>
        </w:numPr>
        <w:spacing w:after="200" w:line="276" w:lineRule="auto"/>
        <w:jc w:val="both"/>
      </w:pPr>
      <w:proofErr w:type="spellStart"/>
      <w:r w:rsidRPr="00B15128">
        <w:t>Guicheux</w:t>
      </w:r>
      <w:proofErr w:type="spellEnd"/>
      <w:r w:rsidRPr="00B15128">
        <w:t xml:space="preserve"> </w:t>
      </w:r>
      <w:proofErr w:type="spellStart"/>
      <w:r w:rsidRPr="00B15128">
        <w:t>Jérôme</w:t>
      </w:r>
      <w:proofErr w:type="spellEnd"/>
      <w:r w:rsidRPr="00B15128">
        <w:t>, "Regenerative Medicine and Skeleton" research centre, University of Nantes, France</w:t>
      </w:r>
    </w:p>
    <w:p w14:paraId="4DAD703E" w14:textId="77777777" w:rsidR="00B15128" w:rsidRPr="00B15128" w:rsidRDefault="00B15128" w:rsidP="00884FAC">
      <w:pPr>
        <w:pStyle w:val="ListParagraph"/>
        <w:numPr>
          <w:ilvl w:val="0"/>
          <w:numId w:val="2"/>
        </w:numPr>
        <w:spacing w:after="200" w:line="276" w:lineRule="auto"/>
        <w:jc w:val="both"/>
      </w:pPr>
      <w:r w:rsidRPr="00B15128">
        <w:t>Harvey Nick, MRC Lifecourse Epidemiology Centre, University of Southampton, UK</w:t>
      </w:r>
    </w:p>
    <w:p w14:paraId="11B7EB98" w14:textId="77777777" w:rsidR="00B15128" w:rsidRPr="00B15128" w:rsidRDefault="00B15128" w:rsidP="00884FAC">
      <w:pPr>
        <w:pStyle w:val="ListParagraph"/>
        <w:numPr>
          <w:ilvl w:val="0"/>
          <w:numId w:val="2"/>
        </w:numPr>
        <w:spacing w:after="200" w:line="276" w:lineRule="auto"/>
        <w:jc w:val="both"/>
      </w:pPr>
      <w:r w:rsidRPr="00B15128">
        <w:t xml:space="preserve">Haugen Ida, Division of Rheumatology and Research, </w:t>
      </w:r>
      <w:proofErr w:type="spellStart"/>
      <w:r w:rsidRPr="00B15128">
        <w:t>Diakonhjemmet</w:t>
      </w:r>
      <w:proofErr w:type="spellEnd"/>
      <w:r w:rsidRPr="00B15128">
        <w:t xml:space="preserve"> Hospital, Norway</w:t>
      </w:r>
    </w:p>
    <w:p w14:paraId="57D5DD5D" w14:textId="77777777" w:rsidR="00B15128" w:rsidRPr="00B15128" w:rsidRDefault="00B15128" w:rsidP="00884FAC">
      <w:pPr>
        <w:pStyle w:val="ListParagraph"/>
        <w:numPr>
          <w:ilvl w:val="0"/>
          <w:numId w:val="2"/>
        </w:numPr>
        <w:spacing w:after="200" w:line="276" w:lineRule="auto"/>
        <w:jc w:val="both"/>
      </w:pPr>
      <w:r w:rsidRPr="00B15128">
        <w:t xml:space="preserve">Honvo </w:t>
      </w:r>
      <w:proofErr w:type="spellStart"/>
      <w:r w:rsidRPr="00B15128">
        <w:t>Germain</w:t>
      </w:r>
      <w:proofErr w:type="spellEnd"/>
      <w:r w:rsidRPr="00B15128">
        <w:t>, WHO Collaborating Center for Public Health Aspects of Musculoskeletal Health and Ageing, University of Liège, Belgium</w:t>
      </w:r>
    </w:p>
    <w:p w14:paraId="429A2D00" w14:textId="77777777" w:rsidR="00B15128" w:rsidRPr="00B15128" w:rsidRDefault="00B15128" w:rsidP="00884FAC">
      <w:pPr>
        <w:pStyle w:val="ListParagraph"/>
        <w:numPr>
          <w:ilvl w:val="0"/>
          <w:numId w:val="2"/>
        </w:numPr>
        <w:spacing w:after="200" w:line="276" w:lineRule="auto"/>
        <w:jc w:val="both"/>
      </w:pPr>
      <w:r w:rsidRPr="00B15128">
        <w:t>Lamy Olivier, Bone Unit, Lausanne University Hospital, Switzerland</w:t>
      </w:r>
    </w:p>
    <w:p w14:paraId="2FBD2847"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Landi Francesco, </w:t>
      </w:r>
      <w:proofErr w:type="spellStart"/>
      <w:r w:rsidRPr="00884FAC">
        <w:rPr>
          <w:lang w:val="es-419"/>
        </w:rPr>
        <w:t>Geriatric</w:t>
      </w:r>
      <w:proofErr w:type="spellEnd"/>
      <w:r w:rsidRPr="00884FAC">
        <w:rPr>
          <w:lang w:val="es-419"/>
        </w:rPr>
        <w:t xml:space="preserve"> </w:t>
      </w:r>
      <w:proofErr w:type="spellStart"/>
      <w:r w:rsidRPr="00884FAC">
        <w:rPr>
          <w:lang w:val="es-419"/>
        </w:rPr>
        <w:t>Internal</w:t>
      </w:r>
      <w:proofErr w:type="spellEnd"/>
      <w:r w:rsidRPr="00884FAC">
        <w:rPr>
          <w:lang w:val="es-419"/>
        </w:rPr>
        <w:t xml:space="preserve"> Medicine </w:t>
      </w:r>
      <w:proofErr w:type="spellStart"/>
      <w:r w:rsidRPr="00884FAC">
        <w:rPr>
          <w:lang w:val="es-419"/>
        </w:rPr>
        <w:t>Unit</w:t>
      </w:r>
      <w:proofErr w:type="spellEnd"/>
      <w:r w:rsidRPr="00884FAC">
        <w:rPr>
          <w:lang w:val="es-419"/>
        </w:rPr>
        <w:t xml:space="preserve">, A. </w:t>
      </w:r>
      <w:proofErr w:type="spellStart"/>
      <w:r w:rsidRPr="00884FAC">
        <w:rPr>
          <w:lang w:val="es-419"/>
        </w:rPr>
        <w:t>Gemelli</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Hospital, Rome, </w:t>
      </w:r>
      <w:proofErr w:type="spellStart"/>
      <w:r w:rsidRPr="00884FAC">
        <w:rPr>
          <w:lang w:val="es-419"/>
        </w:rPr>
        <w:t>Italy</w:t>
      </w:r>
      <w:proofErr w:type="spellEnd"/>
    </w:p>
    <w:p w14:paraId="06BEE604" w14:textId="77777777" w:rsidR="00B15128" w:rsidRPr="00884FAC" w:rsidRDefault="00B15128" w:rsidP="00884FAC">
      <w:pPr>
        <w:pStyle w:val="ListParagraph"/>
        <w:numPr>
          <w:ilvl w:val="0"/>
          <w:numId w:val="2"/>
        </w:numPr>
        <w:spacing w:after="200" w:line="276" w:lineRule="auto"/>
        <w:jc w:val="both"/>
        <w:rPr>
          <w:lang w:val="es-419"/>
        </w:rPr>
      </w:pPr>
      <w:proofErr w:type="spellStart"/>
      <w:r w:rsidRPr="00884FAC">
        <w:rPr>
          <w:lang w:val="es-419"/>
        </w:rPr>
        <w:t>Lane</w:t>
      </w:r>
      <w:proofErr w:type="spellEnd"/>
      <w:r w:rsidRPr="00884FAC">
        <w:rPr>
          <w:lang w:val="es-419"/>
        </w:rPr>
        <w:t xml:space="preserve"> Nancy, Davis </w:t>
      </w:r>
      <w:proofErr w:type="spellStart"/>
      <w:r w:rsidRPr="00884FAC">
        <w:rPr>
          <w:lang w:val="es-419"/>
        </w:rPr>
        <w:t>School</w:t>
      </w:r>
      <w:proofErr w:type="spellEnd"/>
      <w:r w:rsidRPr="00884FAC">
        <w:rPr>
          <w:lang w:val="es-419"/>
        </w:rPr>
        <w:t xml:space="preserve"> of Medicine in </w:t>
      </w:r>
      <w:proofErr w:type="spellStart"/>
      <w:r w:rsidRPr="00884FAC">
        <w:rPr>
          <w:lang w:val="es-419"/>
        </w:rPr>
        <w:t>Saccramento</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of California, USA</w:t>
      </w:r>
    </w:p>
    <w:p w14:paraId="648AE019" w14:textId="77777777" w:rsidR="00B15128" w:rsidRPr="00884FAC" w:rsidRDefault="00B15128" w:rsidP="00884FAC">
      <w:pPr>
        <w:pStyle w:val="ListParagraph"/>
        <w:numPr>
          <w:ilvl w:val="0"/>
          <w:numId w:val="2"/>
        </w:numPr>
        <w:spacing w:after="200" w:line="276" w:lineRule="auto"/>
        <w:jc w:val="both"/>
        <w:rPr>
          <w:lang w:val="es-419"/>
        </w:rPr>
      </w:pPr>
      <w:proofErr w:type="spellStart"/>
      <w:r w:rsidRPr="00884FAC">
        <w:rPr>
          <w:lang w:val="es-419"/>
        </w:rPr>
        <w:t>Lazaretti</w:t>
      </w:r>
      <w:proofErr w:type="spellEnd"/>
      <w:r w:rsidRPr="00884FAC">
        <w:rPr>
          <w:lang w:val="es-419"/>
        </w:rPr>
        <w:t xml:space="preserve"> Castro </w:t>
      </w:r>
      <w:proofErr w:type="spellStart"/>
      <w:r w:rsidRPr="00884FAC">
        <w:rPr>
          <w:lang w:val="es-419"/>
        </w:rPr>
        <w:t>Marise</w:t>
      </w:r>
      <w:proofErr w:type="spellEnd"/>
      <w:r w:rsidRPr="00884FAC">
        <w:rPr>
          <w:lang w:val="es-419"/>
        </w:rPr>
        <w:t xml:space="preserve">, </w:t>
      </w:r>
      <w:proofErr w:type="spellStart"/>
      <w:r w:rsidRPr="00884FAC">
        <w:rPr>
          <w:lang w:val="es-419"/>
        </w:rPr>
        <w:t>Bone</w:t>
      </w:r>
      <w:proofErr w:type="spellEnd"/>
      <w:r w:rsidRPr="00884FAC">
        <w:rPr>
          <w:lang w:val="es-419"/>
        </w:rPr>
        <w:t xml:space="preserve"> and Mineral </w:t>
      </w:r>
      <w:proofErr w:type="spellStart"/>
      <w:r w:rsidRPr="00884FAC">
        <w:rPr>
          <w:lang w:val="es-419"/>
        </w:rPr>
        <w:t>Research</w:t>
      </w:r>
      <w:proofErr w:type="spellEnd"/>
      <w:r w:rsidRPr="00884FAC">
        <w:rPr>
          <w:lang w:val="es-419"/>
        </w:rPr>
        <w:t xml:space="preserve"> </w:t>
      </w:r>
      <w:proofErr w:type="spellStart"/>
      <w:r w:rsidRPr="00884FAC">
        <w:rPr>
          <w:lang w:val="es-419"/>
        </w:rPr>
        <w:t>Unit</w:t>
      </w:r>
      <w:proofErr w:type="spellEnd"/>
      <w:r w:rsidRPr="00884FAC">
        <w:rPr>
          <w:lang w:val="es-419"/>
        </w:rPr>
        <w:t xml:space="preserve">, Federal </w:t>
      </w:r>
      <w:proofErr w:type="spellStart"/>
      <w:r w:rsidRPr="00884FAC">
        <w:rPr>
          <w:lang w:val="es-419"/>
        </w:rPr>
        <w:t>University</w:t>
      </w:r>
      <w:proofErr w:type="spellEnd"/>
      <w:r w:rsidRPr="00884FAC">
        <w:rPr>
          <w:lang w:val="es-419"/>
        </w:rPr>
        <w:t xml:space="preserve"> of Sao Paulo (UNIFESP), </w:t>
      </w:r>
      <w:proofErr w:type="spellStart"/>
      <w:r w:rsidRPr="00884FAC">
        <w:rPr>
          <w:lang w:val="es-419"/>
        </w:rPr>
        <w:t>Brazil</w:t>
      </w:r>
      <w:proofErr w:type="spellEnd"/>
    </w:p>
    <w:p w14:paraId="3EC40536"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Lewiecki Mike, </w:t>
      </w:r>
      <w:proofErr w:type="spellStart"/>
      <w:r w:rsidRPr="00884FAC">
        <w:rPr>
          <w:lang w:val="es-419"/>
        </w:rPr>
        <w:t>Bone</w:t>
      </w:r>
      <w:proofErr w:type="spellEnd"/>
      <w:r w:rsidRPr="00884FAC">
        <w:rPr>
          <w:lang w:val="es-419"/>
        </w:rPr>
        <w:t xml:space="preserve"> </w:t>
      </w:r>
      <w:proofErr w:type="spellStart"/>
      <w:r w:rsidRPr="00884FAC">
        <w:rPr>
          <w:lang w:val="es-419"/>
        </w:rPr>
        <w:t>Health</w:t>
      </w:r>
      <w:proofErr w:type="spellEnd"/>
      <w:r w:rsidRPr="00884FAC">
        <w:rPr>
          <w:lang w:val="es-419"/>
        </w:rPr>
        <w:t xml:space="preserve"> </w:t>
      </w:r>
      <w:proofErr w:type="spellStart"/>
      <w:r w:rsidRPr="00884FAC">
        <w:rPr>
          <w:lang w:val="es-419"/>
        </w:rPr>
        <w:t>TeleECHO</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of New </w:t>
      </w:r>
      <w:proofErr w:type="spellStart"/>
      <w:r w:rsidRPr="00884FAC">
        <w:rPr>
          <w:lang w:val="es-419"/>
        </w:rPr>
        <w:t>Mexico</w:t>
      </w:r>
      <w:proofErr w:type="spellEnd"/>
      <w:r w:rsidRPr="00884FAC">
        <w:rPr>
          <w:lang w:val="es-419"/>
        </w:rPr>
        <w:t xml:space="preserve"> </w:t>
      </w:r>
      <w:proofErr w:type="spellStart"/>
      <w:r w:rsidRPr="00884FAC">
        <w:rPr>
          <w:lang w:val="es-419"/>
        </w:rPr>
        <w:t>Health</w:t>
      </w:r>
      <w:proofErr w:type="spellEnd"/>
      <w:r w:rsidRPr="00884FAC">
        <w:rPr>
          <w:lang w:val="es-419"/>
        </w:rPr>
        <w:t xml:space="preserve"> </w:t>
      </w:r>
      <w:proofErr w:type="spellStart"/>
      <w:r w:rsidRPr="00884FAC">
        <w:rPr>
          <w:lang w:val="es-419"/>
        </w:rPr>
        <w:t>Sciences</w:t>
      </w:r>
      <w:proofErr w:type="spellEnd"/>
      <w:r w:rsidRPr="00884FAC">
        <w:rPr>
          <w:lang w:val="es-419"/>
        </w:rPr>
        <w:t xml:space="preserve"> Center in Albuquerque, New </w:t>
      </w:r>
      <w:proofErr w:type="spellStart"/>
      <w:r w:rsidRPr="00884FAC">
        <w:rPr>
          <w:lang w:val="es-419"/>
        </w:rPr>
        <w:t>Mexico</w:t>
      </w:r>
      <w:proofErr w:type="spellEnd"/>
      <w:r w:rsidRPr="00884FAC">
        <w:rPr>
          <w:lang w:val="es-419"/>
        </w:rPr>
        <w:t>, USA</w:t>
      </w:r>
    </w:p>
    <w:p w14:paraId="0108B233" w14:textId="77777777" w:rsidR="00B15128" w:rsidRPr="00884FAC" w:rsidRDefault="00B15128" w:rsidP="00884FAC">
      <w:pPr>
        <w:pStyle w:val="ListParagraph"/>
        <w:numPr>
          <w:ilvl w:val="0"/>
          <w:numId w:val="2"/>
        </w:numPr>
        <w:spacing w:after="200" w:line="276" w:lineRule="auto"/>
        <w:jc w:val="both"/>
        <w:rPr>
          <w:lang w:val="es-419"/>
        </w:rPr>
      </w:pPr>
      <w:proofErr w:type="spellStart"/>
      <w:r w:rsidRPr="00884FAC">
        <w:rPr>
          <w:lang w:val="es-419"/>
        </w:rPr>
        <w:t>Matijevic</w:t>
      </w:r>
      <w:proofErr w:type="spellEnd"/>
      <w:r w:rsidRPr="00884FAC">
        <w:rPr>
          <w:lang w:val="es-419"/>
        </w:rPr>
        <w:t xml:space="preserve"> </w:t>
      </w:r>
      <w:proofErr w:type="spellStart"/>
      <w:r w:rsidRPr="00884FAC">
        <w:rPr>
          <w:lang w:val="es-419"/>
        </w:rPr>
        <w:t>Radmila</w:t>
      </w:r>
      <w:proofErr w:type="spellEnd"/>
      <w:r w:rsidRPr="00884FAC">
        <w:rPr>
          <w:lang w:val="es-419"/>
        </w:rPr>
        <w:t xml:space="preserve">, </w:t>
      </w:r>
      <w:proofErr w:type="spellStart"/>
      <w:r w:rsidRPr="00884FAC">
        <w:rPr>
          <w:lang w:val="es-419"/>
        </w:rPr>
        <w:t>Rehabilitation</w:t>
      </w:r>
      <w:proofErr w:type="spellEnd"/>
      <w:r w:rsidRPr="00884FAC">
        <w:rPr>
          <w:lang w:val="es-419"/>
        </w:rPr>
        <w:t xml:space="preserve"> </w:t>
      </w:r>
      <w:proofErr w:type="spellStart"/>
      <w:r w:rsidRPr="00884FAC">
        <w:rPr>
          <w:lang w:val="es-419"/>
        </w:rPr>
        <w:t>Unit</w:t>
      </w:r>
      <w:proofErr w:type="spellEnd"/>
      <w:r w:rsidRPr="00884FAC">
        <w:rPr>
          <w:lang w:val="es-419"/>
        </w:rPr>
        <w:t xml:space="preserve">, </w:t>
      </w:r>
      <w:proofErr w:type="spellStart"/>
      <w:r w:rsidRPr="00884FAC">
        <w:rPr>
          <w:lang w:val="es-419"/>
        </w:rPr>
        <w:t>Orthopaedic</w:t>
      </w:r>
      <w:proofErr w:type="spellEnd"/>
      <w:r w:rsidRPr="00884FAC">
        <w:rPr>
          <w:lang w:val="es-419"/>
        </w:rPr>
        <w:t xml:space="preserve"> and Trauma, </w:t>
      </w:r>
      <w:proofErr w:type="spellStart"/>
      <w:r w:rsidRPr="00884FAC">
        <w:rPr>
          <w:lang w:val="es-419"/>
        </w:rPr>
        <w:t>University</w:t>
      </w:r>
      <w:proofErr w:type="spellEnd"/>
      <w:r w:rsidRPr="00884FAC">
        <w:rPr>
          <w:lang w:val="es-419"/>
        </w:rPr>
        <w:t xml:space="preserve"> of </w:t>
      </w:r>
      <w:proofErr w:type="spellStart"/>
      <w:r w:rsidRPr="00884FAC">
        <w:rPr>
          <w:lang w:val="es-419"/>
        </w:rPr>
        <w:t>Novi</w:t>
      </w:r>
      <w:proofErr w:type="spellEnd"/>
      <w:r w:rsidRPr="00884FAC">
        <w:rPr>
          <w:lang w:val="es-419"/>
        </w:rPr>
        <w:t xml:space="preserve"> </w:t>
      </w:r>
      <w:proofErr w:type="spellStart"/>
      <w:r w:rsidRPr="00884FAC">
        <w:rPr>
          <w:lang w:val="es-419"/>
        </w:rPr>
        <w:t>Sad</w:t>
      </w:r>
      <w:proofErr w:type="spellEnd"/>
      <w:r w:rsidRPr="00884FAC">
        <w:rPr>
          <w:lang w:val="es-419"/>
        </w:rPr>
        <w:t>, Serbia</w:t>
      </w:r>
    </w:p>
    <w:p w14:paraId="45A9103D" w14:textId="77777777" w:rsidR="00B15128" w:rsidRPr="00B15128" w:rsidRDefault="00B15128" w:rsidP="00884FAC">
      <w:pPr>
        <w:pStyle w:val="ListParagraph"/>
        <w:numPr>
          <w:ilvl w:val="0"/>
          <w:numId w:val="2"/>
        </w:numPr>
        <w:spacing w:after="200" w:line="276" w:lineRule="auto"/>
        <w:jc w:val="both"/>
      </w:pPr>
      <w:r w:rsidRPr="00B15128">
        <w:t xml:space="preserve">Messina Osvaldo Daniel, Rheumatology, C </w:t>
      </w:r>
      <w:proofErr w:type="spellStart"/>
      <w:r w:rsidRPr="00B15128">
        <w:t>Argerich</w:t>
      </w:r>
      <w:proofErr w:type="spellEnd"/>
      <w:r w:rsidRPr="00B15128">
        <w:t xml:space="preserve"> Hospital, University of Buenos Aires, Argentina</w:t>
      </w:r>
    </w:p>
    <w:p w14:paraId="01E0D978" w14:textId="77777777" w:rsidR="00B15128" w:rsidRPr="00B15128" w:rsidRDefault="00B15128" w:rsidP="00884FAC">
      <w:pPr>
        <w:pStyle w:val="ListParagraph"/>
        <w:numPr>
          <w:ilvl w:val="0"/>
          <w:numId w:val="2"/>
        </w:numPr>
        <w:spacing w:after="200" w:line="276" w:lineRule="auto"/>
        <w:jc w:val="both"/>
      </w:pPr>
      <w:r w:rsidRPr="00B15128">
        <w:t xml:space="preserve">Mkinsi </w:t>
      </w:r>
      <w:proofErr w:type="spellStart"/>
      <w:r w:rsidRPr="00B15128">
        <w:t>Ouafa</w:t>
      </w:r>
      <w:proofErr w:type="spellEnd"/>
      <w:r w:rsidRPr="00B15128">
        <w:t xml:space="preserve">, Department of Rheumatology, Ibn </w:t>
      </w:r>
      <w:proofErr w:type="spellStart"/>
      <w:r w:rsidRPr="00B15128">
        <w:t>Rochd</w:t>
      </w:r>
      <w:proofErr w:type="spellEnd"/>
      <w:r w:rsidRPr="00B15128">
        <w:t xml:space="preserve"> University Hospital, Casablanca, Morocco</w:t>
      </w:r>
    </w:p>
    <w:p w14:paraId="2A037F5A" w14:textId="77777777" w:rsidR="00B15128" w:rsidRPr="00B15128" w:rsidRDefault="00B15128" w:rsidP="00884FAC">
      <w:pPr>
        <w:pStyle w:val="ListParagraph"/>
        <w:numPr>
          <w:ilvl w:val="0"/>
          <w:numId w:val="2"/>
        </w:numPr>
        <w:spacing w:after="200" w:line="276" w:lineRule="auto"/>
        <w:jc w:val="both"/>
      </w:pPr>
      <w:r w:rsidRPr="00B15128">
        <w:t>Mobasheri Ali, Research Unit of Medical Imaging, Physics and Technology, University of Oulu, Finland</w:t>
      </w:r>
    </w:p>
    <w:p w14:paraId="6339605C" w14:textId="77777777" w:rsidR="00B15128" w:rsidRPr="00884FAC" w:rsidRDefault="00B15128" w:rsidP="00884FAC">
      <w:pPr>
        <w:pStyle w:val="ListParagraph"/>
        <w:numPr>
          <w:ilvl w:val="0"/>
          <w:numId w:val="2"/>
        </w:numPr>
        <w:spacing w:after="200" w:line="276" w:lineRule="auto"/>
        <w:jc w:val="both"/>
        <w:rPr>
          <w:lang w:val="es-419"/>
        </w:rPr>
      </w:pPr>
      <w:proofErr w:type="spellStart"/>
      <w:r w:rsidRPr="00884FAC">
        <w:rPr>
          <w:lang w:val="es-419"/>
        </w:rPr>
        <w:t>Njeze</w:t>
      </w:r>
      <w:proofErr w:type="spellEnd"/>
      <w:r w:rsidRPr="00884FAC">
        <w:rPr>
          <w:lang w:val="es-419"/>
        </w:rPr>
        <w:t xml:space="preserve"> </w:t>
      </w:r>
      <w:proofErr w:type="spellStart"/>
      <w:r w:rsidRPr="00884FAC">
        <w:rPr>
          <w:lang w:val="es-419"/>
        </w:rPr>
        <w:t>Ngozi</w:t>
      </w:r>
      <w:proofErr w:type="spellEnd"/>
      <w:r w:rsidRPr="00884FAC">
        <w:rPr>
          <w:lang w:val="es-419"/>
        </w:rPr>
        <w:t xml:space="preserve">, </w:t>
      </w:r>
      <w:proofErr w:type="spellStart"/>
      <w:r w:rsidRPr="00884FAC">
        <w:rPr>
          <w:lang w:val="es-419"/>
        </w:rPr>
        <w:t>University</w:t>
      </w:r>
      <w:proofErr w:type="spellEnd"/>
      <w:r w:rsidRPr="00884FAC">
        <w:rPr>
          <w:lang w:val="es-419"/>
        </w:rPr>
        <w:t xml:space="preserve"> of Nigeria Medical </w:t>
      </w:r>
      <w:proofErr w:type="spellStart"/>
      <w:r w:rsidRPr="00884FAC">
        <w:rPr>
          <w:lang w:val="es-419"/>
        </w:rPr>
        <w:t>school</w:t>
      </w:r>
      <w:proofErr w:type="spellEnd"/>
      <w:r w:rsidRPr="00884FAC">
        <w:rPr>
          <w:lang w:val="es-419"/>
        </w:rPr>
        <w:t xml:space="preserve">, </w:t>
      </w:r>
      <w:proofErr w:type="spellStart"/>
      <w:r w:rsidRPr="00884FAC">
        <w:rPr>
          <w:lang w:val="es-419"/>
        </w:rPr>
        <w:t>Nsukka</w:t>
      </w:r>
      <w:proofErr w:type="spellEnd"/>
      <w:r w:rsidRPr="00884FAC">
        <w:rPr>
          <w:lang w:val="es-419"/>
        </w:rPr>
        <w:t>, Nigeria</w:t>
      </w:r>
    </w:p>
    <w:p w14:paraId="2B3290E6"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Pinto Daniel, </w:t>
      </w:r>
      <w:proofErr w:type="spellStart"/>
      <w:r w:rsidRPr="00884FAC">
        <w:rPr>
          <w:lang w:val="es-419"/>
        </w:rPr>
        <w:t>Department</w:t>
      </w:r>
      <w:proofErr w:type="spellEnd"/>
      <w:r w:rsidRPr="00884FAC">
        <w:rPr>
          <w:lang w:val="es-419"/>
        </w:rPr>
        <w:t xml:space="preserve"> of </w:t>
      </w:r>
      <w:proofErr w:type="spellStart"/>
      <w:r w:rsidRPr="00884FAC">
        <w:rPr>
          <w:lang w:val="es-419"/>
        </w:rPr>
        <w:t>Physical</w:t>
      </w:r>
      <w:proofErr w:type="spellEnd"/>
      <w:r w:rsidRPr="00884FAC">
        <w:rPr>
          <w:lang w:val="es-419"/>
        </w:rPr>
        <w:t xml:space="preserve"> </w:t>
      </w:r>
      <w:proofErr w:type="spellStart"/>
      <w:r w:rsidRPr="00884FAC">
        <w:rPr>
          <w:lang w:val="es-419"/>
        </w:rPr>
        <w:t>Therapy</w:t>
      </w:r>
      <w:proofErr w:type="spellEnd"/>
      <w:r w:rsidRPr="00884FAC">
        <w:rPr>
          <w:lang w:val="es-419"/>
        </w:rPr>
        <w:t xml:space="preserve">, Marquette </w:t>
      </w:r>
      <w:proofErr w:type="spellStart"/>
      <w:r w:rsidRPr="00884FAC">
        <w:rPr>
          <w:lang w:val="es-419"/>
        </w:rPr>
        <w:t>University</w:t>
      </w:r>
      <w:proofErr w:type="spellEnd"/>
      <w:r w:rsidRPr="00884FAC">
        <w:rPr>
          <w:lang w:val="es-419"/>
        </w:rPr>
        <w:t>, USA</w:t>
      </w:r>
    </w:p>
    <w:p w14:paraId="4DED9B79" w14:textId="77777777" w:rsidR="00B15128" w:rsidRPr="00B15128" w:rsidRDefault="00B15128" w:rsidP="00884FAC">
      <w:pPr>
        <w:pStyle w:val="ListParagraph"/>
        <w:numPr>
          <w:ilvl w:val="0"/>
          <w:numId w:val="2"/>
        </w:numPr>
        <w:spacing w:after="200" w:line="276" w:lineRule="auto"/>
        <w:jc w:val="both"/>
      </w:pPr>
      <w:r w:rsidRPr="00B15128">
        <w:t>Reginster Jean-Yves, WHO Collaborating Centre for Public Health Aspects of Musculoskeletal Health and Aging, University of Liège, Belgium</w:t>
      </w:r>
    </w:p>
    <w:p w14:paraId="2F725B95" w14:textId="77777777" w:rsidR="00B15128" w:rsidRPr="00B15128" w:rsidRDefault="00B15128" w:rsidP="00884FAC">
      <w:pPr>
        <w:pStyle w:val="ListParagraph"/>
        <w:numPr>
          <w:ilvl w:val="0"/>
          <w:numId w:val="2"/>
        </w:numPr>
        <w:spacing w:after="200" w:line="276" w:lineRule="auto"/>
        <w:jc w:val="both"/>
      </w:pPr>
      <w:r w:rsidRPr="00B15128">
        <w:t>Rizzoli René, Faculty of Medicine, Geneva University Hospitals, Geneva, Switzerland</w:t>
      </w:r>
    </w:p>
    <w:p w14:paraId="513028D0" w14:textId="77777777" w:rsidR="00B15128" w:rsidRPr="00B15128" w:rsidRDefault="00B15128" w:rsidP="00884FAC">
      <w:pPr>
        <w:pStyle w:val="ListParagraph"/>
        <w:numPr>
          <w:ilvl w:val="0"/>
          <w:numId w:val="2"/>
        </w:numPr>
        <w:spacing w:after="200" w:line="276" w:lineRule="auto"/>
        <w:jc w:val="both"/>
      </w:pPr>
      <w:r w:rsidRPr="00B15128">
        <w:t xml:space="preserve">Rolland Yves, </w:t>
      </w:r>
      <w:proofErr w:type="spellStart"/>
      <w:r w:rsidRPr="00B15128">
        <w:t>Gérontopôle</w:t>
      </w:r>
      <w:proofErr w:type="spellEnd"/>
      <w:r w:rsidRPr="00B15128">
        <w:t xml:space="preserve"> of Toulouse, University Toulouse III Paul Sabatier, France</w:t>
      </w:r>
    </w:p>
    <w:p w14:paraId="3F9A8A8E" w14:textId="77777777" w:rsidR="00B15128" w:rsidRPr="00B15128" w:rsidRDefault="00B15128" w:rsidP="00884FAC">
      <w:pPr>
        <w:pStyle w:val="ListParagraph"/>
        <w:numPr>
          <w:ilvl w:val="0"/>
          <w:numId w:val="2"/>
        </w:numPr>
        <w:spacing w:after="200" w:line="276" w:lineRule="auto"/>
        <w:jc w:val="both"/>
      </w:pPr>
      <w:r w:rsidRPr="00B15128">
        <w:t xml:space="preserve">Saleh Yousef, College of Medicine, King Saud Bin </w:t>
      </w:r>
      <w:proofErr w:type="spellStart"/>
      <w:r w:rsidRPr="00B15128">
        <w:t>Abdulaziz</w:t>
      </w:r>
      <w:proofErr w:type="spellEnd"/>
      <w:r w:rsidRPr="00B15128">
        <w:t xml:space="preserve"> University for Health Sciences, Riyadh, Saudi Arabia</w:t>
      </w:r>
    </w:p>
    <w:p w14:paraId="26C23F02" w14:textId="77777777" w:rsidR="00B15128" w:rsidRPr="00B15128" w:rsidRDefault="00B15128" w:rsidP="00884FAC">
      <w:pPr>
        <w:pStyle w:val="ListParagraph"/>
        <w:numPr>
          <w:ilvl w:val="0"/>
          <w:numId w:val="2"/>
        </w:numPr>
        <w:spacing w:after="200" w:line="276" w:lineRule="auto"/>
        <w:jc w:val="both"/>
      </w:pPr>
      <w:r w:rsidRPr="00B15128">
        <w:t>Singer Andrea, Division of Women’s Primary Care, MedStar Georgetown University Hospital, USA</w:t>
      </w:r>
    </w:p>
    <w:p w14:paraId="04F7E5E7" w14:textId="77777777" w:rsidR="00B15128" w:rsidRPr="00B15128" w:rsidRDefault="00B15128" w:rsidP="00884FAC">
      <w:pPr>
        <w:pStyle w:val="ListParagraph"/>
        <w:numPr>
          <w:ilvl w:val="0"/>
          <w:numId w:val="2"/>
        </w:numPr>
        <w:spacing w:after="200" w:line="276" w:lineRule="auto"/>
        <w:jc w:val="both"/>
      </w:pPr>
      <w:r w:rsidRPr="00B15128">
        <w:t>Thomas Thierry, Rheumatology Department, University Hospital of Saint-Étienne (UHSE), France</w:t>
      </w:r>
    </w:p>
    <w:p w14:paraId="353B8EE8"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Van der Velde </w:t>
      </w:r>
      <w:proofErr w:type="spellStart"/>
      <w:r w:rsidRPr="00884FAC">
        <w:rPr>
          <w:lang w:val="es-419"/>
        </w:rPr>
        <w:t>Nathalie</w:t>
      </w:r>
      <w:proofErr w:type="spellEnd"/>
      <w:r w:rsidRPr="00884FAC">
        <w:rPr>
          <w:lang w:val="es-419"/>
        </w:rPr>
        <w:t xml:space="preserve">, </w:t>
      </w:r>
      <w:proofErr w:type="spellStart"/>
      <w:r w:rsidRPr="00884FAC">
        <w:rPr>
          <w:lang w:val="es-419"/>
        </w:rPr>
        <w:t>Amsterdam</w:t>
      </w:r>
      <w:proofErr w:type="spellEnd"/>
      <w:r w:rsidRPr="00884FAC">
        <w:rPr>
          <w:lang w:val="es-419"/>
        </w:rPr>
        <w:t xml:space="preserve"> UMC, The </w:t>
      </w:r>
      <w:proofErr w:type="spellStart"/>
      <w:r w:rsidRPr="00884FAC">
        <w:rPr>
          <w:lang w:val="es-419"/>
        </w:rPr>
        <w:t>Netherlands</w:t>
      </w:r>
      <w:proofErr w:type="spellEnd"/>
    </w:p>
    <w:p w14:paraId="48E638C4"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Vellas Bruno, </w:t>
      </w:r>
      <w:proofErr w:type="spellStart"/>
      <w:r w:rsidRPr="00884FAC">
        <w:rPr>
          <w:lang w:val="es-419"/>
        </w:rPr>
        <w:t>Gérontopôle</w:t>
      </w:r>
      <w:proofErr w:type="spellEnd"/>
      <w:r w:rsidRPr="00884FAC">
        <w:rPr>
          <w:lang w:val="es-419"/>
        </w:rPr>
        <w:t xml:space="preserve"> &amp; </w:t>
      </w:r>
      <w:proofErr w:type="spellStart"/>
      <w:r w:rsidRPr="00884FAC">
        <w:rPr>
          <w:lang w:val="es-419"/>
        </w:rPr>
        <w:t>Department</w:t>
      </w:r>
      <w:proofErr w:type="spellEnd"/>
      <w:r w:rsidRPr="00884FAC">
        <w:rPr>
          <w:lang w:val="es-419"/>
        </w:rPr>
        <w:t xml:space="preserve"> of </w:t>
      </w:r>
      <w:proofErr w:type="spellStart"/>
      <w:r w:rsidRPr="00884FAC">
        <w:rPr>
          <w:lang w:val="es-419"/>
        </w:rPr>
        <w:t>Geriatric</w:t>
      </w:r>
      <w:proofErr w:type="spellEnd"/>
      <w:r w:rsidRPr="00884FAC">
        <w:rPr>
          <w:lang w:val="es-419"/>
        </w:rPr>
        <w:t xml:space="preserve"> </w:t>
      </w:r>
      <w:proofErr w:type="spellStart"/>
      <w:r w:rsidRPr="00884FAC">
        <w:rPr>
          <w:lang w:val="es-419"/>
        </w:rPr>
        <w:t>Internal</w:t>
      </w:r>
      <w:proofErr w:type="spellEnd"/>
      <w:r w:rsidRPr="00884FAC">
        <w:rPr>
          <w:lang w:val="es-419"/>
        </w:rPr>
        <w:t xml:space="preserve"> Medicine, Toulouse </w:t>
      </w:r>
      <w:proofErr w:type="spellStart"/>
      <w:r w:rsidRPr="00884FAC">
        <w:rPr>
          <w:lang w:val="es-419"/>
        </w:rPr>
        <w:t>University</w:t>
      </w:r>
      <w:proofErr w:type="spellEnd"/>
      <w:r w:rsidRPr="00884FAC">
        <w:rPr>
          <w:lang w:val="es-419"/>
        </w:rPr>
        <w:t xml:space="preserve"> Hospital, France</w:t>
      </w:r>
    </w:p>
    <w:p w14:paraId="431C92EA" w14:textId="77777777" w:rsidR="00B15128" w:rsidRPr="00884FAC" w:rsidRDefault="00B15128" w:rsidP="00884FAC">
      <w:pPr>
        <w:pStyle w:val="ListParagraph"/>
        <w:numPr>
          <w:ilvl w:val="0"/>
          <w:numId w:val="2"/>
        </w:numPr>
        <w:spacing w:after="200" w:line="276" w:lineRule="auto"/>
        <w:jc w:val="both"/>
        <w:rPr>
          <w:lang w:val="es-419"/>
        </w:rPr>
      </w:pPr>
      <w:r w:rsidRPr="00884FAC">
        <w:rPr>
          <w:lang w:val="es-419"/>
        </w:rPr>
        <w:t xml:space="preserve">Veronese Nicola, </w:t>
      </w:r>
      <w:proofErr w:type="spellStart"/>
      <w:r w:rsidRPr="00884FAC">
        <w:rPr>
          <w:lang w:val="es-419"/>
        </w:rPr>
        <w:t>Geriatric</w:t>
      </w:r>
      <w:proofErr w:type="spellEnd"/>
      <w:r w:rsidRPr="00884FAC">
        <w:rPr>
          <w:lang w:val="es-419"/>
        </w:rPr>
        <w:t xml:space="preserve"> </w:t>
      </w:r>
      <w:proofErr w:type="spellStart"/>
      <w:r w:rsidRPr="00884FAC">
        <w:rPr>
          <w:lang w:val="es-419"/>
        </w:rPr>
        <w:t>Unit</w:t>
      </w:r>
      <w:proofErr w:type="spellEnd"/>
      <w:r w:rsidRPr="00884FAC">
        <w:rPr>
          <w:lang w:val="es-419"/>
        </w:rPr>
        <w:t xml:space="preserve">, </w:t>
      </w:r>
      <w:proofErr w:type="spellStart"/>
      <w:r w:rsidRPr="00884FAC">
        <w:rPr>
          <w:lang w:val="es-419"/>
        </w:rPr>
        <w:t>Department</w:t>
      </w:r>
      <w:proofErr w:type="spellEnd"/>
      <w:r w:rsidRPr="00884FAC">
        <w:rPr>
          <w:lang w:val="es-419"/>
        </w:rPr>
        <w:t xml:space="preserve"> of Medicine, </w:t>
      </w:r>
      <w:proofErr w:type="spellStart"/>
      <w:r w:rsidRPr="00884FAC">
        <w:rPr>
          <w:lang w:val="es-419"/>
        </w:rPr>
        <w:t>University</w:t>
      </w:r>
      <w:proofErr w:type="spellEnd"/>
      <w:r w:rsidRPr="00884FAC">
        <w:rPr>
          <w:lang w:val="es-419"/>
        </w:rPr>
        <w:t xml:space="preserve"> of Palermo, </w:t>
      </w:r>
      <w:proofErr w:type="spellStart"/>
      <w:r w:rsidRPr="00884FAC">
        <w:rPr>
          <w:lang w:val="es-419"/>
        </w:rPr>
        <w:t>Italy</w:t>
      </w:r>
      <w:proofErr w:type="spellEnd"/>
    </w:p>
    <w:p w14:paraId="3A3D016F" w14:textId="77777777" w:rsidR="00B15128" w:rsidRPr="00B15128" w:rsidRDefault="00B15128" w:rsidP="00884FAC">
      <w:pPr>
        <w:pStyle w:val="ListParagraph"/>
        <w:numPr>
          <w:ilvl w:val="0"/>
          <w:numId w:val="2"/>
        </w:numPr>
        <w:spacing w:after="200" w:line="276" w:lineRule="auto"/>
        <w:jc w:val="both"/>
      </w:pPr>
      <w:r w:rsidRPr="00B15128">
        <w:t xml:space="preserve">Visser </w:t>
      </w:r>
      <w:proofErr w:type="spellStart"/>
      <w:r w:rsidRPr="00B15128">
        <w:t>Marjolein</w:t>
      </w:r>
      <w:proofErr w:type="spellEnd"/>
      <w:r w:rsidRPr="00B15128">
        <w:t xml:space="preserve">, </w:t>
      </w:r>
      <w:proofErr w:type="spellStart"/>
      <w:r w:rsidRPr="00B15128">
        <w:t>Vrije</w:t>
      </w:r>
      <w:proofErr w:type="spellEnd"/>
      <w:r w:rsidRPr="00B15128">
        <w:t xml:space="preserve"> </w:t>
      </w:r>
      <w:proofErr w:type="spellStart"/>
      <w:r w:rsidRPr="00B15128">
        <w:t>Universiteit</w:t>
      </w:r>
      <w:proofErr w:type="spellEnd"/>
      <w:r w:rsidRPr="00B15128">
        <w:t xml:space="preserve"> Amsterdam, The Netherlands</w:t>
      </w:r>
    </w:p>
    <w:p w14:paraId="516CE4C7" w14:textId="77777777" w:rsidR="00B15128" w:rsidRPr="00B15128" w:rsidRDefault="00B15128" w:rsidP="00884FAC">
      <w:pPr>
        <w:pStyle w:val="ListParagraph"/>
        <w:numPr>
          <w:ilvl w:val="0"/>
          <w:numId w:val="2"/>
        </w:numPr>
        <w:spacing w:after="200" w:line="276" w:lineRule="auto"/>
        <w:jc w:val="both"/>
      </w:pPr>
      <w:r w:rsidRPr="00B15128">
        <w:t>Zee A Han, College of Medicine, The Catholic University of Korea, Seoul, South-Korea</w:t>
      </w:r>
    </w:p>
    <w:p w14:paraId="553238D3" w14:textId="77777777" w:rsidR="00B15128" w:rsidRDefault="00B15128"/>
    <w:sectPr w:rsidR="00B15128" w:rsidSect="00873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F9F"/>
    <w:multiLevelType w:val="hybridMultilevel"/>
    <w:tmpl w:val="361C60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660F85"/>
    <w:multiLevelType w:val="multilevel"/>
    <w:tmpl w:val="231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1MTcwNzQyNjA3NzNU0lEKTi0uzszPAykwqgUAOtJDRywAAAA="/>
  </w:docVars>
  <w:rsids>
    <w:rsidRoot w:val="00B15128"/>
    <w:rsid w:val="002E3597"/>
    <w:rsid w:val="004A4999"/>
    <w:rsid w:val="006772AB"/>
    <w:rsid w:val="00691959"/>
    <w:rsid w:val="00873E6F"/>
    <w:rsid w:val="00884FAC"/>
    <w:rsid w:val="009659E2"/>
    <w:rsid w:val="00A04715"/>
    <w:rsid w:val="00B15128"/>
    <w:rsid w:val="00C81333"/>
    <w:rsid w:val="00CE3393"/>
    <w:rsid w:val="00E16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8307"/>
  <w15:chartTrackingRefBased/>
  <w15:docId w15:val="{DEF8F2E1-79F6-4D4C-AF36-E2D82D53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1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5128"/>
    <w:rPr>
      <w:b/>
      <w:bCs/>
    </w:rPr>
  </w:style>
  <w:style w:type="character" w:styleId="Emphasis">
    <w:name w:val="Emphasis"/>
    <w:basedOn w:val="DefaultParagraphFont"/>
    <w:uiPriority w:val="20"/>
    <w:qFormat/>
    <w:rsid w:val="00B15128"/>
    <w:rPr>
      <w:i/>
      <w:iCs/>
    </w:rPr>
  </w:style>
  <w:style w:type="character" w:styleId="Hyperlink">
    <w:name w:val="Hyperlink"/>
    <w:basedOn w:val="DefaultParagraphFont"/>
    <w:uiPriority w:val="99"/>
    <w:unhideWhenUsed/>
    <w:rsid w:val="00B15128"/>
    <w:rPr>
      <w:color w:val="0563C1" w:themeColor="hyperlink"/>
      <w:u w:val="single"/>
    </w:rPr>
  </w:style>
  <w:style w:type="paragraph" w:styleId="ListParagraph">
    <w:name w:val="List Paragraph"/>
    <w:basedOn w:val="Normal"/>
    <w:uiPriority w:val="34"/>
    <w:qFormat/>
    <w:rsid w:val="00884FAC"/>
    <w:pPr>
      <w:ind w:left="720"/>
      <w:contextualSpacing/>
    </w:pPr>
  </w:style>
  <w:style w:type="paragraph" w:styleId="BalloonText">
    <w:name w:val="Balloon Text"/>
    <w:basedOn w:val="Normal"/>
    <w:link w:val="BalloonTextChar"/>
    <w:uiPriority w:val="99"/>
    <w:semiHidden/>
    <w:unhideWhenUsed/>
    <w:rsid w:val="004A4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cola.veronese@unip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EB992-9F20-46CC-A89B-F06E32CD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2147</Words>
  <Characters>12242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AMUTHAVALLI THIYAGARAJAN, Jotheeswaran</dc:creator>
  <cp:keywords/>
  <dc:description/>
  <cp:lastModifiedBy>Karen Drake</cp:lastModifiedBy>
  <cp:revision>2</cp:revision>
  <cp:lastPrinted>2022-01-24T08:59:00Z</cp:lastPrinted>
  <dcterms:created xsi:type="dcterms:W3CDTF">2022-01-24T09:56:00Z</dcterms:created>
  <dcterms:modified xsi:type="dcterms:W3CDTF">2022-01-24T09:56:00Z</dcterms:modified>
</cp:coreProperties>
</file>